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BF459" w14:textId="4185C37F" w:rsidR="00153F86" w:rsidRPr="00153F86" w:rsidRDefault="00153F86" w:rsidP="00153F86">
      <w:pPr>
        <w:spacing w:after="3840"/>
      </w:pPr>
    </w:p>
    <w:p w14:paraId="4C19D465" w14:textId="69577094" w:rsidR="00F012EA" w:rsidRDefault="006C3DEB" w:rsidP="00153F86">
      <w:pPr>
        <w:pStyle w:val="Title"/>
        <w:rPr>
          <w:color w:val="2C384A" w:themeColor="accent1"/>
        </w:rPr>
      </w:pPr>
      <w:r>
        <w:rPr>
          <w:color w:val="2C384A" w:themeColor="accent1"/>
        </w:rPr>
        <w:t>Modelling Fiscal Policy with OLGA</w:t>
      </w:r>
    </w:p>
    <w:p w14:paraId="5A86D187" w14:textId="1ED72D0B" w:rsidR="006C3DEB" w:rsidRPr="00261BC6" w:rsidRDefault="006C3DEB" w:rsidP="006C3DEB">
      <w:pPr>
        <w:pStyle w:val="ReportDate"/>
        <w:spacing w:after="240"/>
        <w:rPr>
          <w:rFonts w:asciiTheme="minorHAnsi" w:hAnsiTheme="minorHAnsi"/>
          <w:bCs/>
          <w:color w:val="5D779D" w:themeColor="accent3"/>
          <w:sz w:val="36"/>
          <w:szCs w:val="18"/>
        </w:rPr>
      </w:pPr>
      <w:r w:rsidRPr="00261BC6">
        <w:rPr>
          <w:rFonts w:asciiTheme="minorHAnsi" w:hAnsiTheme="minorHAnsi"/>
          <w:bCs/>
          <w:color w:val="5D779D" w:themeColor="accent3"/>
          <w:sz w:val="36"/>
          <w:szCs w:val="18"/>
        </w:rPr>
        <w:t>Treasury’s OverLapping Generations model of the Australian economy</w:t>
      </w:r>
      <w:r w:rsidRPr="00261BC6">
        <w:rPr>
          <w:rStyle w:val="ReportDateChar"/>
          <w:rFonts w:asciiTheme="minorHAnsi" w:hAnsiTheme="minorHAnsi"/>
          <w:bCs/>
          <w:color w:val="5D779D" w:themeColor="accent3"/>
          <w:sz w:val="36"/>
          <w:szCs w:val="18"/>
        </w:rPr>
        <w:t xml:space="preserve"> </w:t>
      </w:r>
    </w:p>
    <w:p w14:paraId="15F60D45" w14:textId="136FB594" w:rsidR="00F012EA" w:rsidRDefault="006C3DEB" w:rsidP="00F012EA">
      <w:pPr>
        <w:pStyle w:val="AuthorName"/>
        <w:rPr>
          <w:szCs w:val="24"/>
        </w:rPr>
      </w:pPr>
      <w:r w:rsidRPr="006C3DEB">
        <w:rPr>
          <w:szCs w:val="24"/>
        </w:rPr>
        <w:t>Yiyong Cai, Linus Gustafsson, Michael Kouparitsas, Jazmine Smith and Rachel Zhang</w:t>
      </w:r>
    </w:p>
    <w:p w14:paraId="1B67DD18" w14:textId="77777777" w:rsidR="00F012EA" w:rsidRPr="00F8009C" w:rsidRDefault="00F012EA" w:rsidP="00153F86">
      <w:pPr>
        <w:pStyle w:val="Subtitle"/>
        <w:tabs>
          <w:tab w:val="left" w:pos="1985"/>
        </w:tabs>
        <w:spacing w:after="0"/>
        <w:rPr>
          <w:szCs w:val="40"/>
        </w:rPr>
      </w:pPr>
      <w:r>
        <w:rPr>
          <w:szCs w:val="40"/>
        </w:rPr>
        <w:t>Treasury Working Paper</w:t>
      </w:r>
      <w:r>
        <w:rPr>
          <w:rStyle w:val="FootnoteReference"/>
          <w:szCs w:val="40"/>
        </w:rPr>
        <w:footnoteReference w:id="2"/>
      </w:r>
    </w:p>
    <w:p w14:paraId="7A99B111" w14:textId="06CE7841" w:rsidR="00F012EA" w:rsidRPr="00F8009C" w:rsidRDefault="00F012EA" w:rsidP="00F012EA">
      <w:pPr>
        <w:pStyle w:val="Subtitle"/>
        <w:rPr>
          <w:szCs w:val="36"/>
        </w:rPr>
      </w:pPr>
      <w:r>
        <w:rPr>
          <w:szCs w:val="36"/>
        </w:rPr>
        <w:t>20</w:t>
      </w:r>
      <w:r w:rsidR="006C3DEB">
        <w:rPr>
          <w:szCs w:val="36"/>
        </w:rPr>
        <w:t>23</w:t>
      </w:r>
      <w:r w:rsidR="00CF4181">
        <w:rPr>
          <w:szCs w:val="36"/>
        </w:rPr>
        <w:t>–</w:t>
      </w:r>
      <w:r w:rsidR="006C3DEB">
        <w:rPr>
          <w:szCs w:val="36"/>
        </w:rPr>
        <w:t>02</w:t>
      </w:r>
    </w:p>
    <w:p w14:paraId="752AC0B9" w14:textId="06F866F8" w:rsidR="00F012EA" w:rsidRPr="0018497C" w:rsidRDefault="00F012EA" w:rsidP="00F012EA">
      <w:pPr>
        <w:pStyle w:val="SeriesNumber"/>
        <w:spacing w:after="120"/>
        <w:rPr>
          <w:sz w:val="24"/>
          <w:szCs w:val="24"/>
        </w:rPr>
      </w:pPr>
      <w:r w:rsidRPr="0018497C">
        <w:rPr>
          <w:sz w:val="24"/>
          <w:szCs w:val="24"/>
        </w:rPr>
        <w:t xml:space="preserve">Date created: </w:t>
      </w:r>
      <w:r w:rsidR="006C3DEB">
        <w:rPr>
          <w:sz w:val="24"/>
          <w:szCs w:val="24"/>
        </w:rPr>
        <w:t>August 2023</w:t>
      </w:r>
    </w:p>
    <w:p w14:paraId="04307A9D" w14:textId="5FB1B910" w:rsidR="00F012EA" w:rsidRDefault="00F012EA" w:rsidP="00F012EA">
      <w:pPr>
        <w:pStyle w:val="SeriesNumber"/>
        <w:spacing w:after="120"/>
        <w:rPr>
          <w:sz w:val="24"/>
          <w:szCs w:val="24"/>
        </w:rPr>
      </w:pPr>
      <w:r w:rsidRPr="0018497C">
        <w:rPr>
          <w:sz w:val="24"/>
          <w:szCs w:val="24"/>
        </w:rPr>
        <w:t xml:space="preserve">Date </w:t>
      </w:r>
      <w:r>
        <w:rPr>
          <w:sz w:val="24"/>
          <w:szCs w:val="24"/>
        </w:rPr>
        <w:t>modified</w:t>
      </w:r>
      <w:r w:rsidRPr="0018497C">
        <w:rPr>
          <w:sz w:val="24"/>
          <w:szCs w:val="24"/>
        </w:rPr>
        <w:t xml:space="preserve">: </w:t>
      </w:r>
      <w:r w:rsidR="006C3DEB">
        <w:rPr>
          <w:sz w:val="24"/>
          <w:szCs w:val="24"/>
        </w:rPr>
        <w:t>August 2023</w:t>
      </w:r>
    </w:p>
    <w:p w14:paraId="27D451E1" w14:textId="77777777" w:rsidR="000464B6" w:rsidRDefault="000464B6" w:rsidP="00F012EA">
      <w:pPr>
        <w:pStyle w:val="AuthorName"/>
        <w:rPr>
          <w:szCs w:val="24"/>
        </w:rPr>
      </w:pPr>
    </w:p>
    <w:p w14:paraId="52DC80D2" w14:textId="61BCECC6" w:rsidR="00261BC6" w:rsidRDefault="00261BC6" w:rsidP="00F012EA">
      <w:pPr>
        <w:pStyle w:val="AuthorName"/>
        <w:rPr>
          <w:szCs w:val="24"/>
        </w:rPr>
        <w:sectPr w:rsidR="00261BC6" w:rsidSect="00B7535E">
          <w:footerReference w:type="even" r:id="rId7"/>
          <w:footerReference w:type="default" r:id="rId8"/>
          <w:headerReference w:type="first" r:id="rId9"/>
          <w:pgSz w:w="11906" w:h="16838" w:code="9"/>
          <w:pgMar w:top="1843" w:right="1418" w:bottom="1418" w:left="1418" w:header="709" w:footer="709" w:gutter="0"/>
          <w:cols w:space="708"/>
          <w:titlePg/>
          <w:docGrid w:linePitch="360"/>
        </w:sectPr>
      </w:pPr>
    </w:p>
    <w:p w14:paraId="7046E36F" w14:textId="642E3DAC" w:rsidR="000464B6" w:rsidRDefault="000464B6" w:rsidP="000464B6">
      <w:r w:rsidRPr="00661BF0">
        <w:lastRenderedPageBreak/>
        <w:t xml:space="preserve">© Commonwealth of Australia </w:t>
      </w:r>
      <w:r w:rsidRPr="006C3DEB">
        <w:t>20</w:t>
      </w:r>
      <w:r w:rsidR="00CF4181" w:rsidRPr="006C3DEB">
        <w:t>2</w:t>
      </w:r>
      <w:r w:rsidR="006C3DEB" w:rsidRPr="006C3DEB">
        <w:t>3</w:t>
      </w:r>
    </w:p>
    <w:p w14:paraId="6A900FC9" w14:textId="6EDEF977" w:rsidR="000464B6" w:rsidRPr="00464A16" w:rsidRDefault="000464B6" w:rsidP="000464B6">
      <w:r w:rsidRPr="00464A16">
        <w:t xml:space="preserve">ISBN </w:t>
      </w:r>
      <w:r w:rsidR="00632B89" w:rsidRPr="00632B89">
        <w:t>978-1-925832-82-2</w:t>
      </w:r>
    </w:p>
    <w:p w14:paraId="33BA729A" w14:textId="77777777" w:rsidR="000464B6" w:rsidRPr="00086F82" w:rsidRDefault="000464B6" w:rsidP="000464B6">
      <w:pPr>
        <w:tabs>
          <w:tab w:val="left" w:pos="1650"/>
        </w:tabs>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0"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11"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12CB5CF5" w14:textId="77777777" w:rsidR="000464B6" w:rsidRDefault="000464B6" w:rsidP="000464B6">
      <w:pPr>
        <w:tabs>
          <w:tab w:val="left" w:pos="1650"/>
        </w:tabs>
        <w:spacing w:before="100" w:beforeAutospacing="1" w:after="100" w:afterAutospacing="1"/>
        <w:rPr>
          <w:rFonts w:cstheme="minorHAnsi"/>
          <w:sz w:val="24"/>
          <w:szCs w:val="24"/>
        </w:rPr>
      </w:pPr>
      <w:r w:rsidRPr="00E56DFB">
        <w:rPr>
          <w:rFonts w:cstheme="minorHAnsi"/>
          <w:noProof/>
          <w:sz w:val="24"/>
          <w:szCs w:val="24"/>
          <w:lang w:eastAsia="zh-CN"/>
        </w:rPr>
        <w:drawing>
          <wp:inline distT="0" distB="0" distL="0" distR="0" wp14:anchorId="3F986232" wp14:editId="53FBE244">
            <wp:extent cx="809625" cy="285750"/>
            <wp:effectExtent l="19050" t="0" r="9525" b="0"/>
            <wp:docPr id="6" name="Picture 6"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2"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EB9E2C5" w14:textId="77777777" w:rsidR="000464B6" w:rsidRPr="006627B4" w:rsidRDefault="000464B6" w:rsidP="000464B6">
      <w:pPr>
        <w:tabs>
          <w:tab w:val="left" w:pos="1650"/>
        </w:tabs>
      </w:pPr>
      <w:r w:rsidRPr="006627B4">
        <w:t>Use of Treasury material under a</w:t>
      </w:r>
      <w:r w:rsidRPr="00476F09">
        <w:rPr>
          <w:rFonts w:cstheme="minorHAnsi"/>
          <w:sz w:val="24"/>
          <w:szCs w:val="24"/>
        </w:rPr>
        <w:t xml:space="preserve"> </w:t>
      </w:r>
      <w:hyperlink r:id="rId13"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5C3D6925" w14:textId="77777777" w:rsidR="000464B6" w:rsidRPr="0096584F" w:rsidRDefault="000464B6" w:rsidP="0096584F">
      <w:pPr>
        <w:spacing w:after="40"/>
        <w:rPr>
          <w:b/>
        </w:rPr>
      </w:pPr>
      <w:r w:rsidRPr="0096584F">
        <w:rPr>
          <w:b/>
        </w:rPr>
        <w:t>Treasury material used 'as supplied'</w:t>
      </w:r>
    </w:p>
    <w:p w14:paraId="3AF79884" w14:textId="77777777" w:rsidR="000464B6" w:rsidRPr="00476F09" w:rsidRDefault="000464B6" w:rsidP="000464B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7A2E542" w14:textId="77777777" w:rsidR="000464B6" w:rsidRPr="00A13A11" w:rsidRDefault="000464B6" w:rsidP="000464B6">
      <w:pPr>
        <w:ind w:firstLine="720"/>
      </w:pPr>
      <w:r w:rsidRPr="002F1BC2">
        <w:rPr>
          <w:i/>
        </w:rPr>
        <w:t xml:space="preserve">Source: The </w:t>
      </w:r>
      <w:r w:rsidRPr="002F1BC2">
        <w:rPr>
          <w:i/>
          <w:iCs/>
        </w:rPr>
        <w:t>Australian Government the Treasury</w:t>
      </w:r>
    </w:p>
    <w:p w14:paraId="4F41DEA1" w14:textId="77777777" w:rsidR="000464B6" w:rsidRPr="0096584F" w:rsidRDefault="000464B6" w:rsidP="0096584F">
      <w:pPr>
        <w:spacing w:after="40"/>
        <w:rPr>
          <w:b/>
        </w:rPr>
      </w:pPr>
      <w:r w:rsidRPr="0096584F">
        <w:rPr>
          <w:b/>
        </w:rPr>
        <w:t>Derivative material</w:t>
      </w:r>
    </w:p>
    <w:p w14:paraId="2D06B589" w14:textId="77777777" w:rsidR="000464B6" w:rsidRPr="006627B4" w:rsidRDefault="000464B6" w:rsidP="000464B6">
      <w:r w:rsidRPr="006627B4">
        <w:t xml:space="preserve">If you have modified or transformed Treasury material, or derived new material from those of the Treasury in any way, then Treasury prefers the following attribution: </w:t>
      </w:r>
    </w:p>
    <w:p w14:paraId="756F0396" w14:textId="77777777" w:rsidR="000464B6" w:rsidRPr="006627B4" w:rsidRDefault="000464B6" w:rsidP="000464B6">
      <w:pPr>
        <w:ind w:firstLine="720"/>
      </w:pPr>
      <w:r w:rsidRPr="002F1BC2">
        <w:rPr>
          <w:i/>
        </w:rPr>
        <w:t>Based on The Australian Government the Treasury data</w:t>
      </w:r>
    </w:p>
    <w:p w14:paraId="3EE981E3" w14:textId="77777777" w:rsidR="000464B6" w:rsidRPr="006627B4" w:rsidRDefault="000464B6" w:rsidP="000464B6">
      <w:pPr>
        <w:spacing w:after="40"/>
        <w:rPr>
          <w:b/>
        </w:rPr>
      </w:pPr>
      <w:r w:rsidRPr="006627B4">
        <w:rPr>
          <w:b/>
        </w:rPr>
        <w:t>Use of the Coat of Arms</w:t>
      </w:r>
    </w:p>
    <w:p w14:paraId="1F28A6A0" w14:textId="77777777" w:rsidR="000464B6" w:rsidRPr="006627B4" w:rsidRDefault="00A40BA2" w:rsidP="000464B6">
      <w:r w:rsidRPr="00A40BA2">
        <w:t>The terms under which the Coat of Arms can be used are set out on the Departme</w:t>
      </w:r>
      <w:r>
        <w:t>nt of the Prime </w:t>
      </w:r>
      <w:r w:rsidRPr="00A40BA2">
        <w:t xml:space="preserve">Minister and Cabinet website (see </w:t>
      </w:r>
      <w:hyperlink r:id="rId14" w:history="1">
        <w:r w:rsidR="00CF4181">
          <w:rPr>
            <w:rStyle w:val="Hyperlink"/>
          </w:rPr>
          <w:t>https://www.pmc.gov.au/honours-and-symbols/commonwealth-coat-arms</w:t>
        </w:r>
      </w:hyperlink>
      <w:r w:rsidRPr="00A40BA2">
        <w:t>).</w:t>
      </w:r>
    </w:p>
    <w:p w14:paraId="758D14B3" w14:textId="77777777" w:rsidR="000464B6" w:rsidRPr="006627B4" w:rsidRDefault="00A57848" w:rsidP="000464B6">
      <w:pPr>
        <w:spacing w:after="40"/>
        <w:rPr>
          <w:b/>
        </w:rPr>
      </w:pPr>
      <w:r>
        <w:rPr>
          <w:b/>
        </w:rPr>
        <w:t>Other u</w:t>
      </w:r>
      <w:r w:rsidR="000464B6" w:rsidRPr="006627B4">
        <w:rPr>
          <w:b/>
        </w:rPr>
        <w:t>ses</w:t>
      </w:r>
    </w:p>
    <w:p w14:paraId="4060094B" w14:textId="77777777" w:rsidR="000464B6" w:rsidRPr="006627B4" w:rsidRDefault="00A57848" w:rsidP="00A57848">
      <w:r>
        <w:t>E</w:t>
      </w:r>
      <w:r w:rsidR="000464B6" w:rsidRPr="006627B4">
        <w:t>nquiries regarding this licence and any other use of this document are welcome at:</w:t>
      </w:r>
    </w:p>
    <w:p w14:paraId="3F515C3C" w14:textId="77777777" w:rsidR="000464B6" w:rsidRPr="006627B4" w:rsidRDefault="000464B6" w:rsidP="000464B6">
      <w:pPr>
        <w:spacing w:after="0"/>
        <w:ind w:left="720"/>
      </w:pPr>
      <w:r w:rsidRPr="006627B4">
        <w:t>Manager</w:t>
      </w:r>
      <w:r w:rsidR="0096584F">
        <w:br/>
      </w:r>
      <w:r w:rsidR="00A57848">
        <w:t>Media Unit</w:t>
      </w:r>
      <w:r w:rsidR="0096584F">
        <w:br/>
      </w:r>
      <w:r w:rsidRPr="006627B4">
        <w:t>The Treasury</w:t>
      </w:r>
      <w:r w:rsidR="0096584F">
        <w:br/>
      </w:r>
      <w:r w:rsidRPr="006627B4">
        <w:t xml:space="preserve">Langton Crescent </w:t>
      </w:r>
      <w:r w:rsidR="00A57848">
        <w:br/>
      </w:r>
      <w:r w:rsidRPr="006627B4">
        <w:t>Parkes ACT 2600</w:t>
      </w:r>
    </w:p>
    <w:p w14:paraId="2F4C4968" w14:textId="77777777" w:rsidR="000464B6" w:rsidRDefault="000464B6" w:rsidP="000464B6">
      <w:pPr>
        <w:spacing w:after="0"/>
        <w:ind w:left="720"/>
        <w:rPr>
          <w:rStyle w:val="Hyperlink"/>
        </w:rPr>
      </w:pPr>
      <w:r w:rsidRPr="006627B4">
        <w:t xml:space="preserve">Email: </w:t>
      </w:r>
      <w:hyperlink r:id="rId15" w:history="1">
        <w:r w:rsidR="00CB4555" w:rsidRPr="000951A5">
          <w:rPr>
            <w:rStyle w:val="Hyperlink"/>
          </w:rPr>
          <w:t>media@treasury.gov.au</w:t>
        </w:r>
      </w:hyperlink>
      <w:r w:rsidRPr="002F1BC2">
        <w:rPr>
          <w:rStyle w:val="Hyperlink"/>
        </w:rPr>
        <w:t xml:space="preserve"> </w:t>
      </w:r>
      <w:r w:rsidR="00CB4555">
        <w:rPr>
          <w:rStyle w:val="Hyperlink"/>
        </w:rPr>
        <w:t xml:space="preserve"> </w:t>
      </w:r>
    </w:p>
    <w:p w14:paraId="1CA8EBEE" w14:textId="77777777" w:rsidR="000464B6" w:rsidRPr="000464B6" w:rsidRDefault="000464B6" w:rsidP="000464B6"/>
    <w:p w14:paraId="176FD870" w14:textId="77777777" w:rsidR="000464B6" w:rsidRDefault="000464B6" w:rsidP="000464B6">
      <w:pPr>
        <w:spacing w:after="0"/>
        <w:ind w:left="720"/>
        <w:rPr>
          <w:rStyle w:val="Hyperlink"/>
        </w:rPr>
        <w:sectPr w:rsidR="000464B6" w:rsidSect="00B7535E">
          <w:headerReference w:type="even" r:id="rId16"/>
          <w:headerReference w:type="default" r:id="rId17"/>
          <w:headerReference w:type="first" r:id="rId18"/>
          <w:pgSz w:w="11906" w:h="16838" w:code="9"/>
          <w:pgMar w:top="1843" w:right="1418" w:bottom="1418" w:left="1418" w:header="709" w:footer="709" w:gutter="0"/>
          <w:cols w:space="708"/>
          <w:titlePg/>
          <w:docGrid w:linePitch="360"/>
        </w:sectPr>
      </w:pPr>
    </w:p>
    <w:p w14:paraId="38CF0566" w14:textId="3E168A82" w:rsidR="00F012EA" w:rsidRDefault="006C3DEB" w:rsidP="00F012EA">
      <w:pPr>
        <w:pStyle w:val="SingleParagraph"/>
      </w:pPr>
      <w:r w:rsidRPr="006C3DEB">
        <w:lastRenderedPageBreak/>
        <w:t>Modelling fiscal policy with OLGA</w:t>
      </w:r>
      <w:r>
        <w:t xml:space="preserve">: </w:t>
      </w:r>
      <w:r w:rsidRPr="006C3DEB">
        <w:t>Treasury’s overlapping generations model of the Australian economy</w:t>
      </w:r>
    </w:p>
    <w:p w14:paraId="790EE32E" w14:textId="2CF73DAC" w:rsidR="00F012EA" w:rsidRDefault="006C3DEB" w:rsidP="00F012EA">
      <w:pPr>
        <w:pStyle w:val="SingleParagraph"/>
      </w:pPr>
      <w:r w:rsidRPr="006C3DEB">
        <w:t>Yiyong Cai, Linus Gustafsson, Michael Kouparitsas, Jazmine Smith and Rachel Zhang</w:t>
      </w:r>
    </w:p>
    <w:p w14:paraId="4B2E66B4" w14:textId="2AFA7C3F" w:rsidR="00F012EA" w:rsidRPr="006C3DEB" w:rsidRDefault="00F012EA" w:rsidP="00F012EA">
      <w:pPr>
        <w:pStyle w:val="SingleParagraph"/>
      </w:pPr>
      <w:r w:rsidRPr="006C3DEB">
        <w:t>20</w:t>
      </w:r>
      <w:r w:rsidR="006C3DEB" w:rsidRPr="006C3DEB">
        <w:t>23</w:t>
      </w:r>
      <w:r w:rsidR="00CF4181" w:rsidRPr="006C3DEB">
        <w:t>–</w:t>
      </w:r>
      <w:r w:rsidR="006C3DEB" w:rsidRPr="006C3DEB">
        <w:t>02</w:t>
      </w:r>
    </w:p>
    <w:p w14:paraId="4E26DF22" w14:textId="546A4795" w:rsidR="00F012EA" w:rsidRDefault="006C3DEB" w:rsidP="00F012EA">
      <w:pPr>
        <w:pStyle w:val="SingleParagraph"/>
      </w:pPr>
      <w:r w:rsidRPr="006C3DEB">
        <w:t>August 2023</w:t>
      </w:r>
    </w:p>
    <w:p w14:paraId="444AE9BA" w14:textId="77777777" w:rsidR="00F012EA" w:rsidRDefault="00F012EA" w:rsidP="00575037">
      <w:pPr>
        <w:pStyle w:val="Heading1"/>
      </w:pPr>
      <w:r>
        <w:t>Abstract</w:t>
      </w:r>
    </w:p>
    <w:p w14:paraId="7AD6E720" w14:textId="77777777" w:rsidR="006C3DEB" w:rsidRPr="00E65E4B" w:rsidRDefault="006C3DEB" w:rsidP="006C3DEB">
      <w:r w:rsidRPr="00616819">
        <w:t>To meet the needs of a broad set of internal and external stakeholders now and into the future the Australian Treasury maintains a significant macroeconomic modelling capability. Treasury’s current in</w:t>
      </w:r>
      <w:r>
        <w:t>-</w:t>
      </w:r>
      <w:r w:rsidRPr="00616819">
        <w:t xml:space="preserve">house capability is similar to that of the US Congressional Budget Office (CBO) and the Joint Committee on Taxation (JCT). These agencies have a suite of macroeconomic models to quantify the general equilibrium effects of policy on economic activity, household welfare and public finances. In this paper we introduce one of the models in that suite, Treasury’s overlapping generations model of the Australian economy (hereafter OLGA). OLGA has been developed by economists in Treasury’s Macroeconomic Analysis and Policy Division to </w:t>
      </w:r>
      <w:r>
        <w:t>support</w:t>
      </w:r>
      <w:r w:rsidRPr="00616819">
        <w:t xml:space="preserve"> Treasury’s counterfactual fiscal policy analysis. OLGA is a small open economy variant of the well</w:t>
      </w:r>
      <w:r>
        <w:t>-</w:t>
      </w:r>
      <w:r w:rsidRPr="00616819">
        <w:t>known lifecycle model developed by Auerbach and Kotlikoff (1987). It has been calibrated to Australian data and policy settings.</w:t>
      </w:r>
    </w:p>
    <w:p w14:paraId="216DADD7" w14:textId="77777777" w:rsidR="006C3DEB" w:rsidRDefault="006C3DEB" w:rsidP="006C3DEB">
      <w:r>
        <w:t>JEL Classification Numbers: E60, H30, C61</w:t>
      </w:r>
    </w:p>
    <w:p w14:paraId="07B2C449" w14:textId="77777777" w:rsidR="006C3DEB" w:rsidRDefault="006C3DEB" w:rsidP="006C3DEB">
      <w:r>
        <w:t>Keywords: lifecycle model,</w:t>
      </w:r>
      <w:r w:rsidDel="002D00B5">
        <w:t xml:space="preserve"> </w:t>
      </w:r>
      <w:r w:rsidRPr="00677435">
        <w:t xml:space="preserve">overlapping generations, </w:t>
      </w:r>
      <w:r>
        <w:t>heterogeneous households, general equilibrium, taxation, fiscal policy</w:t>
      </w:r>
    </w:p>
    <w:p w14:paraId="55477984" w14:textId="199E0920" w:rsidR="00F012EA" w:rsidRDefault="006C3DEB" w:rsidP="008627B1">
      <w:r>
        <w:t>Yiyong Cai, Linus Gustafsson, Michael Kouparitsas, Jazmine Smith and Rachel Zhang</w:t>
      </w:r>
      <w:r w:rsidR="00261BC6">
        <w:rPr>
          <w:rStyle w:val="FootnoteReference"/>
        </w:rPr>
        <w:footnoteReference w:id="3"/>
      </w:r>
      <w:r>
        <w:br/>
        <w:t>Macroeconomic Analysis and Policy Division</w:t>
      </w:r>
      <w:r>
        <w:br/>
        <w:t>Macroeconomic Group</w:t>
      </w:r>
      <w:r>
        <w:br/>
        <w:t>The Treasury</w:t>
      </w:r>
      <w:r>
        <w:br/>
        <w:t>Langton Crescent</w:t>
      </w:r>
      <w:r>
        <w:br/>
        <w:t>Parkes  ACT  2600</w:t>
      </w:r>
    </w:p>
    <w:p w14:paraId="320D9286" w14:textId="77777777" w:rsidR="00F012EA" w:rsidRDefault="00F012EA" w:rsidP="008627B1"/>
    <w:p w14:paraId="4DBAE2CA" w14:textId="77777777" w:rsidR="00F012EA" w:rsidRDefault="00F012EA" w:rsidP="008627B1">
      <w:pPr>
        <w:sectPr w:rsidR="00F012EA" w:rsidSect="00B7535E">
          <w:pgSz w:w="11906" w:h="16838" w:code="9"/>
          <w:pgMar w:top="1843" w:right="1418" w:bottom="1418" w:left="1418" w:header="709" w:footer="709" w:gutter="0"/>
          <w:cols w:space="708"/>
          <w:titlePg/>
          <w:docGrid w:linePitch="360"/>
        </w:sectPr>
      </w:pPr>
    </w:p>
    <w:p w14:paraId="47DFEE0E" w14:textId="77777777" w:rsidR="006C3DEB" w:rsidRPr="00A57848" w:rsidRDefault="006C3DEB" w:rsidP="006C3DEB">
      <w:pPr>
        <w:pStyle w:val="Heading1"/>
      </w:pPr>
      <w:r w:rsidRPr="00643367">
        <w:lastRenderedPageBreak/>
        <w:t>Introduction</w:t>
      </w:r>
    </w:p>
    <w:p w14:paraId="74BC66F9" w14:textId="77777777" w:rsidR="006C3DEB" w:rsidRPr="006D7A1B" w:rsidRDefault="006C3DEB" w:rsidP="006C3DEB">
      <w:r>
        <w:t xml:space="preserve">This paper </w:t>
      </w:r>
      <w:r w:rsidRPr="006D7A1B">
        <w:t>introduce</w:t>
      </w:r>
      <w:r>
        <w:t>s</w:t>
      </w:r>
      <w:r w:rsidRPr="006D7A1B">
        <w:t xml:space="preserve"> Treasury’s overlapping generations model of the Australian economy (</w:t>
      </w:r>
      <w:r>
        <w:t xml:space="preserve">hereafter OLGA). </w:t>
      </w:r>
      <w:r w:rsidRPr="006D7A1B">
        <w:t>OLGA has been developed in</w:t>
      </w:r>
      <w:r>
        <w:t>-</w:t>
      </w:r>
      <w:r w:rsidRPr="006D7A1B">
        <w:t xml:space="preserve">house by economists in </w:t>
      </w:r>
      <w:r>
        <w:t>Treasury’s</w:t>
      </w:r>
      <w:r w:rsidRPr="006D7A1B">
        <w:t xml:space="preserve"> Macroeconomic </w:t>
      </w:r>
      <w:r>
        <w:t>Analysis</w:t>
      </w:r>
      <w:r w:rsidRPr="006D7A1B">
        <w:t xml:space="preserve"> and Policy Division to </w:t>
      </w:r>
      <w:r>
        <w:t>support</w:t>
      </w:r>
      <w:r w:rsidRPr="006D7A1B">
        <w:t xml:space="preserve"> </w:t>
      </w:r>
      <w:r>
        <w:t>Treasury’s</w:t>
      </w:r>
      <w:r w:rsidRPr="006D7A1B">
        <w:t xml:space="preserve"> counterfactual fiscal policy analysis. OLGA is a small open economy variant of the well-known lifecycle model developed by Auerbach and Kotlikoff (1987)</w:t>
      </w:r>
      <w:r>
        <w:t xml:space="preserve">. It </w:t>
      </w:r>
      <w:r w:rsidRPr="006D7A1B">
        <w:t>has been calibrated to Australian data and policy settings.</w:t>
      </w:r>
    </w:p>
    <w:p w14:paraId="7AC76121" w14:textId="77777777" w:rsidR="006C3DEB" w:rsidRDefault="006C3DEB" w:rsidP="006C3DEB">
      <w:r w:rsidRPr="00E06050">
        <w:t xml:space="preserve">While no single economic framework can capture </w:t>
      </w:r>
      <w:r>
        <w:t xml:space="preserve">all the </w:t>
      </w:r>
      <w:r w:rsidRPr="00E06050">
        <w:t>relevant dimensions</w:t>
      </w:r>
      <w:r>
        <w:t xml:space="preserve"> of fiscal policy</w:t>
      </w:r>
      <w:r w:rsidRPr="00E06050">
        <w:t>,</w:t>
      </w:r>
      <w:r>
        <w:t xml:space="preserve"> overlapping generations</w:t>
      </w:r>
      <w:r w:rsidRPr="00896875">
        <w:t xml:space="preserve"> </w:t>
      </w:r>
      <w:r>
        <w:t xml:space="preserve">(OLG) </w:t>
      </w:r>
      <w:r w:rsidRPr="00896875">
        <w:t xml:space="preserve">models </w:t>
      </w:r>
      <w:r>
        <w:t>have become one of the key tools in the economics profession for quantifying the effects of fiscal policy on macroeconomic aggregates, household welfare and public finances.</w:t>
      </w:r>
      <w:r w:rsidRPr="00A86D11">
        <w:rPr>
          <w:rStyle w:val="FootnoteReference"/>
          <w:vertAlign w:val="superscript"/>
        </w:rPr>
        <w:footnoteReference w:id="4"/>
      </w:r>
      <w:r>
        <w:t xml:space="preserve"> This reflects a number of desirable features of modern OLG models recognised by leading academics and fiscal agencies including the US Congressional Budget Office (CBO) and the Joint Committee on Taxation (JCT):</w:t>
      </w:r>
    </w:p>
    <w:p w14:paraId="4DE626CC" w14:textId="77777777" w:rsidR="006C3DEB" w:rsidRPr="00682329" w:rsidRDefault="006C3DEB" w:rsidP="006C3DEB">
      <w:pPr>
        <w:pStyle w:val="Bullet"/>
        <w:spacing w:line="240" w:lineRule="auto"/>
        <w:ind w:left="284" w:hanging="284"/>
      </w:pPr>
      <w:r w:rsidRPr="00682329">
        <w:t xml:space="preserve">OLG models are general equilibrium, meaning that they take full account of second round (and subsequent) effects in addition to the direct effects of policy changes. This includes taking account of the feedback effects of price changes and the spillovers from one market to another market. </w:t>
      </w:r>
    </w:p>
    <w:p w14:paraId="116B4B09" w14:textId="77777777" w:rsidR="006C3DEB" w:rsidRPr="00682329" w:rsidRDefault="006C3DEB" w:rsidP="006C3DEB">
      <w:pPr>
        <w:pStyle w:val="Bullet"/>
        <w:spacing w:line="240" w:lineRule="auto"/>
        <w:ind w:left="284" w:hanging="284"/>
      </w:pPr>
      <w:r w:rsidRPr="00682329">
        <w:t xml:space="preserve">Households and firms are rational, forward-looking and maximise explicit objective functions subject to their budget constraints. This means agents’ expectations are consistent with the economic framework and the modelled outcomes which permits an explicit comparison of household welfare across alternative fiscal policies. </w:t>
      </w:r>
    </w:p>
    <w:p w14:paraId="5C2A5376" w14:textId="77777777" w:rsidR="006C3DEB" w:rsidRPr="00682329" w:rsidRDefault="006C3DEB" w:rsidP="006C3DEB">
      <w:pPr>
        <w:pStyle w:val="Bullet"/>
        <w:spacing w:line="240" w:lineRule="auto"/>
        <w:ind w:left="284" w:hanging="284"/>
      </w:pPr>
      <w:r w:rsidRPr="00682329">
        <w:t>While the economy exists in perpetuity, households have a finite lifespan with the population comprising many overlapping generations of different ages at any point in time. This permits the inter</w:t>
      </w:r>
      <w:r w:rsidRPr="00682329">
        <w:noBreakHyphen/>
        <w:t xml:space="preserve">generational effect of fiscal policies to be identified. </w:t>
      </w:r>
    </w:p>
    <w:p w14:paraId="5ED0C2BD" w14:textId="77777777" w:rsidR="006C3DEB" w:rsidRPr="00682329" w:rsidRDefault="006C3DEB" w:rsidP="006C3DEB">
      <w:pPr>
        <w:pStyle w:val="Bullet"/>
        <w:spacing w:line="240" w:lineRule="auto"/>
        <w:ind w:left="284" w:hanging="284"/>
      </w:pPr>
      <w:r w:rsidRPr="00682329">
        <w:t xml:space="preserve">The inclusion of households of different skill levels, as well as different ages, introduces household heterogeneity. This allows an assessment of the effect of different policies on the distribution of household income and wealth, and on household welfare. OLG models are therefore able to quantify the effect of fiscal policy on </w:t>
      </w:r>
      <w:r>
        <w:t xml:space="preserve">cross-section and lifetime </w:t>
      </w:r>
      <w:r w:rsidRPr="00682329">
        <w:t>inequality.</w:t>
      </w:r>
    </w:p>
    <w:p w14:paraId="09CBA395" w14:textId="77777777" w:rsidR="006C3DEB" w:rsidRPr="00682329" w:rsidRDefault="006C3DEB" w:rsidP="006C3DEB">
      <w:pPr>
        <w:pStyle w:val="Bullet"/>
        <w:spacing w:line="240" w:lineRule="auto"/>
        <w:ind w:left="284" w:hanging="284"/>
      </w:pPr>
      <w:r w:rsidRPr="00682329">
        <w:t>OLG models include a separate fiscal authority (hereafter government) that has a full set of taxation instruments at its disposal, undertakes expenditure and transfers, and is subject to a budget constraint that is binding in the long run. This means that the government can debt</w:t>
      </w:r>
      <w:r w:rsidRPr="00682329">
        <w:noBreakHyphen/>
        <w:t xml:space="preserve">finance a budget deficit in the short run but necessarily rules out policies that would result in unsustainable public finances in the long run. Changes in policy that have permanent fiscal effects must be offset by another policy change to ensure long-run budget neutrality. In contrast to government, households have a finite horizon. An important implication of these different decision horizons is </w:t>
      </w:r>
      <w:r w:rsidRPr="00682329">
        <w:lastRenderedPageBreak/>
        <w:t xml:space="preserve">that strict Ricardian equivalence does not hold which means the model can identify fiscal policy that improves household welfare. </w:t>
      </w:r>
    </w:p>
    <w:p w14:paraId="644F3337" w14:textId="77777777" w:rsidR="006C3DEB" w:rsidRDefault="006C3DEB" w:rsidP="006C3DEB">
      <w:r>
        <w:t xml:space="preserve">These features set OLG models apart from other macroeconomic modelling options available in Australia such as: </w:t>
      </w:r>
    </w:p>
    <w:p w14:paraId="4D6CA5A3" w14:textId="77777777" w:rsidR="006C3DEB" w:rsidRPr="00682329" w:rsidRDefault="006C3DEB" w:rsidP="006C3DEB">
      <w:pPr>
        <w:pStyle w:val="Bullet"/>
        <w:spacing w:line="240" w:lineRule="auto"/>
        <w:ind w:left="284" w:hanging="284"/>
      </w:pPr>
      <w:r w:rsidRPr="00682329">
        <w:t>Time series econometric models, macro-econometric models and other ‘reduced form’ approaches (</w:t>
      </w:r>
      <w:r>
        <w:t>for example</w:t>
      </w:r>
      <w:r w:rsidRPr="00682329">
        <w:t>, so called recursive CGE models) which lack a well</w:t>
      </w:r>
      <w:r>
        <w:t>-</w:t>
      </w:r>
      <w:r w:rsidRPr="00682329">
        <w:t>defined welfare criterion and sufficient detail to quantify the activity and welfare effects of alternative fiscal policies.</w:t>
      </w:r>
    </w:p>
    <w:p w14:paraId="5C1B4431" w14:textId="77777777" w:rsidR="006C3DEB" w:rsidRPr="00682329" w:rsidRDefault="006C3DEB" w:rsidP="006C3DEB">
      <w:pPr>
        <w:pStyle w:val="Bullet"/>
        <w:spacing w:line="240" w:lineRule="auto"/>
        <w:ind w:left="284" w:hanging="284"/>
      </w:pPr>
      <w:r w:rsidRPr="00682329">
        <w:t>Static general equilibrium models, including those previously used by Treasury and other researchers to study effects of different taxes in Australia (see for example, Cao et al. (2015), Murphy (2016) and KPMG (2016)), which ignore potentially important transitional dynamics and costs associated with adjusting aggregate capital or relocating capital across sectors.</w:t>
      </w:r>
    </w:p>
    <w:p w14:paraId="1D13EDCF" w14:textId="77777777" w:rsidR="006C3DEB" w:rsidRPr="00682329" w:rsidRDefault="006C3DEB" w:rsidP="006C3DEB">
      <w:pPr>
        <w:pStyle w:val="Bullet"/>
        <w:spacing w:line="240" w:lineRule="auto"/>
        <w:ind w:left="284" w:hanging="284"/>
      </w:pPr>
      <w:r w:rsidRPr="00682329">
        <w:t>Representative agent dynamic general equilibrium models which are unable to consider intra- and inter-generational dimensions of fiscal policy because they assume a single infinitely-lived household.</w:t>
      </w:r>
    </w:p>
    <w:p w14:paraId="2096E828" w14:textId="77777777" w:rsidR="006C3DEB" w:rsidRDefault="006C3DEB" w:rsidP="006C3DEB">
      <w:r>
        <w:t>P</w:t>
      </w:r>
      <w:r w:rsidRPr="006D7A1B">
        <w:t xml:space="preserve">resented in this paper is </w:t>
      </w:r>
      <w:r>
        <w:t>OLGA</w:t>
      </w:r>
      <w:r w:rsidRPr="006D7A1B">
        <w:t xml:space="preserve"> Version 1.0</w:t>
      </w:r>
      <w:r>
        <w:t xml:space="preserve"> which has s</w:t>
      </w:r>
      <w:r w:rsidRPr="006D7A1B">
        <w:t>everal key elements worth noting. First, the model has 75 generations of forward</w:t>
      </w:r>
      <w:r>
        <w:t>-</w:t>
      </w:r>
      <w:r w:rsidRPr="006D7A1B">
        <w:t xml:space="preserve">looking, finite-lived households with five different skill types, ranging from high to low. This captures rich heterogeneity amongst Australian households. Second, the model has </w:t>
      </w:r>
      <w:r>
        <w:t>a number of</w:t>
      </w:r>
      <w:r w:rsidRPr="006D7A1B">
        <w:t xml:space="preserve"> production sectors based on the input-output table. This captures </w:t>
      </w:r>
      <w:r>
        <w:t>critical</w:t>
      </w:r>
      <w:r w:rsidRPr="006D7A1B">
        <w:t xml:space="preserve"> supply and demand relationships between producers and consumers within the domestic economy, and Australia’s trade and financial linkages with the rest of the world</w:t>
      </w:r>
      <w:r>
        <w:t xml:space="preserve"> (ROW)</w:t>
      </w:r>
      <w:r w:rsidRPr="006D7A1B">
        <w:t>. Third, the model has a detailed representation of major Australian taxes, age pension and other transfers and aggregate government spending. This</w:t>
      </w:r>
      <w:r>
        <w:t xml:space="preserve"> allows Treasury to</w:t>
      </w:r>
      <w:r w:rsidRPr="006D7A1B">
        <w:t xml:space="preserve"> </w:t>
      </w:r>
      <w:r>
        <w:t>model</w:t>
      </w:r>
      <w:r w:rsidRPr="006D7A1B">
        <w:t xml:space="preserve"> Australian policy</w:t>
      </w:r>
      <w:r>
        <w:t xml:space="preserve"> at the level of detail required for decision making</w:t>
      </w:r>
      <w:r w:rsidRPr="006D7A1B">
        <w:t>.</w:t>
      </w:r>
      <w:r w:rsidRPr="004F31C3">
        <w:t xml:space="preserve"> </w:t>
      </w:r>
      <w:r>
        <w:t>Finally, as a general equilibrium model</w:t>
      </w:r>
      <w:r w:rsidRPr="001B79BD">
        <w:t xml:space="preserve"> including the indirect effects of a policy</w:t>
      </w:r>
      <w:r>
        <w:t xml:space="preserve"> proposal</w:t>
      </w:r>
      <w:r w:rsidRPr="001B79BD">
        <w:t xml:space="preserve">, </w:t>
      </w:r>
      <w:r>
        <w:t xml:space="preserve">OLGA provides a </w:t>
      </w:r>
      <w:r w:rsidRPr="001B79BD">
        <w:t xml:space="preserve">comprehensive </w:t>
      </w:r>
      <w:r>
        <w:t>assessment of the so called ‘</w:t>
      </w:r>
      <w:r w:rsidRPr="007162D6">
        <w:rPr>
          <w:iCs/>
        </w:rPr>
        <w:t>dynamic cost</w:t>
      </w:r>
      <w:r>
        <w:rPr>
          <w:iCs/>
        </w:rPr>
        <w:t>’</w:t>
      </w:r>
      <w:r>
        <w:t xml:space="preserve"> (or second round effects on the cost) of a policy proposal</w:t>
      </w:r>
      <w:r w:rsidRPr="001B79BD">
        <w:t>.</w:t>
      </w:r>
      <w:r>
        <w:t xml:space="preserve"> </w:t>
      </w:r>
    </w:p>
    <w:p w14:paraId="585504B8" w14:textId="77777777" w:rsidR="006C3DEB" w:rsidRDefault="006C3DEB" w:rsidP="006C3DEB">
      <w:pPr>
        <w:spacing w:before="0" w:after="200" w:line="276" w:lineRule="auto"/>
      </w:pPr>
      <w:r>
        <w:t xml:space="preserve">OLGA is a deterministic model which means it does not account for business cycle fluctuations and so is not well suited to modelling stabilisation policy. As such, it is best suited to analysing the allocative and distributional effects of fiscal policy. </w:t>
      </w:r>
    </w:p>
    <w:p w14:paraId="50A2FDE7" w14:textId="77777777" w:rsidR="006C3DEB" w:rsidRDefault="006C3DEB" w:rsidP="006C3DEB">
      <w:pPr>
        <w:rPr>
          <w:lang w:val="en-US"/>
        </w:rPr>
      </w:pPr>
      <w:bookmarkStart w:id="0" w:name="_Hlk97813455"/>
      <w:r>
        <w:t>Treasury follows best practice employed by other fiscal agencies (for example, CBO or JCT) by relying on a suite of economy-wide models to produce forecasts and policy advice. In addition to OLGA, Treasury’s suite includes</w:t>
      </w:r>
      <w:r>
        <w:rPr>
          <w:lang w:val="en-US"/>
        </w:rPr>
        <w:t>:</w:t>
      </w:r>
    </w:p>
    <w:p w14:paraId="17F378D0" w14:textId="77777777" w:rsidR="006C3DEB" w:rsidRPr="00682329" w:rsidRDefault="006C3DEB" w:rsidP="006C3DEB">
      <w:pPr>
        <w:pStyle w:val="Bullet"/>
        <w:spacing w:line="240" w:lineRule="auto"/>
        <w:ind w:left="284" w:hanging="284"/>
      </w:pPr>
      <w:r w:rsidRPr="00682329">
        <w:t>Treasury’s Macroeconometric Model of Australia (EMMA) (see Bullen, et al.</w:t>
      </w:r>
      <w:r>
        <w:t xml:space="preserve"> (</w:t>
      </w:r>
      <w:r w:rsidRPr="00682329">
        <w:t>2021</w:t>
      </w:r>
      <w:r>
        <w:t>)</w:t>
      </w:r>
      <w:r w:rsidRPr="00682329">
        <w:t>). EMMA is central to Treasury’s forecasting and policy advising process. EMMA is a large-scale macroeconometric model of the Australian economy. It captures the rich interaction between aggregate demand (which includes consumer spending, business investment, residential investment, government spending, and net exports) and aggregate supply (which includes the endogenous and exogenous factors that determine Treasury’s estimate of potential output) in the economy. The interaction of aggregate demand and aggregate supply determines the forecasts of the other variables in the model, including inflation, interest rates, the unemployment rate and incomes. EMMA models policy using effective rates (</w:t>
      </w:r>
      <w:r>
        <w:t>for example</w:t>
      </w:r>
      <w:r w:rsidRPr="00682329">
        <w:t>, the average person income tax rate) or lump sum measures (</w:t>
      </w:r>
      <w:r>
        <w:t>for example</w:t>
      </w:r>
      <w:r w:rsidRPr="00682329">
        <w:t xml:space="preserve">, aggregate transfers to households). </w:t>
      </w:r>
    </w:p>
    <w:p w14:paraId="726E7AA2" w14:textId="77777777" w:rsidR="006C3DEB" w:rsidRPr="00682329" w:rsidRDefault="006C3DEB" w:rsidP="006C3DEB">
      <w:pPr>
        <w:pStyle w:val="Bullet"/>
        <w:spacing w:line="240" w:lineRule="auto"/>
        <w:ind w:left="284" w:hanging="284"/>
      </w:pPr>
      <w:r w:rsidRPr="00682329">
        <w:t>Treasury Industry Model (TIM) (</w:t>
      </w:r>
      <w:r w:rsidRPr="0088702C">
        <w:t>see Carlton et al.</w:t>
      </w:r>
      <w:r>
        <w:t xml:space="preserve"> (</w:t>
      </w:r>
      <w:r w:rsidRPr="0088702C">
        <w:t>2023</w:t>
      </w:r>
      <w:r>
        <w:t>)</w:t>
      </w:r>
      <w:r w:rsidRPr="00682329">
        <w:t xml:space="preserve">). TIM has been developed to be Treasury’s principal tool for industry policy analysis. It is a dynamic </w:t>
      </w:r>
      <w:r>
        <w:t xml:space="preserve">multisector </w:t>
      </w:r>
      <w:r w:rsidRPr="00682329">
        <w:t xml:space="preserve">general equilibrium model of the Australian economy. At its core TIM is a small open economy version of the neoclassical growth </w:t>
      </w:r>
      <w:r w:rsidRPr="00682329">
        <w:lastRenderedPageBreak/>
        <w:t>model known as the Ramsey Cass Koopmans model. In contrast to typical neoclassical growth models, TIM has considerable firm heterogeneity in the form of 114 forward-looking, infinitely-lived firms that represent Australian industries. TIM includes significant detail on the linkages between industries and is well suited to studying the effects of industry-specific policies.</w:t>
      </w:r>
    </w:p>
    <w:p w14:paraId="1363861A" w14:textId="77777777" w:rsidR="006C3DEB" w:rsidRPr="00682329" w:rsidRDefault="006C3DEB" w:rsidP="006C3DEB">
      <w:pPr>
        <w:pStyle w:val="Bullet"/>
        <w:spacing w:line="240" w:lineRule="auto"/>
        <w:ind w:left="284" w:hanging="284"/>
      </w:pPr>
      <w:r w:rsidRPr="00682329">
        <w:t>Detailed analysis of the economic effects of policy proposals is generally conducted using OLGA, TIM or detailed bottom up analysis informed by empirical estimates from the literature. For materially large policies the effects are added to the EMMA baseline directly or by adjusting effective policy variables to yield a policy-consistent forecast of economic activity.</w:t>
      </w:r>
    </w:p>
    <w:p w14:paraId="6C1C40A0" w14:textId="77777777" w:rsidR="006C3DEB" w:rsidRDefault="006C3DEB" w:rsidP="006C3DEB">
      <w:r w:rsidRPr="006D7A1B">
        <w:t xml:space="preserve">The development of OLGA, and Treasury’s macroeconomic model development program more generally, has been supported by academic advisers with deep expertise in </w:t>
      </w:r>
      <w:r>
        <w:t>general equilibrium</w:t>
      </w:r>
      <w:r w:rsidRPr="006D7A1B">
        <w:t xml:space="preserve"> modelling, including OLG models</w:t>
      </w:r>
      <w:r>
        <w:t xml:space="preserve">. </w:t>
      </w:r>
      <w:bookmarkEnd w:id="0"/>
    </w:p>
    <w:p w14:paraId="12E82846" w14:textId="77777777" w:rsidR="006C3DEB" w:rsidRDefault="006C3DEB" w:rsidP="006C3DEB">
      <w:r w:rsidRPr="006D7A1B">
        <w:t>The remainder of the paper is organised as follows</w:t>
      </w:r>
      <w:r>
        <w:t xml:space="preserve">: </w:t>
      </w:r>
      <w:r w:rsidRPr="006D7A1B">
        <w:t xml:space="preserve">Section 2 describes in detail the theoretical structure of </w:t>
      </w:r>
      <w:r>
        <w:t>OLGA</w:t>
      </w:r>
      <w:r w:rsidRPr="006D7A1B">
        <w:t xml:space="preserve">; Section 3 describes the techniques used to solve </w:t>
      </w:r>
      <w:r>
        <w:t>OLGA</w:t>
      </w:r>
      <w:r w:rsidRPr="006D7A1B">
        <w:t>; Section 4</w:t>
      </w:r>
      <w:r>
        <w:t xml:space="preserve"> </w:t>
      </w:r>
      <w:r w:rsidRPr="006D7A1B">
        <w:t>details the calibration methodology, including data sources</w:t>
      </w:r>
      <w:r>
        <w:t>;</w:t>
      </w:r>
      <w:r w:rsidRPr="006D7A1B" w:rsidDel="007C64C0">
        <w:t xml:space="preserve"> </w:t>
      </w:r>
      <w:r w:rsidRPr="006D7A1B">
        <w:t xml:space="preserve">Section 5 describes the welfare </w:t>
      </w:r>
      <w:r>
        <w:t>criterion</w:t>
      </w:r>
      <w:r w:rsidRPr="006D7A1B">
        <w:t xml:space="preserve">; and the paper concludes in Section 6. Other technical detail including </w:t>
      </w:r>
      <w:r>
        <w:t>OLGA’</w:t>
      </w:r>
      <w:r w:rsidRPr="006D7A1B">
        <w:t xml:space="preserve">s first order conditions can be found in Appendices A to </w:t>
      </w:r>
      <w:r>
        <w:t>G</w:t>
      </w:r>
      <w:r w:rsidRPr="006D7A1B">
        <w:t>.</w:t>
      </w:r>
    </w:p>
    <w:p w14:paraId="6F5DB981" w14:textId="77777777" w:rsidR="006C3DEB" w:rsidRPr="001A18CF" w:rsidRDefault="006C3DEB" w:rsidP="006C3DEB">
      <w:pPr>
        <w:pStyle w:val="Heading1"/>
      </w:pPr>
      <w:r>
        <w:t>The model</w:t>
      </w:r>
    </w:p>
    <w:p w14:paraId="79A26CEA" w14:textId="77777777" w:rsidR="006C3DEB" w:rsidRDefault="006C3DEB" w:rsidP="006C3DEB">
      <w:pPr>
        <w:pStyle w:val="Heading2NotNumbered"/>
      </w:pPr>
      <w:r>
        <w:t>Overview</w:t>
      </w:r>
    </w:p>
    <w:p w14:paraId="6739524E" w14:textId="77777777" w:rsidR="006C3DEB" w:rsidRDefault="006C3DEB" w:rsidP="006C3DEB">
      <w:r w:rsidRPr="00E87C9A">
        <w:t xml:space="preserve">OLGA is </w:t>
      </w:r>
      <w:r>
        <w:t>a</w:t>
      </w:r>
      <w:r w:rsidRPr="00E87C9A">
        <w:t xml:space="preserve"> </w:t>
      </w:r>
      <w:r>
        <w:t xml:space="preserve">variant </w:t>
      </w:r>
      <w:r w:rsidRPr="00E87C9A">
        <w:t xml:space="preserve">of the well-known lifecycle model </w:t>
      </w:r>
      <w:r>
        <w:t xml:space="preserve">with overlapping generations </w:t>
      </w:r>
      <w:r w:rsidRPr="00E87C9A">
        <w:t>developed by Auerbach and Kotlikoff (1987)</w:t>
      </w:r>
      <w:r>
        <w:t>. The primary difference is that OLGA</w:t>
      </w:r>
      <w:r w:rsidRPr="00E87C9A">
        <w:t xml:space="preserve"> </w:t>
      </w:r>
      <w:r>
        <w:t xml:space="preserve">is a small open economy model calibrated to Australian data. </w:t>
      </w:r>
      <w:r w:rsidRPr="009E252E">
        <w:t>Th</w:t>
      </w:r>
      <w:r>
        <w:t>e model</w:t>
      </w:r>
      <w:r w:rsidRPr="009E252E">
        <w:t xml:space="preserve"> includes households of multiple generations that are composed of workers with different skill levels, and </w:t>
      </w:r>
      <w:r>
        <w:t>a number of</w:t>
      </w:r>
      <w:r w:rsidRPr="009E252E">
        <w:t xml:space="preserve"> production sectors with different supply and demand side characteristics.</w:t>
      </w:r>
      <w:r>
        <w:t xml:space="preserve"> </w:t>
      </w:r>
      <w:r w:rsidRPr="00CE033E">
        <w:t xml:space="preserve">A schematic diagram of </w:t>
      </w:r>
      <w:r>
        <w:t>OLGA</w:t>
      </w:r>
      <w:r w:rsidRPr="00CE033E">
        <w:t xml:space="preserve"> is provided in Appendix A.</w:t>
      </w:r>
    </w:p>
    <w:p w14:paraId="1D175992" w14:textId="77777777" w:rsidR="006C3DEB" w:rsidRDefault="006C3DEB" w:rsidP="006C3DEB">
      <w:r>
        <w:t>There are</w:t>
      </w:r>
      <w:r w:rsidRPr="00CE033E">
        <w:t xml:space="preserve"> 75 overlapping generations of households</w:t>
      </w:r>
      <w:r>
        <w:t xml:space="preserve"> in OLGA</w:t>
      </w:r>
      <w:r w:rsidRPr="00CE033E">
        <w:t>. Each generation enters the model at age</w:t>
      </w:r>
      <w:r>
        <w:t> </w:t>
      </w:r>
      <w:r w:rsidRPr="00CE033E">
        <w:t xml:space="preserve">21 with a known earning ability, which reflects their </w:t>
      </w:r>
      <w:r>
        <w:t xml:space="preserve">age and </w:t>
      </w:r>
      <w:r w:rsidRPr="00CE033E">
        <w:t>level of skill. Households are assumed to be uniformly distributed across five skill types. Households save during their working lives and rely on savings during their retirement. Household</w:t>
      </w:r>
      <w:r>
        <w:t>s’</w:t>
      </w:r>
      <w:r w:rsidRPr="00CE033E">
        <w:t xml:space="preserve"> savings are managed by a notional funds manager. High net worth households leave intended bequests. Some households are eligible for means</w:t>
      </w:r>
      <w:r>
        <w:noBreakHyphen/>
      </w:r>
      <w:r w:rsidRPr="00CE033E">
        <w:t>test</w:t>
      </w:r>
      <w:r>
        <w:t>ed</w:t>
      </w:r>
      <w:r w:rsidRPr="00CE033E">
        <w:t xml:space="preserve"> retirement benefits at age 66. Households do not live past age 95. </w:t>
      </w:r>
    </w:p>
    <w:p w14:paraId="23D40AB6" w14:textId="77777777" w:rsidR="006C3DEB" w:rsidRDefault="006C3DEB" w:rsidP="006C3DEB">
      <w:r>
        <w:t>In contrast to most OLG models, OLGA has seven</w:t>
      </w:r>
      <w:r w:rsidRPr="00E87C9A">
        <w:t xml:space="preserve"> production sectors</w:t>
      </w:r>
      <w:r>
        <w:t>, where</w:t>
      </w:r>
      <w:r w:rsidRPr="00CE033E">
        <w:t xml:space="preserve"> each</w:t>
      </w:r>
      <w:r>
        <w:t xml:space="preserve"> sector</w:t>
      </w:r>
      <w:r w:rsidRPr="00CE033E">
        <w:t xml:space="preserve"> is characterised by a single representative firm that maximises the market value of the firm on behalf of </w:t>
      </w:r>
      <w:r>
        <w:t>its</w:t>
      </w:r>
      <w:r w:rsidRPr="00CE033E">
        <w:t xml:space="preserve"> shareholders. Firms employ labour, capital, and intermediate inputs to produce final and intermediate goods and services for domestic use or export. Domestically </w:t>
      </w:r>
      <w:r>
        <w:t xml:space="preserve">produced </w:t>
      </w:r>
      <w:r w:rsidRPr="00CE033E">
        <w:t xml:space="preserve">goods compete with differentiated </w:t>
      </w:r>
      <w:r>
        <w:t>goods and services</w:t>
      </w:r>
      <w:r w:rsidRPr="00CE033E">
        <w:t xml:space="preserve"> supplied by foreign producers. Firms manage capital investment decisions, and source funds from households and foreign investors via a notional funds manager. </w:t>
      </w:r>
    </w:p>
    <w:p w14:paraId="18ABA556" w14:textId="77777777" w:rsidR="006C3DEB" w:rsidRDefault="006C3DEB" w:rsidP="006C3DEB">
      <w:r>
        <w:t>OLGA</w:t>
      </w:r>
      <w:r w:rsidRPr="008337A5">
        <w:t xml:space="preserve"> incorporates a detailed representation of Australi</w:t>
      </w:r>
      <w:r>
        <w:t>a’s fiscal policies. These include</w:t>
      </w:r>
      <w:r w:rsidRPr="008337A5">
        <w:t xml:space="preserve"> </w:t>
      </w:r>
      <w:r>
        <w:t xml:space="preserve">major taxes such as </w:t>
      </w:r>
      <w:r w:rsidRPr="008337A5">
        <w:t>prog</w:t>
      </w:r>
      <w:r>
        <w:t>ressive personal income tax</w:t>
      </w:r>
      <w:r w:rsidRPr="008337A5">
        <w:t xml:space="preserve"> </w:t>
      </w:r>
      <w:r>
        <w:t>with a range of tax offsets, corporate tax, goods and services tax, and major government transfers such as</w:t>
      </w:r>
      <w:r w:rsidRPr="008337A5">
        <w:t xml:space="preserve"> the means</w:t>
      </w:r>
      <w:r>
        <w:t>-</w:t>
      </w:r>
      <w:r w:rsidRPr="008337A5">
        <w:t>tested</w:t>
      </w:r>
      <w:r>
        <w:t xml:space="preserve"> age pension and other age-dependent </w:t>
      </w:r>
      <w:r>
        <w:lastRenderedPageBreak/>
        <w:t xml:space="preserve">payments. The government also has a fixed bundle of spending. </w:t>
      </w:r>
      <w:r w:rsidRPr="00CE033E">
        <w:t>Th</w:t>
      </w:r>
      <w:r>
        <w:t>e</w:t>
      </w:r>
      <w:r w:rsidRPr="00CE033E">
        <w:t xml:space="preserve"> tax revenue finances government</w:t>
      </w:r>
      <w:r>
        <w:t xml:space="preserve"> transfers and</w:t>
      </w:r>
      <w:r w:rsidRPr="00CE033E">
        <w:t xml:space="preserve"> spending. The government relies on funds sourced from domestic and foreign investors to meet temporary primary deficits.</w:t>
      </w:r>
    </w:p>
    <w:p w14:paraId="0BF29715" w14:textId="77777777" w:rsidR="006C3DEB" w:rsidRDefault="006C3DEB" w:rsidP="006C3DEB">
      <w:pPr>
        <w:pStyle w:val="Heading3"/>
      </w:pPr>
      <w:r>
        <w:t>Households</w:t>
      </w:r>
    </w:p>
    <w:p w14:paraId="749AB500" w14:textId="77777777" w:rsidR="006C3DEB" w:rsidRDefault="006C3DEB" w:rsidP="006C3DEB">
      <w:pPr>
        <w:pStyle w:val="Heading4"/>
      </w:pPr>
      <w:r>
        <w:t>Demographic structure</w:t>
      </w:r>
    </w:p>
    <w:p w14:paraId="6E1EBFED" w14:textId="77777777" w:rsidR="006C3DEB" w:rsidRPr="00D7774A" w:rsidRDefault="006C3DEB" w:rsidP="006C3DEB">
      <w:pPr>
        <w:pStyle w:val="Heading5"/>
      </w:pPr>
      <w:r>
        <w:t>Population growth</w:t>
      </w:r>
    </w:p>
    <w:p w14:paraId="2CB5DBEA" w14:textId="77777777" w:rsidR="006C3DEB" w:rsidRDefault="006C3DEB" w:rsidP="006C3DEB">
      <w:r>
        <w:t>The model is populated</w:t>
      </w:r>
      <w:r w:rsidRPr="007B6BEC">
        <w:t xml:space="preserve"> </w:t>
      </w:r>
      <w:r>
        <w:t>by households spanning 75 generations.</w:t>
      </w:r>
      <w:r w:rsidRPr="007B6BEC">
        <w:t xml:space="preserve"> </w:t>
      </w:r>
      <w:r>
        <w:t>Following the broader literature, a new household enters the</w:t>
      </w:r>
      <w:r w:rsidRPr="007B6BEC">
        <w:t xml:space="preserve"> model </w:t>
      </w:r>
      <w:r>
        <w:t xml:space="preserve">at </w:t>
      </w:r>
      <w:r w:rsidRPr="007B6BEC">
        <w:t>age</w:t>
      </w:r>
      <w:r>
        <w:t xml:space="preserve"> </w:t>
      </w:r>
      <w:r w:rsidRPr="007B6BEC">
        <w:t>21</w:t>
      </w:r>
      <w:r>
        <w:t xml:space="preserve"> </w:t>
      </w:r>
      <w:r w:rsidRPr="007B6BEC">
        <w:t>and live</w:t>
      </w:r>
      <w:r>
        <w:t>s</w:t>
      </w:r>
      <w:r w:rsidRPr="007B6BEC">
        <w:t xml:space="preserve"> to a maximum age of </w:t>
      </w:r>
      <w:r>
        <w:t>95</w:t>
      </w:r>
      <w:r w:rsidRPr="007B6BEC">
        <w:t>.</w:t>
      </w:r>
      <w:r>
        <w:t xml:space="preserve"> The </w:t>
      </w:r>
      <w:r w:rsidRPr="007B6BEC">
        <w:t xml:space="preserve">age </w:t>
      </w:r>
      <w:r>
        <w:t>of a household is denoted by</w:t>
      </w:r>
      <w:r w:rsidRPr="00E670A7">
        <w:rPr>
          <w:position w:val="-6"/>
        </w:rPr>
        <w:object w:dxaOrig="200" w:dyaOrig="220" w14:anchorId="752F6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8pt" o:ole="">
            <v:imagedata r:id="rId19" o:title=""/>
          </v:shape>
          <o:OLEObject Type="Embed" ProgID="Equation.DSMT4" ShapeID="_x0000_i1025" DrawAspect="Content" ObjectID="_1754918576" r:id="rId20"/>
        </w:object>
      </w:r>
      <w:r>
        <w:t>, while t</w:t>
      </w:r>
      <w:r w:rsidRPr="007B6BEC">
        <w:t xml:space="preserve">he </w:t>
      </w:r>
      <w:r>
        <w:t>number of households of age</w:t>
      </w:r>
      <w:r w:rsidRPr="00E670A7">
        <w:rPr>
          <w:position w:val="-6"/>
        </w:rPr>
        <w:object w:dxaOrig="200" w:dyaOrig="220" w14:anchorId="3785E68F">
          <v:shape id="_x0000_i1026" type="#_x0000_t75" style="width:10.8pt;height:10.8pt" o:ole="">
            <v:imagedata r:id="rId21" o:title=""/>
          </v:shape>
          <o:OLEObject Type="Embed" ProgID="Equation.DSMT4" ShapeID="_x0000_i1026" DrawAspect="Content" ObjectID="_1754918577" r:id="rId22"/>
        </w:object>
      </w:r>
      <w:r>
        <w:t xml:space="preserve">at the beginning of year </w:t>
      </w:r>
      <w:r w:rsidRPr="00E670A7">
        <w:rPr>
          <w:position w:val="-6"/>
        </w:rPr>
        <w:object w:dxaOrig="139" w:dyaOrig="240" w14:anchorId="26EACE72">
          <v:shape id="_x0000_i1027" type="#_x0000_t75" style="width:6.6pt;height:14.4pt" o:ole="">
            <v:imagedata r:id="rId23" o:title=""/>
          </v:shape>
          <o:OLEObject Type="Embed" ProgID="Equation.DSMT4" ShapeID="_x0000_i1027" DrawAspect="Content" ObjectID="_1754918578" r:id="rId24"/>
        </w:object>
      </w:r>
      <w:r>
        <w:t xml:space="preserve"> is denoted by </w:t>
      </w:r>
      <w:r w:rsidRPr="00E670A7">
        <w:rPr>
          <w:position w:val="-12"/>
        </w:rPr>
        <w:object w:dxaOrig="380" w:dyaOrig="380" w14:anchorId="18FEC4BB">
          <v:shape id="_x0000_i1028" type="#_x0000_t75" style="width:18pt;height:18pt" o:ole="">
            <v:imagedata r:id="rId25" o:title=""/>
          </v:shape>
          <o:OLEObject Type="Embed" ProgID="Equation.DSMT4" ShapeID="_x0000_i1028" DrawAspect="Content" ObjectID="_1754918579" r:id="rId26"/>
        </w:object>
      </w:r>
      <w:r>
        <w:t xml:space="preserve">. </w:t>
      </w:r>
    </w:p>
    <w:p w14:paraId="57C25A60" w14:textId="77777777" w:rsidR="006C3DEB" w:rsidRPr="007B6BEC" w:rsidRDefault="006C3DEB" w:rsidP="006C3DEB">
      <w:r>
        <w:t>Given t</w:t>
      </w:r>
      <w:r w:rsidRPr="007B6BEC">
        <w:t xml:space="preserve">he model’s time interval </w:t>
      </w:r>
      <w:r>
        <w:t>of</w:t>
      </w:r>
      <w:r w:rsidRPr="007B6BEC">
        <w:t xml:space="preserve"> one year</w:t>
      </w:r>
      <w:r>
        <w:t xml:space="preserve">, </w:t>
      </w:r>
      <w:r w:rsidRPr="007B6BEC">
        <w:t xml:space="preserve">the total </w:t>
      </w:r>
      <w:r>
        <w:t>population at the beginning of year</w:t>
      </w:r>
      <w:bookmarkStart w:id="1" w:name="_Hlk143768927"/>
      <w:r w:rsidRPr="00E670A7">
        <w:rPr>
          <w:position w:val="-6"/>
        </w:rPr>
        <w:object w:dxaOrig="139" w:dyaOrig="240" w14:anchorId="00CE0132">
          <v:shape id="_x0000_i1029" type="#_x0000_t75" style="width:6.6pt;height:14.4pt" o:ole="">
            <v:imagedata r:id="rId27" o:title=""/>
          </v:shape>
          <o:OLEObject Type="Embed" ProgID="Equation.DSMT4" ShapeID="_x0000_i1029" DrawAspect="Content" ObjectID="_1754918580" r:id="rId28"/>
        </w:object>
      </w:r>
      <w:r>
        <w:t xml:space="preserve"> </w:t>
      </w:r>
      <w:bookmarkEnd w:id="1"/>
      <w:r>
        <w:t xml:space="preserve">is </w:t>
      </w:r>
      <w:r w:rsidRPr="00E670A7">
        <w:rPr>
          <w:position w:val="-12"/>
        </w:rPr>
        <w:object w:dxaOrig="320" w:dyaOrig="360" w14:anchorId="7A1084AC">
          <v:shape id="_x0000_i1030" type="#_x0000_t75" style="width:15.6pt;height:18pt" o:ole="">
            <v:imagedata r:id="rId29" o:title=""/>
          </v:shape>
          <o:OLEObject Type="Embed" ProgID="Equation.DSMT4" ShapeID="_x0000_i1030" DrawAspect="Content" ObjectID="_1754918581" r:id="rId30"/>
        </w:object>
      </w:r>
      <w:r>
        <w:t xml:space="preserve"> which is the sum of the model’s 75 generations:</w:t>
      </w:r>
    </w:p>
    <w:p w14:paraId="561201D2" w14:textId="77777777" w:rsidR="006C3DEB" w:rsidRPr="007B6BEC" w:rsidRDefault="006C3DEB" w:rsidP="006C3DEB">
      <w:pPr>
        <w:jc w:val="center"/>
      </w:pPr>
      <w:r w:rsidRPr="00E670A7">
        <w:rPr>
          <w:position w:val="-28"/>
        </w:rPr>
        <w:object w:dxaOrig="1280" w:dyaOrig="680" w14:anchorId="66BEAC73">
          <v:shape id="_x0000_i1031" type="#_x0000_t75" style="width:63.6pt;height:33pt" o:ole="">
            <v:imagedata r:id="rId31" o:title=""/>
          </v:shape>
          <o:OLEObject Type="Embed" ProgID="Equation.DSMT4" ShapeID="_x0000_i1031" DrawAspect="Content" ObjectID="_1754918582" r:id="rId32"/>
        </w:object>
      </w:r>
    </w:p>
    <w:p w14:paraId="0BDCB32D" w14:textId="77777777" w:rsidR="006C3DEB" w:rsidRPr="007B6BEC" w:rsidRDefault="006C3DEB" w:rsidP="006C3DEB">
      <w:r>
        <w:t>Population growth is exogenous to the model with the size of an incoming generation assumed to grow over time as follows</w:t>
      </w:r>
      <w:r w:rsidRPr="007B6BEC">
        <w:t>:</w:t>
      </w:r>
    </w:p>
    <w:p w14:paraId="2CD28FAE" w14:textId="77777777" w:rsidR="006C3DEB" w:rsidRDefault="006C3DEB" w:rsidP="006C3DEB">
      <w:pPr>
        <w:jc w:val="center"/>
      </w:pPr>
      <w:r w:rsidRPr="00E670A7">
        <w:rPr>
          <w:position w:val="-12"/>
        </w:rPr>
        <w:object w:dxaOrig="1980" w:dyaOrig="380" w14:anchorId="3BEAA7CC">
          <v:shape id="_x0000_i1032" type="#_x0000_t75" style="width:99pt;height:18pt" o:ole="">
            <v:imagedata r:id="rId33" o:title=""/>
          </v:shape>
          <o:OLEObject Type="Embed" ProgID="Equation.DSMT4" ShapeID="_x0000_i1032" DrawAspect="Content" ObjectID="_1754918583" r:id="rId34"/>
        </w:object>
      </w:r>
    </w:p>
    <w:p w14:paraId="24DEC0E2" w14:textId="77777777" w:rsidR="006C3DEB" w:rsidRDefault="006C3DEB" w:rsidP="006C3DEB">
      <w:r>
        <w:t>where</w:t>
      </w:r>
      <w:r w:rsidRPr="00E670A7">
        <w:rPr>
          <w:position w:val="-12"/>
        </w:rPr>
        <w:object w:dxaOrig="460" w:dyaOrig="380" w14:anchorId="343405CA">
          <v:shape id="_x0000_i1033" type="#_x0000_t75" style="width:24pt;height:18pt" o:ole="">
            <v:imagedata r:id="rId35" o:title=""/>
          </v:shape>
          <o:OLEObject Type="Embed" ProgID="Equation.DSMT4" ShapeID="_x0000_i1033" DrawAspect="Content" ObjectID="_1754918584" r:id="rId36"/>
        </w:object>
      </w:r>
      <w:r>
        <w:t xml:space="preserve">is the growth </w:t>
      </w:r>
      <w:r w:rsidRPr="007B6BEC">
        <w:t>rate</w:t>
      </w:r>
      <w:r>
        <w:t xml:space="preserve"> at time</w:t>
      </w:r>
      <w:bookmarkStart w:id="2" w:name="_Hlk143769239"/>
      <w:r w:rsidRPr="00E670A7">
        <w:rPr>
          <w:position w:val="-6"/>
        </w:rPr>
        <w:object w:dxaOrig="139" w:dyaOrig="240" w14:anchorId="4ACEF791">
          <v:shape id="_x0000_i1034" type="#_x0000_t75" style="width:6.6pt;height:14.4pt" o:ole="">
            <v:imagedata r:id="rId23" o:title=""/>
          </v:shape>
          <o:OLEObject Type="Embed" ProgID="Equation.DSMT4" ShapeID="_x0000_i1034" DrawAspect="Content" ObjectID="_1754918585" r:id="rId37"/>
        </w:object>
      </w:r>
      <w:bookmarkEnd w:id="2"/>
      <w:r>
        <w:t xml:space="preserve"> of the population of 21</w:t>
      </w:r>
      <w:r>
        <w:noBreakHyphen/>
        <w:t>year</w:t>
      </w:r>
      <w:r>
        <w:noBreakHyphen/>
        <w:t>old households</w:t>
      </w:r>
      <w:r w:rsidRPr="008A771E">
        <w:t>.</w:t>
      </w:r>
    </w:p>
    <w:p w14:paraId="109A5A33" w14:textId="77777777" w:rsidR="006C3DEB" w:rsidRPr="007B6BEC" w:rsidRDefault="006C3DEB" w:rsidP="006C3DEB">
      <w:r>
        <w:t>H</w:t>
      </w:r>
      <w:r w:rsidRPr="007B6BEC">
        <w:t xml:space="preserve">ouseholds of age </w:t>
      </w:r>
      <w:r w:rsidRPr="00E670A7">
        <w:rPr>
          <w:position w:val="-6"/>
        </w:rPr>
        <w:object w:dxaOrig="200" w:dyaOrig="220" w14:anchorId="00FC3FB6">
          <v:shape id="_x0000_i1035" type="#_x0000_t75" style="width:10.8pt;height:10.8pt" o:ole="">
            <v:imagedata r:id="rId38" o:title=""/>
          </v:shape>
          <o:OLEObject Type="Embed" ProgID="Equation.DSMT4" ShapeID="_x0000_i1035" DrawAspect="Content" ObjectID="_1754918586" r:id="rId39"/>
        </w:object>
      </w:r>
      <w:r w:rsidRPr="007B6BEC">
        <w:t>survive until next period wi</w:t>
      </w:r>
      <w:r>
        <w:t xml:space="preserve">th a conditional probability of </w:t>
      </w:r>
      <w:r w:rsidRPr="00E670A7">
        <w:rPr>
          <w:position w:val="-12"/>
        </w:rPr>
        <w:object w:dxaOrig="340" w:dyaOrig="380" w14:anchorId="6824C7E9">
          <v:shape id="_x0000_i1036" type="#_x0000_t75" style="width:18pt;height:18pt" o:ole="">
            <v:imagedata r:id="rId40" o:title=""/>
          </v:shape>
          <o:OLEObject Type="Embed" ProgID="Equation.DSMT4" ShapeID="_x0000_i1036" DrawAspect="Content" ObjectID="_1754918587" r:id="rId41"/>
        </w:object>
      </w:r>
      <w:r>
        <w:t xml:space="preserve">and a cumulative probability </w:t>
      </w:r>
      <w:r w:rsidRPr="00E670A7">
        <w:rPr>
          <w:position w:val="-18"/>
        </w:rPr>
        <w:object w:dxaOrig="1680" w:dyaOrig="480" w14:anchorId="66162895">
          <v:shape id="_x0000_i1037" type="#_x0000_t75" style="width:86.4pt;height:24pt" o:ole="">
            <v:imagedata r:id="rId42" o:title=""/>
          </v:shape>
          <o:OLEObject Type="Embed" ProgID="Equation.DSMT4" ShapeID="_x0000_i1037" DrawAspect="Content" ObjectID="_1754918588" r:id="rId43"/>
        </w:object>
      </w:r>
      <w:r w:rsidRPr="00536D31">
        <w:t xml:space="preserve"> </w:t>
      </w:r>
      <w:r>
        <w:t xml:space="preserve">of surviving until age </w:t>
      </w:r>
      <w:r w:rsidRPr="00E670A7">
        <w:rPr>
          <w:position w:val="-6"/>
        </w:rPr>
        <w:object w:dxaOrig="200" w:dyaOrig="220" w14:anchorId="7B1FD9DB">
          <v:shape id="_x0000_i1038" type="#_x0000_t75" style="width:10.8pt;height:10.8pt" o:ole="">
            <v:imagedata r:id="rId44" o:title=""/>
          </v:shape>
          <o:OLEObject Type="Embed" ProgID="Equation.DSMT4" ShapeID="_x0000_i1038" DrawAspect="Content" ObjectID="_1754918589" r:id="rId45"/>
        </w:object>
      </w:r>
      <w:r>
        <w:t>. This implies that the size of a generation declines over time. For example, the size of a generation that enters the model at the beginning of year</w:t>
      </w:r>
      <w:r w:rsidRPr="00E670A7">
        <w:rPr>
          <w:position w:val="-6"/>
        </w:rPr>
        <w:object w:dxaOrig="180" w:dyaOrig="220" w14:anchorId="0FF59ED2">
          <v:shape id="_x0000_i1039" type="#_x0000_t75" style="width:9.6pt;height:10.8pt" o:ole="">
            <v:imagedata r:id="rId46" o:title=""/>
          </v:shape>
          <o:OLEObject Type="Embed" ProgID="Equation.DSMT4" ShapeID="_x0000_i1039" DrawAspect="Content" ObjectID="_1754918590" r:id="rId47"/>
        </w:object>
      </w:r>
      <w:r>
        <w:t>will be</w:t>
      </w:r>
      <w:r w:rsidRPr="00E670A7">
        <w:rPr>
          <w:position w:val="-12"/>
        </w:rPr>
        <w:object w:dxaOrig="740" w:dyaOrig="380" w14:anchorId="5CDAA64B">
          <v:shape id="_x0000_i1040" type="#_x0000_t75" style="width:36.6pt;height:18pt" o:ole="">
            <v:imagedata r:id="rId48" o:title=""/>
          </v:shape>
          <o:OLEObject Type="Embed" ProgID="Equation.DSMT4" ShapeID="_x0000_i1040" DrawAspect="Content" ObjectID="_1754918591" r:id="rId49"/>
        </w:object>
      </w:r>
      <w:r>
        <w:t>when the cohort reaches age</w:t>
      </w:r>
      <w:r w:rsidRPr="00E670A7">
        <w:rPr>
          <w:position w:val="-6"/>
        </w:rPr>
        <w:object w:dxaOrig="200" w:dyaOrig="220" w14:anchorId="4B2A7A70">
          <v:shape id="_x0000_i1041" type="#_x0000_t75" style="width:10.8pt;height:10.8pt" o:ole="">
            <v:imagedata r:id="rId50" o:title=""/>
          </v:shape>
          <o:OLEObject Type="Embed" ProgID="Equation.DSMT4" ShapeID="_x0000_i1041" DrawAspect="Content" ObjectID="_1754918592" r:id="rId51"/>
        </w:object>
      </w:r>
      <w:r>
        <w:t>:</w:t>
      </w:r>
    </w:p>
    <w:p w14:paraId="0C82FD92" w14:textId="77777777" w:rsidR="006C3DEB" w:rsidRDefault="006C3DEB" w:rsidP="006C3DEB">
      <w:pPr>
        <w:jc w:val="center"/>
      </w:pPr>
      <w:r w:rsidRPr="00E670A7">
        <w:rPr>
          <w:position w:val="-34"/>
        </w:rPr>
        <w:object w:dxaOrig="3400" w:dyaOrig="800" w14:anchorId="37A809CF">
          <v:shape id="_x0000_i1042" type="#_x0000_t75" style="width:169.2pt;height:40.8pt" o:ole="">
            <v:imagedata r:id="rId52" o:title=""/>
          </v:shape>
          <o:OLEObject Type="Embed" ProgID="Equation.DSMT4" ShapeID="_x0000_i1042" DrawAspect="Content" ObjectID="_1754918593" r:id="rId53"/>
        </w:object>
      </w:r>
    </w:p>
    <w:p w14:paraId="18466F82" w14:textId="77777777" w:rsidR="006C3DEB" w:rsidRDefault="006C3DEB" w:rsidP="006C3DEB">
      <w:r>
        <w:t>The implied growth of the total population is given by:</w:t>
      </w:r>
    </w:p>
    <w:p w14:paraId="61307ACF" w14:textId="77777777" w:rsidR="006C3DEB" w:rsidRDefault="006C3DEB" w:rsidP="006C3DEB">
      <w:pPr>
        <w:jc w:val="center"/>
      </w:pPr>
      <w:r w:rsidRPr="00E670A7">
        <w:rPr>
          <w:position w:val="-12"/>
        </w:rPr>
        <w:object w:dxaOrig="1900" w:dyaOrig="380" w14:anchorId="448D0BFC">
          <v:shape id="_x0000_i1043" type="#_x0000_t75" style="width:96pt;height:18pt" o:ole="">
            <v:imagedata r:id="rId54" o:title=""/>
          </v:shape>
          <o:OLEObject Type="Embed" ProgID="Equation.DSMT4" ShapeID="_x0000_i1043" DrawAspect="Content" ObjectID="_1754918594" r:id="rId55"/>
        </w:object>
      </w:r>
    </w:p>
    <w:p w14:paraId="1BE433F7" w14:textId="77777777" w:rsidR="006C3DEB" w:rsidRDefault="006C3DEB" w:rsidP="006C3DEB">
      <w:r>
        <w:t>where</w:t>
      </w:r>
      <w:r w:rsidRPr="00E670A7">
        <w:rPr>
          <w:position w:val="-12"/>
        </w:rPr>
        <w:object w:dxaOrig="279" w:dyaOrig="380" w14:anchorId="7211AED1">
          <v:shape id="_x0000_i1044" type="#_x0000_t75" style="width:15pt;height:18pt" o:ole="">
            <v:imagedata r:id="rId56" o:title=""/>
          </v:shape>
          <o:OLEObject Type="Embed" ProgID="Equation.DSMT4" ShapeID="_x0000_i1044" DrawAspect="Content" ObjectID="_1754918595" r:id="rId57"/>
        </w:object>
      </w:r>
      <w:r>
        <w:t xml:space="preserve">is the growth </w:t>
      </w:r>
      <w:r w:rsidRPr="007B6BEC">
        <w:t>rate</w:t>
      </w:r>
      <w:r>
        <w:t xml:space="preserve"> at time </w:t>
      </w:r>
      <w:r w:rsidRPr="00E670A7">
        <w:rPr>
          <w:position w:val="-6"/>
        </w:rPr>
        <w:object w:dxaOrig="139" w:dyaOrig="240" w14:anchorId="2B6C73D3">
          <v:shape id="_x0000_i1045" type="#_x0000_t75" style="width:6.6pt;height:14.4pt" o:ole="">
            <v:imagedata r:id="rId23" o:title=""/>
          </v:shape>
          <o:OLEObject Type="Embed" ProgID="Equation.DSMT4" ShapeID="_x0000_i1045" DrawAspect="Content" ObjectID="_1754918596" r:id="rId58"/>
        </w:object>
      </w:r>
      <w:r>
        <w:t xml:space="preserve"> of the total population.</w:t>
      </w:r>
    </w:p>
    <w:p w14:paraId="1CAA3943" w14:textId="77777777" w:rsidR="006C3DEB" w:rsidRDefault="006C3DEB" w:rsidP="006C3DEB">
      <w:pPr>
        <w:spacing w:before="0" w:after="200" w:line="276" w:lineRule="auto"/>
        <w:rPr>
          <w:rFonts w:asciiTheme="majorHAnsi" w:hAnsiTheme="majorHAnsi" w:cs="Arial"/>
          <w:b/>
          <w:iCs/>
          <w:color w:val="000000" w:themeColor="text1"/>
          <w:kern w:val="32"/>
          <w:szCs w:val="36"/>
        </w:rPr>
      </w:pPr>
      <w:r>
        <w:br w:type="page"/>
      </w:r>
    </w:p>
    <w:p w14:paraId="49639176" w14:textId="77777777" w:rsidR="006C3DEB" w:rsidRDefault="006C3DEB" w:rsidP="006C3DEB">
      <w:pPr>
        <w:pStyle w:val="Heading5"/>
      </w:pPr>
      <w:r>
        <w:lastRenderedPageBreak/>
        <w:t>Skill and technical progress</w:t>
      </w:r>
    </w:p>
    <w:p w14:paraId="0BD038B5" w14:textId="77777777" w:rsidR="006C3DEB" w:rsidRDefault="006C3DEB" w:rsidP="006C3DEB">
      <w:r>
        <w:t xml:space="preserve">A worker’s earning ability is an exogenous function of their age, skill level and the level of labour augmenting technical progress. </w:t>
      </w:r>
      <w:r w:rsidRPr="007B6BEC">
        <w:t xml:space="preserve">Each generation is assumed to consist of </w:t>
      </w:r>
      <w:r>
        <w:t xml:space="preserve">households with </w:t>
      </w:r>
      <w:r w:rsidRPr="007B6BEC">
        <w:t xml:space="preserve">five different </w:t>
      </w:r>
      <w:r>
        <w:t>skill levels</w:t>
      </w:r>
      <w:r w:rsidRPr="007B6BEC">
        <w:t xml:space="preserve"> </w:t>
      </w:r>
      <w:r>
        <w:t>denoted</w:t>
      </w:r>
      <w:r w:rsidRPr="007B6BEC">
        <w:t xml:space="preserve"> by</w:t>
      </w:r>
      <w:r w:rsidRPr="00025957">
        <w:rPr>
          <w:position w:val="-4"/>
        </w:rPr>
        <w:object w:dxaOrig="180" w:dyaOrig="260" w14:anchorId="7AA42EB4">
          <v:shape id="_x0000_i1046" type="#_x0000_t75" style="width:9.6pt;height:14.4pt" o:ole="">
            <v:imagedata r:id="rId59" o:title=""/>
          </v:shape>
          <o:OLEObject Type="Embed" ProgID="Equation.DSMT4" ShapeID="_x0000_i1046" DrawAspect="Content" ObjectID="_1754918597" r:id="rId60"/>
        </w:object>
      </w:r>
      <w:r>
        <w:t xml:space="preserve">. The size of the population </w:t>
      </w:r>
      <w:r w:rsidRPr="007B6BEC">
        <w:t>of age</w:t>
      </w:r>
      <w:r w:rsidRPr="00E670A7">
        <w:rPr>
          <w:position w:val="-6"/>
        </w:rPr>
        <w:object w:dxaOrig="200" w:dyaOrig="220" w14:anchorId="07A0B36B">
          <v:shape id="_x0000_i1047" type="#_x0000_t75" style="width:10.8pt;height:10.8pt" o:ole="">
            <v:imagedata r:id="rId61" o:title=""/>
          </v:shape>
          <o:OLEObject Type="Embed" ProgID="Equation.DSMT4" ShapeID="_x0000_i1047" DrawAspect="Content" ObjectID="_1754918598" r:id="rId62"/>
        </w:object>
      </w:r>
      <w:r w:rsidRPr="007B6BEC">
        <w:t xml:space="preserve">and </w:t>
      </w:r>
      <w:r>
        <w:t xml:space="preserve">skill </w:t>
      </w:r>
      <w:r w:rsidRPr="00025957">
        <w:rPr>
          <w:position w:val="-4"/>
        </w:rPr>
        <w:object w:dxaOrig="180" w:dyaOrig="260" w14:anchorId="3B0FC572">
          <v:shape id="_x0000_i1048" type="#_x0000_t75" style="width:9.6pt;height:14.4pt" o:ole="">
            <v:imagedata r:id="rId63" o:title=""/>
          </v:shape>
          <o:OLEObject Type="Embed" ProgID="Equation.DSMT4" ShapeID="_x0000_i1048" DrawAspect="Content" ObjectID="_1754918599" r:id="rId64"/>
        </w:object>
      </w:r>
      <w:r w:rsidRPr="007B6BEC">
        <w:t xml:space="preserve">at </w:t>
      </w:r>
      <w:r>
        <w:t>time</w:t>
      </w:r>
      <w:r w:rsidRPr="00E670A7">
        <w:rPr>
          <w:position w:val="-6"/>
        </w:rPr>
        <w:object w:dxaOrig="139" w:dyaOrig="240" w14:anchorId="67167B61">
          <v:shape id="_x0000_i1049" type="#_x0000_t75" style="width:6.6pt;height:14.4pt" o:ole="">
            <v:imagedata r:id="rId65" o:title=""/>
          </v:shape>
          <o:OLEObject Type="Embed" ProgID="Equation.DSMT4" ShapeID="_x0000_i1049" DrawAspect="Content" ObjectID="_1754918600" r:id="rId66"/>
        </w:object>
      </w:r>
      <w:r>
        <w:t xml:space="preserve"> is denoted by</w:t>
      </w:r>
      <w:r w:rsidRPr="00E670A7">
        <w:rPr>
          <w:position w:val="-12"/>
        </w:rPr>
        <w:object w:dxaOrig="480" w:dyaOrig="380" w14:anchorId="648837B0">
          <v:shape id="_x0000_i1050" type="#_x0000_t75" style="width:24pt;height:18pt" o:ole="">
            <v:imagedata r:id="rId67" o:title=""/>
          </v:shape>
          <o:OLEObject Type="Embed" ProgID="Equation.DSMT4" ShapeID="_x0000_i1050" DrawAspect="Content" ObjectID="_1754918601" r:id="rId68"/>
        </w:object>
      </w:r>
      <w:r>
        <w:t xml:space="preserve">, with each skill type accounting for one-fifth of the generation (that is, </w:t>
      </w:r>
      <w:r w:rsidRPr="00E670A7">
        <w:rPr>
          <w:position w:val="-12"/>
        </w:rPr>
        <w:object w:dxaOrig="1340" w:dyaOrig="380" w14:anchorId="58CD5A04">
          <v:shape id="_x0000_i1051" type="#_x0000_t75" style="width:65.4pt;height:18pt" o:ole="">
            <v:imagedata r:id="rId69" o:title=""/>
          </v:shape>
          <o:OLEObject Type="Embed" ProgID="Equation.DSMT4" ShapeID="_x0000_i1051" DrawAspect="Content" ObjectID="_1754918602" r:id="rId70"/>
        </w:object>
      </w:r>
      <w:r>
        <w:t>). A worker’s earning ability</w:t>
      </w:r>
      <w:r w:rsidRPr="00E670A7">
        <w:rPr>
          <w:position w:val="-12"/>
        </w:rPr>
        <w:object w:dxaOrig="400" w:dyaOrig="380" w14:anchorId="590327B0">
          <v:shape id="_x0000_i1052" type="#_x0000_t75" style="width:20.4pt;height:18pt" o:ole="">
            <v:imagedata r:id="rId71" o:title=""/>
          </v:shape>
          <o:OLEObject Type="Embed" ProgID="Equation.DSMT4" ShapeID="_x0000_i1052" DrawAspect="Content" ObjectID="_1754918603" r:id="rId72"/>
        </w:object>
      </w:r>
      <w:r>
        <w:t xml:space="preserve"> is assumed to be the product of their relative labour efficiency</w:t>
      </w:r>
      <w:r w:rsidRPr="00E670A7">
        <w:rPr>
          <w:position w:val="-12"/>
        </w:rPr>
        <w:object w:dxaOrig="400" w:dyaOrig="380" w14:anchorId="69167BC7">
          <v:shape id="_x0000_i1053" type="#_x0000_t75" style="width:20.4pt;height:18pt" o:ole="">
            <v:imagedata r:id="rId73" o:title=""/>
          </v:shape>
          <o:OLEObject Type="Embed" ProgID="Equation.DSMT4" ShapeID="_x0000_i1053" DrawAspect="Content" ObjectID="_1754918604" r:id="rId74"/>
        </w:object>
      </w:r>
      <w:r>
        <w:t>and labour augmenting technical progress</w:t>
      </w:r>
      <w:r w:rsidRPr="00E670A7">
        <w:rPr>
          <w:position w:val="-12"/>
        </w:rPr>
        <w:object w:dxaOrig="279" w:dyaOrig="380" w14:anchorId="1E977044">
          <v:shape id="_x0000_i1054" type="#_x0000_t75" style="width:10.8pt;height:18pt" o:ole="">
            <v:imagedata r:id="rId75" o:title=""/>
          </v:shape>
          <o:OLEObject Type="Embed" ProgID="Equation.DSMT4" ShapeID="_x0000_i1054" DrawAspect="Content" ObjectID="_1754918605" r:id="rId76"/>
        </w:object>
      </w:r>
      <w:r>
        <w:t>:</w:t>
      </w:r>
    </w:p>
    <w:p w14:paraId="4E1C2D41" w14:textId="77777777" w:rsidR="006C3DEB" w:rsidRDefault="006C3DEB" w:rsidP="006C3DEB">
      <w:pPr>
        <w:jc w:val="center"/>
      </w:pPr>
      <w:r w:rsidRPr="00E670A7">
        <w:rPr>
          <w:position w:val="-12"/>
        </w:rPr>
        <w:object w:dxaOrig="1219" w:dyaOrig="380" w14:anchorId="32BA948E">
          <v:shape id="_x0000_i1055" type="#_x0000_t75" style="width:61.2pt;height:18pt" o:ole="">
            <v:imagedata r:id="rId77" o:title=""/>
          </v:shape>
          <o:OLEObject Type="Embed" ProgID="Equation.DSMT4" ShapeID="_x0000_i1055" DrawAspect="Content" ObjectID="_1754918606" r:id="rId78"/>
        </w:object>
      </w:r>
    </w:p>
    <w:p w14:paraId="2A00E49E" w14:textId="77777777" w:rsidR="006C3DEB" w:rsidRDefault="006C3DEB" w:rsidP="006C3DEB">
      <w:r>
        <w:t>Relative labour efficiency is a time-invariant function. To match lifetime participation and earnings profiles relative labour efficiency</w:t>
      </w:r>
      <w:r w:rsidRPr="007B6BEC">
        <w:t xml:space="preserve"> is assumed to </w:t>
      </w:r>
      <w:r>
        <w:t xml:space="preserve">be hump shaped, </w:t>
      </w:r>
      <w:r w:rsidRPr="007B6BEC">
        <w:t>reflecting</w:t>
      </w:r>
      <w:r>
        <w:t xml:space="preserve"> </w:t>
      </w:r>
      <w:r w:rsidRPr="007B6BEC">
        <w:t>the accumulation of human capital over the course of the household’s early life</w:t>
      </w:r>
      <w:r>
        <w:t xml:space="preserve"> and following </w:t>
      </w:r>
      <w:r w:rsidRPr="007B6BEC">
        <w:t xml:space="preserve">peak </w:t>
      </w:r>
      <w:r>
        <w:t>ability around age 40, a decline in ability that eventually settles at</w:t>
      </w:r>
      <w:r w:rsidRPr="007B6BEC">
        <w:t xml:space="preserve"> zero. </w:t>
      </w:r>
    </w:p>
    <w:p w14:paraId="7F4F383E" w14:textId="77777777" w:rsidR="006C3DEB" w:rsidRPr="004A5224" w:rsidRDefault="006C3DEB" w:rsidP="006C3DEB">
      <w:r>
        <w:t>L</w:t>
      </w:r>
      <w:r w:rsidRPr="004A5224">
        <w:t>abour-augmenting techn</w:t>
      </w:r>
      <w:r>
        <w:t>ical progress</w:t>
      </w:r>
      <w:r w:rsidRPr="00E670A7">
        <w:rPr>
          <w:position w:val="-12"/>
        </w:rPr>
        <w:object w:dxaOrig="279" w:dyaOrig="380" w14:anchorId="3AE1D9BD">
          <v:shape id="_x0000_i1056" type="#_x0000_t75" style="width:15pt;height:18pt" o:ole="">
            <v:imagedata r:id="rId79" o:title=""/>
          </v:shape>
          <o:OLEObject Type="Embed" ProgID="Equation.DSMT4" ShapeID="_x0000_i1056" DrawAspect="Content" ObjectID="_1754918607" r:id="rId80"/>
        </w:object>
      </w:r>
      <w:r>
        <w:t>is an exogenous process (determined outside the model) which is assumed to grow at rate</w:t>
      </w:r>
      <w:r w:rsidRPr="00E670A7">
        <w:rPr>
          <w:position w:val="-12"/>
        </w:rPr>
        <w:object w:dxaOrig="300" w:dyaOrig="380" w14:anchorId="056AEC73">
          <v:shape id="_x0000_i1057" type="#_x0000_t75" style="width:15pt;height:18pt" o:ole="">
            <v:imagedata r:id="rId81" o:title=""/>
          </v:shape>
          <o:OLEObject Type="Embed" ProgID="Equation.DSMT4" ShapeID="_x0000_i1057" DrawAspect="Content" ObjectID="_1754918608" r:id="rId82"/>
        </w:object>
      </w:r>
      <w:r>
        <w:t>, such that</w:t>
      </w:r>
      <w:r w:rsidRPr="004A5224">
        <w:t>:</w:t>
      </w:r>
    </w:p>
    <w:p w14:paraId="1D2DA13B" w14:textId="77777777" w:rsidR="006C3DEB" w:rsidRDefault="006C3DEB" w:rsidP="006C3DEB">
      <w:pPr>
        <w:jc w:val="center"/>
      </w:pPr>
      <w:r w:rsidRPr="00E670A7">
        <w:rPr>
          <w:position w:val="-12"/>
        </w:rPr>
        <w:object w:dxaOrig="1520" w:dyaOrig="380" w14:anchorId="71FDA182">
          <v:shape id="_x0000_i1058" type="#_x0000_t75" style="width:76.8pt;height:18pt" o:ole="">
            <v:imagedata r:id="rId83" o:title=""/>
          </v:shape>
          <o:OLEObject Type="Embed" ProgID="Equation.DSMT4" ShapeID="_x0000_i1058" DrawAspect="Content" ObjectID="_1754918609" r:id="rId84"/>
        </w:object>
      </w:r>
    </w:p>
    <w:p w14:paraId="7A8F0DE6" w14:textId="77777777" w:rsidR="006C3DEB" w:rsidRDefault="006C3DEB" w:rsidP="006C3DEB">
      <w:r w:rsidRPr="00AE73D5">
        <w:t xml:space="preserve">Following the literature </w:t>
      </w:r>
      <w:r>
        <w:t>in describing the steady state of the model we</w:t>
      </w:r>
      <w:r w:rsidRPr="00AE73D5">
        <w:t xml:space="preserve"> normalise </w:t>
      </w:r>
      <w:r>
        <w:t xml:space="preserve">growing </w:t>
      </w:r>
      <w:r w:rsidRPr="00AE73D5">
        <w:t xml:space="preserve">variables by their underlying </w:t>
      </w:r>
      <w:r>
        <w:t xml:space="preserve">exogenous </w:t>
      </w:r>
      <w:r w:rsidRPr="00AE73D5">
        <w:t>trend</w:t>
      </w:r>
      <w:r>
        <w:t>. Normalised variables are denoted by a lower case</w:t>
      </w:r>
      <w:r w:rsidRPr="00AE73D5">
        <w:t xml:space="preserve">. First, non-labour household variables and real wages are normalised </w:t>
      </w:r>
      <w:r>
        <w:t xml:space="preserve">by </w:t>
      </w:r>
      <w:r w:rsidRPr="00AE73D5">
        <w:t>the level of labour augmenting techn</w:t>
      </w:r>
      <w:r>
        <w:t>ical progress. F</w:t>
      </w:r>
      <w:r w:rsidRPr="00AE73D5">
        <w:t>or example</w:t>
      </w:r>
      <w:r>
        <w:t>, the normalised consumption of a household of age</w:t>
      </w:r>
      <w:r w:rsidRPr="00E670A7">
        <w:rPr>
          <w:position w:val="-6"/>
        </w:rPr>
        <w:object w:dxaOrig="200" w:dyaOrig="220" w14:anchorId="2A29FF19">
          <v:shape id="_x0000_i1059" type="#_x0000_t75" style="width:10.8pt;height:10.8pt" o:ole="">
            <v:imagedata r:id="rId85" o:title=""/>
          </v:shape>
          <o:OLEObject Type="Embed" ProgID="Equation.DSMT4" ShapeID="_x0000_i1059" DrawAspect="Content" ObjectID="_1754918610" r:id="rId86"/>
        </w:object>
      </w:r>
      <w:r w:rsidRPr="002B2319">
        <w:t xml:space="preserve"> </w:t>
      </w:r>
      <w:r>
        <w:t xml:space="preserve">and skill </w:t>
      </w:r>
      <w:r w:rsidRPr="00025957">
        <w:rPr>
          <w:position w:val="-4"/>
        </w:rPr>
        <w:object w:dxaOrig="180" w:dyaOrig="260" w14:anchorId="282C3A20">
          <v:shape id="_x0000_i1060" type="#_x0000_t75" style="width:9.6pt;height:14.4pt" o:ole="">
            <v:imagedata r:id="rId87" o:title=""/>
          </v:shape>
          <o:OLEObject Type="Embed" ProgID="Equation.DSMT4" ShapeID="_x0000_i1060" DrawAspect="Content" ObjectID="_1754918611" r:id="rId88"/>
        </w:object>
      </w:r>
      <w:r>
        <w:t xml:space="preserve"> at time</w:t>
      </w:r>
      <w:r w:rsidRPr="00E670A7">
        <w:rPr>
          <w:position w:val="-6"/>
        </w:rPr>
        <w:object w:dxaOrig="139" w:dyaOrig="240" w14:anchorId="43BEA183">
          <v:shape id="_x0000_i1061" type="#_x0000_t75" style="width:6.6pt;height:14.4pt" o:ole="">
            <v:imagedata r:id="rId89" o:title=""/>
          </v:shape>
          <o:OLEObject Type="Embed" ProgID="Equation.DSMT4" ShapeID="_x0000_i1061" DrawAspect="Content" ObjectID="_1754918612" r:id="rId90"/>
        </w:object>
      </w:r>
      <w:r>
        <w:t xml:space="preserve"> is</w:t>
      </w:r>
      <w:r w:rsidRPr="00E670A7">
        <w:rPr>
          <w:position w:val="-12"/>
        </w:rPr>
        <w:object w:dxaOrig="1359" w:dyaOrig="380" w14:anchorId="0346E7CC">
          <v:shape id="_x0000_i1062" type="#_x0000_t75" style="width:67.2pt;height:18pt" o:ole="">
            <v:imagedata r:id="rId91" o:title=""/>
          </v:shape>
          <o:OLEObject Type="Embed" ProgID="Equation.DSMT4" ShapeID="_x0000_i1062" DrawAspect="Content" ObjectID="_1754918613" r:id="rId92"/>
        </w:object>
      </w:r>
      <w:r w:rsidRPr="00AE73D5">
        <w:t>. Second, aggregate labour variables are nor</w:t>
      </w:r>
      <w:r>
        <w:t>malised by aggregate population. F</w:t>
      </w:r>
      <w:r w:rsidRPr="00AE73D5">
        <w:t>or example</w:t>
      </w:r>
      <w:r>
        <w:t>, the normalised population of age</w:t>
      </w:r>
      <w:r w:rsidRPr="00E670A7">
        <w:rPr>
          <w:position w:val="-6"/>
        </w:rPr>
        <w:object w:dxaOrig="200" w:dyaOrig="220" w14:anchorId="52374258">
          <v:shape id="_x0000_i1063" type="#_x0000_t75" style="width:10.8pt;height:10.8pt" o:ole="">
            <v:imagedata r:id="rId93" o:title=""/>
          </v:shape>
          <o:OLEObject Type="Embed" ProgID="Equation.DSMT4" ShapeID="_x0000_i1063" DrawAspect="Content" ObjectID="_1754918614" r:id="rId94"/>
        </w:object>
      </w:r>
      <w:r>
        <w:t>and skill</w:t>
      </w:r>
      <w:r w:rsidRPr="00025957">
        <w:rPr>
          <w:position w:val="-4"/>
        </w:rPr>
        <w:object w:dxaOrig="180" w:dyaOrig="260" w14:anchorId="2CF8FD85">
          <v:shape id="_x0000_i1064" type="#_x0000_t75" style="width:9.6pt;height:14.4pt" o:ole="">
            <v:imagedata r:id="rId95" o:title=""/>
          </v:shape>
          <o:OLEObject Type="Embed" ProgID="Equation.DSMT4" ShapeID="_x0000_i1064" DrawAspect="Content" ObjectID="_1754918615" r:id="rId96"/>
        </w:object>
      </w:r>
      <w:r>
        <w:t>at time</w:t>
      </w:r>
      <w:r w:rsidRPr="00E670A7">
        <w:rPr>
          <w:position w:val="-6"/>
        </w:rPr>
        <w:object w:dxaOrig="139" w:dyaOrig="240" w14:anchorId="67228FBC">
          <v:shape id="_x0000_i1065" type="#_x0000_t75" style="width:6.6pt;height:14.4pt" o:ole="">
            <v:imagedata r:id="rId97" o:title=""/>
          </v:shape>
          <o:OLEObject Type="Embed" ProgID="Equation.DSMT4" ShapeID="_x0000_i1065" DrawAspect="Content" ObjectID="_1754918616" r:id="rId98"/>
        </w:object>
      </w:r>
      <w:r>
        <w:t xml:space="preserve"> is</w:t>
      </w:r>
      <w:r w:rsidRPr="00E670A7">
        <w:rPr>
          <w:position w:val="-12"/>
        </w:rPr>
        <w:object w:dxaOrig="1500" w:dyaOrig="380" w14:anchorId="33F116E2">
          <v:shape id="_x0000_i1066" type="#_x0000_t75" style="width:74.4pt;height:18pt" o:ole="">
            <v:imagedata r:id="rId99" o:title=""/>
          </v:shape>
          <o:OLEObject Type="Embed" ProgID="Equation.DSMT4" ShapeID="_x0000_i1066" DrawAspect="Content" ObjectID="_1754918617" r:id="rId100"/>
        </w:object>
      </w:r>
      <w:r w:rsidRPr="00AE73D5">
        <w:t>. Finally, aggregate non-labour variables are normalised by the product of labour augmenting technical progress and the aggregate population</w:t>
      </w:r>
      <w:r>
        <w:t>,</w:t>
      </w:r>
      <w:r w:rsidRPr="00AE73D5">
        <w:t xml:space="preserve"> which has a growth rate equal to</w:t>
      </w:r>
      <w:r w:rsidRPr="00E670A7">
        <w:rPr>
          <w:position w:val="-12"/>
        </w:rPr>
        <w:object w:dxaOrig="2260" w:dyaOrig="380" w14:anchorId="4307B20B">
          <v:shape id="_x0000_i1067" type="#_x0000_t75" style="width:113.4pt;height:18pt" o:ole="">
            <v:imagedata r:id="rId101" o:title=""/>
          </v:shape>
          <o:OLEObject Type="Embed" ProgID="Equation.DSMT4" ShapeID="_x0000_i1067" DrawAspect="Content" ObjectID="_1754918618" r:id="rId102"/>
        </w:object>
      </w:r>
      <w:r w:rsidRPr="00AE73D5">
        <w:t xml:space="preserve">. </w:t>
      </w:r>
      <w:r>
        <w:t>F</w:t>
      </w:r>
      <w:r w:rsidRPr="00AE73D5">
        <w:t>or example</w:t>
      </w:r>
      <w:r>
        <w:t>, the normalised aggregate exports at time</w:t>
      </w:r>
      <w:r w:rsidRPr="00E670A7">
        <w:rPr>
          <w:position w:val="-6"/>
        </w:rPr>
        <w:object w:dxaOrig="139" w:dyaOrig="240" w14:anchorId="194636F3">
          <v:shape id="_x0000_i1068" type="#_x0000_t75" style="width:6.6pt;height:14.4pt" o:ole="">
            <v:imagedata r:id="rId103" o:title=""/>
          </v:shape>
          <o:OLEObject Type="Embed" ProgID="Equation.DSMT4" ShapeID="_x0000_i1068" DrawAspect="Content" ObjectID="_1754918619" r:id="rId104"/>
        </w:object>
      </w:r>
      <w:r>
        <w:t xml:space="preserve"> is</w:t>
      </w:r>
      <w:r w:rsidRPr="00E670A7">
        <w:rPr>
          <w:position w:val="-14"/>
        </w:rPr>
        <w:object w:dxaOrig="1520" w:dyaOrig="400" w14:anchorId="35B6D1C8">
          <v:shape id="_x0000_i1069" type="#_x0000_t75" style="width:76.8pt;height:20.4pt" o:ole="">
            <v:imagedata r:id="rId105" o:title=""/>
          </v:shape>
          <o:OLEObject Type="Embed" ProgID="Equation.DSMT4" ShapeID="_x0000_i1069" DrawAspect="Content" ObjectID="_1754918620" r:id="rId106"/>
        </w:object>
      </w:r>
      <w:r w:rsidRPr="00AE73D5">
        <w:t>.</w:t>
      </w:r>
    </w:p>
    <w:p w14:paraId="12D0DF39" w14:textId="77777777" w:rsidR="006C3DEB" w:rsidRDefault="006C3DEB" w:rsidP="006C3DEB">
      <w:pPr>
        <w:pStyle w:val="Heading4"/>
      </w:pPr>
      <w:r>
        <w:t>Preferences</w:t>
      </w:r>
    </w:p>
    <w:p w14:paraId="72103B1C" w14:textId="77777777" w:rsidR="006C3DEB" w:rsidRPr="007B6BEC" w:rsidRDefault="006C3DEB" w:rsidP="006C3DEB">
      <w:r>
        <w:rPr>
          <w:lang w:val="en-US"/>
        </w:rPr>
        <w:t>H</w:t>
      </w:r>
      <w:r w:rsidRPr="007B6BEC">
        <w:rPr>
          <w:lang w:val="en-US"/>
        </w:rPr>
        <w:t>ousehold</w:t>
      </w:r>
      <w:r>
        <w:rPr>
          <w:lang w:val="en-US"/>
        </w:rPr>
        <w:t>s are assumed to</w:t>
      </w:r>
      <w:r w:rsidRPr="007B6BEC">
        <w:rPr>
          <w:lang w:val="en-US"/>
        </w:rPr>
        <w:t xml:space="preserve"> </w:t>
      </w:r>
      <w:r>
        <w:rPr>
          <w:lang w:val="en-US"/>
        </w:rPr>
        <w:t>maximise their lifetime utility.</w:t>
      </w:r>
      <w:r w:rsidRPr="007B6BEC">
        <w:rPr>
          <w:lang w:val="en-US"/>
        </w:rPr>
        <w:t xml:space="preserve"> </w:t>
      </w:r>
      <w:r>
        <w:rPr>
          <w:lang w:val="en-US"/>
        </w:rPr>
        <w:t>A</w:t>
      </w:r>
      <w:r w:rsidRPr="007B6BEC">
        <w:rPr>
          <w:lang w:val="en-US"/>
        </w:rPr>
        <w:t xml:space="preserve"> representative household of </w:t>
      </w:r>
      <w:r>
        <w:rPr>
          <w:lang w:val="en-US"/>
        </w:rPr>
        <w:t>skill type</w:t>
      </w:r>
      <w:r w:rsidRPr="00025957">
        <w:rPr>
          <w:position w:val="-4"/>
        </w:rPr>
        <w:object w:dxaOrig="180" w:dyaOrig="260" w14:anchorId="419AC6C3">
          <v:shape id="_x0000_i1070" type="#_x0000_t75" style="width:9.6pt;height:14.4pt" o:ole="">
            <v:imagedata r:id="rId107" o:title=""/>
          </v:shape>
          <o:OLEObject Type="Embed" ProgID="Equation.DSMT4" ShapeID="_x0000_i1070" DrawAspect="Content" ObjectID="_1754918621" r:id="rId108"/>
        </w:object>
      </w:r>
      <w:r>
        <w:t xml:space="preserve">, </w:t>
      </w:r>
      <w:r w:rsidRPr="007B6BEC">
        <w:t xml:space="preserve">who </w:t>
      </w:r>
      <w:r>
        <w:t>enters the model at the beginning of year</w:t>
      </w:r>
      <w:r w:rsidRPr="00E670A7">
        <w:rPr>
          <w:position w:val="-6"/>
        </w:rPr>
        <w:object w:dxaOrig="180" w:dyaOrig="220" w14:anchorId="69C81043">
          <v:shape id="_x0000_i1071" type="#_x0000_t75" style="width:9.6pt;height:10.8pt" o:ole="">
            <v:imagedata r:id="rId109" o:title=""/>
          </v:shape>
          <o:OLEObject Type="Embed" ProgID="Equation.DSMT4" ShapeID="_x0000_i1071" DrawAspect="Content" ObjectID="_1754918622" r:id="rId110"/>
        </w:object>
      </w:r>
      <w:r>
        <w:t>,</w:t>
      </w:r>
      <w:r>
        <w:rPr>
          <w:lang w:val="en-US"/>
        </w:rPr>
        <w:t xml:space="preserve"> is assumed to have the following lifetime utility function</w:t>
      </w:r>
      <w:r w:rsidRPr="007B6BEC">
        <w:t>:</w:t>
      </w:r>
    </w:p>
    <w:p w14:paraId="73B8A438" w14:textId="0431FF0D" w:rsidR="006C3DEB" w:rsidRDefault="006C3DEB" w:rsidP="006C3DEB">
      <w:pPr>
        <w:pStyle w:val="MTDisplayEquation"/>
        <w:rPr>
          <w:lang w:val="en-US"/>
        </w:rPr>
      </w:pPr>
      <w:r>
        <w:rPr>
          <w:lang w:val="en-US"/>
        </w:rPr>
        <w:tab/>
      </w:r>
      <w:r w:rsidRPr="00E670A7">
        <w:rPr>
          <w:position w:val="-28"/>
        </w:rPr>
        <w:object w:dxaOrig="5820" w:dyaOrig="680" w14:anchorId="3B24C9FC">
          <v:shape id="_x0000_i1072" type="#_x0000_t75" style="width:288.6pt;height:33pt" o:ole="">
            <v:imagedata r:id="rId111" o:title=""/>
          </v:shape>
          <o:OLEObject Type="Embed" ProgID="Equation.DSMT4" ShapeID="_x0000_i1072" DrawAspect="Content" ObjectID="_1754918623" r:id="rId112"/>
        </w:object>
      </w:r>
      <w:r>
        <w:rPr>
          <w:lang w:val="en-US"/>
        </w:rPr>
        <w:t xml:space="preserve"> </w: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3" w:name="ZEqnNum525669"/>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E00A52">
        <w:rPr>
          <w:noProof/>
          <w:lang w:val="en-US"/>
        </w:rPr>
        <w:instrText>1</w:instrText>
      </w:r>
      <w:r>
        <w:rPr>
          <w:lang w:val="en-US"/>
        </w:rPr>
        <w:fldChar w:fldCharType="end"/>
      </w:r>
      <w:r>
        <w:rPr>
          <w:lang w:val="en-US"/>
        </w:rPr>
        <w:instrText>)</w:instrText>
      </w:r>
      <w:bookmarkEnd w:id="3"/>
      <w:r>
        <w:rPr>
          <w:lang w:val="en-US"/>
        </w:rPr>
        <w:fldChar w:fldCharType="end"/>
      </w:r>
    </w:p>
    <w:p w14:paraId="0D80ECB6" w14:textId="77777777" w:rsidR="006C3DEB" w:rsidRDefault="006C3DEB" w:rsidP="006C3DEB">
      <w:r>
        <w:t>wh</w:t>
      </w:r>
      <w:r w:rsidRPr="007B6BEC">
        <w:t>ere</w:t>
      </w:r>
      <w:r>
        <w:t>:</w:t>
      </w:r>
      <w:r w:rsidRPr="009E109C">
        <w:t xml:space="preserve"> </w:t>
      </w:r>
      <w:r w:rsidRPr="00E670A7">
        <w:rPr>
          <w:position w:val="-10"/>
        </w:rPr>
        <w:object w:dxaOrig="920" w:dyaOrig="320" w14:anchorId="0D6594C1">
          <v:shape id="_x0000_i1073" type="#_x0000_t75" style="width:46.8pt;height:15.6pt" o:ole="">
            <v:imagedata r:id="rId113" o:title=""/>
          </v:shape>
          <o:OLEObject Type="Embed" ProgID="Equation.DSMT4" ShapeID="_x0000_i1073" DrawAspect="Content" ObjectID="_1754918624" r:id="rId114"/>
        </w:object>
      </w:r>
      <w:r w:rsidRPr="001F04BB">
        <w:t xml:space="preserve"> </w:t>
      </w:r>
      <w:r>
        <w:t>i</w:t>
      </w:r>
      <w:r w:rsidRPr="007B6BEC">
        <w:t>s the</w:t>
      </w:r>
      <w:r>
        <w:t xml:space="preserve"> household’s </w:t>
      </w:r>
      <w:r w:rsidRPr="007B6BEC">
        <w:t>discount factor</w:t>
      </w:r>
      <w:r>
        <w:t xml:space="preserve">; </w:t>
      </w:r>
      <w:r w:rsidRPr="00E670A7">
        <w:rPr>
          <w:position w:val="-12"/>
        </w:rPr>
        <w:object w:dxaOrig="1020" w:dyaOrig="380" w14:anchorId="0D08592D">
          <v:shape id="_x0000_i1074" type="#_x0000_t75" style="width:52.2pt;height:18pt" o:ole="">
            <v:imagedata r:id="rId115" o:title=""/>
          </v:shape>
          <o:OLEObject Type="Embed" ProgID="Equation.DSMT4" ShapeID="_x0000_i1074" DrawAspect="Content" ObjectID="_1754918625" r:id="rId116"/>
        </w:object>
      </w:r>
      <w:r>
        <w:t>,</w:t>
      </w:r>
      <w:r w:rsidRPr="00E670A7">
        <w:rPr>
          <w:position w:val="-12"/>
        </w:rPr>
        <w:object w:dxaOrig="1359" w:dyaOrig="380" w14:anchorId="1451DB82">
          <v:shape id="_x0000_i1075" type="#_x0000_t75" style="width:67.2pt;height:18pt" o:ole="">
            <v:imagedata r:id="rId117" o:title=""/>
          </v:shape>
          <o:OLEObject Type="Embed" ProgID="Equation.DSMT4" ShapeID="_x0000_i1075" DrawAspect="Content" ObjectID="_1754918626" r:id="rId118"/>
        </w:object>
      </w:r>
      <w:r>
        <w:t>, and</w:t>
      </w:r>
      <w:r w:rsidRPr="00E670A7">
        <w:rPr>
          <w:position w:val="-12"/>
        </w:rPr>
        <w:object w:dxaOrig="639" w:dyaOrig="380" w14:anchorId="235EBAA2">
          <v:shape id="_x0000_i1076" type="#_x0000_t75" style="width:31.8pt;height:18pt" o:ole="">
            <v:imagedata r:id="rId119" o:title=""/>
          </v:shape>
          <o:OLEObject Type="Embed" ProgID="Equation.DSMT4" ShapeID="_x0000_i1076" DrawAspect="Content" ObjectID="_1754918627" r:id="rId120"/>
        </w:object>
      </w:r>
      <w:r>
        <w:t>are the household’s consumption, leisure</w:t>
      </w:r>
      <w:r w:rsidRPr="007B6BEC">
        <w:t xml:space="preserve">, </w:t>
      </w:r>
      <w:r>
        <w:t>and beginning-of-period savings at year</w:t>
      </w:r>
      <w:r w:rsidRPr="00E670A7">
        <w:rPr>
          <w:position w:val="-6"/>
        </w:rPr>
        <w:object w:dxaOrig="980" w:dyaOrig="279" w14:anchorId="042A995E">
          <v:shape id="_x0000_i1077" type="#_x0000_t75" style="width:48pt;height:15pt" o:ole="">
            <v:imagedata r:id="rId121" o:title=""/>
          </v:shape>
          <o:OLEObject Type="Embed" ProgID="Equation.DSMT4" ShapeID="_x0000_i1077" DrawAspect="Content" ObjectID="_1754918628" r:id="rId122"/>
        </w:object>
      </w:r>
      <w:r>
        <w:t>.</w:t>
      </w:r>
    </w:p>
    <w:p w14:paraId="2605B90B" w14:textId="77777777" w:rsidR="006C3DEB" w:rsidRDefault="006C3DEB" w:rsidP="006C3DEB">
      <w:r>
        <w:t xml:space="preserve">Given that there is a simple linear relationship between the year a household enters the model, their age and time, going forward the paper will denote household variables using only a time subscript </w:t>
      </w:r>
      <w:r w:rsidRPr="00E670A7">
        <w:rPr>
          <w:position w:val="-6"/>
        </w:rPr>
        <w:object w:dxaOrig="139" w:dyaOrig="240" w14:anchorId="714A6DAF">
          <v:shape id="_x0000_i1078" type="#_x0000_t75" style="width:6.6pt;height:14.4pt" o:ole="">
            <v:imagedata r:id="rId123" o:title=""/>
          </v:shape>
          <o:OLEObject Type="Embed" ProgID="Equation.DSMT4" ShapeID="_x0000_i1078" DrawAspect="Content" ObjectID="_1754918629" r:id="rId124"/>
        </w:object>
      </w:r>
      <w:r>
        <w:t>and an age superscript</w:t>
      </w:r>
      <w:r w:rsidRPr="00E670A7">
        <w:rPr>
          <w:position w:val="-6"/>
        </w:rPr>
        <w:object w:dxaOrig="200" w:dyaOrig="220" w14:anchorId="4F5EB7CD">
          <v:shape id="_x0000_i1079" type="#_x0000_t75" style="width:10.8pt;height:10.8pt" o:ole="">
            <v:imagedata r:id="rId125" o:title=""/>
          </v:shape>
          <o:OLEObject Type="Embed" ProgID="Equation.DSMT4" ShapeID="_x0000_i1079" DrawAspect="Content" ObjectID="_1754918630" r:id="rId126"/>
        </w:object>
      </w:r>
      <w:r>
        <w:t>.</w:t>
      </w:r>
    </w:p>
    <w:p w14:paraId="449893F1" w14:textId="77777777" w:rsidR="006C3DEB" w:rsidRDefault="006C3DEB" w:rsidP="006C3DEB">
      <w:pPr>
        <w:pStyle w:val="Heading5"/>
      </w:pPr>
      <w:r>
        <w:lastRenderedPageBreak/>
        <w:t>Instantaneous utility</w:t>
      </w:r>
    </w:p>
    <w:p w14:paraId="2C706031" w14:textId="77777777" w:rsidR="006C3DEB" w:rsidRPr="007B6BEC" w:rsidRDefault="006C3DEB" w:rsidP="006C3DEB">
      <w:r>
        <w:t>I</w:t>
      </w:r>
      <w:r w:rsidRPr="007B6BEC">
        <w:t xml:space="preserve">nstantaneous utility is </w:t>
      </w:r>
      <w:r>
        <w:t xml:space="preserve">assumed to be </w:t>
      </w:r>
      <w:r w:rsidRPr="007B6BEC">
        <w:t>a constant relative risk aversion (CRRA) function of the household’s agg</w:t>
      </w:r>
      <w:r>
        <w:t>regate consumption and leisure:</w:t>
      </w:r>
    </w:p>
    <w:p w14:paraId="6E26F0E5" w14:textId="6972BD56" w:rsidR="006C3DEB" w:rsidRPr="007B6BEC" w:rsidRDefault="006C3DEB" w:rsidP="006C3DEB">
      <w:pPr>
        <w:pStyle w:val="MTDisplayEquation"/>
      </w:pPr>
      <w:r w:rsidRPr="007B6BEC">
        <w:tab/>
      </w:r>
      <w:r w:rsidRPr="00E670A7">
        <w:rPr>
          <w:position w:val="-24"/>
        </w:rPr>
        <w:object w:dxaOrig="3680" w:dyaOrig="840" w14:anchorId="7FBE1C98">
          <v:shape id="_x0000_i1080" type="#_x0000_t75" style="width:185.4pt;height:42pt" o:ole="">
            <v:imagedata r:id="rId127" o:title=""/>
          </v:shape>
          <o:OLEObject Type="Embed" ProgID="Equation.DSMT4" ShapeID="_x0000_i1080" DrawAspect="Content" ObjectID="_1754918631" r:id="rId128"/>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bookmarkStart w:id="4" w:name="ZEqnNum269443"/>
      <w:r>
        <w:instrText>(</w:instrText>
      </w:r>
      <w:r>
        <w:rPr>
          <w:noProof/>
        </w:rPr>
        <w:fldChar w:fldCharType="begin"/>
      </w:r>
      <w:r>
        <w:rPr>
          <w:noProof/>
        </w:rPr>
        <w:instrText xml:space="preserve"> SEQ MTEqn \c \* Arabic \* MERGEFORMAT </w:instrText>
      </w:r>
      <w:r>
        <w:rPr>
          <w:noProof/>
        </w:rPr>
        <w:fldChar w:fldCharType="separate"/>
      </w:r>
      <w:r w:rsidR="00E00A52">
        <w:rPr>
          <w:noProof/>
        </w:rPr>
        <w:instrText>2</w:instrText>
      </w:r>
      <w:r>
        <w:rPr>
          <w:noProof/>
        </w:rPr>
        <w:fldChar w:fldCharType="end"/>
      </w:r>
      <w:r>
        <w:instrText>)</w:instrText>
      </w:r>
      <w:bookmarkEnd w:id="4"/>
      <w:r>
        <w:fldChar w:fldCharType="end"/>
      </w:r>
    </w:p>
    <w:p w14:paraId="66F46AC3" w14:textId="77777777" w:rsidR="006C3DEB" w:rsidRDefault="006C3DEB" w:rsidP="006C3DEB">
      <w:r>
        <w:t xml:space="preserve">Where </w:t>
      </w:r>
      <w:r w:rsidRPr="00E670A7">
        <w:rPr>
          <w:position w:val="-6"/>
        </w:rPr>
        <w:object w:dxaOrig="600" w:dyaOrig="279" w14:anchorId="3B5BED5A">
          <v:shape id="_x0000_i1081" type="#_x0000_t75" style="width:30pt;height:15pt" o:ole="">
            <v:imagedata r:id="rId129" o:title=""/>
          </v:shape>
          <o:OLEObject Type="Embed" ProgID="Equation.DSMT4" ShapeID="_x0000_i1081" DrawAspect="Content" ObjectID="_1754918632" r:id="rId130"/>
        </w:object>
      </w:r>
      <w:r>
        <w:t xml:space="preserve"> </w:t>
      </w:r>
      <w:r w:rsidRPr="007B6BEC">
        <w:t>is the inverse of the intertempo</w:t>
      </w:r>
      <w:r>
        <w:t>ral elasticity of substitution and</w:t>
      </w:r>
      <w:r w:rsidRPr="00E670A7">
        <w:rPr>
          <w:position w:val="-6"/>
        </w:rPr>
        <w:object w:dxaOrig="999" w:dyaOrig="320" w14:anchorId="50AD7288">
          <v:shape id="_x0000_i1082" type="#_x0000_t75" style="width:49.8pt;height:15.6pt" o:ole="">
            <v:imagedata r:id="rId131" o:title=""/>
          </v:shape>
          <o:OLEObject Type="Embed" ProgID="Equation.DSMT4" ShapeID="_x0000_i1082" DrawAspect="Content" ObjectID="_1754918633" r:id="rId132"/>
        </w:object>
      </w:r>
      <w:r w:rsidRPr="007B6BEC">
        <w:t>measur</w:t>
      </w:r>
      <w:r>
        <w:t>es</w:t>
      </w:r>
      <w:r w:rsidRPr="007B6BEC">
        <w:t xml:space="preserve"> </w:t>
      </w:r>
      <w:r>
        <w:t xml:space="preserve">the household’s preference for </w:t>
      </w:r>
      <w:r w:rsidRPr="007B6BEC">
        <w:t xml:space="preserve">consumption </w:t>
      </w:r>
      <w:r>
        <w:t>over leisure</w:t>
      </w:r>
      <w:r w:rsidRPr="007B6BEC">
        <w:t xml:space="preserve">. </w:t>
      </w:r>
    </w:p>
    <w:p w14:paraId="49B0B87F" w14:textId="77777777" w:rsidR="006C3DEB" w:rsidRDefault="006C3DEB" w:rsidP="006C3DEB">
      <w:r>
        <w:t>Consumption is a composite good sourced from a notional distributional sector which is explained in further details below.</w:t>
      </w:r>
    </w:p>
    <w:p w14:paraId="4A89773A" w14:textId="77777777" w:rsidR="006C3DEB" w:rsidRDefault="006C3DEB" w:rsidP="006C3DEB">
      <w:pPr>
        <w:pStyle w:val="Heading5"/>
      </w:pPr>
      <w:r>
        <w:t>Bequests</w:t>
      </w:r>
    </w:p>
    <w:p w14:paraId="16AFD3EC" w14:textId="77777777" w:rsidR="006C3DEB" w:rsidRPr="007B6BEC" w:rsidRDefault="006C3DEB" w:rsidP="006C3DEB">
      <w:r w:rsidRPr="007B6BEC">
        <w:t>Following De Nardi (2004)</w:t>
      </w:r>
      <w:r>
        <w:t xml:space="preserve">, </w:t>
      </w:r>
      <w:r w:rsidRPr="007B6BEC">
        <w:t xml:space="preserve">we </w:t>
      </w:r>
      <w:r>
        <w:t>assume ‘warm glow’</w:t>
      </w:r>
      <w:r w:rsidRPr="007B6BEC">
        <w:t xml:space="preserve"> altruism</w:t>
      </w:r>
      <w:r>
        <w:t xml:space="preserve"> with the</w:t>
      </w:r>
      <w:r w:rsidRPr="007B6BEC">
        <w:t xml:space="preserve"> household deriv</w:t>
      </w:r>
      <w:r>
        <w:t>ing</w:t>
      </w:r>
      <w:r w:rsidRPr="007B6BEC">
        <w:t xml:space="preserve"> utility from bequeathing </w:t>
      </w:r>
      <w:r>
        <w:t>their residual savings</w:t>
      </w:r>
      <w:r w:rsidRPr="007B6BEC">
        <w:t xml:space="preserve"> </w:t>
      </w:r>
      <w:r>
        <w:t xml:space="preserve">following their </w:t>
      </w:r>
      <w:r w:rsidRPr="007B6BEC">
        <w:t xml:space="preserve">death </w:t>
      </w:r>
      <w:r>
        <w:t xml:space="preserve">at time </w:t>
      </w:r>
      <w:r w:rsidRPr="00E670A7">
        <w:rPr>
          <w:position w:val="-6"/>
        </w:rPr>
        <w:object w:dxaOrig="139" w:dyaOrig="240" w14:anchorId="290FA745">
          <v:shape id="_x0000_i1083" type="#_x0000_t75" style="width:6.6pt;height:14.4pt" o:ole="">
            <v:imagedata r:id="rId133" o:title=""/>
          </v:shape>
          <o:OLEObject Type="Embed" ProgID="Equation.DSMT4" ShapeID="_x0000_i1083" DrawAspect="Content" ObjectID="_1754918634" r:id="rId134"/>
        </w:object>
      </w:r>
      <w:r>
        <w:t xml:space="preserve"> and age </w:t>
      </w:r>
      <w:r w:rsidRPr="00E670A7">
        <w:rPr>
          <w:position w:val="-6"/>
        </w:rPr>
        <w:object w:dxaOrig="200" w:dyaOrig="220" w14:anchorId="5890D011">
          <v:shape id="_x0000_i1084" type="#_x0000_t75" style="width:10.8pt;height:10.8pt" o:ole="">
            <v:imagedata r:id="rId135" o:title=""/>
          </v:shape>
          <o:OLEObject Type="Embed" ProgID="Equation.DSMT4" ShapeID="_x0000_i1084" DrawAspect="Content" ObjectID="_1754918635" r:id="rId136"/>
        </w:object>
      </w:r>
      <w:r>
        <w:t xml:space="preserve"> accordingly</w:t>
      </w:r>
      <w:r w:rsidRPr="007B6BEC">
        <w:t>:</w:t>
      </w:r>
    </w:p>
    <w:p w14:paraId="7261D521" w14:textId="77777777" w:rsidR="006C3DEB" w:rsidRPr="007B6BEC" w:rsidRDefault="006C3DEB" w:rsidP="006C3DEB">
      <w:pPr>
        <w:jc w:val="center"/>
      </w:pPr>
      <w:r w:rsidRPr="00E670A7">
        <w:rPr>
          <w:position w:val="-24"/>
        </w:rPr>
        <w:object w:dxaOrig="2760" w:dyaOrig="660" w14:anchorId="468AF963">
          <v:shape id="_x0000_i1085" type="#_x0000_t75" style="width:137.4pt;height:31.8pt" o:ole="">
            <v:imagedata r:id="rId137" o:title=""/>
          </v:shape>
          <o:OLEObject Type="Embed" ProgID="Equation.DSMT4" ShapeID="_x0000_i1085" DrawAspect="Content" ObjectID="_1754918636" r:id="rId138"/>
        </w:object>
      </w:r>
    </w:p>
    <w:p w14:paraId="2E3A4F5F" w14:textId="77777777" w:rsidR="006C3DEB" w:rsidRPr="007B6BEC" w:rsidRDefault="006C3DEB" w:rsidP="006C3DEB">
      <w:r>
        <w:t>The term</w:t>
      </w:r>
      <w:r w:rsidRPr="00E670A7">
        <w:rPr>
          <w:position w:val="-12"/>
        </w:rPr>
        <w:object w:dxaOrig="660" w:dyaOrig="380" w14:anchorId="5C8E234E">
          <v:shape id="_x0000_i1086" type="#_x0000_t75" style="width:31.8pt;height:18pt" o:ole="">
            <v:imagedata r:id="rId139" o:title=""/>
          </v:shape>
          <o:OLEObject Type="Embed" ProgID="Equation.DSMT4" ShapeID="_x0000_i1086" DrawAspect="Content" ObjectID="_1754918637" r:id="rId140"/>
        </w:object>
      </w:r>
      <w:r w:rsidRPr="007B6BEC">
        <w:t xml:space="preserve"> measures the strength of the hou</w:t>
      </w:r>
      <w:r>
        <w:t>sehold’s bequest motive, while</w:t>
      </w:r>
      <w:r w:rsidRPr="00E670A7">
        <w:rPr>
          <w:position w:val="-12"/>
        </w:rPr>
        <w:object w:dxaOrig="660" w:dyaOrig="380" w14:anchorId="53ED4718">
          <v:shape id="_x0000_i1087" type="#_x0000_t75" style="width:31.8pt;height:18pt" o:ole="">
            <v:imagedata r:id="rId141" o:title=""/>
          </v:shape>
          <o:OLEObject Type="Embed" ProgID="Equation.DSMT4" ShapeID="_x0000_i1087" DrawAspect="Content" ObjectID="_1754918638" r:id="rId142"/>
        </w:object>
      </w:r>
      <w:r w:rsidRPr="007B6BEC">
        <w:t xml:space="preserve">measures the extent to which bequests are a luxury good. </w:t>
      </w:r>
      <w:r>
        <w:t xml:space="preserve">A </w:t>
      </w:r>
      <w:r w:rsidRPr="007B6BEC">
        <w:t xml:space="preserve">bequest motive will result in the build-up of </w:t>
      </w:r>
      <w:r>
        <w:t>savings</w:t>
      </w:r>
      <w:r w:rsidRPr="007B6BEC">
        <w:t xml:space="preserve"> that is more than the household would oth</w:t>
      </w:r>
      <w:r>
        <w:t>erwise accumulate over its lifetime. For</w:t>
      </w:r>
      <w:r w:rsidRPr="00E670A7">
        <w:rPr>
          <w:position w:val="-12"/>
        </w:rPr>
        <w:object w:dxaOrig="660" w:dyaOrig="380" w14:anchorId="50CD42CD">
          <v:shape id="_x0000_i1088" type="#_x0000_t75" style="width:31.8pt;height:18pt" o:ole="">
            <v:imagedata r:id="rId143" o:title=""/>
          </v:shape>
          <o:OLEObject Type="Embed" ProgID="Equation.DSMT4" ShapeID="_x0000_i1088" DrawAspect="Content" ObjectID="_1754918639" r:id="rId144"/>
        </w:object>
      </w:r>
      <w:r w:rsidRPr="00390292">
        <w:t>the marginal utility of small bequests is bounded</w:t>
      </w:r>
      <w:r>
        <w:t xml:space="preserve"> which suggests</w:t>
      </w:r>
      <w:r w:rsidRPr="00390292">
        <w:t xml:space="preserve"> </w:t>
      </w:r>
      <w:r>
        <w:t>bequests are</w:t>
      </w:r>
      <w:r w:rsidRPr="00390292">
        <w:t xml:space="preserve"> a </w:t>
      </w:r>
      <w:r>
        <w:t>luxury good</w:t>
      </w:r>
      <w:r w:rsidRPr="00390292">
        <w:t>.</w:t>
      </w:r>
      <w:r>
        <w:t xml:space="preserve"> </w:t>
      </w:r>
    </w:p>
    <w:p w14:paraId="0E03B712" w14:textId="77777777" w:rsidR="006C3DEB" w:rsidRPr="007B6BEC" w:rsidRDefault="006C3DEB" w:rsidP="006C3DEB">
      <w:r w:rsidRPr="007B6BEC">
        <w:t>For simplicity, we assume</w:t>
      </w:r>
      <w:r>
        <w:t xml:space="preserve"> that</w:t>
      </w:r>
      <w:r w:rsidRPr="007B6BEC">
        <w:t xml:space="preserve"> </w:t>
      </w:r>
      <w:r>
        <w:t>savings</w:t>
      </w:r>
      <w:r w:rsidRPr="007B6BEC">
        <w:t xml:space="preserve"> of households who </w:t>
      </w:r>
      <w:r>
        <w:t xml:space="preserve">die at time </w:t>
      </w:r>
      <w:r w:rsidRPr="00E670A7">
        <w:rPr>
          <w:position w:val="-6"/>
        </w:rPr>
        <w:object w:dxaOrig="139" w:dyaOrig="240" w14:anchorId="6D889F91">
          <v:shape id="_x0000_i1089" type="#_x0000_t75" style="width:6.6pt;height:14.4pt" o:ole="">
            <v:imagedata r:id="rId145" o:title=""/>
          </v:shape>
          <o:OLEObject Type="Embed" ProgID="Equation.DSMT4" ShapeID="_x0000_i1089" DrawAspect="Content" ObjectID="_1754918640" r:id="rId146"/>
        </w:object>
      </w:r>
      <w:r>
        <w:t xml:space="preserve"> </w:t>
      </w:r>
      <w:r w:rsidRPr="007B6BEC">
        <w:t xml:space="preserve">are distributed equally to </w:t>
      </w:r>
      <w:r>
        <w:t xml:space="preserve">their heirs who are assumed to be the surviving population of </w:t>
      </w:r>
      <w:r w:rsidRPr="007B6BEC">
        <w:t xml:space="preserve">the same </w:t>
      </w:r>
      <w:r>
        <w:t>skill</w:t>
      </w:r>
      <w:r w:rsidRPr="007B6BEC">
        <w:t xml:space="preserve"> type:</w:t>
      </w:r>
    </w:p>
    <w:p w14:paraId="3F92F2EC" w14:textId="030A8D51" w:rsidR="006C3DEB" w:rsidRPr="007B6BEC" w:rsidRDefault="006C3DEB" w:rsidP="006C3DEB">
      <w:pPr>
        <w:pStyle w:val="MTDisplayEquation"/>
      </w:pPr>
      <w:r w:rsidRPr="007B6BEC">
        <w:tab/>
      </w:r>
      <w:r w:rsidRPr="00E670A7">
        <w:rPr>
          <w:position w:val="-60"/>
        </w:rPr>
        <w:object w:dxaOrig="3040" w:dyaOrig="1320" w14:anchorId="2D5E6980">
          <v:shape id="_x0000_i1090" type="#_x0000_t75" style="width:152.4pt;height:65.4pt" o:ole="">
            <v:imagedata r:id="rId147" o:title=""/>
          </v:shape>
          <o:OLEObject Type="Embed" ProgID="Equation.DSMT4" ShapeID="_x0000_i1090" DrawAspect="Content" ObjectID="_1754918641" r:id="rId148"/>
        </w:object>
      </w:r>
      <w:r w:rsidRPr="007B6BEC">
        <w:t xml:space="preserve"> </w: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w:instrText>
      </w:r>
      <w:r>
        <w:rPr>
          <w:noProof/>
        </w:rPr>
        <w:fldChar w:fldCharType="end"/>
      </w:r>
      <w:r>
        <w:instrText>)</w:instrText>
      </w:r>
      <w:r>
        <w:fldChar w:fldCharType="end"/>
      </w:r>
    </w:p>
    <w:p w14:paraId="037E2938" w14:textId="77777777" w:rsidR="006C3DEB" w:rsidRDefault="006C3DEB" w:rsidP="006C3DEB">
      <w:pPr>
        <w:pStyle w:val="Heading4"/>
      </w:pPr>
      <w:r>
        <w:t>Labour supply</w:t>
      </w:r>
    </w:p>
    <w:p w14:paraId="1A0008E3" w14:textId="77777777" w:rsidR="006C3DEB" w:rsidRPr="007B6BEC" w:rsidRDefault="006C3DEB" w:rsidP="006C3DEB">
      <w:r>
        <w:t>For ease of exposition and without loss of generality, h</w:t>
      </w:r>
      <w:r w:rsidRPr="007B6BEC">
        <w:t>ouseholds are assumed to have one unit of time available fo</w:t>
      </w:r>
      <w:r>
        <w:t>r market-based work or leisure:</w:t>
      </w:r>
    </w:p>
    <w:p w14:paraId="0E61A125" w14:textId="1D80DFA4" w:rsidR="006C3DEB" w:rsidRPr="007B6BEC" w:rsidRDefault="006C3DEB" w:rsidP="006C3DEB">
      <w:pPr>
        <w:pStyle w:val="MTDisplayEquation"/>
      </w:pPr>
      <w:r w:rsidRPr="007B6BEC">
        <w:tab/>
      </w:r>
      <w:r w:rsidRPr="00E670A7">
        <w:rPr>
          <w:position w:val="-12"/>
        </w:rPr>
        <w:object w:dxaOrig="1340" w:dyaOrig="380" w14:anchorId="1A0215AA">
          <v:shape id="_x0000_i1091" type="#_x0000_t75" style="width:65.4pt;height:18pt" o:ole="">
            <v:imagedata r:id="rId149" o:title=""/>
          </v:shape>
          <o:OLEObject Type="Embed" ProgID="Equation.DSMT4" ShapeID="_x0000_i1091" DrawAspect="Content" ObjectID="_1754918642" r:id="rId150"/>
        </w:object>
      </w:r>
      <w:r w:rsidRPr="007B6BEC">
        <w:t xml:space="preserve"> </w: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4</w:instrText>
      </w:r>
      <w:r>
        <w:rPr>
          <w:noProof/>
        </w:rPr>
        <w:fldChar w:fldCharType="end"/>
      </w:r>
      <w:r>
        <w:instrText>)</w:instrText>
      </w:r>
      <w:r>
        <w:fldChar w:fldCharType="end"/>
      </w:r>
    </w:p>
    <w:p w14:paraId="526FB027" w14:textId="77777777" w:rsidR="006C3DEB" w:rsidRPr="007B6BEC" w:rsidRDefault="006C3DEB" w:rsidP="006C3DEB">
      <w:r>
        <w:t>A</w:t>
      </w:r>
      <w:r w:rsidRPr="007B6BEC">
        <w:t>ggregate labour supply measured in units of time is given by:</w:t>
      </w:r>
    </w:p>
    <w:p w14:paraId="21C5AC59" w14:textId="6F78D2B5" w:rsidR="006C3DEB" w:rsidRPr="007B6BEC" w:rsidRDefault="006C3DEB" w:rsidP="006C3DEB">
      <w:pPr>
        <w:pStyle w:val="MTDisplayEquation"/>
      </w:pPr>
      <w:r w:rsidRPr="007B6BEC">
        <w:tab/>
      </w:r>
      <w:r w:rsidRPr="00E670A7">
        <w:rPr>
          <w:position w:val="-28"/>
        </w:rPr>
        <w:object w:dxaOrig="1960" w:dyaOrig="540" w14:anchorId="5D05DD25">
          <v:shape id="_x0000_i1092" type="#_x0000_t75" style="width:97.8pt;height:27pt" o:ole="">
            <v:imagedata r:id="rId151" o:title=""/>
          </v:shape>
          <o:OLEObject Type="Embed" ProgID="Equation.DSMT4" ShapeID="_x0000_i1092" DrawAspect="Content" ObjectID="_1754918643" r:id="rId152"/>
        </w:object>
      </w:r>
      <w:r>
        <w:t>,</w: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w:instrText>
      </w:r>
      <w:r>
        <w:rPr>
          <w:noProof/>
        </w:rPr>
        <w:fldChar w:fldCharType="end"/>
      </w:r>
      <w:r>
        <w:instrText>)</w:instrText>
      </w:r>
      <w:r>
        <w:fldChar w:fldCharType="end"/>
      </w:r>
    </w:p>
    <w:p w14:paraId="3771A68D" w14:textId="77777777" w:rsidR="006C3DEB" w:rsidRPr="007B6BEC" w:rsidRDefault="006C3DEB" w:rsidP="006C3DEB">
      <w:r>
        <w:t xml:space="preserve">while </w:t>
      </w:r>
      <w:r w:rsidRPr="007B6BEC">
        <w:t xml:space="preserve">aggregate labour supply measured in </w:t>
      </w:r>
      <w:r>
        <w:t xml:space="preserve">relative </w:t>
      </w:r>
      <w:r w:rsidRPr="007B6BEC">
        <w:t>efficiency units is given by:</w:t>
      </w:r>
    </w:p>
    <w:p w14:paraId="1E0F4F5C" w14:textId="4B5A5FC5" w:rsidR="006C3DEB" w:rsidRPr="007B6BEC" w:rsidRDefault="006C3DEB" w:rsidP="006C3DEB">
      <w:pPr>
        <w:pStyle w:val="MTDisplayEquation"/>
      </w:pPr>
      <w:r w:rsidRPr="007B6BEC">
        <w:lastRenderedPageBreak/>
        <w:tab/>
      </w:r>
      <w:r w:rsidRPr="00E670A7">
        <w:rPr>
          <w:position w:val="-28"/>
        </w:rPr>
        <w:object w:dxaOrig="2299" w:dyaOrig="540" w14:anchorId="4501ABBC">
          <v:shape id="_x0000_i1093" type="#_x0000_t75" style="width:114.6pt;height:27pt" o:ole="">
            <v:imagedata r:id="rId153" o:title=""/>
          </v:shape>
          <o:OLEObject Type="Embed" ProgID="Equation.DSMT4" ShapeID="_x0000_i1093" DrawAspect="Content" ObjectID="_1754918644" r:id="rId154"/>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w:instrText>
      </w:r>
      <w:r>
        <w:rPr>
          <w:noProof/>
        </w:rPr>
        <w:fldChar w:fldCharType="end"/>
      </w:r>
      <w:r>
        <w:instrText>)</w:instrText>
      </w:r>
      <w:r>
        <w:fldChar w:fldCharType="end"/>
      </w:r>
    </w:p>
    <w:p w14:paraId="4C64319F" w14:textId="77777777" w:rsidR="006C3DEB" w:rsidRDefault="006C3DEB" w:rsidP="006C3DEB">
      <w:r w:rsidRPr="007B6BEC">
        <w:t>Efficiency units are perfectly substitutable. As such, workers e</w:t>
      </w:r>
      <w:r>
        <w:t>arn a common before tax wage of</w:t>
      </w:r>
      <w:r w:rsidRPr="00E670A7">
        <w:rPr>
          <w:position w:val="-12"/>
        </w:rPr>
        <w:object w:dxaOrig="279" w:dyaOrig="360" w14:anchorId="6C261639">
          <v:shape id="_x0000_i1094" type="#_x0000_t75" style="width:15pt;height:18pt" o:ole="">
            <v:imagedata r:id="rId155" o:title=""/>
          </v:shape>
          <o:OLEObject Type="Embed" ProgID="Equation.DSMT4" ShapeID="_x0000_i1094" DrawAspect="Content" ObjectID="_1754918645" r:id="rId156"/>
        </w:object>
      </w:r>
      <w:r w:rsidRPr="007B6BEC">
        <w:t>per efficiency unit.</w:t>
      </w:r>
      <w:r>
        <w:t xml:space="preserve"> The hourly wage received by a household </w:t>
      </w:r>
      <w:r w:rsidRPr="00514689">
        <w:t xml:space="preserve">of </w:t>
      </w:r>
      <w:r>
        <w:t>age</w:t>
      </w:r>
      <w:r w:rsidRPr="00E670A7">
        <w:rPr>
          <w:position w:val="-6"/>
        </w:rPr>
        <w:object w:dxaOrig="200" w:dyaOrig="220" w14:anchorId="0C2F7B20">
          <v:shape id="_x0000_i1095" type="#_x0000_t75" style="width:10.8pt;height:10.8pt" o:ole="">
            <v:imagedata r:id="rId157" o:title=""/>
          </v:shape>
          <o:OLEObject Type="Embed" ProgID="Equation.DSMT4" ShapeID="_x0000_i1095" DrawAspect="Content" ObjectID="_1754918646" r:id="rId158"/>
        </w:object>
      </w:r>
      <w:r>
        <w:t>and skill</w:t>
      </w:r>
      <w:r w:rsidRPr="00025957">
        <w:rPr>
          <w:position w:val="-4"/>
        </w:rPr>
        <w:object w:dxaOrig="180" w:dyaOrig="260" w14:anchorId="14933C31">
          <v:shape id="_x0000_i1096" type="#_x0000_t75" style="width:9.6pt;height:14.4pt" o:ole="">
            <v:imagedata r:id="rId159" o:title=""/>
          </v:shape>
          <o:OLEObject Type="Embed" ProgID="Equation.DSMT4" ShapeID="_x0000_i1096" DrawAspect="Content" ObjectID="_1754918647" r:id="rId160"/>
        </w:object>
      </w:r>
      <w:r>
        <w:t>,</w:t>
      </w:r>
      <w:r w:rsidRPr="00E670A7">
        <w:rPr>
          <w:position w:val="-12"/>
        </w:rPr>
        <w:object w:dxaOrig="440" w:dyaOrig="380" w14:anchorId="6F78D4CD">
          <v:shape id="_x0000_i1097" type="#_x0000_t75" style="width:21.6pt;height:18pt" o:ole="">
            <v:imagedata r:id="rId161" o:title=""/>
          </v:shape>
          <o:OLEObject Type="Embed" ProgID="Equation.DSMT4" ShapeID="_x0000_i1097" DrawAspect="Content" ObjectID="_1754918648" r:id="rId162"/>
        </w:object>
      </w:r>
      <w:r>
        <w:t>is the product of the common</w:t>
      </w:r>
      <w:r w:rsidRPr="00514689">
        <w:t xml:space="preserve"> wage rate </w:t>
      </w:r>
      <w:r w:rsidRPr="002F0FDC">
        <w:t>per efficiency unit</w:t>
      </w:r>
      <w:r w:rsidRPr="00E670A7">
        <w:rPr>
          <w:position w:val="-12"/>
        </w:rPr>
        <w:object w:dxaOrig="279" w:dyaOrig="360" w14:anchorId="0988B4BC">
          <v:shape id="_x0000_i1098" type="#_x0000_t75" style="width:15pt;height:18pt" o:ole="">
            <v:imagedata r:id="rId163" o:title=""/>
          </v:shape>
          <o:OLEObject Type="Embed" ProgID="Equation.DSMT4" ShapeID="_x0000_i1098" DrawAspect="Content" ObjectID="_1754918649" r:id="rId164"/>
        </w:object>
      </w:r>
      <w:r>
        <w:t xml:space="preserve">and the household’s relative labour efficiency: </w:t>
      </w:r>
    </w:p>
    <w:p w14:paraId="3AD07941" w14:textId="77777777" w:rsidR="006C3DEB" w:rsidRDefault="006C3DEB" w:rsidP="006C3DEB">
      <w:pPr>
        <w:jc w:val="center"/>
      </w:pPr>
      <w:r w:rsidRPr="00E670A7">
        <w:rPr>
          <w:position w:val="-12"/>
        </w:rPr>
        <w:object w:dxaOrig="1240" w:dyaOrig="380" w14:anchorId="5C8A584D">
          <v:shape id="_x0000_i1099" type="#_x0000_t75" style="width:61.8pt;height:18pt" o:ole="">
            <v:imagedata r:id="rId165" o:title=""/>
          </v:shape>
          <o:OLEObject Type="Embed" ProgID="Equation.DSMT4" ShapeID="_x0000_i1099" DrawAspect="Content" ObjectID="_1754918650" r:id="rId166"/>
        </w:object>
      </w:r>
    </w:p>
    <w:p w14:paraId="6AC879F1" w14:textId="77777777" w:rsidR="006C3DEB" w:rsidRDefault="006C3DEB" w:rsidP="006C3DEB">
      <w:pPr>
        <w:pStyle w:val="Heading4"/>
      </w:pPr>
      <w:r>
        <w:t>Savings</w:t>
      </w:r>
    </w:p>
    <w:p w14:paraId="27FB0FC2" w14:textId="77777777" w:rsidR="006C3DEB" w:rsidRPr="007B6BEC" w:rsidRDefault="006C3DEB" w:rsidP="006C3DEB">
      <w:r w:rsidRPr="007B6BEC">
        <w:t xml:space="preserve">Households </w:t>
      </w:r>
      <w:r>
        <w:t xml:space="preserve">have a single savings instrument which is </w:t>
      </w:r>
      <w:r w:rsidRPr="007B6BEC">
        <w:t xml:space="preserve">assumed to </w:t>
      </w:r>
      <w:r>
        <w:t>be</w:t>
      </w:r>
      <w:r w:rsidRPr="007B6BEC">
        <w:t xml:space="preserve"> </w:t>
      </w:r>
      <w:r>
        <w:t>managed by a notional financial manager. The</w:t>
      </w:r>
      <w:r w:rsidRPr="007B6BEC">
        <w:t xml:space="preserve"> </w:t>
      </w:r>
      <w:r>
        <w:t>value</w:t>
      </w:r>
      <w:r w:rsidRPr="007B6BEC">
        <w:t xml:space="preserve"> of </w:t>
      </w:r>
      <w:r>
        <w:t>household savings</w:t>
      </w:r>
      <w:r w:rsidRPr="007B6BEC">
        <w:t xml:space="preserve"> at the beginning of time </w:t>
      </w:r>
      <w:r w:rsidRPr="00E670A7">
        <w:rPr>
          <w:position w:val="-6"/>
        </w:rPr>
        <w:object w:dxaOrig="139" w:dyaOrig="240" w14:anchorId="426A712B">
          <v:shape id="_x0000_i1100" type="#_x0000_t75" style="width:6.6pt;height:14.4pt" o:ole="">
            <v:imagedata r:id="rId167" o:title=""/>
          </v:shape>
          <o:OLEObject Type="Embed" ProgID="Equation.DSMT4" ShapeID="_x0000_i1100" DrawAspect="Content" ObjectID="_1754918651" r:id="rId168"/>
        </w:object>
      </w:r>
      <w:r w:rsidRPr="007B6BEC">
        <w:t xml:space="preserve"> </w:t>
      </w:r>
      <w:r>
        <w:t xml:space="preserve">is denoted by </w:t>
      </w:r>
      <w:r w:rsidRPr="00E670A7">
        <w:rPr>
          <w:position w:val="-12"/>
        </w:rPr>
        <w:object w:dxaOrig="380" w:dyaOrig="380" w14:anchorId="08844761">
          <v:shape id="_x0000_i1101" type="#_x0000_t75" style="width:18pt;height:18pt" o:ole="">
            <v:imagedata r:id="rId169" o:title=""/>
          </v:shape>
          <o:OLEObject Type="Embed" ProgID="Equation.DSMT4" ShapeID="_x0000_i1101" DrawAspect="Content" ObjectID="_1754918652" r:id="rId170"/>
        </w:object>
      </w:r>
      <w:r w:rsidRPr="007B6BEC">
        <w:t>. Th</w:t>
      </w:r>
      <w:r>
        <w:t>e</w:t>
      </w:r>
      <w:r w:rsidRPr="007B6BEC">
        <w:t xml:space="preserve"> </w:t>
      </w:r>
      <w:r>
        <w:t>underlying asset</w:t>
      </w:r>
      <w:r w:rsidRPr="007B6BEC">
        <w:t xml:space="preserve"> </w:t>
      </w:r>
      <w:r>
        <w:t xml:space="preserve">is </w:t>
      </w:r>
      <w:r w:rsidRPr="007B6BEC">
        <w:t xml:space="preserve">a portfolio of </w:t>
      </w:r>
      <w:r>
        <w:t xml:space="preserve">domestic and </w:t>
      </w:r>
      <w:r w:rsidRPr="007B6BEC">
        <w:t>internationally traded assets</w:t>
      </w:r>
      <w:r>
        <w:t>. The before personal income tax rate of return for this asset is</w:t>
      </w:r>
      <w:r w:rsidRPr="00E670A7">
        <w:rPr>
          <w:position w:val="-12"/>
        </w:rPr>
        <w:object w:dxaOrig="260" w:dyaOrig="380" w14:anchorId="55B31606">
          <v:shape id="_x0000_i1102" type="#_x0000_t75" style="width:14.4pt;height:18pt" o:ole="">
            <v:imagedata r:id="rId171" o:title=""/>
          </v:shape>
          <o:OLEObject Type="Embed" ProgID="Equation.DSMT4" ShapeID="_x0000_i1102" DrawAspect="Content" ObjectID="_1754918653" r:id="rId172"/>
        </w:object>
      </w:r>
      <w:r w:rsidRPr="007B6BEC">
        <w:t xml:space="preserve">. Details of the </w:t>
      </w:r>
      <w:r>
        <w:t>funds market</w:t>
      </w:r>
      <w:r w:rsidRPr="007B6BEC">
        <w:t xml:space="preserve"> are </w:t>
      </w:r>
      <w:r>
        <w:t>discussed</w:t>
      </w:r>
      <w:r w:rsidRPr="007B6BEC">
        <w:t xml:space="preserve"> in a later section. </w:t>
      </w:r>
    </w:p>
    <w:p w14:paraId="65984D08" w14:textId="77777777" w:rsidR="006C3DEB" w:rsidRDefault="006C3DEB" w:rsidP="006C3DEB">
      <w:r w:rsidRPr="007B6BEC">
        <w:t xml:space="preserve">Households </w:t>
      </w:r>
      <w:r>
        <w:t>enter the</w:t>
      </w:r>
      <w:r w:rsidRPr="007B6BEC">
        <w:t xml:space="preserve"> model with zero </w:t>
      </w:r>
      <w:r>
        <w:t>savings net of bequests (that is,</w:t>
      </w:r>
      <w:r w:rsidRPr="00FF7CC7">
        <w:t xml:space="preserve"> </w:t>
      </w:r>
      <w:r w:rsidRPr="00E670A7">
        <w:rPr>
          <w:position w:val="-12"/>
        </w:rPr>
        <w:object w:dxaOrig="1660" w:dyaOrig="380" w14:anchorId="5260D073">
          <v:shape id="_x0000_i1103" type="#_x0000_t75" style="width:82.8pt;height:18pt" o:ole="">
            <v:imagedata r:id="rId173" o:title=""/>
          </v:shape>
          <o:OLEObject Type="Embed" ProgID="Equation.DSMT4" ShapeID="_x0000_i1103" DrawAspect="Content" ObjectID="_1754918654" r:id="rId174"/>
        </w:object>
      </w:r>
      <w:r>
        <w:t>)</w:t>
      </w:r>
      <w:r w:rsidRPr="007B6BEC">
        <w:t xml:space="preserve">. </w:t>
      </w:r>
      <w:r>
        <w:t xml:space="preserve">However, they </w:t>
      </w:r>
      <w:r w:rsidRPr="007B6BEC">
        <w:t xml:space="preserve">can borrow at </w:t>
      </w:r>
      <w:r>
        <w:t>the before personal income tax rate of return</w:t>
      </w:r>
      <w:r w:rsidRPr="00E670A7">
        <w:rPr>
          <w:position w:val="-12"/>
        </w:rPr>
        <w:object w:dxaOrig="260" w:dyaOrig="380" w14:anchorId="6729B7AC">
          <v:shape id="_x0000_i1104" type="#_x0000_t75" style="width:14.4pt;height:18pt" o:ole="">
            <v:imagedata r:id="rId175" o:title=""/>
          </v:shape>
          <o:OLEObject Type="Embed" ProgID="Equation.DSMT4" ShapeID="_x0000_i1104" DrawAspect="Content" ObjectID="_1754918655" r:id="rId176"/>
        </w:object>
      </w:r>
      <w:r w:rsidRPr="007B6BEC">
        <w:t>sub</w:t>
      </w:r>
      <w:r>
        <w:t>ject to the following borrowing constraint:</w:t>
      </w:r>
    </w:p>
    <w:p w14:paraId="1ED017A8" w14:textId="77777777" w:rsidR="006C3DEB" w:rsidRDefault="006C3DEB" w:rsidP="006C3DEB">
      <w:pPr>
        <w:jc w:val="center"/>
      </w:pPr>
      <w:r w:rsidRPr="00E670A7">
        <w:rPr>
          <w:position w:val="-12"/>
        </w:rPr>
        <w:object w:dxaOrig="980" w:dyaOrig="380" w14:anchorId="467830E7">
          <v:shape id="_x0000_i1105" type="#_x0000_t75" style="width:48pt;height:18pt" o:ole="">
            <v:imagedata r:id="rId177" o:title=""/>
          </v:shape>
          <o:OLEObject Type="Embed" ProgID="Equation.DSMT4" ShapeID="_x0000_i1105" DrawAspect="Content" ObjectID="_1754918656" r:id="rId178"/>
        </w:object>
      </w:r>
      <w:r w:rsidRPr="007B6BEC">
        <w:t xml:space="preserve"> </w:t>
      </w:r>
    </w:p>
    <w:p w14:paraId="30284327" w14:textId="77777777" w:rsidR="006C3DEB" w:rsidRDefault="006C3DEB" w:rsidP="006C3DEB">
      <w:r>
        <w:t xml:space="preserve">where </w:t>
      </w:r>
      <w:r w:rsidRPr="00E670A7">
        <w:rPr>
          <w:position w:val="-12"/>
        </w:rPr>
        <w:object w:dxaOrig="780" w:dyaOrig="380" w14:anchorId="0BF8EB95">
          <v:shape id="_x0000_i1106" type="#_x0000_t75" style="width:39.6pt;height:18pt" o:ole="">
            <v:imagedata r:id="rId179" o:title=""/>
          </v:shape>
          <o:OLEObject Type="Embed" ProgID="Equation.DSMT4" ShapeID="_x0000_i1106" DrawAspect="Content" ObjectID="_1754918657" r:id="rId180"/>
        </w:object>
      </w:r>
      <w:r>
        <w:t xml:space="preserve">is the credit limit for households to borrow. For the current version of OLGA, we have </w:t>
      </w:r>
      <w:r w:rsidRPr="00E670A7">
        <w:rPr>
          <w:position w:val="-12"/>
        </w:rPr>
        <w:object w:dxaOrig="980" w:dyaOrig="380" w14:anchorId="6772688D">
          <v:shape id="_x0000_i1107" type="#_x0000_t75" style="width:48pt;height:18pt" o:ole="">
            <v:imagedata r:id="rId181" o:title=""/>
          </v:shape>
          <o:OLEObject Type="Embed" ProgID="Equation.DSMT4" ShapeID="_x0000_i1107" DrawAspect="Content" ObjectID="_1754918658" r:id="rId182"/>
        </w:object>
      </w:r>
      <w:r>
        <w:t xml:space="preserve">for all </w:t>
      </w:r>
      <w:r w:rsidRPr="00E670A7">
        <w:rPr>
          <w:position w:val="-6"/>
        </w:rPr>
        <w:object w:dxaOrig="680" w:dyaOrig="279" w14:anchorId="2B21D69F">
          <v:shape id="_x0000_i1108" type="#_x0000_t75" style="width:33pt;height:15pt" o:ole="">
            <v:imagedata r:id="rId183" o:title=""/>
          </v:shape>
          <o:OLEObject Type="Embed" ProgID="Equation.DSMT4" ShapeID="_x0000_i1108" DrawAspect="Content" ObjectID="_1754918659" r:id="rId184"/>
        </w:object>
      </w:r>
      <w:r>
        <w:t xml:space="preserve"> and</w:t>
      </w:r>
      <w:r w:rsidRPr="00E670A7">
        <w:rPr>
          <w:position w:val="-12"/>
        </w:rPr>
        <w:object w:dxaOrig="780" w:dyaOrig="380" w14:anchorId="4C334CBB">
          <v:shape id="_x0000_i1109" type="#_x0000_t75" style="width:39.6pt;height:18pt" o:ole="">
            <v:imagedata r:id="rId185" o:title=""/>
          </v:shape>
          <o:OLEObject Type="Embed" ProgID="Equation.DSMT4" ShapeID="_x0000_i1109" DrawAspect="Content" ObjectID="_1754918660" r:id="rId186"/>
        </w:object>
      </w:r>
      <w:r>
        <w:t xml:space="preserve">for all </w:t>
      </w:r>
      <w:r w:rsidRPr="00E670A7">
        <w:rPr>
          <w:position w:val="-6"/>
        </w:rPr>
        <w:object w:dxaOrig="680" w:dyaOrig="279" w14:anchorId="671379E6">
          <v:shape id="_x0000_i1110" type="#_x0000_t75" style="width:33pt;height:15pt" o:ole="">
            <v:imagedata r:id="rId187" o:title=""/>
          </v:shape>
          <o:OLEObject Type="Embed" ProgID="Equation.DSMT4" ShapeID="_x0000_i1110" DrawAspect="Content" ObjectID="_1754918661" r:id="rId188"/>
        </w:object>
      </w:r>
      <w:r>
        <w:t>. Intuitively, this allows households under the age of 60 (but not over) to borrow against their future income. This means that households who are eligible for age pensions are not able to borrow against future age pension payments.</w:t>
      </w:r>
    </w:p>
    <w:p w14:paraId="13A4EEB6" w14:textId="77777777" w:rsidR="006C3DEB" w:rsidRDefault="006C3DEB" w:rsidP="006C3DEB">
      <w:pPr>
        <w:pStyle w:val="Heading4"/>
      </w:pPr>
      <w:r>
        <w:t>Personal income tax</w:t>
      </w:r>
    </w:p>
    <w:p w14:paraId="396670CB" w14:textId="77777777" w:rsidR="006C3DEB" w:rsidRDefault="006C3DEB" w:rsidP="006C3DEB">
      <w:r w:rsidRPr="007B6BEC">
        <w:t>Households are subject to personal income tax (PIT). PIT is levied on the following tax base:</w:t>
      </w:r>
    </w:p>
    <w:p w14:paraId="2A01E9D3" w14:textId="77777777" w:rsidR="006C3DEB" w:rsidRDefault="006C3DEB" w:rsidP="006C3DEB">
      <w:pPr>
        <w:jc w:val="center"/>
      </w:pPr>
      <w:r w:rsidRPr="00E670A7">
        <w:rPr>
          <w:position w:val="-16"/>
        </w:rPr>
        <w:object w:dxaOrig="4660" w:dyaOrig="440" w14:anchorId="71384FD5">
          <v:shape id="_x0000_i1111" type="#_x0000_t75" style="width:231.6pt;height:21.6pt" o:ole="">
            <v:imagedata r:id="rId189" o:title=""/>
          </v:shape>
          <o:OLEObject Type="Embed" ProgID="Equation.DSMT4" ShapeID="_x0000_i1111" DrawAspect="Content" ObjectID="_1754918662" r:id="rId190"/>
        </w:object>
      </w:r>
    </w:p>
    <w:p w14:paraId="26740178" w14:textId="77777777" w:rsidR="006C3DEB" w:rsidRDefault="006C3DEB" w:rsidP="006C3DEB">
      <w:r>
        <w:t>where:</w:t>
      </w:r>
      <w:r w:rsidRPr="00522196">
        <w:t xml:space="preserve"> </w:t>
      </w:r>
      <w:r w:rsidRPr="00E670A7">
        <w:rPr>
          <w:position w:val="-12"/>
        </w:rPr>
        <w:object w:dxaOrig="480" w:dyaOrig="380" w14:anchorId="185B9212">
          <v:shape id="_x0000_i1112" type="#_x0000_t75" style="width:24pt;height:18pt" o:ole="">
            <v:imagedata r:id="rId191" o:title=""/>
          </v:shape>
          <o:OLEObject Type="Embed" ProgID="Equation.DSMT4" ShapeID="_x0000_i1112" DrawAspect="Content" ObjectID="_1754918663" r:id="rId192"/>
        </w:object>
      </w:r>
      <w:r>
        <w:t xml:space="preserve">is the ratio of income </w:t>
      </w:r>
      <w:r w:rsidRPr="00E13377">
        <w:t>tax deductions and exemptions to gross income;</w:t>
      </w:r>
      <w:r>
        <w:t xml:space="preserve"> </w:t>
      </w:r>
      <w:r w:rsidRPr="00E670A7">
        <w:rPr>
          <w:position w:val="-12"/>
        </w:rPr>
        <w:object w:dxaOrig="660" w:dyaOrig="380" w14:anchorId="0BFF8167">
          <v:shape id="_x0000_i1113" type="#_x0000_t75" style="width:31.8pt;height:18pt" o:ole="">
            <v:imagedata r:id="rId193" o:title=""/>
          </v:shape>
          <o:OLEObject Type="Embed" ProgID="Equation.DSMT4" ShapeID="_x0000_i1113" DrawAspect="Content" ObjectID="_1754918664" r:id="rId194"/>
        </w:object>
      </w:r>
      <w:r>
        <w:t xml:space="preserve">is the means-tested age pension; </w:t>
      </w:r>
      <w:r w:rsidRPr="00E670A7">
        <w:rPr>
          <w:position w:val="-12"/>
        </w:rPr>
        <w:object w:dxaOrig="620" w:dyaOrig="380" w14:anchorId="6413FD1F">
          <v:shape id="_x0000_i1114" type="#_x0000_t75" style="width:31.2pt;height:18pt" o:ole="">
            <v:imagedata r:id="rId195" o:title=""/>
          </v:shape>
          <o:OLEObject Type="Embed" ProgID="Equation.DSMT4" ShapeID="_x0000_i1114" DrawAspect="Content" ObjectID="_1754918665" r:id="rId196"/>
        </w:object>
      </w:r>
      <w:r>
        <w:t xml:space="preserve">is other taxable transfers from the government such as unemployment benefits and the disability pension; and taxable </w:t>
      </w:r>
      <w:r w:rsidRPr="00514689">
        <w:t>labour income</w:t>
      </w:r>
      <w:r>
        <w:t xml:space="preserve"> before deductions </w:t>
      </w:r>
      <w:r w:rsidRPr="00E670A7">
        <w:rPr>
          <w:position w:val="-12"/>
        </w:rPr>
        <w:object w:dxaOrig="520" w:dyaOrig="380" w14:anchorId="6DE26AA5">
          <v:shape id="_x0000_i1115" type="#_x0000_t75" style="width:25.8pt;height:18pt" o:ole="">
            <v:imagedata r:id="rId197" o:title=""/>
          </v:shape>
          <o:OLEObject Type="Embed" ProgID="Equation.DSMT4" ShapeID="_x0000_i1115" DrawAspect="Content" ObjectID="_1754918666" r:id="rId198"/>
        </w:object>
      </w:r>
      <w:r>
        <w:t>is defined as follows:</w:t>
      </w:r>
    </w:p>
    <w:p w14:paraId="4B692CD0" w14:textId="77777777" w:rsidR="006C3DEB" w:rsidRDefault="006C3DEB" w:rsidP="006C3DEB">
      <w:pPr>
        <w:jc w:val="center"/>
      </w:pPr>
      <w:r w:rsidRPr="00E670A7">
        <w:rPr>
          <w:position w:val="-12"/>
        </w:rPr>
        <w:object w:dxaOrig="1540" w:dyaOrig="380" w14:anchorId="22223AB9">
          <v:shape id="_x0000_i1116" type="#_x0000_t75" style="width:76.8pt;height:18pt" o:ole="">
            <v:imagedata r:id="rId199" o:title=""/>
          </v:shape>
          <o:OLEObject Type="Embed" ProgID="Equation.DSMT4" ShapeID="_x0000_i1116" DrawAspect="Content" ObjectID="_1754918667" r:id="rId200"/>
        </w:object>
      </w:r>
    </w:p>
    <w:p w14:paraId="1CE907B3" w14:textId="77777777" w:rsidR="006C3DEB" w:rsidRPr="007B6BEC" w:rsidRDefault="006C3DEB" w:rsidP="006C3DEB">
      <w:r>
        <w:t xml:space="preserve">The capital income </w:t>
      </w:r>
      <w:r w:rsidRPr="007B6BEC">
        <w:t xml:space="preserve">tax base for </w:t>
      </w:r>
      <w:r>
        <w:t xml:space="preserve">the </w:t>
      </w:r>
      <w:r w:rsidRPr="007B6BEC">
        <w:t>purpose of calculat</w:t>
      </w:r>
      <w:r>
        <w:t>ing personal income tax payable</w:t>
      </w:r>
      <w:r w:rsidRPr="00E670A7">
        <w:rPr>
          <w:position w:val="-12"/>
        </w:rPr>
        <w:object w:dxaOrig="520" w:dyaOrig="380" w14:anchorId="16338B93">
          <v:shape id="_x0000_i1117" type="#_x0000_t75" style="width:25.8pt;height:18pt" o:ole="">
            <v:imagedata r:id="rId201" o:title=""/>
          </v:shape>
          <o:OLEObject Type="Embed" ProgID="Equation.DSMT4" ShapeID="_x0000_i1117" DrawAspect="Content" ObjectID="_1754918668" r:id="rId202"/>
        </w:object>
      </w:r>
      <w:r>
        <w:t>is</w:t>
      </w:r>
      <w:r w:rsidRPr="007B6BEC">
        <w:t>:</w:t>
      </w:r>
    </w:p>
    <w:p w14:paraId="32D9133A" w14:textId="77777777" w:rsidR="006C3DEB" w:rsidRPr="007B6BEC" w:rsidRDefault="006C3DEB" w:rsidP="006C3DEB">
      <w:pPr>
        <w:jc w:val="center"/>
      </w:pPr>
      <w:r w:rsidRPr="00E670A7">
        <w:rPr>
          <w:position w:val="-12"/>
        </w:rPr>
        <w:object w:dxaOrig="1960" w:dyaOrig="380" w14:anchorId="527E3B00">
          <v:shape id="_x0000_i1118" type="#_x0000_t75" style="width:97.8pt;height:18pt" o:ole="">
            <v:imagedata r:id="rId203" o:title=""/>
          </v:shape>
          <o:OLEObject Type="Embed" ProgID="Equation.DSMT4" ShapeID="_x0000_i1118" DrawAspect="Content" ObjectID="_1754918669" r:id="rId204"/>
        </w:object>
      </w:r>
    </w:p>
    <w:p w14:paraId="4CC3708F" w14:textId="40B7AED2" w:rsidR="006C3DEB" w:rsidRPr="007B6BEC" w:rsidRDefault="006C3DEB" w:rsidP="006C3DEB">
      <w:r>
        <w:lastRenderedPageBreak/>
        <w:t>w</w:t>
      </w:r>
      <w:r w:rsidRPr="007B6BEC">
        <w:t>here</w:t>
      </w:r>
      <w:r>
        <w:t>:</w:t>
      </w:r>
      <w:r w:rsidRPr="00E670A7">
        <w:rPr>
          <w:position w:val="-12"/>
        </w:rPr>
        <w:object w:dxaOrig="279" w:dyaOrig="380" w14:anchorId="4FAA5C78">
          <v:shape id="_x0000_i1119" type="#_x0000_t75" style="width:15pt;height:18pt" o:ole="">
            <v:imagedata r:id="rId205" o:title=""/>
          </v:shape>
          <o:OLEObject Type="Embed" ProgID="Equation.DSMT4" ShapeID="_x0000_i1119" DrawAspect="Content" ObjectID="_1754918670" r:id="rId206"/>
        </w:object>
      </w:r>
      <w:r w:rsidRPr="007B6BEC">
        <w:t>is the taxable return</w:t>
      </w:r>
      <w:r>
        <w:t xml:space="preserve"> on savings at time </w:t>
      </w:r>
      <w:r w:rsidRPr="00E670A7">
        <w:rPr>
          <w:position w:val="-6"/>
        </w:rPr>
        <w:object w:dxaOrig="139" w:dyaOrig="240" w14:anchorId="55AA4FE5">
          <v:shape id="_x0000_i1120" type="#_x0000_t75" style="width:6.6pt;height:14.4pt" o:ole="">
            <v:imagedata r:id="rId207" o:title=""/>
          </v:shape>
          <o:OLEObject Type="Embed" ProgID="Equation.DSMT4" ShapeID="_x0000_i1120" DrawAspect="Content" ObjectID="_1754918671" r:id="rId208"/>
        </w:object>
      </w:r>
      <w:r>
        <w:t>, which reflects the actual distribution/flow of earnings via interest, dividends and off-market share buy-backs; and</w:t>
      </w:r>
      <w:r w:rsidR="00687CFF">
        <w:t xml:space="preserve"> </w:t>
      </w:r>
      <w:r w:rsidRPr="00E670A7">
        <w:rPr>
          <w:position w:val="-12"/>
        </w:rPr>
        <w:object w:dxaOrig="499" w:dyaOrig="380" w14:anchorId="01C7D80A">
          <v:shape id="_x0000_i1121" type="#_x0000_t75" style="width:25.2pt;height:18pt" o:ole="">
            <v:imagedata r:id="rId209" o:title=""/>
          </v:shape>
          <o:OLEObject Type="Embed" ProgID="Equation.DSMT4" ShapeID="_x0000_i1121" DrawAspect="Content" ObjectID="_1754918672" r:id="rId210"/>
        </w:object>
      </w:r>
      <w:r>
        <w:t>denotes changes to the value of savings due to changes in asset prices. Taxable returns are also affected by discounting and credits.</w:t>
      </w:r>
    </w:p>
    <w:p w14:paraId="2F458FC9" w14:textId="77777777" w:rsidR="006C3DEB" w:rsidRDefault="006C3DEB" w:rsidP="006C3DEB">
      <w:r w:rsidRPr="007B6BEC">
        <w:t xml:space="preserve">Personal income tax payable </w:t>
      </w:r>
      <w:r>
        <w:t xml:space="preserve">(before franking credit refunds and any offsets) </w:t>
      </w:r>
      <w:r w:rsidRPr="007B6BEC">
        <w:t>varies according to the following progressive schedule</w:t>
      </w:r>
      <w:r>
        <w:t xml:space="preserve"> with </w:t>
      </w:r>
      <w:r w:rsidRPr="0026149B">
        <w:rPr>
          <w:i/>
        </w:rPr>
        <w:t>J</w:t>
      </w:r>
      <w:r>
        <w:t xml:space="preserve"> brackets:</w:t>
      </w:r>
    </w:p>
    <w:p w14:paraId="1AA9D981" w14:textId="77777777" w:rsidR="006C3DEB" w:rsidRPr="007B6BEC" w:rsidRDefault="006C3DEB" w:rsidP="006C3DEB">
      <w:pPr>
        <w:tabs>
          <w:tab w:val="left" w:pos="352"/>
        </w:tabs>
        <w:jc w:val="center"/>
      </w:pPr>
      <w:r w:rsidRPr="00E670A7">
        <w:rPr>
          <w:position w:val="-106"/>
        </w:rPr>
        <w:object w:dxaOrig="8020" w:dyaOrig="2240" w14:anchorId="6AB7B4EC">
          <v:shape id="_x0000_i1122" type="#_x0000_t75" style="width:402pt;height:113.4pt" o:ole="">
            <v:imagedata r:id="rId211" o:title=""/>
          </v:shape>
          <o:OLEObject Type="Embed" ProgID="Equation.DSMT4" ShapeID="_x0000_i1122" DrawAspect="Content" ObjectID="_1754918673" r:id="rId212"/>
        </w:object>
      </w:r>
    </w:p>
    <w:p w14:paraId="0109F3C9" w14:textId="5E7147AE" w:rsidR="006C3DEB" w:rsidRDefault="006C3DEB" w:rsidP="006C3DEB">
      <w:r>
        <w:t>where:</w:t>
      </w:r>
      <w:r w:rsidRPr="00FD2573">
        <w:t xml:space="preserve"> </w:t>
      </w:r>
      <w:r w:rsidRPr="00E670A7">
        <w:rPr>
          <w:position w:val="-6"/>
        </w:rPr>
        <w:object w:dxaOrig="360" w:dyaOrig="279" w14:anchorId="24A4B1E8">
          <v:shape id="_x0000_i1123" type="#_x0000_t75" style="width:18pt;height:15pt" o:ole="">
            <v:imagedata r:id="rId213" o:title=""/>
          </v:shape>
          <o:OLEObject Type="Embed" ProgID="Equation.DSMT4" ShapeID="_x0000_i1123" DrawAspect="Content" ObjectID="_1754918674" r:id="rId214"/>
        </w:object>
      </w:r>
      <w:r>
        <w:t xml:space="preserve"> is the closest threshold that is larger than</w:t>
      </w:r>
      <w:r w:rsidRPr="00E670A7">
        <w:rPr>
          <w:position w:val="-12"/>
        </w:rPr>
        <w:object w:dxaOrig="520" w:dyaOrig="380" w14:anchorId="5D49D889">
          <v:shape id="_x0000_i1124" type="#_x0000_t75" style="width:25.8pt;height:18pt" o:ole="">
            <v:imagedata r:id="rId215" o:title=""/>
          </v:shape>
          <o:OLEObject Type="Embed" ProgID="Equation.DSMT4" ShapeID="_x0000_i1124" DrawAspect="Content" ObjectID="_1754918675" r:id="rId216"/>
        </w:object>
      </w:r>
      <w:r>
        <w:t>;</w:t>
      </w:r>
      <w:r w:rsidRPr="007B6BEC" w:rsidDel="006C278B">
        <w:t xml:space="preserve"> </w:t>
      </w:r>
      <w:r w:rsidRPr="00E670A7">
        <w:rPr>
          <w:position w:val="-14"/>
        </w:rPr>
        <w:object w:dxaOrig="499" w:dyaOrig="480" w14:anchorId="7504F601">
          <v:shape id="_x0000_i1125" type="#_x0000_t75" style="width:25.2pt;height:24pt" o:ole="">
            <v:imagedata r:id="rId217" o:title=""/>
          </v:shape>
          <o:OLEObject Type="Embed" ProgID="Equation.DSMT4" ShapeID="_x0000_i1125" DrawAspect="Content" ObjectID="_1754918676" r:id="rId218"/>
        </w:object>
      </w:r>
      <w:r>
        <w:t xml:space="preserve">is the upper threshold for income </w:t>
      </w:r>
      <w:r w:rsidRPr="007B6BEC">
        <w:t>bracket</w:t>
      </w:r>
      <w:r w:rsidRPr="00E670A7">
        <w:rPr>
          <w:position w:val="-10"/>
        </w:rPr>
        <w:object w:dxaOrig="200" w:dyaOrig="300" w14:anchorId="5A5E7654">
          <v:shape id="_x0000_i1126" type="#_x0000_t75" style="width:10.8pt;height:15pt" o:ole="">
            <v:imagedata r:id="rId219" o:title=""/>
          </v:shape>
          <o:OLEObject Type="Embed" ProgID="Equation.DSMT4" ShapeID="_x0000_i1126" DrawAspect="Content" ObjectID="_1754918677" r:id="rId220"/>
        </w:object>
      </w:r>
      <w:r>
        <w:t>; and income in bracket</w:t>
      </w:r>
      <w:r w:rsidRPr="00E670A7">
        <w:rPr>
          <w:position w:val="-14"/>
        </w:rPr>
        <w:object w:dxaOrig="639" w:dyaOrig="480" w14:anchorId="74EE58FE">
          <v:shape id="_x0000_i1127" type="#_x0000_t75" style="width:31.8pt;height:24pt" o:ole="">
            <v:imagedata r:id="rId221" o:title=""/>
          </v:shape>
          <o:OLEObject Type="Embed" ProgID="Equation.DSMT4" ShapeID="_x0000_i1127" DrawAspect="Content" ObjectID="_1754918678" r:id="rId222"/>
        </w:object>
      </w:r>
      <w:r w:rsidR="002537A7">
        <w:t xml:space="preserve"> </w:t>
      </w:r>
      <w:r>
        <w:t>to</w:t>
      </w:r>
      <w:r w:rsidRPr="00E670A7">
        <w:rPr>
          <w:position w:val="-14"/>
        </w:rPr>
        <w:object w:dxaOrig="499" w:dyaOrig="480" w14:anchorId="76D8F85D">
          <v:shape id="_x0000_i1128" type="#_x0000_t75" style="width:25.2pt;height:24pt" o:ole="">
            <v:imagedata r:id="rId223" o:title=""/>
          </v:shape>
          <o:OLEObject Type="Embed" ProgID="Equation.DSMT4" ShapeID="_x0000_i1128" DrawAspect="Content" ObjectID="_1754918679" r:id="rId224"/>
        </w:object>
      </w:r>
      <w:r w:rsidR="00A51238">
        <w:t xml:space="preserve"> </w:t>
      </w:r>
      <w:r>
        <w:t xml:space="preserve">is </w:t>
      </w:r>
      <w:r w:rsidRPr="007B6BEC">
        <w:t>subject to marginal ta</w:t>
      </w:r>
      <w:r>
        <w:t>x rate</w:t>
      </w:r>
      <w:r w:rsidRPr="00E670A7">
        <w:rPr>
          <w:position w:val="-14"/>
        </w:rPr>
        <w:object w:dxaOrig="380" w:dyaOrig="400" w14:anchorId="7CBCFDCB">
          <v:shape id="_x0000_i1129" type="#_x0000_t75" style="width:18pt;height:20.4pt" o:ole="">
            <v:imagedata r:id="rId225" o:title=""/>
          </v:shape>
          <o:OLEObject Type="Embed" ProgID="Equation.DSMT4" ShapeID="_x0000_i1129" DrawAspect="Content" ObjectID="_1754918680" r:id="rId226"/>
        </w:object>
      </w:r>
      <w:r>
        <w:t>.</w:t>
      </w:r>
    </w:p>
    <w:p w14:paraId="75DA0D8B" w14:textId="77777777" w:rsidR="006C3DEB" w:rsidRDefault="006C3DEB" w:rsidP="006C3DEB">
      <w:r>
        <w:t>The gross personal income tax liability can be reduced by a number of income-dependent tax offsets:</w:t>
      </w:r>
    </w:p>
    <w:p w14:paraId="49467370" w14:textId="77777777" w:rsidR="006C3DEB" w:rsidRDefault="006C3DEB" w:rsidP="006C3DEB">
      <w:pPr>
        <w:jc w:val="center"/>
      </w:pPr>
      <w:r w:rsidRPr="00E670A7">
        <w:rPr>
          <w:position w:val="-68"/>
        </w:rPr>
        <w:object w:dxaOrig="7200" w:dyaOrig="1480" w14:anchorId="7961583E">
          <v:shape id="_x0000_i1130" type="#_x0000_t75" style="width:5in;height:72.6pt" o:ole="">
            <v:imagedata r:id="rId227" o:title=""/>
          </v:shape>
          <o:OLEObject Type="Embed" ProgID="Equation.DSMT4" ShapeID="_x0000_i1130" DrawAspect="Content" ObjectID="_1754918681" r:id="rId228"/>
        </w:object>
      </w:r>
    </w:p>
    <w:p w14:paraId="2EC76688" w14:textId="1CA57A82" w:rsidR="006C3DEB" w:rsidRDefault="006C3DEB" w:rsidP="006C3DEB">
      <w:r>
        <w:t>where:</w:t>
      </w:r>
      <w:r w:rsidRPr="00B146DE">
        <w:t xml:space="preserve"> </w:t>
      </w:r>
      <w:r w:rsidRPr="00E670A7">
        <w:rPr>
          <w:position w:val="-14"/>
        </w:rPr>
        <w:object w:dxaOrig="800" w:dyaOrig="400" w14:anchorId="26833A56">
          <v:shape id="_x0000_i1131" type="#_x0000_t75" style="width:40.8pt;height:20.4pt" o:ole="">
            <v:imagedata r:id="rId229" o:title=""/>
          </v:shape>
          <o:OLEObject Type="Embed" ProgID="Equation.DSMT4" ShapeID="_x0000_i1131" DrawAspect="Content" ObjectID="_1754918682" r:id="rId230"/>
        </w:object>
      </w:r>
      <w:r w:rsidR="00A37BEA">
        <w:t xml:space="preserve"> </w:t>
      </w:r>
      <w:r w:rsidRPr="007B6BEC">
        <w:t xml:space="preserve">is the </w:t>
      </w:r>
      <w:r>
        <w:t xml:space="preserve">maximum amount for offset </w:t>
      </w:r>
      <w:r w:rsidRPr="00E670A7">
        <w:rPr>
          <w:position w:val="-10"/>
        </w:rPr>
        <w:object w:dxaOrig="200" w:dyaOrig="300" w14:anchorId="1361B9CE">
          <v:shape id="_x0000_i1132" type="#_x0000_t75" style="width:10.8pt;height:15pt" o:ole="">
            <v:imagedata r:id="rId231" o:title=""/>
          </v:shape>
          <o:OLEObject Type="Embed" ProgID="Equation.DSMT4" ShapeID="_x0000_i1132" DrawAspect="Content" ObjectID="_1754918683" r:id="rId232"/>
        </w:object>
      </w:r>
      <w:r>
        <w:t>;</w:t>
      </w:r>
      <w:r w:rsidRPr="00E670A7">
        <w:rPr>
          <w:position w:val="-14"/>
        </w:rPr>
        <w:object w:dxaOrig="600" w:dyaOrig="480" w14:anchorId="2721CF08">
          <v:shape id="_x0000_i1133" type="#_x0000_t75" style="width:30pt;height:24pt" o:ole="">
            <v:imagedata r:id="rId233" o:title=""/>
          </v:shape>
          <o:OLEObject Type="Embed" ProgID="Equation.DSMT4" ShapeID="_x0000_i1133" DrawAspect="Content" ObjectID="_1754918684" r:id="rId234"/>
        </w:object>
      </w:r>
      <w:r w:rsidR="00A37BEA">
        <w:t xml:space="preserve"> </w:t>
      </w:r>
      <w:r>
        <w:t xml:space="preserve">and </w:t>
      </w:r>
      <w:r w:rsidRPr="00E670A7">
        <w:rPr>
          <w:position w:val="-14"/>
        </w:rPr>
        <w:object w:dxaOrig="620" w:dyaOrig="480" w14:anchorId="57102C6A">
          <v:shape id="_x0000_i1134" type="#_x0000_t75" style="width:31.2pt;height:24pt" o:ole="">
            <v:imagedata r:id="rId235" o:title=""/>
          </v:shape>
          <o:OLEObject Type="Embed" ProgID="Equation.DSMT4" ShapeID="_x0000_i1134" DrawAspect="Content" ObjectID="_1754918685" r:id="rId236"/>
        </w:object>
      </w:r>
      <w:r w:rsidR="0064055C">
        <w:t xml:space="preserve"> </w:t>
      </w:r>
      <w:r>
        <w:t xml:space="preserve">are income-test thresholds; and </w:t>
      </w:r>
      <w:r w:rsidRPr="00E670A7">
        <w:rPr>
          <w:position w:val="-14"/>
        </w:rPr>
        <w:object w:dxaOrig="400" w:dyaOrig="400" w14:anchorId="2284B56D">
          <v:shape id="_x0000_i1135" type="#_x0000_t75" style="width:20.4pt;height:20.4pt" o:ole="">
            <v:imagedata r:id="rId237" o:title=""/>
          </v:shape>
          <o:OLEObject Type="Embed" ProgID="Equation.DSMT4" ShapeID="_x0000_i1135" DrawAspect="Content" ObjectID="_1754918686" r:id="rId238"/>
        </w:object>
      </w:r>
      <w:r w:rsidR="00A37BEA">
        <w:t xml:space="preserve"> </w:t>
      </w:r>
      <w:r w:rsidRPr="007B6BEC">
        <w:t>is the taper rate</w:t>
      </w:r>
      <w:r>
        <w:t>,</w:t>
      </w:r>
      <w:r w:rsidRPr="007B6BEC">
        <w:t xml:space="preserve"> </w:t>
      </w:r>
      <w:r>
        <w:t>which indicates</w:t>
      </w:r>
      <w:r w:rsidRPr="007B6BEC">
        <w:t xml:space="preserve"> the amount the </w:t>
      </w:r>
      <w:r>
        <w:t>offset</w:t>
      </w:r>
      <w:r w:rsidRPr="007B6BEC">
        <w:t xml:space="preserve"> is </w:t>
      </w:r>
      <w:r>
        <w:t xml:space="preserve">reduced by </w:t>
      </w:r>
      <w:r w:rsidRPr="007B6BEC">
        <w:t>for each</w:t>
      </w:r>
      <w:r>
        <w:t xml:space="preserve"> additional unit of income above </w:t>
      </w:r>
      <w:r w:rsidRPr="00E670A7">
        <w:rPr>
          <w:position w:val="-14"/>
        </w:rPr>
        <w:object w:dxaOrig="600" w:dyaOrig="480" w14:anchorId="5830E50C">
          <v:shape id="_x0000_i1136" type="#_x0000_t75" style="width:30pt;height:24pt" o:ole="">
            <v:imagedata r:id="rId239" o:title=""/>
          </v:shape>
          <o:OLEObject Type="Embed" ProgID="Equation.DSMT4" ShapeID="_x0000_i1136" DrawAspect="Content" ObjectID="_1754918687" r:id="rId240"/>
        </w:object>
      </w:r>
      <w:r>
        <w:t>.</w:t>
      </w:r>
    </w:p>
    <w:p w14:paraId="32B536E4" w14:textId="77777777" w:rsidR="006C3DEB" w:rsidRDefault="006C3DEB" w:rsidP="006C3DEB">
      <w:r>
        <w:t>The net personal income tax liability is equal to the gross liability less franking credits and tax offsets. Tax offsets are non-refundable and are therefore applied before franking credits, resulting in a net personal income tax liability as follows:</w:t>
      </w:r>
    </w:p>
    <w:p w14:paraId="6D07873E" w14:textId="77777777" w:rsidR="006C3DEB" w:rsidRDefault="006C3DEB" w:rsidP="006C3DEB">
      <w:pPr>
        <w:jc w:val="center"/>
        <w:rPr>
          <w:rStyle w:val="Emphasis"/>
          <w:i w:val="0"/>
          <w:iCs w:val="0"/>
        </w:rPr>
      </w:pPr>
      <w:r w:rsidRPr="00E670A7">
        <w:rPr>
          <w:position w:val="-32"/>
        </w:rPr>
        <w:object w:dxaOrig="4280" w:dyaOrig="760" w14:anchorId="66CFDE04">
          <v:shape id="_x0000_i1137" type="#_x0000_t75" style="width:214.2pt;height:39pt" o:ole="">
            <v:imagedata r:id="rId241" o:title=""/>
          </v:shape>
          <o:OLEObject Type="Embed" ProgID="Equation.DSMT4" ShapeID="_x0000_i1137" DrawAspect="Content" ObjectID="_1754918688" r:id="rId242"/>
        </w:object>
      </w:r>
    </w:p>
    <w:p w14:paraId="54DC3B20" w14:textId="7E76E135" w:rsidR="006C3DEB" w:rsidRDefault="006C3DEB" w:rsidP="006C3DEB">
      <w:r>
        <w:t>where:</w:t>
      </w:r>
      <w:r w:rsidRPr="00FB4AEB">
        <w:t xml:space="preserve"> </w:t>
      </w:r>
      <w:r w:rsidRPr="00E670A7">
        <w:rPr>
          <w:position w:val="-12"/>
        </w:rPr>
        <w:object w:dxaOrig="520" w:dyaOrig="380" w14:anchorId="4F85256E">
          <v:shape id="_x0000_i1138" type="#_x0000_t75" style="width:25.8pt;height:18pt" o:ole="">
            <v:imagedata r:id="rId243" o:title=""/>
          </v:shape>
          <o:OLEObject Type="Embed" ProgID="Equation.DSMT4" ShapeID="_x0000_i1138" DrawAspect="Content" ObjectID="_1754918689" r:id="rId244"/>
        </w:object>
      </w:r>
      <w:r w:rsidR="00DF6CCA">
        <w:t xml:space="preserve"> </w:t>
      </w:r>
      <w:r w:rsidRPr="007B6BEC">
        <w:t xml:space="preserve">is the franking </w:t>
      </w:r>
      <w:r>
        <w:t>credit received by the household.</w:t>
      </w:r>
    </w:p>
    <w:p w14:paraId="1FD52028" w14:textId="64181F84" w:rsidR="006C3DEB" w:rsidRDefault="006C3DEB" w:rsidP="006C3DEB">
      <w:r>
        <w:t>Given the personal income tax system described above, the effective marginal personal income tax rate will be a combination of a given household’s marginal tax rate</w:t>
      </w:r>
      <w:r w:rsidR="0004306C">
        <w:t xml:space="preserve"> </w:t>
      </w:r>
      <w:r w:rsidRPr="00E670A7">
        <w:rPr>
          <w:position w:val="-14"/>
        </w:rPr>
        <w:object w:dxaOrig="380" w:dyaOrig="400" w14:anchorId="41F9CEF8">
          <v:shape id="_x0000_i1139" type="#_x0000_t75" style="width:18pt;height:20.4pt" o:ole="">
            <v:imagedata r:id="rId245" o:title=""/>
          </v:shape>
          <o:OLEObject Type="Embed" ProgID="Equation.DSMT4" ShapeID="_x0000_i1139" DrawAspect="Content" ObjectID="_1754918690" r:id="rId246"/>
        </w:object>
      </w:r>
      <w:r>
        <w:t xml:space="preserve">, and the taper rates </w:t>
      </w:r>
      <w:r w:rsidRPr="00E670A7">
        <w:rPr>
          <w:position w:val="-14"/>
        </w:rPr>
        <w:object w:dxaOrig="400" w:dyaOrig="400" w14:anchorId="2785CA0D">
          <v:shape id="_x0000_i1140" type="#_x0000_t75" style="width:20.4pt;height:20.4pt" o:ole="">
            <v:imagedata r:id="rId247" o:title=""/>
          </v:shape>
          <o:OLEObject Type="Embed" ProgID="Equation.DSMT4" ShapeID="_x0000_i1140" DrawAspect="Content" ObjectID="_1754918691" r:id="rId248"/>
        </w:object>
      </w:r>
      <w:r w:rsidR="00DF6CCA">
        <w:t xml:space="preserve"> </w:t>
      </w:r>
      <w:r>
        <w:t>for the tax offsets that the household receives.</w:t>
      </w:r>
    </w:p>
    <w:p w14:paraId="4E3F56BA" w14:textId="77777777" w:rsidR="006C3DEB" w:rsidRDefault="006C3DEB" w:rsidP="006C3DEB">
      <w:pPr>
        <w:pStyle w:val="Heading4"/>
      </w:pPr>
      <w:r>
        <w:lastRenderedPageBreak/>
        <w:t>Transfers</w:t>
      </w:r>
    </w:p>
    <w:p w14:paraId="6EEF0040" w14:textId="77777777" w:rsidR="006C3DEB" w:rsidRDefault="006C3DEB" w:rsidP="006C3DEB">
      <w:pPr>
        <w:pStyle w:val="Heading5"/>
      </w:pPr>
      <w:r>
        <w:t>Age pension</w:t>
      </w:r>
    </w:p>
    <w:p w14:paraId="61E9798E" w14:textId="77777777" w:rsidR="006C3DEB" w:rsidRPr="007B6BEC" w:rsidRDefault="006C3DEB" w:rsidP="006C3DEB">
      <w:r w:rsidRPr="00B165EE">
        <w:t xml:space="preserve">A household </w:t>
      </w:r>
      <w:r>
        <w:t>may be</w:t>
      </w:r>
      <w:r w:rsidRPr="00B165EE">
        <w:t xml:space="preserve"> entitled to</w:t>
      </w:r>
      <w:r w:rsidRPr="007B6BEC">
        <w:t xml:space="preserve"> age pension</w:t>
      </w:r>
      <w:r w:rsidRPr="00E670A7">
        <w:rPr>
          <w:position w:val="-12"/>
        </w:rPr>
        <w:object w:dxaOrig="660" w:dyaOrig="380" w14:anchorId="52A512EA">
          <v:shape id="_x0000_i1141" type="#_x0000_t75" style="width:31.8pt;height:18pt" o:ole="">
            <v:imagedata r:id="rId249" o:title=""/>
          </v:shape>
          <o:OLEObject Type="Embed" ProgID="Equation.DSMT4" ShapeID="_x0000_i1141" DrawAspect="Content" ObjectID="_1754918692" r:id="rId250"/>
        </w:object>
      </w:r>
      <w:r>
        <w:t xml:space="preserve">after reaching the </w:t>
      </w:r>
      <w:r w:rsidRPr="007A6EE8">
        <w:t>pension eligibility age</w:t>
      </w:r>
      <w:r>
        <w:t>,</w:t>
      </w:r>
      <w:r w:rsidRPr="007B6BEC">
        <w:t xml:space="preserve"> subject to asset </w:t>
      </w:r>
      <w:r>
        <w:t>and</w:t>
      </w:r>
      <w:r w:rsidRPr="007B6BEC">
        <w:t xml:space="preserve"> income means testing</w:t>
      </w:r>
      <w:r>
        <w:t>. H</w:t>
      </w:r>
      <w:r w:rsidRPr="007B6BEC">
        <w:t>ousehold</w:t>
      </w:r>
      <w:r>
        <w:t>s receive</w:t>
      </w:r>
      <w:r w:rsidRPr="007B6BEC">
        <w:t xml:space="preserve"> t</w:t>
      </w:r>
      <w:r>
        <w:t>he smaller of the pensions implied by the asset and income tests</w:t>
      </w:r>
      <w:r w:rsidRPr="007B6BEC">
        <w:t>:</w:t>
      </w:r>
    </w:p>
    <w:p w14:paraId="54E9226A" w14:textId="77777777" w:rsidR="006C3DEB" w:rsidRPr="007B6BEC" w:rsidRDefault="006C3DEB" w:rsidP="006C3DEB">
      <w:pPr>
        <w:pStyle w:val="MTDisplayEquation"/>
      </w:pPr>
      <w:r w:rsidRPr="007B6BEC">
        <w:tab/>
      </w:r>
      <w:r w:rsidRPr="00E670A7">
        <w:rPr>
          <w:position w:val="-36"/>
        </w:rPr>
        <w:object w:dxaOrig="4239" w:dyaOrig="840" w14:anchorId="21D36BB5">
          <v:shape id="_x0000_i1142" type="#_x0000_t75" style="width:211.8pt;height:42pt" o:ole="">
            <v:imagedata r:id="rId251" o:title=""/>
          </v:shape>
          <o:OLEObject Type="Embed" ProgID="Equation.DSMT4" ShapeID="_x0000_i1142" DrawAspect="Content" ObjectID="_1754918693" r:id="rId252"/>
        </w:object>
      </w:r>
    </w:p>
    <w:p w14:paraId="0EDA1095" w14:textId="501A3244" w:rsidR="006C3DEB" w:rsidRPr="007B6BEC" w:rsidRDefault="006C3DEB" w:rsidP="006C3DEB">
      <w:r>
        <w:t>w</w:t>
      </w:r>
      <w:r w:rsidRPr="007B6BEC">
        <w:t>here</w:t>
      </w:r>
      <w:r>
        <w:t>:</w:t>
      </w:r>
      <w:r w:rsidRPr="0054527A">
        <w:t xml:space="preserve"> </w:t>
      </w:r>
      <w:r w:rsidRPr="00E670A7">
        <w:rPr>
          <w:position w:val="-12"/>
        </w:rPr>
        <w:object w:dxaOrig="520" w:dyaOrig="380" w14:anchorId="46D7CA48">
          <v:shape id="_x0000_i1143" type="#_x0000_t75" style="width:25.8pt;height:18pt" o:ole="">
            <v:imagedata r:id="rId253" o:title=""/>
          </v:shape>
          <o:OLEObject Type="Embed" ProgID="Equation.DSMT4" ShapeID="_x0000_i1143" DrawAspect="Content" ObjectID="_1754918694" r:id="rId254"/>
        </w:object>
      </w:r>
      <w:r w:rsidR="002E0F66">
        <w:t xml:space="preserve"> </w:t>
      </w:r>
      <w:r w:rsidRPr="007B6BEC">
        <w:t>is the asset-tested pension</w:t>
      </w:r>
      <w:r>
        <w:t>;</w:t>
      </w:r>
      <w:r w:rsidRPr="007B6BEC">
        <w:t xml:space="preserve"> </w:t>
      </w:r>
      <w:r w:rsidRPr="00E670A7">
        <w:rPr>
          <w:position w:val="-12"/>
        </w:rPr>
        <w:object w:dxaOrig="540" w:dyaOrig="380" w14:anchorId="5F780997">
          <v:shape id="_x0000_i1144" type="#_x0000_t75" style="width:27pt;height:18pt" o:ole="">
            <v:imagedata r:id="rId255" o:title=""/>
          </v:shape>
          <o:OLEObject Type="Embed" ProgID="Equation.DSMT4" ShapeID="_x0000_i1144" DrawAspect="Content" ObjectID="_1754918695" r:id="rId256"/>
        </w:object>
      </w:r>
      <w:r w:rsidR="002E0F66">
        <w:t xml:space="preserve"> </w:t>
      </w:r>
      <w:r w:rsidRPr="007B6BEC">
        <w:t>is the income-tested pension</w:t>
      </w:r>
      <w:r>
        <w:t xml:space="preserve">; and </w:t>
      </w:r>
      <w:r w:rsidRPr="00E670A7">
        <w:rPr>
          <w:position w:val="-12"/>
        </w:rPr>
        <w:object w:dxaOrig="400" w:dyaOrig="360" w14:anchorId="1B14D31A">
          <v:shape id="_x0000_i1145" type="#_x0000_t75" style="width:20.4pt;height:18pt" o:ole="">
            <v:imagedata r:id="rId257" o:title=""/>
          </v:shape>
          <o:OLEObject Type="Embed" ProgID="Equation.DSMT4" ShapeID="_x0000_i1145" DrawAspect="Content" ObjectID="_1754918696" r:id="rId258"/>
        </w:object>
      </w:r>
      <w:r w:rsidR="00E8169F">
        <w:t xml:space="preserve"> </w:t>
      </w:r>
      <w:r>
        <w:t>is the pension eligibility age</w:t>
      </w:r>
      <w:r w:rsidRPr="007B6BEC">
        <w:t xml:space="preserve">. </w:t>
      </w:r>
    </w:p>
    <w:p w14:paraId="5EBACFF6" w14:textId="77777777" w:rsidR="006C3DEB" w:rsidRPr="007B6BEC" w:rsidRDefault="006C3DEB" w:rsidP="006C3DEB">
      <w:r w:rsidRPr="007B6BEC">
        <w:t>The asset-tested pension is determined according to the following rule:</w:t>
      </w:r>
    </w:p>
    <w:p w14:paraId="3FC8F42C" w14:textId="77777777" w:rsidR="006C3DEB" w:rsidRPr="000D7036" w:rsidRDefault="006C3DEB" w:rsidP="006C3DEB">
      <w:pPr>
        <w:pStyle w:val="MTDisplayEquation"/>
      </w:pPr>
      <w:r w:rsidRPr="007B6BEC">
        <w:tab/>
      </w:r>
      <w:r w:rsidRPr="00E670A7">
        <w:rPr>
          <w:position w:val="-52"/>
        </w:rPr>
        <w:object w:dxaOrig="5220" w:dyaOrig="1160" w14:anchorId="08F35FD8">
          <v:shape id="_x0000_i1146" type="#_x0000_t75" style="width:261pt;height:57pt" o:ole="">
            <v:imagedata r:id="rId259" o:title=""/>
          </v:shape>
          <o:OLEObject Type="Embed" ProgID="Equation.DSMT4" ShapeID="_x0000_i1146" DrawAspect="Content" ObjectID="_1754918697" r:id="rId260"/>
        </w:object>
      </w:r>
    </w:p>
    <w:p w14:paraId="1B4C13BA" w14:textId="4688D3C7" w:rsidR="006C3DEB" w:rsidRDefault="006C3DEB" w:rsidP="006C3DEB">
      <w:r>
        <w:t>where:</w:t>
      </w:r>
      <w:r w:rsidRPr="00091E0B">
        <w:t xml:space="preserve"> </w:t>
      </w:r>
      <w:r w:rsidRPr="00E670A7">
        <w:rPr>
          <w:position w:val="-12"/>
        </w:rPr>
        <w:object w:dxaOrig="380" w:dyaOrig="380" w14:anchorId="7BB09B4F">
          <v:shape id="_x0000_i1147" type="#_x0000_t75" style="width:18pt;height:18pt" o:ole="">
            <v:imagedata r:id="rId261" o:title=""/>
          </v:shape>
          <o:OLEObject Type="Embed" ProgID="Equation.DSMT4" ShapeID="_x0000_i1147" DrawAspect="Content" ObjectID="_1754918698" r:id="rId262"/>
        </w:object>
      </w:r>
      <w:r w:rsidR="00937E66">
        <w:t xml:space="preserve"> </w:t>
      </w:r>
      <w:r>
        <w:t>are assessable assets (</w:t>
      </w:r>
      <w:r w:rsidRPr="00E670A7">
        <w:rPr>
          <w:position w:val="-12"/>
        </w:rPr>
        <w:object w:dxaOrig="1640" w:dyaOrig="380" w14:anchorId="41432E98">
          <v:shape id="_x0000_i1148" type="#_x0000_t75" style="width:82.2pt;height:18pt" o:ole="">
            <v:imagedata r:id="rId263" o:title=""/>
          </v:shape>
          <o:OLEObject Type="Embed" ProgID="Equation.DSMT4" ShapeID="_x0000_i1148" DrawAspect="Content" ObjectID="_1754918699" r:id="rId264"/>
        </w:object>
      </w:r>
      <w:r>
        <w:t>, where</w:t>
      </w:r>
      <w:r w:rsidRPr="00E670A7">
        <w:rPr>
          <w:position w:val="-12"/>
        </w:rPr>
        <w:object w:dxaOrig="520" w:dyaOrig="380" w14:anchorId="495F51AA">
          <v:shape id="_x0000_i1149" type="#_x0000_t75" style="width:25.8pt;height:18pt" o:ole="">
            <v:imagedata r:id="rId265" o:title=""/>
          </v:shape>
          <o:OLEObject Type="Embed" ProgID="Equation.DSMT4" ShapeID="_x0000_i1149" DrawAspect="Content" ObjectID="_1754918700" r:id="rId266"/>
        </w:object>
      </w:r>
      <w:r w:rsidR="00F857A2">
        <w:t xml:space="preserve"> </w:t>
      </w:r>
      <w:r>
        <w:t>are exempt assets);</w:t>
      </w:r>
      <w:r w:rsidR="00953904">
        <w:t xml:space="preserve"> </w:t>
      </w:r>
      <w:r w:rsidRPr="00E670A7">
        <w:rPr>
          <w:position w:val="-14"/>
        </w:rPr>
        <w:object w:dxaOrig="320" w:dyaOrig="380" w14:anchorId="68CCB56E">
          <v:shape id="_x0000_i1150" type="#_x0000_t75" style="width:15.6pt;height:18pt" o:ole="">
            <v:imagedata r:id="rId267" o:title=""/>
          </v:shape>
          <o:OLEObject Type="Embed" ProgID="Equation.DSMT4" ShapeID="_x0000_i1150" DrawAspect="Content" ObjectID="_1754918701" r:id="rId268"/>
        </w:object>
      </w:r>
      <w:r w:rsidR="00953904">
        <w:t xml:space="preserve"> </w:t>
      </w:r>
      <w:r>
        <w:t>and</w:t>
      </w:r>
      <w:r w:rsidR="00953904">
        <w:t xml:space="preserve"> </w:t>
      </w:r>
      <w:r w:rsidRPr="00E670A7">
        <w:rPr>
          <w:position w:val="-14"/>
        </w:rPr>
        <w:object w:dxaOrig="340" w:dyaOrig="380" w14:anchorId="10593287">
          <v:shape id="_x0000_i1151" type="#_x0000_t75" style="width:18pt;height:18pt" o:ole="">
            <v:imagedata r:id="rId269" o:title=""/>
          </v:shape>
          <o:OLEObject Type="Embed" ProgID="Equation.DSMT4" ShapeID="_x0000_i1151" DrawAspect="Content" ObjectID="_1754918702" r:id="rId270"/>
        </w:object>
      </w:r>
      <w:r w:rsidRPr="007B6BEC">
        <w:t xml:space="preserve">are the </w:t>
      </w:r>
      <w:r>
        <w:t>asset-test thresholds; and</w:t>
      </w:r>
      <w:r w:rsidR="00930F0E">
        <w:t xml:space="preserve"> </w:t>
      </w:r>
      <w:r w:rsidRPr="00E670A7">
        <w:rPr>
          <w:position w:val="-12"/>
        </w:rPr>
        <w:object w:dxaOrig="320" w:dyaOrig="380" w14:anchorId="48F4184B">
          <v:shape id="_x0000_i1152" type="#_x0000_t75" style="width:15.6pt;height:18pt" o:ole="">
            <v:imagedata r:id="rId271" o:title=""/>
          </v:shape>
          <o:OLEObject Type="Embed" ProgID="Equation.DSMT4" ShapeID="_x0000_i1152" DrawAspect="Content" ObjectID="_1754918703" r:id="rId272"/>
        </w:object>
      </w:r>
      <w:r w:rsidR="00930F0E">
        <w:t xml:space="preserve"> </w:t>
      </w:r>
      <w:r w:rsidRPr="007B6BEC">
        <w:t>is the taper rate</w:t>
      </w:r>
      <w:r>
        <w:t>,</w:t>
      </w:r>
      <w:r w:rsidRPr="007B6BEC">
        <w:t xml:space="preserve"> </w:t>
      </w:r>
      <w:r>
        <w:t>which indicates</w:t>
      </w:r>
      <w:r w:rsidRPr="007B6BEC">
        <w:t xml:space="preserve"> the amount the pension is </w:t>
      </w:r>
      <w:r>
        <w:t xml:space="preserve">reduced by </w:t>
      </w:r>
      <w:r w:rsidRPr="007B6BEC">
        <w:t>for each</w:t>
      </w:r>
      <w:r>
        <w:t xml:space="preserve"> additional unit of asset above</w:t>
      </w:r>
      <w:r w:rsidR="00930F0E">
        <w:t xml:space="preserve"> </w:t>
      </w:r>
      <w:r w:rsidRPr="00E670A7">
        <w:rPr>
          <w:position w:val="-14"/>
        </w:rPr>
        <w:object w:dxaOrig="320" w:dyaOrig="380" w14:anchorId="5754D860">
          <v:shape id="_x0000_i1153" type="#_x0000_t75" style="width:15.6pt;height:18pt" o:ole="">
            <v:imagedata r:id="rId273" o:title=""/>
          </v:shape>
          <o:OLEObject Type="Embed" ProgID="Equation.DSMT4" ShapeID="_x0000_i1153" DrawAspect="Content" ObjectID="_1754918704" r:id="rId274"/>
        </w:object>
      </w:r>
      <w:r>
        <w:t>.</w:t>
      </w:r>
    </w:p>
    <w:p w14:paraId="509D94F2" w14:textId="63487F14" w:rsidR="006C3DEB" w:rsidRPr="007B6BEC" w:rsidRDefault="006C3DEB" w:rsidP="006C3DEB">
      <w:r w:rsidRPr="007B6BEC">
        <w:t xml:space="preserve">The </w:t>
      </w:r>
      <w:r>
        <w:t>maximum</w:t>
      </w:r>
      <w:r w:rsidRPr="007B6BEC">
        <w:t xml:space="preserve"> pension</w:t>
      </w:r>
      <w:r>
        <w:t xml:space="preserve"> payment</w:t>
      </w:r>
      <w:r w:rsidR="00FE29C3">
        <w:t xml:space="preserve"> </w:t>
      </w:r>
      <w:r w:rsidRPr="00E670A7">
        <w:rPr>
          <w:position w:val="-12"/>
        </w:rPr>
        <w:object w:dxaOrig="660" w:dyaOrig="360" w14:anchorId="6CFDC0A0">
          <v:shape id="_x0000_i1154" type="#_x0000_t75" style="width:31.8pt;height:18pt" o:ole="">
            <v:imagedata r:id="rId275" o:title=""/>
          </v:shape>
          <o:OLEObject Type="Embed" ProgID="Equation.DSMT4" ShapeID="_x0000_i1154" DrawAspect="Content" ObjectID="_1754918705" r:id="rId276"/>
        </w:object>
      </w:r>
      <w:r w:rsidR="002358F5">
        <w:t xml:space="preserve"> </w:t>
      </w:r>
      <w:r w:rsidRPr="007B6BEC">
        <w:t>is in turn given by:</w:t>
      </w:r>
    </w:p>
    <w:p w14:paraId="4867E19A" w14:textId="77777777" w:rsidR="006C3DEB" w:rsidRPr="007B6BEC" w:rsidRDefault="006C3DEB" w:rsidP="006C3DEB">
      <w:pPr>
        <w:pStyle w:val="MTDisplayEquation"/>
      </w:pPr>
      <w:r w:rsidRPr="007B6BEC">
        <w:tab/>
      </w:r>
      <w:r w:rsidRPr="00E670A7">
        <w:rPr>
          <w:position w:val="-12"/>
        </w:rPr>
        <w:object w:dxaOrig="1700" w:dyaOrig="380" w14:anchorId="5DD3AD97">
          <v:shape id="_x0000_i1155" type="#_x0000_t75" style="width:86.4pt;height:18pt" o:ole="">
            <v:imagedata r:id="rId277" o:title=""/>
          </v:shape>
          <o:OLEObject Type="Embed" ProgID="Equation.DSMT4" ShapeID="_x0000_i1155" DrawAspect="Content" ObjectID="_1754918706" r:id="rId278"/>
        </w:object>
      </w:r>
    </w:p>
    <w:p w14:paraId="5446BB0B" w14:textId="7D23378A" w:rsidR="006C3DEB" w:rsidRPr="007B6BEC" w:rsidRDefault="006C3DEB" w:rsidP="006C3DEB">
      <w:r>
        <w:t xml:space="preserve">Where </w:t>
      </w:r>
      <w:r w:rsidRPr="00E670A7">
        <w:rPr>
          <w:position w:val="-6"/>
        </w:rPr>
        <w:object w:dxaOrig="279" w:dyaOrig="320" w14:anchorId="1CB75040">
          <v:shape id="_x0000_i1156" type="#_x0000_t75" style="width:15pt;height:15.6pt" o:ole="">
            <v:imagedata r:id="rId279" o:title=""/>
          </v:shape>
          <o:OLEObject Type="Embed" ProgID="Equation.DSMT4" ShapeID="_x0000_i1156" DrawAspect="Content" ObjectID="_1754918707" r:id="rId280"/>
        </w:object>
      </w:r>
      <w:r>
        <w:t xml:space="preserve">and </w:t>
      </w:r>
      <w:r w:rsidRPr="00E670A7">
        <w:rPr>
          <w:position w:val="-12"/>
        </w:rPr>
        <w:object w:dxaOrig="440" w:dyaOrig="380" w14:anchorId="3F8E6B49">
          <v:shape id="_x0000_i1157" type="#_x0000_t75" style="width:21.6pt;height:18pt" o:ole="">
            <v:imagedata r:id="rId281" o:title=""/>
          </v:shape>
          <o:OLEObject Type="Embed" ProgID="Equation.DSMT4" ShapeID="_x0000_i1157" DrawAspect="Content" ObjectID="_1754918708" r:id="rId282"/>
        </w:object>
      </w:r>
      <w:r w:rsidR="00FE29C3">
        <w:t xml:space="preserve"> </w:t>
      </w:r>
      <w:r w:rsidRPr="007B6BEC">
        <w:t xml:space="preserve">are the levels of </w:t>
      </w:r>
      <w:r>
        <w:t xml:space="preserve">household average </w:t>
      </w:r>
      <w:r w:rsidRPr="007B6BEC">
        <w:t xml:space="preserve">labour supply and </w:t>
      </w:r>
      <w:r>
        <w:t xml:space="preserve">the </w:t>
      </w:r>
      <w:r w:rsidRPr="007B6BEC">
        <w:t xml:space="preserve">replacement ratio consistent with the </w:t>
      </w:r>
      <w:r>
        <w:t xml:space="preserve">current </w:t>
      </w:r>
      <w:r w:rsidRPr="007B6BEC">
        <w:t>pension rule. This mimics the reality that age pensions are indexed to current price level</w:t>
      </w:r>
      <w:r>
        <w:t>s</w:t>
      </w:r>
      <w:r w:rsidRPr="007B6BEC">
        <w:t xml:space="preserve"> and benchmark earnings</w:t>
      </w:r>
      <w:r>
        <w:t>.</w:t>
      </w:r>
      <w:r w:rsidRPr="007B6BEC">
        <w:rPr>
          <w:rStyle w:val="FootnoteReference"/>
        </w:rPr>
        <w:footnoteReference w:id="5"/>
      </w:r>
    </w:p>
    <w:p w14:paraId="000DCBF8" w14:textId="77777777" w:rsidR="006C3DEB" w:rsidRPr="007B6BEC" w:rsidRDefault="006C3DEB" w:rsidP="006C3DEB">
      <w:r w:rsidRPr="007B6BEC">
        <w:t>Similarly, the income-tested pension is determined according to the following rule</w:t>
      </w:r>
      <w:r>
        <w:t>:</w:t>
      </w:r>
    </w:p>
    <w:p w14:paraId="2C569587" w14:textId="77777777" w:rsidR="006C3DEB" w:rsidRPr="007B6BEC" w:rsidRDefault="006C3DEB" w:rsidP="006C3DEB">
      <w:pPr>
        <w:pStyle w:val="MTDisplayEquation"/>
      </w:pPr>
      <w:r w:rsidRPr="007B6BEC">
        <w:tab/>
      </w:r>
      <w:r w:rsidRPr="00E670A7">
        <w:rPr>
          <w:position w:val="-64"/>
        </w:rPr>
        <w:object w:dxaOrig="6120" w:dyaOrig="1400" w14:anchorId="55B6A6A9">
          <v:shape id="_x0000_i1158" type="#_x0000_t75" style="width:306pt;height:69.6pt" o:ole="">
            <v:imagedata r:id="rId283" o:title=""/>
          </v:shape>
          <o:OLEObject Type="Embed" ProgID="Equation.DSMT4" ShapeID="_x0000_i1158" DrawAspect="Content" ObjectID="_1754918709" r:id="rId284"/>
        </w:object>
      </w:r>
    </w:p>
    <w:p w14:paraId="10B32ADF" w14:textId="0536BDA7" w:rsidR="006C3DEB" w:rsidRPr="007B6BEC" w:rsidRDefault="006C3DEB" w:rsidP="006C3DEB">
      <w:r>
        <w:t>wh</w:t>
      </w:r>
      <w:r w:rsidRPr="007B6BEC">
        <w:t>ere</w:t>
      </w:r>
      <w:r w:rsidRPr="00E670A7">
        <w:rPr>
          <w:position w:val="-12"/>
        </w:rPr>
        <w:object w:dxaOrig="580" w:dyaOrig="380" w14:anchorId="5B2484C0">
          <v:shape id="_x0000_i1159" type="#_x0000_t75" style="width:29.4pt;height:18pt" o:ole="">
            <v:imagedata r:id="rId285" o:title=""/>
          </v:shape>
          <o:OLEObject Type="Embed" ProgID="Equation.DSMT4" ShapeID="_x0000_i1159" DrawAspect="Content" ObjectID="_1754918710" r:id="rId286"/>
        </w:object>
      </w:r>
      <w:r w:rsidR="00FE29C3">
        <w:t xml:space="preserve"> </w:t>
      </w:r>
      <w:r w:rsidRPr="007B6BEC">
        <w:t>is the sum of a household’s labour income and deemed income</w:t>
      </w:r>
      <w:r>
        <w:t xml:space="preserve"> </w:t>
      </w:r>
      <w:r w:rsidRPr="007B6BEC">
        <w:t xml:space="preserve">from </w:t>
      </w:r>
      <w:r>
        <w:t>savings</w:t>
      </w:r>
      <w:r w:rsidRPr="007B6BEC">
        <w:t>:</w:t>
      </w:r>
    </w:p>
    <w:p w14:paraId="4480716C" w14:textId="77777777" w:rsidR="006C3DEB" w:rsidRPr="007B6BEC" w:rsidRDefault="006C3DEB" w:rsidP="006C3DEB">
      <w:pPr>
        <w:jc w:val="center"/>
      </w:pPr>
      <w:r w:rsidRPr="00E670A7">
        <w:rPr>
          <w:position w:val="-12"/>
        </w:rPr>
        <w:object w:dxaOrig="2060" w:dyaOrig="380" w14:anchorId="23058E0C">
          <v:shape id="_x0000_i1160" type="#_x0000_t75" style="width:102.6pt;height:18pt" o:ole="">
            <v:imagedata r:id="rId287" o:title=""/>
          </v:shape>
          <o:OLEObject Type="Embed" ProgID="Equation.DSMT4" ShapeID="_x0000_i1160" DrawAspect="Content" ObjectID="_1754918711" r:id="rId288"/>
        </w:object>
      </w:r>
    </w:p>
    <w:p w14:paraId="0E8C0FDC" w14:textId="226E7C62" w:rsidR="006C3DEB" w:rsidRDefault="006C3DEB" w:rsidP="006C3DEB">
      <w:r>
        <w:lastRenderedPageBreak/>
        <w:t>where:</w:t>
      </w:r>
      <w:r w:rsidRPr="00E670A7">
        <w:rPr>
          <w:position w:val="-14"/>
        </w:rPr>
        <w:object w:dxaOrig="480" w:dyaOrig="420" w14:anchorId="27272319">
          <v:shape id="_x0000_i1161" type="#_x0000_t75" style="width:24pt;height:19.8pt" o:ole="">
            <v:imagedata r:id="rId289" o:title=""/>
          </v:shape>
          <o:OLEObject Type="Embed" ProgID="Equation.DSMT4" ShapeID="_x0000_i1161" DrawAspect="Content" ObjectID="_1754918712" r:id="rId290"/>
        </w:object>
      </w:r>
      <w:r>
        <w:t>and</w:t>
      </w:r>
      <w:r w:rsidR="00306C30">
        <w:t xml:space="preserve"> </w:t>
      </w:r>
      <w:r w:rsidRPr="00E670A7">
        <w:rPr>
          <w:position w:val="-14"/>
        </w:rPr>
        <w:object w:dxaOrig="499" w:dyaOrig="420" w14:anchorId="237A4D87">
          <v:shape id="_x0000_i1162" type="#_x0000_t75" style="width:25.2pt;height:19.8pt" o:ole="">
            <v:imagedata r:id="rId291" o:title=""/>
          </v:shape>
          <o:OLEObject Type="Embed" ProgID="Equation.DSMT4" ShapeID="_x0000_i1162" DrawAspect="Content" ObjectID="_1754918713" r:id="rId292"/>
        </w:object>
      </w:r>
      <w:r w:rsidRPr="007B6BEC">
        <w:t>are income</w:t>
      </w:r>
      <w:r>
        <w:t>-test</w:t>
      </w:r>
      <w:r w:rsidRPr="007B6BEC">
        <w:t xml:space="preserve"> thresholds</w:t>
      </w:r>
      <w:r>
        <w:t xml:space="preserve">; and </w:t>
      </w:r>
      <w:r w:rsidRPr="00E670A7">
        <w:rPr>
          <w:position w:val="-12"/>
        </w:rPr>
        <w:object w:dxaOrig="320" w:dyaOrig="380" w14:anchorId="25FCE68C">
          <v:shape id="_x0000_i1163" type="#_x0000_t75" style="width:15.6pt;height:18pt" o:ole="">
            <v:imagedata r:id="rId293" o:title=""/>
          </v:shape>
          <o:OLEObject Type="Embed" ProgID="Equation.DSMT4" ShapeID="_x0000_i1163" DrawAspect="Content" ObjectID="_1754918714" r:id="rId294"/>
        </w:object>
      </w:r>
      <w:r>
        <w:t xml:space="preserve"> </w:t>
      </w:r>
      <w:r w:rsidRPr="007B6BEC">
        <w:t xml:space="preserve">is the taper rate </w:t>
      </w:r>
      <w:r>
        <w:t>which indicates</w:t>
      </w:r>
      <w:r w:rsidRPr="007B6BEC">
        <w:t xml:space="preserve"> the amount the pension is </w:t>
      </w:r>
      <w:r>
        <w:t>reduced</w:t>
      </w:r>
      <w:r w:rsidRPr="007B6BEC">
        <w:t xml:space="preserve"> for each additional unit of income above</w:t>
      </w:r>
      <w:r w:rsidR="00A86AC7">
        <w:t xml:space="preserve"> </w:t>
      </w:r>
      <w:r w:rsidRPr="00E670A7">
        <w:rPr>
          <w:position w:val="-14"/>
        </w:rPr>
        <w:object w:dxaOrig="480" w:dyaOrig="420" w14:anchorId="72254CAB">
          <v:shape id="_x0000_i1164" type="#_x0000_t75" style="width:24pt;height:19.8pt" o:ole="">
            <v:imagedata r:id="rId295" o:title=""/>
          </v:shape>
          <o:OLEObject Type="Embed" ProgID="Equation.DSMT4" ShapeID="_x0000_i1164" DrawAspect="Content" ObjectID="_1754918715" r:id="rId296"/>
        </w:object>
      </w:r>
      <w:r>
        <w:t>.</w:t>
      </w:r>
    </w:p>
    <w:p w14:paraId="2E49134F" w14:textId="2D2FE8C6" w:rsidR="006C3DEB" w:rsidRDefault="006C3DEB" w:rsidP="006C3DEB">
      <w:r w:rsidRPr="007B6BEC">
        <w:t>The deemed income</w:t>
      </w:r>
      <w:r>
        <w:t xml:space="preserve"> from savings</w:t>
      </w:r>
      <w:r w:rsidRPr="00E670A7">
        <w:rPr>
          <w:position w:val="-12"/>
        </w:rPr>
        <w:object w:dxaOrig="580" w:dyaOrig="380" w14:anchorId="1BFB24B9">
          <v:shape id="_x0000_i1165" type="#_x0000_t75" style="width:29.4pt;height:18pt" o:ole="">
            <v:imagedata r:id="rId297" o:title=""/>
          </v:shape>
          <o:OLEObject Type="Embed" ProgID="Equation.DSMT4" ShapeID="_x0000_i1165" DrawAspect="Content" ObjectID="_1754918716" r:id="rId298"/>
        </w:object>
      </w:r>
      <w:r w:rsidR="00A86AC7">
        <w:t xml:space="preserve"> </w:t>
      </w:r>
      <w:r w:rsidRPr="007B6BEC">
        <w:t xml:space="preserve">is </w:t>
      </w:r>
      <w:r>
        <w:t>derived using</w:t>
      </w:r>
      <w:r w:rsidRPr="007B6BEC">
        <w:t xml:space="preserve"> deeming rates</w:t>
      </w:r>
      <w:r w:rsidR="00A86AC7">
        <w:t xml:space="preserve"> </w:t>
      </w:r>
      <w:r w:rsidRPr="00E670A7">
        <w:rPr>
          <w:position w:val="-12"/>
        </w:rPr>
        <w:object w:dxaOrig="1540" w:dyaOrig="380" w14:anchorId="0CBC9691">
          <v:shape id="_x0000_i1166" type="#_x0000_t75" style="width:76.8pt;height:18pt" o:ole="">
            <v:imagedata r:id="rId299" o:title=""/>
          </v:shape>
          <o:OLEObject Type="Embed" ProgID="Equation.DSMT4" ShapeID="_x0000_i1166" DrawAspect="Content" ObjectID="_1754918717" r:id="rId300"/>
        </w:object>
      </w:r>
      <w:r w:rsidRPr="007B6BEC">
        <w:t xml:space="preserve">and </w:t>
      </w:r>
      <w:r>
        <w:t xml:space="preserve">a </w:t>
      </w:r>
      <w:r w:rsidRPr="007B6BEC">
        <w:t>deeming threshold</w:t>
      </w:r>
      <w:r w:rsidR="00701387">
        <w:t xml:space="preserve"> </w:t>
      </w:r>
      <w:r w:rsidRPr="00E670A7">
        <w:rPr>
          <w:position w:val="-12"/>
        </w:rPr>
        <w:object w:dxaOrig="740" w:dyaOrig="380" w14:anchorId="39E8E57C">
          <v:shape id="_x0000_i1167" type="#_x0000_t75" style="width:36.6pt;height:18pt" o:ole="">
            <v:imagedata r:id="rId301" o:title=""/>
          </v:shape>
          <o:OLEObject Type="Embed" ProgID="Equation.DSMT4" ShapeID="_x0000_i1167" DrawAspect="Content" ObjectID="_1754918718" r:id="rId302"/>
        </w:object>
      </w:r>
      <w:r w:rsidRPr="007B6BEC">
        <w:t>:</w:t>
      </w:r>
    </w:p>
    <w:p w14:paraId="447693DE" w14:textId="77777777" w:rsidR="006C3DEB" w:rsidRPr="007B6BEC" w:rsidRDefault="006C3DEB" w:rsidP="006C3DEB">
      <w:pPr>
        <w:jc w:val="center"/>
      </w:pPr>
      <w:r w:rsidRPr="00E670A7">
        <w:rPr>
          <w:position w:val="-32"/>
        </w:rPr>
        <w:object w:dxaOrig="4700" w:dyaOrig="760" w14:anchorId="36B8915A">
          <v:shape id="_x0000_i1168" type="#_x0000_t75" style="width:234pt;height:39pt" o:ole="">
            <v:imagedata r:id="rId303" o:title=""/>
          </v:shape>
          <o:OLEObject Type="Embed" ProgID="Equation.DSMT4" ShapeID="_x0000_i1168" DrawAspect="Content" ObjectID="_1754918719" r:id="rId304"/>
        </w:object>
      </w:r>
    </w:p>
    <w:p w14:paraId="14138125" w14:textId="77777777" w:rsidR="006C3DEB" w:rsidRDefault="006C3DEB" w:rsidP="006C3DEB">
      <w:pPr>
        <w:pStyle w:val="Heading5"/>
      </w:pPr>
      <w:r>
        <w:t>Other transfers</w:t>
      </w:r>
    </w:p>
    <w:p w14:paraId="4B4E2595" w14:textId="77777777" w:rsidR="006C3DEB" w:rsidRDefault="006C3DEB" w:rsidP="006C3DEB">
      <w:r w:rsidRPr="007B6BEC">
        <w:t xml:space="preserve">Households also receive lump-sum transfers (if positive) or </w:t>
      </w:r>
      <w:r>
        <w:t xml:space="preserve">pay lump-sum </w:t>
      </w:r>
      <w:r w:rsidRPr="007B6BEC">
        <w:t>tax (if negative) denoted by</w:t>
      </w:r>
      <w:r w:rsidRPr="00E670A7">
        <w:rPr>
          <w:position w:val="-12"/>
        </w:rPr>
        <w:object w:dxaOrig="440" w:dyaOrig="380" w14:anchorId="61ACF239">
          <v:shape id="_x0000_i1169" type="#_x0000_t75" style="width:21.6pt;height:18pt" o:ole="">
            <v:imagedata r:id="rId305" o:title=""/>
          </v:shape>
          <o:OLEObject Type="Embed" ProgID="Equation.DSMT4" ShapeID="_x0000_i1169" DrawAspect="Content" ObjectID="_1754918720" r:id="rId306"/>
        </w:object>
      </w:r>
      <w:r>
        <w:t xml:space="preserve">. The lump-sum transfer is the sum of government benefits and transfers that are specific to certain households </w:t>
      </w:r>
      <w:r w:rsidRPr="00E670A7">
        <w:rPr>
          <w:position w:val="-12"/>
        </w:rPr>
        <w:object w:dxaOrig="620" w:dyaOrig="380" w14:anchorId="42D56E51">
          <v:shape id="_x0000_i1170" type="#_x0000_t75" style="width:31.2pt;height:18pt" o:ole="">
            <v:imagedata r:id="rId307" o:title=""/>
          </v:shape>
          <o:OLEObject Type="Embed" ProgID="Equation.DSMT4" ShapeID="_x0000_i1170" DrawAspect="Content" ObjectID="_1754918721" r:id="rId308"/>
        </w:object>
      </w:r>
      <w:r>
        <w:t>and a general lump-sum transfer/tax that applies to all households</w:t>
      </w:r>
      <w:r w:rsidRPr="00E670A7">
        <w:rPr>
          <w:position w:val="-12"/>
        </w:rPr>
        <w:object w:dxaOrig="300" w:dyaOrig="380" w14:anchorId="10F5EBB3">
          <v:shape id="_x0000_i1171" type="#_x0000_t75" style="width:15pt;height:18pt" o:ole="">
            <v:imagedata r:id="rId309" o:title=""/>
          </v:shape>
          <o:OLEObject Type="Embed" ProgID="Equation.DSMT4" ShapeID="_x0000_i1171" DrawAspect="Content" ObjectID="_1754918722" r:id="rId310"/>
        </w:object>
      </w:r>
      <w:r>
        <w:t>.</w:t>
      </w:r>
    </w:p>
    <w:p w14:paraId="1004A75D" w14:textId="77777777" w:rsidR="006C3DEB" w:rsidRDefault="006C3DEB" w:rsidP="006C3DEB">
      <w:pPr>
        <w:pStyle w:val="Heading4"/>
      </w:pPr>
      <w:r w:rsidRPr="007B6BEC">
        <w:t>Household budget constraint</w:t>
      </w:r>
      <w:r>
        <w:t xml:space="preserve"> and optimisation problem</w:t>
      </w:r>
    </w:p>
    <w:p w14:paraId="1D955349" w14:textId="77777777" w:rsidR="006C3DEB" w:rsidRPr="007B6BEC" w:rsidRDefault="006C3DEB" w:rsidP="006C3DEB">
      <w:r w:rsidRPr="007B6BEC">
        <w:t>The household</w:t>
      </w:r>
      <w:r>
        <w:t>’</w:t>
      </w:r>
      <w:r w:rsidRPr="007B6BEC">
        <w:t>s flow budget constraint is as follows:</w:t>
      </w:r>
    </w:p>
    <w:p w14:paraId="04A8C95A" w14:textId="543EEDF1" w:rsidR="006C3DEB" w:rsidRPr="007B6BEC" w:rsidRDefault="006C3DEB" w:rsidP="006C3DEB">
      <w:pPr>
        <w:pStyle w:val="MTDisplayEquation"/>
      </w:pPr>
      <w:r w:rsidRPr="007B6BEC">
        <w:tab/>
      </w:r>
      <w:r w:rsidRPr="00E670A7">
        <w:rPr>
          <w:position w:val="-12"/>
        </w:rPr>
        <w:object w:dxaOrig="7600" w:dyaOrig="380" w14:anchorId="455FF670">
          <v:shape id="_x0000_i1172" type="#_x0000_t75" style="width:382.8pt;height:18pt" o:ole="">
            <v:imagedata r:id="rId311" o:title=""/>
          </v:shape>
          <o:OLEObject Type="Embed" ProgID="Equation.DSMT4" ShapeID="_x0000_i1172" DrawAspect="Content" ObjectID="_1754918723" r:id="rId312"/>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bookmarkStart w:id="5" w:name="ZEqnNum486876"/>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w:instrText>
      </w:r>
      <w:r>
        <w:rPr>
          <w:noProof/>
        </w:rPr>
        <w:fldChar w:fldCharType="end"/>
      </w:r>
      <w:r>
        <w:instrText>)</w:instrText>
      </w:r>
      <w:bookmarkEnd w:id="5"/>
      <w:r>
        <w:fldChar w:fldCharType="end"/>
      </w:r>
    </w:p>
    <w:p w14:paraId="5A412D27" w14:textId="77777777" w:rsidR="006C3DEB" w:rsidRDefault="006C3DEB" w:rsidP="006C3DEB">
      <w:r>
        <w:t>Here</w:t>
      </w:r>
      <w:r w:rsidRPr="00E670A7">
        <w:rPr>
          <w:position w:val="-12"/>
        </w:rPr>
        <w:object w:dxaOrig="300" w:dyaOrig="380" w14:anchorId="0D7DFA50">
          <v:shape id="_x0000_i1173" type="#_x0000_t75" style="width:15pt;height:18pt" o:ole="">
            <v:imagedata r:id="rId313" o:title=""/>
          </v:shape>
          <o:OLEObject Type="Embed" ProgID="Equation.DSMT4" ShapeID="_x0000_i1173" DrawAspect="Content" ObjectID="_1754918724" r:id="rId314"/>
        </w:object>
      </w:r>
      <w:r>
        <w:t xml:space="preserve">is </w:t>
      </w:r>
      <w:r w:rsidRPr="007B6BEC">
        <w:t>the after-tax price of household’s aggregate consumption bundle</w:t>
      </w:r>
      <w:r>
        <w:t xml:space="preserve"> at time</w:t>
      </w:r>
      <w:r w:rsidRPr="006540E5">
        <w:t xml:space="preserve"> </w:t>
      </w:r>
      <w:r w:rsidRPr="00E670A7">
        <w:rPr>
          <w:position w:val="-6"/>
        </w:rPr>
        <w:object w:dxaOrig="139" w:dyaOrig="240" w14:anchorId="34F87773">
          <v:shape id="_x0000_i1174" type="#_x0000_t75" style="width:6.6pt;height:14.4pt" o:ole="">
            <v:imagedata r:id="rId315" o:title=""/>
          </v:shape>
          <o:OLEObject Type="Embed" ProgID="Equation.DSMT4" ShapeID="_x0000_i1174" DrawAspect="Content" ObjectID="_1754918725" r:id="rId316"/>
        </w:object>
      </w:r>
      <w:r w:rsidRPr="007B6BEC">
        <w:t>.</w:t>
      </w:r>
      <w:r>
        <w:t xml:space="preserve"> </w:t>
      </w:r>
    </w:p>
    <w:p w14:paraId="116E187F" w14:textId="77777777" w:rsidR="006C3DEB" w:rsidRDefault="006C3DEB" w:rsidP="006C3DEB">
      <w:r w:rsidRPr="007B6BEC">
        <w:t xml:space="preserve">The </w:t>
      </w:r>
      <w:r>
        <w:t>household’s objective i</w:t>
      </w:r>
      <w:r w:rsidRPr="007B6BEC">
        <w:t xml:space="preserve">s to maximise </w:t>
      </w:r>
      <w:r>
        <w:t>lifetime utility (1),</w:t>
      </w:r>
      <w:r w:rsidRPr="007B6BEC">
        <w:t xml:space="preserve"> </w:t>
      </w:r>
      <w:r w:rsidRPr="007B6BEC" w:rsidDel="00D9466E">
        <w:t xml:space="preserve">subject to </w:t>
      </w:r>
      <w:r>
        <w:t>the budget constraint (7)</w:t>
      </w:r>
      <w:r w:rsidRPr="001A03D8" w:rsidDel="00D9466E">
        <w:fldChar w:fldCharType="begin"/>
      </w:r>
      <w:r w:rsidRPr="001A03D8" w:rsidDel="00D9466E">
        <w:instrText xml:space="preserve"> GOTOBUTTON ZEqnNum486876  \* MERGEFORMAT </w:instrText>
      </w:r>
      <w:r w:rsidDel="00D9466E">
        <w:fldChar w:fldCharType="begin"/>
      </w:r>
      <w:r w:rsidR="009B2CE5">
        <w:fldChar w:fldCharType="separate"/>
      </w:r>
      <w:r w:rsidDel="00D9466E">
        <w:fldChar w:fldCharType="end"/>
      </w:r>
      <w:r w:rsidRPr="001A03D8" w:rsidDel="00D9466E">
        <w:fldChar w:fldCharType="end"/>
      </w:r>
      <w:r w:rsidRPr="001A03D8" w:rsidDel="00D9466E">
        <w:t xml:space="preserve">. </w:t>
      </w:r>
      <w:r w:rsidRPr="001A03D8">
        <w:t>Further detail</w:t>
      </w:r>
      <w:r>
        <w:t>s</w:t>
      </w:r>
      <w:r w:rsidRPr="001A03D8">
        <w:t xml:space="preserve"> of the households</w:t>
      </w:r>
      <w:r>
        <w:t>’</w:t>
      </w:r>
      <w:r w:rsidRPr="001A03D8">
        <w:t xml:space="preserve"> optimisation problem </w:t>
      </w:r>
      <w:r>
        <w:t>are provided</w:t>
      </w:r>
      <w:r w:rsidRPr="001A03D8">
        <w:t xml:space="preserve"> in Appendix B</w:t>
      </w:r>
      <w:r w:rsidRPr="007B6BEC">
        <w:t>.</w:t>
      </w:r>
    </w:p>
    <w:p w14:paraId="0D5C1FC4" w14:textId="77777777" w:rsidR="006C3DEB" w:rsidRPr="007B6BEC" w:rsidRDefault="006C3DEB" w:rsidP="006C3DEB">
      <w:pPr>
        <w:pStyle w:val="Heading3"/>
      </w:pPr>
      <w:r w:rsidRPr="007B6BEC">
        <w:t>Production sector</w:t>
      </w:r>
    </w:p>
    <w:p w14:paraId="223B6724" w14:textId="2EFCDF8D" w:rsidR="006C3DEB" w:rsidRDefault="006C3DEB" w:rsidP="006C3DEB">
      <w:r w:rsidRPr="007B6BEC">
        <w:rPr>
          <w:lang w:val="en-US"/>
        </w:rPr>
        <w:t>For</w:t>
      </w:r>
      <w:r>
        <w:rPr>
          <w:lang w:val="en-US"/>
        </w:rPr>
        <w:t xml:space="preserve"> simplicity, we assume that there are</w:t>
      </w:r>
      <w:r w:rsidRPr="00AC7931">
        <w:t xml:space="preserve"> </w:t>
      </w:r>
      <w:r w:rsidRPr="00E670A7">
        <w:rPr>
          <w:position w:val="-6"/>
        </w:rPr>
        <w:object w:dxaOrig="220" w:dyaOrig="279" w14:anchorId="3B0B4CF2">
          <v:shape id="_x0000_i1175" type="#_x0000_t75" style="width:10.8pt;height:15pt" o:ole="">
            <v:imagedata r:id="rId317" o:title=""/>
          </v:shape>
          <o:OLEObject Type="Embed" ProgID="Equation.DSMT4" ShapeID="_x0000_i1175" DrawAspect="Content" ObjectID="_1754918726" r:id="rId318"/>
        </w:object>
      </w:r>
      <w:r>
        <w:t xml:space="preserve"> </w:t>
      </w:r>
      <w:r>
        <w:rPr>
          <w:lang w:val="en-US"/>
        </w:rPr>
        <w:t>sectors</w:t>
      </w:r>
      <w:r w:rsidRPr="007B6BEC">
        <w:rPr>
          <w:lang w:val="en-US"/>
        </w:rPr>
        <w:t xml:space="preserve"> with a single firm </w:t>
      </w:r>
      <w:r>
        <w:rPr>
          <w:lang w:val="en-US"/>
        </w:rPr>
        <w:t xml:space="preserve">in each </w:t>
      </w:r>
      <w:r w:rsidR="008A119E">
        <w:rPr>
          <w:lang w:val="en-US"/>
        </w:rPr>
        <w:t>representing a large number</w:t>
      </w:r>
      <w:r w:rsidRPr="007B6BEC">
        <w:rPr>
          <w:lang w:val="en-US"/>
        </w:rPr>
        <w:t xml:space="preserve"> of individual firms with homogenous technology trading in a perfectly competitive market. In other words, t</w:t>
      </w:r>
      <w:r w:rsidRPr="007B6BEC">
        <w:t>here is one price-taking firm in each sector</w:t>
      </w:r>
      <w:r w:rsidRPr="00E670A7">
        <w:rPr>
          <w:position w:val="-10"/>
        </w:rPr>
        <w:object w:dxaOrig="200" w:dyaOrig="300" w14:anchorId="3B93B568">
          <v:shape id="_x0000_i1176" type="#_x0000_t75" style="width:10.8pt;height:15pt" o:ole="">
            <v:imagedata r:id="rId319" o:title=""/>
          </v:shape>
          <o:OLEObject Type="Embed" ProgID="Equation.DSMT4" ShapeID="_x0000_i1176" DrawAspect="Content" ObjectID="_1754918727" r:id="rId320"/>
        </w:object>
      </w:r>
      <w:r>
        <w:t>.</w:t>
      </w:r>
    </w:p>
    <w:p w14:paraId="5BF087C0" w14:textId="77777777" w:rsidR="006C3DEB" w:rsidRDefault="006C3DEB" w:rsidP="006C3DEB">
      <w:pPr>
        <w:pStyle w:val="Heading4"/>
      </w:pPr>
      <w:r>
        <w:t>Production technology</w:t>
      </w:r>
    </w:p>
    <w:p w14:paraId="3594A904" w14:textId="77777777" w:rsidR="006C3DEB" w:rsidRPr="00F879A9" w:rsidRDefault="006C3DEB" w:rsidP="006C3DEB">
      <w:r w:rsidRPr="00F879A9">
        <w:t xml:space="preserve">The firm’s production technology is represented by </w:t>
      </w:r>
      <w:r>
        <w:t>a constant elasticity of substitution (</w:t>
      </w:r>
      <w:r w:rsidRPr="00F879A9">
        <w:t>CES</w:t>
      </w:r>
      <w:r>
        <w:t>)</w:t>
      </w:r>
      <w:r w:rsidRPr="00F879A9">
        <w:t xml:space="preserve"> function:</w:t>
      </w:r>
    </w:p>
    <w:p w14:paraId="2324D73F" w14:textId="79BAF9BF" w:rsidR="006C3DEB" w:rsidRPr="00F879A9" w:rsidRDefault="006C3DEB" w:rsidP="006C3DEB">
      <w:pPr>
        <w:pStyle w:val="MTDisplayEquation"/>
      </w:pPr>
      <w:r w:rsidRPr="00F879A9">
        <w:tab/>
      </w:r>
      <w:r w:rsidRPr="00E670A7">
        <w:rPr>
          <w:position w:val="-48"/>
        </w:rPr>
        <w:object w:dxaOrig="7400" w:dyaOrig="1280" w14:anchorId="2CA33A4A">
          <v:shape id="_x0000_i1177" type="#_x0000_t75" style="width:368.4pt;height:63.6pt" o:ole="">
            <v:imagedata r:id="rId321" o:title=""/>
          </v:shape>
          <o:OLEObject Type="Embed" ProgID="Equation.DSMT4" ShapeID="_x0000_i1177" DrawAspect="Content" ObjectID="_1754918728" r:id="rId322"/>
        </w:object>
      </w:r>
      <w:r w:rsidRPr="00F879A9">
        <w:tab/>
      </w:r>
      <w:r>
        <w:fldChar w:fldCharType="begin"/>
      </w:r>
      <w:r>
        <w:instrText xml:space="preserve"> MACROBUTTON MTPlaceRef \* MERGEFORMAT </w:instrText>
      </w:r>
      <w:r>
        <w:fldChar w:fldCharType="begin"/>
      </w:r>
      <w:r>
        <w:instrText xml:space="preserve"> SEQ MTEqn \h \* MERGEFORMAT </w:instrText>
      </w:r>
      <w:r>
        <w:fldChar w:fldCharType="end"/>
      </w:r>
      <w:bookmarkStart w:id="6" w:name="ZEqnNum831297"/>
      <w:r>
        <w:instrText>(</w:instrText>
      </w:r>
      <w:r>
        <w:rPr>
          <w:noProof/>
        </w:rPr>
        <w:fldChar w:fldCharType="begin"/>
      </w:r>
      <w:r>
        <w:rPr>
          <w:noProof/>
        </w:rPr>
        <w:instrText xml:space="preserve"> SEQ MTEqn \c \* Arabic \* MERGEFORMAT </w:instrText>
      </w:r>
      <w:r>
        <w:rPr>
          <w:noProof/>
        </w:rPr>
        <w:fldChar w:fldCharType="separate"/>
      </w:r>
      <w:r w:rsidR="00E00A52">
        <w:rPr>
          <w:noProof/>
        </w:rPr>
        <w:instrText>8</w:instrText>
      </w:r>
      <w:r>
        <w:rPr>
          <w:noProof/>
        </w:rPr>
        <w:fldChar w:fldCharType="end"/>
      </w:r>
      <w:r>
        <w:instrText>)</w:instrText>
      </w:r>
      <w:bookmarkEnd w:id="6"/>
      <w:r>
        <w:fldChar w:fldCharType="end"/>
      </w:r>
    </w:p>
    <w:p w14:paraId="576248BA" w14:textId="1BBB606B" w:rsidR="006C3DEB" w:rsidRDefault="006C3DEB" w:rsidP="006C3DEB">
      <w:r>
        <w:lastRenderedPageBreak/>
        <w:t>where for sector</w:t>
      </w:r>
      <w:r w:rsidRPr="00E670A7">
        <w:rPr>
          <w:position w:val="-10"/>
        </w:rPr>
        <w:object w:dxaOrig="200" w:dyaOrig="300" w14:anchorId="0CFFE4C1">
          <v:shape id="_x0000_i1178" type="#_x0000_t75" style="width:10.8pt;height:15pt" o:ole="">
            <v:imagedata r:id="rId323" o:title=""/>
          </v:shape>
          <o:OLEObject Type="Embed" ProgID="Equation.DSMT4" ShapeID="_x0000_i1178" DrawAspect="Content" ObjectID="_1754918729" r:id="rId324"/>
        </w:object>
      </w:r>
      <w:r>
        <w:t>:</w:t>
      </w:r>
      <w:r w:rsidRPr="00E670A7">
        <w:rPr>
          <w:position w:val="-14"/>
        </w:rPr>
        <w:object w:dxaOrig="360" w:dyaOrig="380" w14:anchorId="4FF7789C">
          <v:shape id="_x0000_i1179" type="#_x0000_t75" style="width:18pt;height:18pt" o:ole="">
            <v:imagedata r:id="rId325" o:title=""/>
          </v:shape>
          <o:OLEObject Type="Embed" ProgID="Equation.DSMT4" ShapeID="_x0000_i1179" DrawAspect="Content" ObjectID="_1754918730" r:id="rId326"/>
        </w:object>
      </w:r>
      <w:r>
        <w:t xml:space="preserve"> </w:t>
      </w:r>
      <w:r w:rsidRPr="00F879A9">
        <w:t>is total factor productivity</w:t>
      </w:r>
      <w:r>
        <w:t>;</w:t>
      </w:r>
      <w:r w:rsidRPr="00F879A9">
        <w:t xml:space="preserve"> </w:t>
      </w:r>
      <w:r w:rsidRPr="00E670A7">
        <w:rPr>
          <w:position w:val="-14"/>
        </w:rPr>
        <w:object w:dxaOrig="420" w:dyaOrig="400" w14:anchorId="63DAD0DC">
          <v:shape id="_x0000_i1180" type="#_x0000_t75" style="width:19.8pt;height:20.4pt" o:ole="">
            <v:imagedata r:id="rId327" o:title=""/>
          </v:shape>
          <o:OLEObject Type="Embed" ProgID="Equation.DSMT4" ShapeID="_x0000_i1180" DrawAspect="Content" ObjectID="_1754918731" r:id="rId328"/>
        </w:object>
      </w:r>
      <w:r w:rsidRPr="007B6BEC">
        <w:t xml:space="preserve"> is the sector’s use of labour input </w:t>
      </w:r>
      <w:r>
        <w:t xml:space="preserve">measured </w:t>
      </w:r>
      <w:r w:rsidRPr="007B6BEC">
        <w:t xml:space="preserve">in </w:t>
      </w:r>
      <w:r>
        <w:t xml:space="preserve">relative </w:t>
      </w:r>
      <w:r w:rsidRPr="007B6BEC">
        <w:t>effi</w:t>
      </w:r>
      <w:r>
        <w:t>ciency units;</w:t>
      </w:r>
      <w:r w:rsidRPr="007B6BEC">
        <w:rPr>
          <w:rStyle w:val="FootnoteReference"/>
        </w:rPr>
        <w:footnoteReference w:id="6"/>
      </w:r>
      <w:r w:rsidRPr="00E670A7">
        <w:rPr>
          <w:position w:val="-14"/>
        </w:rPr>
        <w:object w:dxaOrig="420" w:dyaOrig="380" w14:anchorId="5C8B801B">
          <v:shape id="_x0000_i1181" type="#_x0000_t75" style="width:19.8pt;height:18pt" o:ole="">
            <v:imagedata r:id="rId329" o:title=""/>
          </v:shape>
          <o:OLEObject Type="Embed" ProgID="Equation.DSMT4" ShapeID="_x0000_i1181" DrawAspect="Content" ObjectID="_1754918732" r:id="rId330"/>
        </w:object>
      </w:r>
      <w:r>
        <w:t>is the sector specific capital stock;</w:t>
      </w:r>
      <w:r w:rsidRPr="00843478">
        <w:t xml:space="preserve"> </w:t>
      </w:r>
      <w:r w:rsidRPr="00E670A7">
        <w:rPr>
          <w:position w:val="-14"/>
        </w:rPr>
        <w:object w:dxaOrig="400" w:dyaOrig="380" w14:anchorId="6EBE7322">
          <v:shape id="_x0000_i1182" type="#_x0000_t75" style="width:20.4pt;height:18pt" o:ole="">
            <v:imagedata r:id="rId331" o:title=""/>
          </v:shape>
          <o:OLEObject Type="Embed" ProgID="Equation.DSMT4" ShapeID="_x0000_i1182" DrawAspect="Content" ObjectID="_1754918733" r:id="rId332"/>
        </w:object>
      </w:r>
      <w:r w:rsidR="00D90FAA">
        <w:t xml:space="preserve"> </w:t>
      </w:r>
      <w:r>
        <w:t>is a</w:t>
      </w:r>
      <w:r w:rsidRPr="00F879A9">
        <w:t xml:space="preserve"> composite intermediate </w:t>
      </w:r>
      <w:r>
        <w:t>input;</w:t>
      </w:r>
      <w:r w:rsidRPr="0030295B">
        <w:t xml:space="preserve"> </w:t>
      </w:r>
      <w:r w:rsidRPr="0069190F">
        <w:rPr>
          <w:position w:val="-14"/>
        </w:rPr>
        <w:object w:dxaOrig="1060" w:dyaOrig="400" w14:anchorId="1B53CBB3">
          <v:shape id="_x0000_i1183" type="#_x0000_t75" style="width:54pt;height:20.4pt" o:ole="">
            <v:imagedata r:id="rId333" o:title=""/>
          </v:shape>
          <o:OLEObject Type="Embed" ProgID="Equation.DSMT4" ShapeID="_x0000_i1183" DrawAspect="Content" ObjectID="_1754918734" r:id="rId334"/>
        </w:object>
      </w:r>
      <w:r>
        <w:t xml:space="preserve">, </w:t>
      </w:r>
      <w:r w:rsidRPr="0069190F">
        <w:rPr>
          <w:position w:val="-14"/>
        </w:rPr>
        <w:object w:dxaOrig="1060" w:dyaOrig="400" w14:anchorId="78BA5EAD">
          <v:shape id="_x0000_i1184" type="#_x0000_t75" style="width:54pt;height:20.4pt" o:ole="">
            <v:imagedata r:id="rId335" o:title=""/>
          </v:shape>
          <o:OLEObject Type="Embed" ProgID="Equation.DSMT4" ShapeID="_x0000_i1184" DrawAspect="Content" ObjectID="_1754918735" r:id="rId336"/>
        </w:object>
      </w:r>
      <w:r>
        <w:t xml:space="preserve">, and </w:t>
      </w:r>
      <w:r w:rsidRPr="00E670A7">
        <w:rPr>
          <w:position w:val="-14"/>
        </w:rPr>
        <w:object w:dxaOrig="1040" w:dyaOrig="400" w14:anchorId="20CF0C15">
          <v:shape id="_x0000_i1185" type="#_x0000_t75" style="width:51.6pt;height:20.4pt" o:ole="">
            <v:imagedata r:id="rId337" o:title=""/>
          </v:shape>
          <o:OLEObject Type="Embed" ProgID="Equation.DSMT4" ShapeID="_x0000_i1185" DrawAspect="Content" ObjectID="_1754918736" r:id="rId338"/>
        </w:object>
      </w:r>
      <w:r w:rsidR="00D90FAA">
        <w:t xml:space="preserve"> </w:t>
      </w:r>
      <w:r w:rsidRPr="00F879A9">
        <w:t xml:space="preserve">are the CES </w:t>
      </w:r>
      <w:r>
        <w:t xml:space="preserve">weights for each input, with </w:t>
      </w:r>
      <w:r w:rsidRPr="00E670A7">
        <w:rPr>
          <w:position w:val="-14"/>
        </w:rPr>
        <w:object w:dxaOrig="1780" w:dyaOrig="400" w14:anchorId="420F5792">
          <v:shape id="_x0000_i1186" type="#_x0000_t75" style="width:89.4pt;height:20.4pt" o:ole="">
            <v:imagedata r:id="rId339" o:title=""/>
          </v:shape>
          <o:OLEObject Type="Embed" ProgID="Equation.DSMT4" ShapeID="_x0000_i1186" DrawAspect="Content" ObjectID="_1754918737" r:id="rId340"/>
        </w:object>
      </w:r>
      <w:r>
        <w:t xml:space="preserve">; and </w:t>
      </w:r>
      <w:r w:rsidRPr="00E670A7">
        <w:rPr>
          <w:position w:val="-14"/>
        </w:rPr>
        <w:object w:dxaOrig="300" w:dyaOrig="400" w14:anchorId="619F62FD">
          <v:shape id="_x0000_i1187" type="#_x0000_t75" style="width:15pt;height:20.4pt" o:ole="">
            <v:imagedata r:id="rId341" o:title=""/>
          </v:shape>
          <o:OLEObject Type="Embed" ProgID="Equation.DSMT4" ShapeID="_x0000_i1187" DrawAspect="Content" ObjectID="_1754918738" r:id="rId342"/>
        </w:object>
      </w:r>
      <w:r w:rsidR="00B406C3">
        <w:t xml:space="preserve"> </w:t>
      </w:r>
      <w:r w:rsidRPr="00F879A9">
        <w:t>is the elasticity of substitution</w:t>
      </w:r>
      <w:r>
        <w:t xml:space="preserve"> for factors of production.</w:t>
      </w:r>
    </w:p>
    <w:p w14:paraId="708CF44A" w14:textId="3BBADA78" w:rsidR="006C3DEB" w:rsidRPr="00F879A9" w:rsidRDefault="006C3DEB" w:rsidP="006C3DEB">
      <w:r w:rsidRPr="00F879A9">
        <w:t xml:space="preserve">The normalised version of equation </w:t>
      </w:r>
      <w:r w:rsidRPr="00F879A9">
        <w:fldChar w:fldCharType="begin"/>
      </w:r>
      <w:r w:rsidRPr="00F879A9">
        <w:instrText xml:space="preserve"> GOTOBUTTON ZEqnNum831297  \* MERGEFORMAT </w:instrText>
      </w:r>
      <w:r w:rsidR="00E00A52">
        <w:instrText>(8)</w:instrText>
      </w:r>
      <w:r w:rsidRPr="00F879A9">
        <w:fldChar w:fldCharType="end"/>
      </w:r>
      <w:r w:rsidRPr="00F879A9">
        <w:t xml:space="preserve"> is:</w:t>
      </w:r>
    </w:p>
    <w:p w14:paraId="6A84AA39" w14:textId="24CB17D2" w:rsidR="006C3DEB" w:rsidRPr="00B370E6" w:rsidRDefault="006C3DEB" w:rsidP="006C3DEB">
      <w:pPr>
        <w:pStyle w:val="MTDisplayEquation"/>
        <w:rPr>
          <w:rStyle w:val="IntenseEmphasis"/>
          <w:b w:val="0"/>
          <w:bCs w:val="0"/>
          <w:i w:val="0"/>
          <w:iCs w:val="0"/>
          <w:color w:val="000000" w:themeColor="text1"/>
        </w:rPr>
      </w:pPr>
      <w:r w:rsidRPr="00F879A9">
        <w:tab/>
      </w:r>
      <w:r w:rsidRPr="00E670A7">
        <w:rPr>
          <w:position w:val="-48"/>
        </w:rPr>
        <w:object w:dxaOrig="6860" w:dyaOrig="1280" w14:anchorId="3AA573C7">
          <v:shape id="_x0000_i1188" type="#_x0000_t75" style="width:342pt;height:63.6pt" o:ole="">
            <v:imagedata r:id="rId343" o:title=""/>
          </v:shape>
          <o:OLEObject Type="Embed" ProgID="Equation.DSMT4" ShapeID="_x0000_i1188" DrawAspect="Content" ObjectID="_1754918739" r:id="rId344"/>
        </w:object>
      </w:r>
      <w:r w:rsidRPr="00F879A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9</w:instrText>
      </w:r>
      <w:r>
        <w:rPr>
          <w:noProof/>
        </w:rPr>
        <w:fldChar w:fldCharType="end"/>
      </w:r>
      <w:r>
        <w:instrText>)</w:instrText>
      </w:r>
      <w:r>
        <w:fldChar w:fldCharType="end"/>
      </w:r>
    </w:p>
    <w:p w14:paraId="7E8349E9" w14:textId="77777777" w:rsidR="006C3DEB" w:rsidRPr="001967BF" w:rsidRDefault="006C3DEB" w:rsidP="006C3DEB">
      <w:pPr>
        <w:pStyle w:val="Heading5"/>
        <w:rPr>
          <w:rStyle w:val="IntenseEmphasis"/>
          <w:bCs w:val="0"/>
          <w:i w:val="0"/>
          <w:color w:val="000000" w:themeColor="text1"/>
        </w:rPr>
      </w:pPr>
      <w:r w:rsidRPr="00B34AB0">
        <w:rPr>
          <w:rStyle w:val="IntenseEmphasis"/>
          <w:b/>
          <w:bCs w:val="0"/>
          <w:i w:val="0"/>
          <w:iCs/>
          <w:color w:val="000000" w:themeColor="text1"/>
        </w:rPr>
        <w:t>Labour input</w:t>
      </w:r>
    </w:p>
    <w:p w14:paraId="0DB75D7E" w14:textId="77777777" w:rsidR="006C3DEB" w:rsidRDefault="006C3DEB" w:rsidP="006C3DEB">
      <w:r>
        <w:t xml:space="preserve">Labour is supplied by households. Efficiency units of labour are perfectly substitutable across sectors, so in equilibrium workers, in different sectors, receive a single wage. As such firms and workers are indifferent to the sectoral allocation of workers by efficiency unit: </w:t>
      </w:r>
    </w:p>
    <w:p w14:paraId="4E8A6957" w14:textId="2EDAC52C" w:rsidR="006C3DEB" w:rsidRDefault="006C3DEB" w:rsidP="006C3DEB">
      <w:pPr>
        <w:pStyle w:val="MTDisplayEquation"/>
      </w:pPr>
      <w:r>
        <w:tab/>
      </w:r>
      <w:r w:rsidRPr="00E670A7">
        <w:rPr>
          <w:position w:val="-30"/>
        </w:rPr>
        <w:object w:dxaOrig="1100" w:dyaOrig="700" w14:anchorId="78577A66">
          <v:shape id="_x0000_i1189" type="#_x0000_t75" style="width:54pt;height:34.8pt" o:ole="">
            <v:imagedata r:id="rId345" o:title=""/>
          </v:shape>
          <o:OLEObject Type="Embed" ProgID="Equation.DSMT4" ShapeID="_x0000_i1189" DrawAspect="Content" ObjectID="_1754918740" r:id="rId34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10</w:instrText>
      </w:r>
      <w:r>
        <w:rPr>
          <w:noProof/>
        </w:rPr>
        <w:fldChar w:fldCharType="end"/>
      </w:r>
      <w:r>
        <w:instrText>)</w:instrText>
      </w:r>
      <w:r>
        <w:fldChar w:fldCharType="end"/>
      </w:r>
    </w:p>
    <w:p w14:paraId="7A8304F0" w14:textId="77777777" w:rsidR="006C3DEB" w:rsidRPr="001967BF" w:rsidRDefault="006C3DEB" w:rsidP="006C3DEB">
      <w:pPr>
        <w:pStyle w:val="Heading5"/>
        <w:rPr>
          <w:rStyle w:val="IntenseEmphasis"/>
          <w:bCs w:val="0"/>
          <w:i w:val="0"/>
          <w:color w:val="000000" w:themeColor="text1"/>
        </w:rPr>
      </w:pPr>
      <w:r w:rsidRPr="00B34AB0">
        <w:rPr>
          <w:rStyle w:val="IntenseEmphasis"/>
          <w:b/>
          <w:bCs w:val="0"/>
          <w:i w:val="0"/>
          <w:iCs/>
          <w:color w:val="000000" w:themeColor="text1"/>
        </w:rPr>
        <w:t>Capital input</w:t>
      </w:r>
    </w:p>
    <w:p w14:paraId="0F6170DD" w14:textId="77777777" w:rsidR="006C3DEB" w:rsidRDefault="006C3DEB" w:rsidP="006C3DEB">
      <w:r>
        <w:t>Firms own and manage their variable productive capital. The c</w:t>
      </w:r>
      <w:r w:rsidRPr="00514689">
        <w:t xml:space="preserve">apital stock of </w:t>
      </w:r>
      <w:r>
        <w:t>a</w:t>
      </w:r>
      <w:r w:rsidRPr="00514689">
        <w:t xml:space="preserve"> </w:t>
      </w:r>
      <w:r>
        <w:t xml:space="preserve">representative </w:t>
      </w:r>
      <w:r w:rsidRPr="00514689">
        <w:t xml:space="preserve">firm </w:t>
      </w:r>
      <w:r>
        <w:t>in sector</w:t>
      </w:r>
      <w:r w:rsidRPr="00E670A7">
        <w:rPr>
          <w:position w:val="-10"/>
        </w:rPr>
        <w:object w:dxaOrig="200" w:dyaOrig="300" w14:anchorId="4EFF847A">
          <v:shape id="_x0000_i1190" type="#_x0000_t75" style="width:10.8pt;height:15pt" o:ole="">
            <v:imagedata r:id="rId347" o:title=""/>
          </v:shape>
          <o:OLEObject Type="Embed" ProgID="Equation.DSMT4" ShapeID="_x0000_i1190" DrawAspect="Content" ObjectID="_1754918741" r:id="rId348"/>
        </w:object>
      </w:r>
      <w:r>
        <w:t xml:space="preserve"> </w:t>
      </w:r>
      <w:r w:rsidRPr="00514689">
        <w:t xml:space="preserve">evolves according to the following </w:t>
      </w:r>
      <w:r>
        <w:t>accumulation identity</w:t>
      </w:r>
      <w:r w:rsidRPr="00514689">
        <w:t>:</w:t>
      </w:r>
    </w:p>
    <w:p w14:paraId="28338390" w14:textId="4AC234CE" w:rsidR="006C3DEB" w:rsidRPr="00514689" w:rsidRDefault="006C3DEB" w:rsidP="006C3DEB">
      <w:pPr>
        <w:pStyle w:val="MTDisplayEquation"/>
      </w:pPr>
      <w:r w:rsidRPr="00514689">
        <w:tab/>
      </w:r>
      <w:r w:rsidRPr="00E670A7">
        <w:rPr>
          <w:position w:val="-14"/>
        </w:rPr>
        <w:object w:dxaOrig="2960" w:dyaOrig="380" w14:anchorId="3B8A2C0A">
          <v:shape id="_x0000_i1191" type="#_x0000_t75" style="width:147pt;height:18pt" o:ole="">
            <v:imagedata r:id="rId349" o:title=""/>
          </v:shape>
          <o:OLEObject Type="Embed" ProgID="Equation.DSMT4" ShapeID="_x0000_i1191" DrawAspect="Content" ObjectID="_1754918742" r:id="rId350"/>
        </w:objec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254546"/>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11</w:instrText>
      </w:r>
      <w:r>
        <w:rPr>
          <w:noProof/>
        </w:rPr>
        <w:fldChar w:fldCharType="end"/>
      </w:r>
      <w:r>
        <w:instrText>)</w:instrText>
      </w:r>
      <w:bookmarkEnd w:id="7"/>
      <w:r>
        <w:fldChar w:fldCharType="end"/>
      </w:r>
    </w:p>
    <w:p w14:paraId="5B4AE468" w14:textId="77777777" w:rsidR="006C3DEB" w:rsidRDefault="006C3DEB" w:rsidP="006C3DEB">
      <w:bookmarkStart w:id="8" w:name="_Hlk99959848"/>
      <w:r>
        <w:t>Investment is a composite good sourced from a notional distribution sector which is explained in further details below.</w:t>
      </w:r>
    </w:p>
    <w:bookmarkEnd w:id="8"/>
    <w:p w14:paraId="6329535A" w14:textId="77777777" w:rsidR="006C3DEB" w:rsidRPr="00514689" w:rsidRDefault="006C3DEB" w:rsidP="006C3DEB">
      <w:r>
        <w:t xml:space="preserve">Following </w:t>
      </w:r>
      <w:r w:rsidRPr="00514689">
        <w:t xml:space="preserve">Lucas (1967), </w:t>
      </w:r>
      <w:r>
        <w:t xml:space="preserve">we </w:t>
      </w:r>
      <w:r w:rsidRPr="00514689">
        <w:t xml:space="preserve">assume that </w:t>
      </w:r>
      <w:r>
        <w:t xml:space="preserve">the firm faces capital adjustment costs. In particular, we assume that the firm faces </w:t>
      </w:r>
      <w:r w:rsidRPr="00514689">
        <w:t xml:space="preserve">quadratic </w:t>
      </w:r>
      <w:r>
        <w:t>adjustment costs such that there is an increasing loss of output as the investment to capital ratio moves further away from its steady state level:</w:t>
      </w:r>
    </w:p>
    <w:p w14:paraId="436FA146" w14:textId="2AF9C705" w:rsidR="006C3DEB" w:rsidRPr="00514689" w:rsidRDefault="006C3DEB" w:rsidP="006C3DEB">
      <w:pPr>
        <w:pStyle w:val="MTDisplayEquation"/>
      </w:pPr>
      <w:r>
        <w:tab/>
      </w:r>
      <w:r w:rsidRPr="00E670A7">
        <w:rPr>
          <w:position w:val="-36"/>
        </w:rPr>
        <w:object w:dxaOrig="3660" w:dyaOrig="880" w14:anchorId="3EC84ECE">
          <v:shape id="_x0000_i1192" type="#_x0000_t75" style="width:183pt;height:44.4pt" o:ole="">
            <v:imagedata r:id="rId351" o:title=""/>
          </v:shape>
          <o:OLEObject Type="Embed" ProgID="Equation.DSMT4" ShapeID="_x0000_i1192" DrawAspect="Content" ObjectID="_1754918743" r:id="rId35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12</w:instrText>
      </w:r>
      <w:r>
        <w:rPr>
          <w:noProof/>
        </w:rPr>
        <w:fldChar w:fldCharType="end"/>
      </w:r>
      <w:r>
        <w:instrText>)</w:instrText>
      </w:r>
      <w:r>
        <w:fldChar w:fldCharType="end"/>
      </w:r>
    </w:p>
    <w:p w14:paraId="2C8AE4C1" w14:textId="3EDA9B29" w:rsidR="006C3DEB" w:rsidRDefault="006C3DEB" w:rsidP="006C3DEB">
      <w:r>
        <w:t>where</w:t>
      </w:r>
      <w:r w:rsidRPr="00E670A7">
        <w:rPr>
          <w:position w:val="-14"/>
        </w:rPr>
        <w:object w:dxaOrig="700" w:dyaOrig="400" w14:anchorId="25840024">
          <v:shape id="_x0000_i1193" type="#_x0000_t75" style="width:34.8pt;height:20.4pt" o:ole="">
            <v:imagedata r:id="rId353" o:title=""/>
          </v:shape>
          <o:OLEObject Type="Embed" ProgID="Equation.DSMT4" ShapeID="_x0000_i1193" DrawAspect="Content" ObjectID="_1754918744" r:id="rId354"/>
        </w:object>
      </w:r>
      <w:r w:rsidRPr="00A03BD6">
        <w:t xml:space="preserve"> </w:t>
      </w:r>
      <w:r>
        <w:t>governs the size of the adjustment cost.</w:t>
      </w:r>
    </w:p>
    <w:p w14:paraId="67769049" w14:textId="35ACBCFA" w:rsidR="006C3DEB" w:rsidRPr="001967BF" w:rsidRDefault="006C3DEB" w:rsidP="006C3DEB">
      <w:pPr>
        <w:pStyle w:val="Heading5"/>
        <w:rPr>
          <w:rStyle w:val="IntenseEmphasis"/>
          <w:bCs w:val="0"/>
          <w:i w:val="0"/>
          <w:color w:val="000000" w:themeColor="text1"/>
        </w:rPr>
      </w:pPr>
      <w:r w:rsidRPr="00B34AB0">
        <w:rPr>
          <w:rStyle w:val="IntenseEmphasis"/>
          <w:b/>
          <w:bCs w:val="0"/>
          <w:i w:val="0"/>
          <w:iCs/>
          <w:color w:val="000000" w:themeColor="text1"/>
        </w:rPr>
        <w:lastRenderedPageBreak/>
        <w:t>Intermediate inputs</w:t>
      </w:r>
    </w:p>
    <w:p w14:paraId="4A8A27FF" w14:textId="77777777" w:rsidR="006C3DEB" w:rsidRDefault="006C3DEB" w:rsidP="006C3DEB">
      <w:r>
        <w:t>P</w:t>
      </w:r>
      <w:r w:rsidRPr="005404A5">
        <w:t xml:space="preserve">roduction </w:t>
      </w:r>
      <w:r>
        <w:t xml:space="preserve">requires the consumption of </w:t>
      </w:r>
      <w:r w:rsidRPr="005404A5">
        <w:t>intermediate inputs</w:t>
      </w:r>
      <w:r>
        <w:t xml:space="preserve"> in the period in which they are produced</w:t>
      </w:r>
      <w:r w:rsidRPr="005404A5">
        <w:t xml:space="preserve">. </w:t>
      </w:r>
      <w:r>
        <w:t>F</w:t>
      </w:r>
      <w:r w:rsidRPr="005404A5">
        <w:t xml:space="preserve">or example, </w:t>
      </w:r>
      <w:r>
        <w:t>the production of bread requires intermediate inputs such as</w:t>
      </w:r>
      <w:r w:rsidRPr="005404A5">
        <w:t xml:space="preserve"> flour, yeast and salt. </w:t>
      </w:r>
    </w:p>
    <w:p w14:paraId="312D358F" w14:textId="77777777" w:rsidR="006C3DEB" w:rsidRPr="005404A5" w:rsidRDefault="006C3DEB" w:rsidP="006C3DEB">
      <w:r w:rsidRPr="005404A5">
        <w:t xml:space="preserve">While intermediate inputs are directly sourced </w:t>
      </w:r>
      <w:r>
        <w:t xml:space="preserve">by firms </w:t>
      </w:r>
      <w:r w:rsidRPr="005404A5">
        <w:t xml:space="preserve">from each production sector, </w:t>
      </w:r>
      <w:r>
        <w:t xml:space="preserve">for ease of exposition we assume that </w:t>
      </w:r>
      <w:r w:rsidRPr="005404A5">
        <w:t>firms purchase a sector-specific composite of intermediate good</w:t>
      </w:r>
      <w:r>
        <w:t>s</w:t>
      </w:r>
      <w:r w:rsidRPr="005404A5">
        <w:t xml:space="preserve"> from a notional distribution sector</w:t>
      </w:r>
      <w:r>
        <w:t xml:space="preserve"> which is described in more detail below</w:t>
      </w:r>
      <w:r w:rsidRPr="005404A5">
        <w:t>.</w:t>
      </w:r>
    </w:p>
    <w:p w14:paraId="2E6C7336" w14:textId="418BF7EA" w:rsidR="006C3DEB" w:rsidRPr="001967BF" w:rsidRDefault="006C3DEB" w:rsidP="006C3DEB">
      <w:pPr>
        <w:pStyle w:val="Heading5"/>
        <w:rPr>
          <w:rStyle w:val="IntenseEmphasis"/>
          <w:bCs w:val="0"/>
          <w:i w:val="0"/>
          <w:color w:val="000000" w:themeColor="text1"/>
        </w:rPr>
      </w:pPr>
      <w:r w:rsidRPr="00B34AB0">
        <w:rPr>
          <w:rStyle w:val="IntenseEmphasis"/>
          <w:b/>
          <w:bCs w:val="0"/>
          <w:i w:val="0"/>
          <w:iCs/>
          <w:color w:val="000000" w:themeColor="text1"/>
        </w:rPr>
        <w:t xml:space="preserve">Gross </w:t>
      </w:r>
      <w:r w:rsidR="006A5134">
        <w:rPr>
          <w:rStyle w:val="IntenseEmphasis"/>
          <w:b/>
          <w:bCs w:val="0"/>
          <w:i w:val="0"/>
          <w:iCs/>
          <w:color w:val="000000" w:themeColor="text1"/>
        </w:rPr>
        <w:t>output</w:t>
      </w:r>
    </w:p>
    <w:p w14:paraId="118CA44E" w14:textId="2D60C63A" w:rsidR="006C3DEB" w:rsidRPr="00336280" w:rsidRDefault="006C3DEB" w:rsidP="006C3DEB">
      <w:r>
        <w:t>Finally, t</w:t>
      </w:r>
      <w:r w:rsidRPr="00336280">
        <w:t>he firm’s gross output is</w:t>
      </w:r>
      <w:r>
        <w:t xml:space="preserve"> summarized by the following:</w:t>
      </w:r>
      <w:r w:rsidRPr="00336280">
        <w:t xml:space="preserve"> </w:t>
      </w:r>
    </w:p>
    <w:p w14:paraId="5B87F4F7" w14:textId="318487BC" w:rsidR="006C3DEB" w:rsidRDefault="006C3DEB" w:rsidP="006C3DEB">
      <w:pPr>
        <w:pStyle w:val="MTDisplayEquation"/>
      </w:pPr>
      <w:r w:rsidRPr="004A5224">
        <w:tab/>
      </w:r>
      <w:r w:rsidRPr="00E670A7">
        <w:rPr>
          <w:position w:val="-14"/>
        </w:rPr>
        <w:object w:dxaOrig="3739" w:dyaOrig="400" w14:anchorId="54062D9C">
          <v:shape id="_x0000_i1194" type="#_x0000_t75" style="width:188.4pt;height:20.4pt" o:ole="">
            <v:imagedata r:id="rId355" o:title=""/>
          </v:shape>
          <o:OLEObject Type="Embed" ProgID="Equation.DSMT4" ShapeID="_x0000_i1194" DrawAspect="Content" ObjectID="_1754918745" r:id="rId356"/>
        </w:object>
      </w:r>
      <w:r w:rsidRPr="004A5224">
        <w:tab/>
      </w:r>
      <w:r>
        <w:fldChar w:fldCharType="begin"/>
      </w:r>
      <w:r>
        <w:instrText xml:space="preserve"> MACROBUTTON MTPlaceRef \* MERGEFORMAT </w:instrText>
      </w:r>
      <w:r>
        <w:fldChar w:fldCharType="begin"/>
      </w:r>
      <w:r>
        <w:instrText xml:space="preserve"> SEQ MTEqn \h \* MERGEFORMAT </w:instrText>
      </w:r>
      <w:r>
        <w:fldChar w:fldCharType="end"/>
      </w:r>
      <w:bookmarkStart w:id="9" w:name="ZEqnNum615791"/>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13</w:instrText>
      </w:r>
      <w:r>
        <w:rPr>
          <w:noProof/>
        </w:rPr>
        <w:fldChar w:fldCharType="end"/>
      </w:r>
      <w:r>
        <w:instrText>)</w:instrText>
      </w:r>
      <w:bookmarkEnd w:id="9"/>
      <w:r>
        <w:fldChar w:fldCharType="end"/>
      </w:r>
    </w:p>
    <w:p w14:paraId="2B46F758" w14:textId="77777777" w:rsidR="006C3DEB" w:rsidRDefault="006C3DEB" w:rsidP="006C3DEB">
      <w:pPr>
        <w:pStyle w:val="Heading4"/>
      </w:pPr>
      <w:r>
        <w:t>Corporate finance</w:t>
      </w:r>
    </w:p>
    <w:p w14:paraId="5C8BAAF5" w14:textId="77777777" w:rsidR="006C3DEB" w:rsidRDefault="006C3DEB" w:rsidP="006C3DEB">
      <w:r w:rsidRPr="000C5B37">
        <w:t xml:space="preserve">The representative firm owns the capital stock and makes production and investment decisions in order to maximise the </w:t>
      </w:r>
      <w:r>
        <w:t>market value of the firm</w:t>
      </w:r>
      <w:r w:rsidRPr="006F6709">
        <w:t>.</w:t>
      </w:r>
      <w:r>
        <w:rPr>
          <w:lang w:val="en-US"/>
        </w:rPr>
        <w:t xml:space="preserve"> </w:t>
      </w:r>
      <w:r>
        <w:t>In addition to equity the</w:t>
      </w:r>
      <w:r w:rsidRPr="00514689">
        <w:t xml:space="preserve"> firm's capital is </w:t>
      </w:r>
      <w:r>
        <w:t xml:space="preserve">also </w:t>
      </w:r>
      <w:r w:rsidRPr="00514689">
        <w:t xml:space="preserve">financed by </w:t>
      </w:r>
      <w:r>
        <w:t>borrowing in the corporate debt market. For simplicity we assume that firms maintain fixed debt to equity ratios. Furthermore, to capture features of the Australian tax system equity is divided into equity which pays dividends or capital gains.</w:t>
      </w:r>
    </w:p>
    <w:p w14:paraId="752A577C" w14:textId="77777777" w:rsidR="006C3DEB" w:rsidRPr="00514689" w:rsidRDefault="006C3DEB" w:rsidP="006C3DEB">
      <w:r>
        <w:t>The value of the firm’s capital financed by corporate debt is</w:t>
      </w:r>
      <w:r w:rsidRPr="00514689">
        <w:t>:</w:t>
      </w:r>
    </w:p>
    <w:p w14:paraId="746B321F" w14:textId="77777777" w:rsidR="006C3DEB" w:rsidRPr="007B6BEC" w:rsidRDefault="006C3DEB" w:rsidP="006C3DEB">
      <w:pPr>
        <w:pStyle w:val="MTDisplayEquation"/>
      </w:pPr>
      <w:r w:rsidRPr="007B6BEC">
        <w:tab/>
      </w:r>
      <w:r w:rsidRPr="00E670A7">
        <w:rPr>
          <w:position w:val="-14"/>
        </w:rPr>
        <w:object w:dxaOrig="1540" w:dyaOrig="400" w14:anchorId="0C108CEC">
          <v:shape id="_x0000_i1195" type="#_x0000_t75" style="width:76.8pt;height:20.4pt" o:ole="">
            <v:imagedata r:id="rId357" o:title=""/>
          </v:shape>
          <o:OLEObject Type="Embed" ProgID="Equation.DSMT4" ShapeID="_x0000_i1195" DrawAspect="Content" ObjectID="_1754918746" r:id="rId358"/>
        </w:object>
      </w:r>
      <w:r w:rsidRPr="007B6BEC">
        <w:tab/>
      </w:r>
    </w:p>
    <w:p w14:paraId="4F6EB5B0" w14:textId="5739762E" w:rsidR="006C3DEB" w:rsidRDefault="006C3DEB" w:rsidP="006C3DEB">
      <w:r>
        <w:t>where:</w:t>
      </w:r>
      <w:r w:rsidRPr="00E670A7">
        <w:rPr>
          <w:position w:val="-14"/>
        </w:rPr>
        <w:object w:dxaOrig="400" w:dyaOrig="400" w14:anchorId="71FAE5A4">
          <v:shape id="_x0000_i1196" type="#_x0000_t75" style="width:20.4pt;height:20.4pt" o:ole="">
            <v:imagedata r:id="rId359" o:title=""/>
          </v:shape>
          <o:OLEObject Type="Embed" ProgID="Equation.DSMT4" ShapeID="_x0000_i1196" DrawAspect="Content" ObjectID="_1754918747" r:id="rId360"/>
        </w:object>
      </w:r>
      <w:r w:rsidR="00AF76ED">
        <w:t xml:space="preserve"> </w:t>
      </w:r>
      <w:r>
        <w:t xml:space="preserve">is the market value of a unit of capital; </w:t>
      </w:r>
      <w:r w:rsidRPr="00E670A7">
        <w:rPr>
          <w:position w:val="-14"/>
        </w:rPr>
        <w:object w:dxaOrig="360" w:dyaOrig="400" w14:anchorId="4148AF5A">
          <v:shape id="_x0000_i1197" type="#_x0000_t75" style="width:18pt;height:20.4pt" o:ole="">
            <v:imagedata r:id="rId361" o:title=""/>
          </v:shape>
          <o:OLEObject Type="Embed" ProgID="Equation.DSMT4" ShapeID="_x0000_i1197" DrawAspect="Content" ObjectID="_1754918748" r:id="rId362"/>
        </w:object>
      </w:r>
      <w:r w:rsidR="00AF76ED">
        <w:t xml:space="preserve"> </w:t>
      </w:r>
      <w:r>
        <w:t xml:space="preserve">is the capital stock at the beginning of period </w:t>
      </w:r>
      <w:r w:rsidRPr="00E670A7">
        <w:rPr>
          <w:position w:val="-6"/>
        </w:rPr>
        <w:object w:dxaOrig="139" w:dyaOrig="240" w14:anchorId="1C7BE365">
          <v:shape id="_x0000_i1198" type="#_x0000_t75" style="width:6.6pt;height:14.4pt" o:ole="">
            <v:imagedata r:id="rId363" o:title=""/>
          </v:shape>
          <o:OLEObject Type="Embed" ProgID="Equation.DSMT4" ShapeID="_x0000_i1198" DrawAspect="Content" ObjectID="_1754918749" r:id="rId364"/>
        </w:object>
      </w:r>
      <w:r>
        <w:t xml:space="preserve">; and </w:t>
      </w:r>
      <w:r w:rsidRPr="00E670A7">
        <w:rPr>
          <w:position w:val="-14"/>
        </w:rPr>
        <w:object w:dxaOrig="400" w:dyaOrig="400" w14:anchorId="57CF490C">
          <v:shape id="_x0000_i1199" type="#_x0000_t75" style="width:20.4pt;height:20.4pt" o:ole="">
            <v:imagedata r:id="rId365" o:title=""/>
          </v:shape>
          <o:OLEObject Type="Embed" ProgID="Equation.DSMT4" ShapeID="_x0000_i1199" DrawAspect="Content" ObjectID="_1754918750" r:id="rId366"/>
        </w:object>
      </w:r>
      <w:r>
        <w:t xml:space="preserve"> is the share of the firm’s capital financed by corporate debt. For Version 1.0 of OLGA, </w:t>
      </w:r>
      <w:r w:rsidRPr="00E670A7">
        <w:rPr>
          <w:position w:val="-14"/>
        </w:rPr>
        <w:object w:dxaOrig="400" w:dyaOrig="400" w14:anchorId="46322368">
          <v:shape id="_x0000_i1200" type="#_x0000_t75" style="width:20.4pt;height:20.4pt" o:ole="">
            <v:imagedata r:id="rId367" o:title=""/>
          </v:shape>
          <o:OLEObject Type="Embed" ProgID="Equation.DSMT4" ShapeID="_x0000_i1200" DrawAspect="Content" ObjectID="_1754918751" r:id="rId368"/>
        </w:object>
      </w:r>
      <w:r w:rsidR="00AF76ED">
        <w:t xml:space="preserve"> </w:t>
      </w:r>
      <w:r>
        <w:t>is exogenous.</w:t>
      </w:r>
    </w:p>
    <w:p w14:paraId="653D0677" w14:textId="77777777" w:rsidR="006C3DEB" w:rsidRPr="007B6BEC" w:rsidRDefault="006C3DEB" w:rsidP="006C3DEB">
      <w:r>
        <w:t>C</w:t>
      </w:r>
      <w:r w:rsidRPr="00514689">
        <w:t xml:space="preserve">orporate </w:t>
      </w:r>
      <w:r>
        <w:t xml:space="preserve">debt </w:t>
      </w:r>
      <w:r w:rsidRPr="00514689">
        <w:t xml:space="preserve">is </w:t>
      </w:r>
      <w:r>
        <w:t>assumed to be an</w:t>
      </w:r>
      <w:r w:rsidRPr="00514689">
        <w:t xml:space="preserve"> international</w:t>
      </w:r>
      <w:r>
        <w:t>ly traded one period bond which has a required rate of return of</w:t>
      </w:r>
      <w:r w:rsidRPr="00E670A7">
        <w:rPr>
          <w:position w:val="-12"/>
        </w:rPr>
        <w:object w:dxaOrig="260" w:dyaOrig="380" w14:anchorId="0C8522A7">
          <v:shape id="_x0000_i1201" type="#_x0000_t75" style="width:14.4pt;height:18pt" o:ole="">
            <v:imagedata r:id="rId369" o:title=""/>
          </v:shape>
          <o:OLEObject Type="Embed" ProgID="Equation.DSMT4" ShapeID="_x0000_i1201" DrawAspect="Content" ObjectID="_1754918752" r:id="rId370"/>
        </w:object>
      </w:r>
      <w:r>
        <w:t xml:space="preserve">, which means that each period, in </w:t>
      </w:r>
      <w:r w:rsidRPr="007B6BEC">
        <w:t>addition to the principal, the firm must also pay</w:t>
      </w:r>
      <w:r w:rsidRPr="00E670A7">
        <w:rPr>
          <w:position w:val="-14"/>
        </w:rPr>
        <w:object w:dxaOrig="540" w:dyaOrig="400" w14:anchorId="6A8F1A49">
          <v:shape id="_x0000_i1202" type="#_x0000_t75" style="width:27pt;height:20.4pt" o:ole="">
            <v:imagedata r:id="rId371" o:title=""/>
          </v:shape>
          <o:OLEObject Type="Embed" ProgID="Equation.DSMT4" ShapeID="_x0000_i1202" DrawAspect="Content" ObjectID="_1754918753" r:id="rId372"/>
        </w:object>
      </w:r>
      <w:r>
        <w:t xml:space="preserve"> </w:t>
      </w:r>
      <w:r w:rsidRPr="007B6BEC">
        <w:t>to bond holders.</w:t>
      </w:r>
    </w:p>
    <w:p w14:paraId="712DE1CA" w14:textId="77777777" w:rsidR="006C3DEB" w:rsidRPr="007B6BEC" w:rsidRDefault="006C3DEB" w:rsidP="006C3DEB">
      <w:r w:rsidRPr="007B6BEC">
        <w:t xml:space="preserve">The representative firm’s equity </w:t>
      </w:r>
      <w:r>
        <w:t xml:space="preserve">(that is, the market value of the firm) </w:t>
      </w:r>
      <w:r w:rsidRPr="007B6BEC">
        <w:t>is:</w:t>
      </w:r>
    </w:p>
    <w:p w14:paraId="083BE511" w14:textId="459EC443" w:rsidR="006C3DEB" w:rsidRDefault="006C3DEB" w:rsidP="006C3DEB">
      <w:pPr>
        <w:pStyle w:val="MTDisplayEquation"/>
      </w:pPr>
      <w:r>
        <w:tab/>
      </w:r>
      <w:r w:rsidRPr="00E670A7">
        <w:rPr>
          <w:position w:val="-36"/>
        </w:rPr>
        <w:object w:dxaOrig="2020" w:dyaOrig="840" w14:anchorId="0EF05683">
          <v:shape id="_x0000_i1203" type="#_x0000_t75" style="width:101.4pt;height:42pt" o:ole="">
            <v:imagedata r:id="rId373" o:title=""/>
          </v:shape>
          <o:OLEObject Type="Embed" ProgID="Equation.DSMT4" ShapeID="_x0000_i1203" DrawAspect="Content" ObjectID="_1754918754" r:id="rId3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B2CE5">
        <w:fldChar w:fldCharType="begin"/>
      </w:r>
      <w:r w:rsidR="009B2CE5">
        <w:instrText>SEQ MTEqn \c \* Arabic \* MERGEFORMAT</w:instrText>
      </w:r>
      <w:r w:rsidR="009B2CE5">
        <w:fldChar w:fldCharType="separate"/>
      </w:r>
      <w:r w:rsidR="00E00A52">
        <w:rPr>
          <w:noProof/>
        </w:rPr>
        <w:instrText>14</w:instrText>
      </w:r>
      <w:r w:rsidR="009B2CE5">
        <w:rPr>
          <w:noProof/>
        </w:rPr>
        <w:fldChar w:fldCharType="end"/>
      </w:r>
      <w:r>
        <w:instrText>)</w:instrText>
      </w:r>
      <w:r>
        <w:fldChar w:fldCharType="end"/>
      </w:r>
    </w:p>
    <w:p w14:paraId="7CCF7931" w14:textId="77777777" w:rsidR="006C3DEB" w:rsidRPr="007B6BEC" w:rsidRDefault="006C3DEB" w:rsidP="006C3DEB">
      <w:r w:rsidRPr="007B6BEC">
        <w:t xml:space="preserve">Corporate equity is also traded internationally. We assume that the required rate of return </w:t>
      </w:r>
      <w:r>
        <w:t>for</w:t>
      </w:r>
      <w:r w:rsidRPr="007B6BEC">
        <w:t xml:space="preserve"> equity i</w:t>
      </w:r>
      <w:r>
        <w:t>s</w:t>
      </w:r>
      <w:r w:rsidRPr="007B6BEC">
        <w:t xml:space="preserve"> </w:t>
      </w:r>
      <w:r>
        <w:t>set by</w:t>
      </w:r>
      <w:r w:rsidRPr="007B6BEC">
        <w:t xml:space="preserve"> the </w:t>
      </w:r>
      <w:r>
        <w:t xml:space="preserve">global funds </w:t>
      </w:r>
      <w:r w:rsidRPr="007B6BEC">
        <w:t xml:space="preserve">market based on financial assets </w:t>
      </w:r>
      <w:r>
        <w:t xml:space="preserve">with </w:t>
      </w:r>
      <w:r w:rsidRPr="007B6BEC">
        <w:t>the same risk characteristics.</w:t>
      </w:r>
    </w:p>
    <w:p w14:paraId="3E693999" w14:textId="77777777" w:rsidR="006C3DEB" w:rsidRPr="007B6BEC" w:rsidRDefault="006C3DEB" w:rsidP="006C3DEB">
      <w:r w:rsidRPr="005D7E36">
        <w:t xml:space="preserve">We assume </w:t>
      </w:r>
      <w:r>
        <w:t xml:space="preserve">that </w:t>
      </w:r>
      <w:r w:rsidRPr="005D7E36">
        <w:t xml:space="preserve">a notional </w:t>
      </w:r>
      <w:r>
        <w:t>funds</w:t>
      </w:r>
      <w:r w:rsidRPr="005D7E36">
        <w:t xml:space="preserve"> </w:t>
      </w:r>
      <w:r>
        <w:t>m</w:t>
      </w:r>
      <w:r w:rsidRPr="005D7E36">
        <w:t>anager raises funds</w:t>
      </w:r>
      <w:r>
        <w:t xml:space="preserve"> on behalf of firms</w:t>
      </w:r>
      <w:r w:rsidRPr="005D7E36">
        <w:t xml:space="preserve">. The </w:t>
      </w:r>
      <w:r>
        <w:t>funds</w:t>
      </w:r>
      <w:r w:rsidRPr="005D7E36">
        <w:t xml:space="preserve"> </w:t>
      </w:r>
      <w:r>
        <w:t>m</w:t>
      </w:r>
      <w:r w:rsidRPr="005D7E36">
        <w:t>anager sources funds from domestic households and foreign investors. Details of the funds market are discussed in a later section.</w:t>
      </w:r>
    </w:p>
    <w:p w14:paraId="7BDD9DF9" w14:textId="77777777" w:rsidR="006C3DEB" w:rsidRPr="007B6BEC" w:rsidRDefault="006C3DEB" w:rsidP="006C3DEB">
      <w:pPr>
        <w:pStyle w:val="Heading4"/>
      </w:pPr>
      <w:r>
        <w:lastRenderedPageBreak/>
        <w:t>Market value of the firm</w:t>
      </w:r>
    </w:p>
    <w:p w14:paraId="0002601B" w14:textId="77777777" w:rsidR="006C3DEB" w:rsidRPr="007B6BEC" w:rsidRDefault="006C3DEB" w:rsidP="006C3DEB">
      <w:r w:rsidRPr="007B6BEC">
        <w:t>The no-arbitrage condition requires that:</w:t>
      </w:r>
    </w:p>
    <w:p w14:paraId="762DAF04" w14:textId="441EC27E" w:rsidR="006C3DEB" w:rsidRPr="007B6BEC" w:rsidRDefault="006C3DEB" w:rsidP="006C3DEB">
      <w:pPr>
        <w:pStyle w:val="MTDisplayEquation"/>
      </w:pPr>
      <w:r w:rsidRPr="007B6BEC">
        <w:tab/>
      </w:r>
      <w:r w:rsidRPr="00E670A7">
        <w:rPr>
          <w:position w:val="-34"/>
        </w:rPr>
        <w:object w:dxaOrig="2260" w:dyaOrig="780" w14:anchorId="353399F6">
          <v:shape id="_x0000_i1204" type="#_x0000_t75" style="width:113.4pt;height:39.6pt" o:ole="">
            <v:imagedata r:id="rId375" o:title=""/>
          </v:shape>
          <o:OLEObject Type="Embed" ProgID="Equation.DSMT4" ShapeID="_x0000_i1204" DrawAspect="Content" ObjectID="_1754918755" r:id="rId376"/>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15</w:instrText>
      </w:r>
      <w:r>
        <w:rPr>
          <w:noProof/>
        </w:rPr>
        <w:fldChar w:fldCharType="end"/>
      </w:r>
      <w:r>
        <w:instrText>)</w:instrText>
      </w:r>
      <w:r>
        <w:fldChar w:fldCharType="end"/>
      </w:r>
    </w:p>
    <w:p w14:paraId="51A02A09" w14:textId="178AD3CF" w:rsidR="006C3DEB" w:rsidRPr="007B6BEC" w:rsidRDefault="006C3DEB" w:rsidP="006C3DEB">
      <w:r>
        <w:t>where:</w:t>
      </w:r>
      <w:r w:rsidRPr="00C850B5">
        <w:t xml:space="preserve"> </w:t>
      </w:r>
      <w:r w:rsidRPr="00E670A7">
        <w:rPr>
          <w:position w:val="-14"/>
        </w:rPr>
        <w:object w:dxaOrig="400" w:dyaOrig="380" w14:anchorId="17A638F4">
          <v:shape id="_x0000_i1205" type="#_x0000_t75" style="width:20.4pt;height:18pt" o:ole="">
            <v:imagedata r:id="rId377" o:title=""/>
          </v:shape>
          <o:OLEObject Type="Embed" ProgID="Equation.DSMT4" ShapeID="_x0000_i1205" DrawAspect="Content" ObjectID="_1754918756" r:id="rId378"/>
        </w:object>
      </w:r>
      <w:r w:rsidR="00BF760F">
        <w:t xml:space="preserve"> </w:t>
      </w:r>
      <w:r w:rsidRPr="007B6BEC">
        <w:t>is the net cash-flow from the firm to shareholders</w:t>
      </w:r>
      <w:r>
        <w:t>;</w:t>
      </w:r>
      <w:r w:rsidR="00BF760F">
        <w:t xml:space="preserve"> </w:t>
      </w:r>
      <w:r w:rsidRPr="00E670A7">
        <w:rPr>
          <w:position w:val="-14"/>
        </w:rPr>
        <w:object w:dxaOrig="360" w:dyaOrig="400" w14:anchorId="5EE3A029">
          <v:shape id="_x0000_i1206" type="#_x0000_t75" style="width:18pt;height:20.4pt" o:ole="">
            <v:imagedata r:id="rId379" o:title=""/>
          </v:shape>
          <o:OLEObject Type="Embed" ProgID="Equation.DSMT4" ShapeID="_x0000_i1206" DrawAspect="Content" ObjectID="_1754918757" r:id="rId380"/>
        </w:object>
      </w:r>
      <w:r w:rsidR="00BF760F">
        <w:t xml:space="preserve"> </w:t>
      </w:r>
      <w:r w:rsidRPr="007B6BEC">
        <w:t>is the market value of the firm’s equity at the beginning of period</w:t>
      </w:r>
      <w:r w:rsidR="00BF760F">
        <w:t xml:space="preserve"> </w:t>
      </w:r>
      <w:r w:rsidRPr="00E670A7">
        <w:rPr>
          <w:position w:val="-6"/>
        </w:rPr>
        <w:object w:dxaOrig="139" w:dyaOrig="240" w14:anchorId="5D843596">
          <v:shape id="_x0000_i1207" type="#_x0000_t75" style="width:6.6pt;height:14.4pt" o:ole="">
            <v:imagedata r:id="rId381" o:title=""/>
          </v:shape>
          <o:OLEObject Type="Embed" ProgID="Equation.DSMT4" ShapeID="_x0000_i1207" DrawAspect="Content" ObjectID="_1754918758" r:id="rId382"/>
        </w:object>
      </w:r>
      <w:r>
        <w:t xml:space="preserve">; </w:t>
      </w:r>
      <w:r w:rsidR="00BF760F">
        <w:t xml:space="preserve"> </w:t>
      </w:r>
      <w:r>
        <w:t>and</w:t>
      </w:r>
      <w:r w:rsidRPr="00E670A7">
        <w:rPr>
          <w:position w:val="-12"/>
        </w:rPr>
        <w:object w:dxaOrig="260" w:dyaOrig="380" w14:anchorId="34089C86">
          <v:shape id="_x0000_i1208" type="#_x0000_t75" style="width:14.4pt;height:18pt" o:ole="">
            <v:imagedata r:id="rId383" o:title=""/>
          </v:shape>
          <o:OLEObject Type="Embed" ProgID="Equation.DSMT4" ShapeID="_x0000_i1208" DrawAspect="Content" ObjectID="_1754918759" r:id="rId384"/>
        </w:object>
      </w:r>
      <w:r>
        <w:t>is the required rate of return for equity</w:t>
      </w:r>
      <w:r w:rsidRPr="007B6BEC">
        <w:t>. Th</w:t>
      </w:r>
      <w:r>
        <w:t>is</w:t>
      </w:r>
      <w:r w:rsidRPr="007B6BEC">
        <w:t xml:space="preserve"> condition </w:t>
      </w:r>
      <w:r>
        <w:t>implies</w:t>
      </w:r>
      <w:r w:rsidRPr="007B6BEC">
        <w:t xml:space="preserve"> that investors </w:t>
      </w:r>
      <w:r>
        <w:t>are</w:t>
      </w:r>
      <w:r w:rsidRPr="007B6BEC">
        <w:t xml:space="preserve"> indifferent </w:t>
      </w:r>
      <w:r>
        <w:t>to</w:t>
      </w:r>
      <w:r w:rsidRPr="007B6BEC">
        <w:t xml:space="preserve"> holding equity (</w:t>
      </w:r>
      <w:r>
        <w:t>with earnings returned via dividends or</w:t>
      </w:r>
      <w:r w:rsidRPr="007B6BEC">
        <w:t xml:space="preserve"> capital gain) and holding other financial assets </w:t>
      </w:r>
      <w:r>
        <w:t>with the same risk characteristics</w:t>
      </w:r>
      <w:r w:rsidRPr="007B6BEC">
        <w:t>. The net cash-flow</w:t>
      </w:r>
      <w:r>
        <w:t xml:space="preserve"> </w:t>
      </w:r>
      <w:r w:rsidRPr="00E670A7">
        <w:rPr>
          <w:position w:val="-14"/>
        </w:rPr>
        <w:object w:dxaOrig="400" w:dyaOrig="380" w14:anchorId="4969A323">
          <v:shape id="_x0000_i1209" type="#_x0000_t75" style="width:20.4pt;height:18pt" o:ole="">
            <v:imagedata r:id="rId385" o:title=""/>
          </v:shape>
          <o:OLEObject Type="Embed" ProgID="Equation.DSMT4" ShapeID="_x0000_i1209" DrawAspect="Content" ObjectID="_1754918760" r:id="rId386"/>
        </w:object>
      </w:r>
      <w:r w:rsidRPr="007B6BEC">
        <w:t xml:space="preserve">may reflect outflows due to dividends </w:t>
      </w:r>
      <w:r>
        <w:t>and/</w:t>
      </w:r>
      <w:r w:rsidRPr="007B6BEC">
        <w:t xml:space="preserve">or </w:t>
      </w:r>
      <w:r>
        <w:t>off</w:t>
      </w:r>
      <w:r>
        <w:noBreakHyphen/>
        <w:t xml:space="preserve">market </w:t>
      </w:r>
      <w:r w:rsidRPr="007B6BEC">
        <w:t xml:space="preserve">share buy-back and inflows </w:t>
      </w:r>
      <w:r>
        <w:t>from the issuance of new equity.</w:t>
      </w:r>
    </w:p>
    <w:p w14:paraId="08796D2B" w14:textId="77777777" w:rsidR="006C3DEB" w:rsidRPr="007B6BEC" w:rsidRDefault="006C3DEB" w:rsidP="006C3DEB">
      <w:r w:rsidRPr="007B6BEC">
        <w:t>Using normalised variables, we have:</w:t>
      </w:r>
    </w:p>
    <w:p w14:paraId="355DD28E" w14:textId="6449591F" w:rsidR="006C3DEB" w:rsidRPr="007B6BEC" w:rsidRDefault="006C3DEB" w:rsidP="006C3DEB">
      <w:pPr>
        <w:pStyle w:val="MTDisplayEquation"/>
      </w:pPr>
      <w:r w:rsidRPr="007B6BEC">
        <w:tab/>
      </w:r>
      <w:r w:rsidRPr="00E670A7">
        <w:rPr>
          <w:position w:val="-34"/>
        </w:rPr>
        <w:object w:dxaOrig="2680" w:dyaOrig="780" w14:anchorId="74A4431D">
          <v:shape id="_x0000_i1210" type="#_x0000_t75" style="width:133.2pt;height:39.6pt" o:ole="">
            <v:imagedata r:id="rId387" o:title=""/>
          </v:shape>
          <o:OLEObject Type="Embed" ProgID="Equation.DSMT4" ShapeID="_x0000_i1210" DrawAspect="Content" ObjectID="_1754918761" r:id="rId388"/>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16</w:instrText>
      </w:r>
      <w:r>
        <w:rPr>
          <w:noProof/>
        </w:rPr>
        <w:fldChar w:fldCharType="end"/>
      </w:r>
      <w:r>
        <w:instrText>)</w:instrText>
      </w:r>
      <w:r>
        <w:fldChar w:fldCharType="end"/>
      </w:r>
    </w:p>
    <w:p w14:paraId="6B635372" w14:textId="5807EE6D" w:rsidR="006C3DEB" w:rsidRDefault="006C3DEB" w:rsidP="006C3DEB">
      <w:r>
        <w:t>w</w:t>
      </w:r>
      <w:r w:rsidRPr="007B6BEC">
        <w:t>here</w:t>
      </w:r>
      <w:r>
        <w:t>:</w:t>
      </w:r>
      <w:r w:rsidRPr="007F5DB0">
        <w:t xml:space="preserve"> </w:t>
      </w:r>
      <w:r w:rsidRPr="00E670A7">
        <w:rPr>
          <w:position w:val="-14"/>
        </w:rPr>
        <w:object w:dxaOrig="360" w:dyaOrig="400" w14:anchorId="5CAFA1B9">
          <v:shape id="_x0000_i1211" type="#_x0000_t75" style="width:18pt;height:20.4pt" o:ole="">
            <v:imagedata r:id="rId389" o:title=""/>
          </v:shape>
          <o:OLEObject Type="Embed" ProgID="Equation.DSMT4" ShapeID="_x0000_i1211" DrawAspect="Content" ObjectID="_1754918762" r:id="rId390"/>
        </w:object>
      </w:r>
      <w:r w:rsidR="000A6486">
        <w:t xml:space="preserve"> </w:t>
      </w:r>
      <w:r w:rsidRPr="007B6BEC">
        <w:t>is the net cash-flow from firms to households</w:t>
      </w:r>
      <w:r>
        <w:t>; and</w:t>
      </w:r>
      <w:r w:rsidRPr="00E670A7">
        <w:rPr>
          <w:position w:val="-14"/>
        </w:rPr>
        <w:object w:dxaOrig="340" w:dyaOrig="400" w14:anchorId="58DC2F84">
          <v:shape id="_x0000_i1212" type="#_x0000_t75" style="width:18pt;height:20.4pt" o:ole="">
            <v:imagedata r:id="rId391" o:title=""/>
          </v:shape>
          <o:OLEObject Type="Embed" ProgID="Equation.DSMT4" ShapeID="_x0000_i1212" DrawAspect="Content" ObjectID="_1754918763" r:id="rId392"/>
        </w:object>
      </w:r>
      <w:r w:rsidRPr="007B6BEC">
        <w:t>is the market value of the firm</w:t>
      </w:r>
      <w:r>
        <w:t>’s equity</w:t>
      </w:r>
      <w:r w:rsidRPr="007B6BEC">
        <w:t xml:space="preserve"> at the beginning of period</w:t>
      </w:r>
      <w:r>
        <w:t xml:space="preserve"> </w:t>
      </w:r>
      <w:r w:rsidRPr="00E670A7">
        <w:rPr>
          <w:position w:val="-6"/>
        </w:rPr>
        <w:object w:dxaOrig="139" w:dyaOrig="240" w14:anchorId="1217B7B8">
          <v:shape id="_x0000_i1213" type="#_x0000_t75" style="width:6.6pt;height:14.4pt" o:ole="">
            <v:imagedata r:id="rId393" o:title=""/>
          </v:shape>
          <o:OLEObject Type="Embed" ProgID="Equation.DSMT4" ShapeID="_x0000_i1213" DrawAspect="Content" ObjectID="_1754918764" r:id="rId394"/>
        </w:object>
      </w:r>
      <w:r>
        <w:t>.</w:t>
      </w:r>
    </w:p>
    <w:p w14:paraId="5C852FA7" w14:textId="77777777" w:rsidR="006C3DEB" w:rsidRPr="007B6BEC" w:rsidRDefault="006C3DEB" w:rsidP="006C3DEB">
      <w:r w:rsidRPr="007B6BEC">
        <w:t>This implies:</w:t>
      </w:r>
    </w:p>
    <w:p w14:paraId="7C820197" w14:textId="587718E6" w:rsidR="006C3DEB" w:rsidRPr="007B6BEC" w:rsidRDefault="006C3DEB" w:rsidP="006C3DEB">
      <w:pPr>
        <w:pStyle w:val="MTDisplayEquation"/>
        <w:rPr>
          <w:rStyle w:val="Emphasis"/>
          <w:i w:val="0"/>
        </w:rPr>
      </w:pPr>
      <w:r w:rsidRPr="007B6BEC">
        <w:tab/>
      </w:r>
      <w:r w:rsidRPr="00E670A7">
        <w:rPr>
          <w:position w:val="-30"/>
        </w:rPr>
        <w:object w:dxaOrig="2280" w:dyaOrig="740" w14:anchorId="32EFBC60">
          <v:shape id="_x0000_i1214" type="#_x0000_t75" style="width:114pt;height:36.6pt" o:ole="">
            <v:imagedata r:id="rId395" o:title=""/>
          </v:shape>
          <o:OLEObject Type="Embed" ProgID="Equation.DSMT4" ShapeID="_x0000_i1214" DrawAspect="Content" ObjectID="_1754918765" r:id="rId396"/>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17</w:instrText>
      </w:r>
      <w:r>
        <w:rPr>
          <w:noProof/>
        </w:rPr>
        <w:fldChar w:fldCharType="end"/>
      </w:r>
      <w:r>
        <w:instrText>)</w:instrText>
      </w:r>
      <w:r>
        <w:fldChar w:fldCharType="end"/>
      </w:r>
    </w:p>
    <w:p w14:paraId="2283FB96" w14:textId="77777777" w:rsidR="006C3DEB" w:rsidRPr="007B6BEC" w:rsidRDefault="006C3DEB" w:rsidP="006C3DEB">
      <w:r w:rsidRPr="007B6BEC">
        <w:t>Forward substitution of the no-arbitrage condition</w:t>
      </w:r>
      <w:r>
        <w:t xml:space="preserve"> (assuming there are no self-fulfilling speculative asset-price bubbles)</w:t>
      </w:r>
      <w:r w:rsidRPr="007B6BEC">
        <w:t xml:space="preserve"> implies the market value of the firm’s equity is equivalent to the present value of current and all future net cash-flow to shareholders:</w:t>
      </w:r>
    </w:p>
    <w:p w14:paraId="3C577B8A" w14:textId="754AE82B" w:rsidR="006C3DEB" w:rsidRPr="007B6BEC" w:rsidRDefault="006C3DEB" w:rsidP="006C3DEB">
      <w:pPr>
        <w:pStyle w:val="MTDisplayEquation"/>
      </w:pPr>
      <w:r w:rsidRPr="007B6BEC">
        <w:tab/>
      </w:r>
      <w:r w:rsidRPr="00E670A7">
        <w:rPr>
          <w:position w:val="-32"/>
        </w:rPr>
        <w:object w:dxaOrig="2880" w:dyaOrig="760" w14:anchorId="321A80FF">
          <v:shape id="_x0000_i1215" type="#_x0000_t75" style="width:2in;height:39pt" o:ole="">
            <v:imagedata r:id="rId397" o:title=""/>
          </v:shape>
          <o:OLEObject Type="Embed" ProgID="Equation.DSMT4" ShapeID="_x0000_i1215" DrawAspect="Content" ObjectID="_1754918766" r:id="rId398"/>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bookmarkStart w:id="10" w:name="ZEqnNum558038"/>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18</w:instrText>
      </w:r>
      <w:r>
        <w:rPr>
          <w:noProof/>
        </w:rPr>
        <w:fldChar w:fldCharType="end"/>
      </w:r>
      <w:r>
        <w:instrText>)</w:instrText>
      </w:r>
      <w:bookmarkEnd w:id="10"/>
      <w:r>
        <w:fldChar w:fldCharType="end"/>
      </w:r>
    </w:p>
    <w:p w14:paraId="2B5066FC" w14:textId="4B059D5A" w:rsidR="006C3DEB" w:rsidRPr="007B6BEC" w:rsidRDefault="006C3DEB" w:rsidP="006C3DEB">
      <w:pPr>
        <w:pStyle w:val="Heading4"/>
      </w:pPr>
      <w:r w:rsidRPr="007B6BEC">
        <w:t>Corporate income tax</w:t>
      </w:r>
    </w:p>
    <w:p w14:paraId="468B9F2D" w14:textId="77777777" w:rsidR="006C3DEB" w:rsidRPr="007B6BEC" w:rsidRDefault="006C3DEB" w:rsidP="006C3DEB">
      <w:r w:rsidRPr="007B6BEC">
        <w:t>The firm’s earnings before interest, tax and amortisation is:</w:t>
      </w:r>
    </w:p>
    <w:p w14:paraId="756652B8" w14:textId="3C3882F6" w:rsidR="006C3DEB" w:rsidRPr="007B6BEC" w:rsidRDefault="006C3DEB" w:rsidP="006C3DEB">
      <w:pPr>
        <w:pStyle w:val="MTDisplayEquation"/>
      </w:pPr>
      <w:r w:rsidRPr="007B6BEC">
        <w:tab/>
      </w:r>
      <w:r w:rsidRPr="00E670A7">
        <w:rPr>
          <w:position w:val="-14"/>
        </w:rPr>
        <w:object w:dxaOrig="3620" w:dyaOrig="400" w14:anchorId="3DD39379">
          <v:shape id="_x0000_i1216" type="#_x0000_t75" style="width:181.8pt;height:20.4pt" o:ole="">
            <v:imagedata r:id="rId399" o:title=""/>
          </v:shape>
          <o:OLEObject Type="Embed" ProgID="Equation.DSMT4" ShapeID="_x0000_i1216" DrawAspect="Content" ObjectID="_1754918767" r:id="rId400"/>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19</w:instrText>
      </w:r>
      <w:r>
        <w:rPr>
          <w:noProof/>
        </w:rPr>
        <w:fldChar w:fldCharType="end"/>
      </w:r>
      <w:r>
        <w:instrText>)</w:instrText>
      </w:r>
      <w:r>
        <w:fldChar w:fldCharType="end"/>
      </w:r>
    </w:p>
    <w:p w14:paraId="718040B8" w14:textId="77777777" w:rsidR="006C3DEB" w:rsidRDefault="006C3DEB" w:rsidP="006C3DEB">
      <w:r>
        <w:t>wh</w:t>
      </w:r>
      <w:r w:rsidRPr="007B6BEC">
        <w:t>ere</w:t>
      </w:r>
      <w:r>
        <w:t>:</w:t>
      </w:r>
      <w:r w:rsidRPr="006B2B9C">
        <w:t xml:space="preserve"> </w:t>
      </w:r>
      <w:r w:rsidRPr="00E670A7">
        <w:rPr>
          <w:position w:val="-14"/>
        </w:rPr>
        <w:object w:dxaOrig="400" w:dyaOrig="400" w14:anchorId="78CD64D1">
          <v:shape id="_x0000_i1217" type="#_x0000_t75" style="width:20.4pt;height:20.4pt" o:ole="">
            <v:imagedata r:id="rId401" o:title=""/>
          </v:shape>
          <o:OLEObject Type="Embed" ProgID="Equation.DSMT4" ShapeID="_x0000_i1217" DrawAspect="Content" ObjectID="_1754918768" r:id="rId402"/>
        </w:object>
      </w:r>
      <w:r w:rsidRPr="007B6BEC">
        <w:t xml:space="preserve"> is </w:t>
      </w:r>
      <w:r>
        <w:t>the producer’s price;</w:t>
      </w:r>
      <w:r w:rsidRPr="00853B2F">
        <w:t xml:space="preserve"> </w:t>
      </w:r>
      <w:r w:rsidRPr="00E670A7">
        <w:rPr>
          <w:position w:val="-14"/>
        </w:rPr>
        <w:object w:dxaOrig="380" w:dyaOrig="380" w14:anchorId="7AA19A49">
          <v:shape id="_x0000_i1218" type="#_x0000_t75" style="width:18pt;height:18pt" o:ole="">
            <v:imagedata r:id="rId403" o:title=""/>
          </v:shape>
          <o:OLEObject Type="Embed" ProgID="Equation.DSMT4" ShapeID="_x0000_i1218" DrawAspect="Content" ObjectID="_1754918769" r:id="rId404"/>
        </w:object>
      </w:r>
      <w:r w:rsidRPr="007B6BEC">
        <w:t xml:space="preserve"> is </w:t>
      </w:r>
      <w:r>
        <w:t xml:space="preserve">real gross production; </w:t>
      </w:r>
      <w:r w:rsidRPr="00E670A7">
        <w:rPr>
          <w:position w:val="-14"/>
        </w:rPr>
        <w:object w:dxaOrig="380" w:dyaOrig="400" w14:anchorId="24A8E62C">
          <v:shape id="_x0000_i1219" type="#_x0000_t75" style="width:18pt;height:20.4pt" o:ole="">
            <v:imagedata r:id="rId405" o:title=""/>
          </v:shape>
          <o:OLEObject Type="Embed" ProgID="Equation.DSMT4" ShapeID="_x0000_i1219" DrawAspect="Content" ObjectID="_1754918770" r:id="rId406"/>
        </w:object>
      </w:r>
      <w:r w:rsidRPr="00DF6869">
        <w:t xml:space="preserve"> </w:t>
      </w:r>
      <w:r>
        <w:t>is the payroll tax rate;</w:t>
      </w:r>
      <w:r w:rsidRPr="00853B2F">
        <w:t xml:space="preserve"> </w:t>
      </w:r>
      <w:r w:rsidRPr="00E670A7">
        <w:rPr>
          <w:position w:val="-14"/>
        </w:rPr>
        <w:object w:dxaOrig="360" w:dyaOrig="380" w14:anchorId="7E92DF00">
          <v:shape id="_x0000_i1220" type="#_x0000_t75" style="width:18pt;height:18pt" o:ole="">
            <v:imagedata r:id="rId407" o:title=""/>
          </v:shape>
          <o:OLEObject Type="Embed" ProgID="Equation.DSMT4" ShapeID="_x0000_i1220" DrawAspect="Content" ObjectID="_1754918771" r:id="rId408"/>
        </w:object>
      </w:r>
      <w:r w:rsidRPr="007B6BEC">
        <w:t xml:space="preserve"> is the sector’s use of labour input</w:t>
      </w:r>
      <w:r>
        <w:t>s</w:t>
      </w:r>
      <w:r w:rsidRPr="007B6BEC">
        <w:t xml:space="preserve"> </w:t>
      </w:r>
      <w:r>
        <w:t xml:space="preserve">measured </w:t>
      </w:r>
      <w:r w:rsidRPr="007B6BEC">
        <w:t>in effi</w:t>
      </w:r>
      <w:r>
        <w:t>ciency units;</w:t>
      </w:r>
      <w:r w:rsidRPr="00E670A7">
        <w:rPr>
          <w:position w:val="-14"/>
        </w:rPr>
        <w:object w:dxaOrig="360" w:dyaOrig="380" w14:anchorId="63820BF8">
          <v:shape id="_x0000_i1221" type="#_x0000_t75" style="width:18pt;height:18pt" o:ole="">
            <v:imagedata r:id="rId409" o:title=""/>
          </v:shape>
          <o:OLEObject Type="Embed" ProgID="Equation.DSMT4" ShapeID="_x0000_i1221" DrawAspect="Content" ObjectID="_1754918772" r:id="rId410"/>
        </w:object>
      </w:r>
      <w:r w:rsidRPr="007B6BEC">
        <w:t xml:space="preserve"> is a composite of intermediate inputs from all production </w:t>
      </w:r>
      <w:r>
        <w:t>sectors (including itself); and</w:t>
      </w:r>
      <w:r w:rsidRPr="00E670A7">
        <w:rPr>
          <w:position w:val="-14"/>
        </w:rPr>
        <w:object w:dxaOrig="400" w:dyaOrig="400" w14:anchorId="0F12046F">
          <v:shape id="_x0000_i1222" type="#_x0000_t75" style="width:20.4pt;height:20.4pt" o:ole="">
            <v:imagedata r:id="rId411" o:title=""/>
          </v:shape>
          <o:OLEObject Type="Embed" ProgID="Equation.DSMT4" ShapeID="_x0000_i1222" DrawAspect="Content" ObjectID="_1754918773" r:id="rId412"/>
        </w:object>
      </w:r>
      <w:r w:rsidRPr="007B6BEC">
        <w:t xml:space="preserve"> </w:t>
      </w:r>
      <w:r>
        <w:t>is the price of the composite intermediate good.</w:t>
      </w:r>
    </w:p>
    <w:p w14:paraId="603FD7FD" w14:textId="77777777" w:rsidR="006C3DEB" w:rsidRPr="007B6BEC" w:rsidRDefault="006C3DEB" w:rsidP="006C3DEB">
      <w:r w:rsidRPr="007B6BEC">
        <w:lastRenderedPageBreak/>
        <w:t>Corporate income tax (CIT) is payable to the government. Given deductions on interest</w:t>
      </w:r>
      <w:r>
        <w:t xml:space="preserve"> payable on corporate debt</w:t>
      </w:r>
      <w:r w:rsidRPr="007B6BEC">
        <w:t>, investment</w:t>
      </w:r>
      <w:r>
        <w:t xml:space="preserve"> allowances</w:t>
      </w:r>
      <w:r w:rsidRPr="007B6BEC">
        <w:t xml:space="preserve"> and depreciation, a firm pays</w:t>
      </w:r>
      <w:r>
        <w:t xml:space="preserve"> the following level of CIT</w:t>
      </w:r>
      <w:r w:rsidRPr="007B6BEC">
        <w:t>:</w:t>
      </w:r>
    </w:p>
    <w:p w14:paraId="0C4DFC93" w14:textId="49A3E13D" w:rsidR="006C3DEB" w:rsidRPr="007B6BEC" w:rsidRDefault="006C3DEB" w:rsidP="006C3DEB">
      <w:pPr>
        <w:pStyle w:val="MTDisplayEquation"/>
      </w:pPr>
      <w:r w:rsidRPr="007B6BEC">
        <w:tab/>
      </w:r>
      <w:r w:rsidRPr="00E670A7">
        <w:rPr>
          <w:position w:val="-14"/>
        </w:rPr>
        <w:object w:dxaOrig="4720" w:dyaOrig="400" w14:anchorId="4140D9E9">
          <v:shape id="_x0000_i1223" type="#_x0000_t75" style="width:235.8pt;height:20.4pt" o:ole="">
            <v:imagedata r:id="rId413" o:title=""/>
          </v:shape>
          <o:OLEObject Type="Embed" ProgID="Equation.DSMT4" ShapeID="_x0000_i1223" DrawAspect="Content" ObjectID="_1754918774" r:id="rId414"/>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20</w:instrText>
      </w:r>
      <w:r>
        <w:rPr>
          <w:noProof/>
        </w:rPr>
        <w:fldChar w:fldCharType="end"/>
      </w:r>
      <w:r>
        <w:instrText>)</w:instrText>
      </w:r>
      <w:r>
        <w:fldChar w:fldCharType="end"/>
      </w:r>
    </w:p>
    <w:p w14:paraId="26DF49F4" w14:textId="4C6D7A78" w:rsidR="006C3DEB" w:rsidRDefault="006C3DEB" w:rsidP="006C3DEB">
      <w:r>
        <w:t>wh</w:t>
      </w:r>
      <w:r w:rsidRPr="007B6BEC">
        <w:t>ere</w:t>
      </w:r>
      <w:r>
        <w:t xml:space="preserve">: </w:t>
      </w:r>
      <w:r w:rsidRPr="00E670A7">
        <w:rPr>
          <w:position w:val="-14"/>
        </w:rPr>
        <w:object w:dxaOrig="340" w:dyaOrig="400" w14:anchorId="6FF49356">
          <v:shape id="_x0000_i1224" type="#_x0000_t75" style="width:18pt;height:20.4pt" o:ole="">
            <v:imagedata r:id="rId415" o:title=""/>
          </v:shape>
          <o:OLEObject Type="Embed" ProgID="Equation.DSMT4" ShapeID="_x0000_i1224" DrawAspect="Content" ObjectID="_1754918775" r:id="rId416"/>
        </w:object>
      </w:r>
      <w:r>
        <w:t xml:space="preserve"> </w:t>
      </w:r>
      <w:r w:rsidRPr="007B6BEC">
        <w:t xml:space="preserve">is the </w:t>
      </w:r>
      <w:r>
        <w:t>effective</w:t>
      </w:r>
      <w:r w:rsidRPr="007B6BEC">
        <w:t xml:space="preserve"> </w:t>
      </w:r>
      <w:r>
        <w:t xml:space="preserve">CIT </w:t>
      </w:r>
      <w:r w:rsidRPr="007B6BEC">
        <w:t>rate</w:t>
      </w:r>
      <w:r>
        <w:t>;</w:t>
      </w:r>
      <w:r w:rsidRPr="007D2909">
        <w:t xml:space="preserve"> </w:t>
      </w:r>
      <w:r w:rsidRPr="00E670A7">
        <w:rPr>
          <w:position w:val="-14"/>
        </w:rPr>
        <w:object w:dxaOrig="360" w:dyaOrig="400" w14:anchorId="14C54654">
          <v:shape id="_x0000_i1225" type="#_x0000_t75" style="width:18pt;height:20.4pt" o:ole="">
            <v:imagedata r:id="rId417" o:title=""/>
          </v:shape>
          <o:OLEObject Type="Embed" ProgID="Equation.DSMT4" ShapeID="_x0000_i1225" DrawAspect="Content" ObjectID="_1754918776" r:id="rId418"/>
        </w:object>
      </w:r>
      <w:r w:rsidR="001E4CD3">
        <w:t xml:space="preserve"> </w:t>
      </w:r>
      <w:r w:rsidRPr="007B6BEC">
        <w:t xml:space="preserve">is the proportion of </w:t>
      </w:r>
      <w:r>
        <w:t xml:space="preserve">economic </w:t>
      </w:r>
      <w:r w:rsidRPr="007B6BEC">
        <w:t xml:space="preserve">depreciation that is </w:t>
      </w:r>
      <w:r>
        <w:t xml:space="preserve">tax </w:t>
      </w:r>
      <w:r w:rsidRPr="007B6BEC">
        <w:t>deduct</w:t>
      </w:r>
      <w:r>
        <w:t>ible;</w:t>
      </w:r>
      <w:r w:rsidRPr="007D2909">
        <w:t xml:space="preserve"> </w:t>
      </w:r>
      <w:r w:rsidRPr="00E670A7">
        <w:rPr>
          <w:position w:val="-14"/>
        </w:rPr>
        <w:object w:dxaOrig="360" w:dyaOrig="380" w14:anchorId="6F27B032">
          <v:shape id="_x0000_i1226" type="#_x0000_t75" style="width:18pt;height:18pt" o:ole="">
            <v:imagedata r:id="rId419" o:title=""/>
          </v:shape>
          <o:OLEObject Type="Embed" ProgID="Equation.DSMT4" ShapeID="_x0000_i1226" DrawAspect="Content" ObjectID="_1754918777" r:id="rId420"/>
        </w:object>
      </w:r>
      <w:r w:rsidR="001E4CD3">
        <w:t xml:space="preserve"> </w:t>
      </w:r>
      <w:r w:rsidRPr="007B6BEC">
        <w:t xml:space="preserve">is the </w:t>
      </w:r>
      <w:r>
        <w:t>economic depreciation rate;</w:t>
      </w:r>
      <w:r w:rsidRPr="007D2909">
        <w:t xml:space="preserve"> </w:t>
      </w:r>
      <w:r w:rsidRPr="00E670A7">
        <w:rPr>
          <w:position w:val="-14"/>
        </w:rPr>
        <w:object w:dxaOrig="360" w:dyaOrig="400" w14:anchorId="609F6A65">
          <v:shape id="_x0000_i1227" type="#_x0000_t75" style="width:18pt;height:20.4pt" o:ole="">
            <v:imagedata r:id="rId421" o:title=""/>
          </v:shape>
          <o:OLEObject Type="Embed" ProgID="Equation.DSMT4" ShapeID="_x0000_i1227" DrawAspect="Content" ObjectID="_1754918778" r:id="rId422"/>
        </w:object>
      </w:r>
      <w:r>
        <w:t xml:space="preserve"> </w:t>
      </w:r>
      <w:r w:rsidRPr="007B6BEC">
        <w:t xml:space="preserve">is </w:t>
      </w:r>
      <w:r>
        <w:t>an additional investment allowance that can be</w:t>
      </w:r>
      <w:r w:rsidRPr="007B6BEC">
        <w:t xml:space="preserve"> </w:t>
      </w:r>
      <w:r>
        <w:t>deducted as an expense under the tax system;</w:t>
      </w:r>
      <w:r w:rsidRPr="007D2909">
        <w:t xml:space="preserve"> </w:t>
      </w:r>
      <w:r w:rsidRPr="00E670A7">
        <w:rPr>
          <w:position w:val="-14"/>
        </w:rPr>
        <w:object w:dxaOrig="300" w:dyaOrig="380" w14:anchorId="5EC184D3">
          <v:shape id="_x0000_i1228" type="#_x0000_t75" style="width:15pt;height:18pt" o:ole="">
            <v:imagedata r:id="rId423" o:title=""/>
          </v:shape>
          <o:OLEObject Type="Embed" ProgID="Equation.DSMT4" ShapeID="_x0000_i1228" DrawAspect="Content" ObjectID="_1754918779" r:id="rId424"/>
        </w:object>
      </w:r>
      <w:r>
        <w:t xml:space="preserve"> is the level of investment and</w:t>
      </w:r>
      <w:r w:rsidRPr="00E670A7">
        <w:rPr>
          <w:position w:val="-14"/>
        </w:rPr>
        <w:object w:dxaOrig="400" w:dyaOrig="400" w14:anchorId="41116E37">
          <v:shape id="_x0000_i1229" type="#_x0000_t75" style="width:20.4pt;height:20.4pt" o:ole="">
            <v:imagedata r:id="rId425" o:title=""/>
          </v:shape>
          <o:OLEObject Type="Embed" ProgID="Equation.DSMT4" ShapeID="_x0000_i1229" DrawAspect="Content" ObjectID="_1754918780" r:id="rId426"/>
        </w:object>
      </w:r>
      <w:r w:rsidR="007C30CF">
        <w:t xml:space="preserve"> </w:t>
      </w:r>
      <w:r w:rsidRPr="007B6BEC">
        <w:t>is ma</w:t>
      </w:r>
      <w:r>
        <w:t>rket price of investment goods.</w:t>
      </w:r>
      <w:r w:rsidRPr="007E5EA9">
        <w:t xml:space="preserve"> </w:t>
      </w:r>
    </w:p>
    <w:p w14:paraId="5F24D21B" w14:textId="77777777" w:rsidR="006C3DEB" w:rsidRPr="00B02D1D" w:rsidRDefault="006C3DEB" w:rsidP="006C3DEB">
      <w:pPr>
        <w:rPr>
          <w:highlight w:val="yellow"/>
        </w:rPr>
      </w:pPr>
      <w:r>
        <w:t>The</w:t>
      </w:r>
      <w:r w:rsidRPr="00087F43">
        <w:t xml:space="preserve"> effective CIT rate is the product of the statutory CIT rate</w:t>
      </w:r>
      <w:r w:rsidRPr="00E670A7">
        <w:rPr>
          <w:position w:val="-12"/>
        </w:rPr>
        <w:object w:dxaOrig="340" w:dyaOrig="380" w14:anchorId="54BE0C78">
          <v:shape id="_x0000_i1230" type="#_x0000_t75" style="width:18pt;height:18pt" o:ole="">
            <v:imagedata r:id="rId427" o:title=""/>
          </v:shape>
          <o:OLEObject Type="Embed" ProgID="Equation.DSMT4" ShapeID="_x0000_i1230" DrawAspect="Content" ObjectID="_1754918781" r:id="rId428"/>
        </w:object>
      </w:r>
      <w:r w:rsidRPr="00087F43">
        <w:t>and the CIT taxable share of the sector</w:t>
      </w:r>
      <w:r w:rsidRPr="00E670A7">
        <w:rPr>
          <w:position w:val="-14"/>
        </w:rPr>
        <w:object w:dxaOrig="360" w:dyaOrig="400" w14:anchorId="19F1454B">
          <v:shape id="_x0000_i1231" type="#_x0000_t75" style="width:18pt;height:20.4pt" o:ole="">
            <v:imagedata r:id="rId429" o:title=""/>
          </v:shape>
          <o:OLEObject Type="Embed" ProgID="Equation.DSMT4" ShapeID="_x0000_i1231" DrawAspect="Content" ObjectID="_1754918782" r:id="rId430"/>
        </w:object>
      </w:r>
      <w:r w:rsidRPr="00087F43">
        <w:t>:</w:t>
      </w:r>
    </w:p>
    <w:p w14:paraId="229D460E" w14:textId="77777777" w:rsidR="006C3DEB" w:rsidRPr="00B02D1D" w:rsidRDefault="006C3DEB" w:rsidP="006C3DEB">
      <w:pPr>
        <w:jc w:val="center"/>
        <w:rPr>
          <w:highlight w:val="yellow"/>
        </w:rPr>
      </w:pPr>
      <w:r w:rsidRPr="00E670A7">
        <w:rPr>
          <w:position w:val="-14"/>
        </w:rPr>
        <w:object w:dxaOrig="1180" w:dyaOrig="400" w14:anchorId="57FBFEB9">
          <v:shape id="_x0000_i1232" type="#_x0000_t75" style="width:57.6pt;height:20.4pt" o:ole="">
            <v:imagedata r:id="rId431" o:title=""/>
          </v:shape>
          <o:OLEObject Type="Embed" ProgID="Equation.DSMT4" ShapeID="_x0000_i1232" DrawAspect="Content" ObjectID="_1754918783" r:id="rId432"/>
        </w:object>
      </w:r>
    </w:p>
    <w:p w14:paraId="06953E50" w14:textId="4AA2C121" w:rsidR="006C3DEB" w:rsidRDefault="006C3DEB" w:rsidP="006C3DEB">
      <w:r>
        <w:t>where</w:t>
      </w:r>
      <w:r w:rsidRPr="00087F43">
        <w:t xml:space="preserve"> </w:t>
      </w:r>
      <w:r w:rsidRPr="00E670A7">
        <w:rPr>
          <w:position w:val="-14"/>
        </w:rPr>
        <w:object w:dxaOrig="360" w:dyaOrig="400" w14:anchorId="7967ED0C">
          <v:shape id="_x0000_i1233" type="#_x0000_t75" style="width:18pt;height:20.4pt" o:ole="">
            <v:imagedata r:id="rId433" o:title=""/>
          </v:shape>
          <o:OLEObject Type="Embed" ProgID="Equation.DSMT4" ShapeID="_x0000_i1233" DrawAspect="Content" ObjectID="_1754918784" r:id="rId434"/>
        </w:object>
      </w:r>
      <w:r w:rsidR="007C30CF">
        <w:t xml:space="preserve"> </w:t>
      </w:r>
      <w:r>
        <w:t xml:space="preserve">reflects the </w:t>
      </w:r>
      <w:r w:rsidRPr="00087F43">
        <w:t xml:space="preserve">share of firms </w:t>
      </w:r>
      <w:r>
        <w:t xml:space="preserve">(on an output value basis) </w:t>
      </w:r>
      <w:r w:rsidRPr="00087F43">
        <w:t xml:space="preserve">that are incorporated and therefore </w:t>
      </w:r>
      <w:r>
        <w:t>subject to</w:t>
      </w:r>
      <w:r w:rsidRPr="00087F43">
        <w:t xml:space="preserve"> corporate</w:t>
      </w:r>
      <w:r w:rsidRPr="00997119">
        <w:t xml:space="preserve"> tax. </w:t>
      </w:r>
      <w:r>
        <w:t xml:space="preserve">The current version of the model assumes </w:t>
      </w:r>
      <w:r w:rsidRPr="00E670A7">
        <w:rPr>
          <w:position w:val="-14"/>
        </w:rPr>
        <w:object w:dxaOrig="360" w:dyaOrig="400" w14:anchorId="22FDF081">
          <v:shape id="_x0000_i1234" type="#_x0000_t75" style="width:18pt;height:20.4pt" o:ole="">
            <v:imagedata r:id="rId435" o:title=""/>
          </v:shape>
          <o:OLEObject Type="Embed" ProgID="Equation.DSMT4" ShapeID="_x0000_i1234" DrawAspect="Content" ObjectID="_1754918785" r:id="rId436"/>
        </w:object>
      </w:r>
      <w:r w:rsidR="007C30CF">
        <w:t xml:space="preserve"> </w:t>
      </w:r>
      <w:r>
        <w:t>is exogenous which means firms cannot optimise their value subject to legal structure. The main implications of this assumption are that changes to personal income tax settings have no direct effect on the investment decisions in the unincorporated sector, and that depreciation of capital in the unincorporated sector cannot be deducted as an expense for tax purposes. Similarly, there is currently no provision for carrying forward losses in the model. These limitations will be addressed in future model developments.</w:t>
      </w:r>
    </w:p>
    <w:p w14:paraId="26843185" w14:textId="77777777" w:rsidR="006C3DEB" w:rsidRDefault="006C3DEB" w:rsidP="006C3DEB">
      <w:pPr>
        <w:pStyle w:val="Heading4"/>
      </w:pPr>
      <w:r>
        <w:t>Payroll tax</w:t>
      </w:r>
    </w:p>
    <w:p w14:paraId="386C8678" w14:textId="77777777" w:rsidR="006C3DEB" w:rsidRDefault="006C3DEB" w:rsidP="006C3DEB">
      <w:r>
        <w:t>Firms are also subject to payroll tax, which is payable to the government:</w:t>
      </w:r>
    </w:p>
    <w:p w14:paraId="366F8A8D" w14:textId="52799F50" w:rsidR="006C3DEB" w:rsidRPr="007B6BEC" w:rsidRDefault="006C3DEB" w:rsidP="006C3DEB">
      <w:pPr>
        <w:pStyle w:val="MTDisplayEquation"/>
      </w:pPr>
      <w:r>
        <w:tab/>
      </w:r>
      <w:r w:rsidRPr="00E670A7">
        <w:rPr>
          <w:position w:val="-14"/>
        </w:rPr>
        <w:object w:dxaOrig="1640" w:dyaOrig="400" w14:anchorId="0300442F">
          <v:shape id="_x0000_i1235" type="#_x0000_t75" style="width:82.2pt;height:20.4pt" o:ole="">
            <v:imagedata r:id="rId437" o:title=""/>
          </v:shape>
          <o:OLEObject Type="Embed" ProgID="Equation.DSMT4" ShapeID="_x0000_i1235" DrawAspect="Content" ObjectID="_1754918786" r:id="rId43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21</w:instrText>
      </w:r>
      <w:r>
        <w:rPr>
          <w:noProof/>
        </w:rPr>
        <w:fldChar w:fldCharType="end"/>
      </w:r>
      <w:r>
        <w:instrText>)</w:instrText>
      </w:r>
      <w:r>
        <w:fldChar w:fldCharType="end"/>
      </w:r>
    </w:p>
    <w:p w14:paraId="0E5DFDA4" w14:textId="77777777" w:rsidR="006C3DEB" w:rsidRPr="007B6BEC" w:rsidRDefault="006C3DEB" w:rsidP="006C3DEB">
      <w:pPr>
        <w:pStyle w:val="Heading4"/>
      </w:pPr>
      <w:r w:rsidRPr="007B6BEC">
        <w:t>Firm’s budget constraint</w:t>
      </w:r>
    </w:p>
    <w:p w14:paraId="46D84808" w14:textId="77777777" w:rsidR="006C3DEB" w:rsidRPr="007B6BEC" w:rsidRDefault="006C3DEB" w:rsidP="006C3DEB">
      <w:r w:rsidRPr="007B6BEC">
        <w:t>The firm is subject to the following flow budget constraint:</w:t>
      </w:r>
    </w:p>
    <w:p w14:paraId="7250315F" w14:textId="74C77C55" w:rsidR="006C3DEB" w:rsidRDefault="006C3DEB" w:rsidP="006C3DEB">
      <w:pPr>
        <w:pStyle w:val="MTDisplayEquation"/>
      </w:pPr>
      <w:r w:rsidRPr="007B6BEC">
        <w:tab/>
      </w:r>
      <w:r w:rsidRPr="00E670A7">
        <w:rPr>
          <w:position w:val="-14"/>
        </w:rPr>
        <w:object w:dxaOrig="4920" w:dyaOrig="400" w14:anchorId="3C445ED8">
          <v:shape id="_x0000_i1236" type="#_x0000_t75" style="width:246pt;height:20.4pt" o:ole="">
            <v:imagedata r:id="rId439" o:title=""/>
          </v:shape>
          <o:OLEObject Type="Embed" ProgID="Equation.DSMT4" ShapeID="_x0000_i1236" DrawAspect="Content" ObjectID="_1754918787" r:id="rId440"/>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1" w:name="ZEqnNum828610"/>
      <w:r>
        <w:instrText>(</w:instrText>
      </w:r>
      <w:r>
        <w:rPr>
          <w:noProof/>
        </w:rPr>
        <w:fldChar w:fldCharType="begin"/>
      </w:r>
      <w:r>
        <w:rPr>
          <w:noProof/>
        </w:rPr>
        <w:instrText xml:space="preserve"> SEQ MTEqn \c \* Arabic \* MERGEFORMAT </w:instrText>
      </w:r>
      <w:r>
        <w:rPr>
          <w:noProof/>
        </w:rPr>
        <w:fldChar w:fldCharType="separate"/>
      </w:r>
      <w:r w:rsidR="00E00A52">
        <w:rPr>
          <w:noProof/>
        </w:rPr>
        <w:instrText>22</w:instrText>
      </w:r>
      <w:r>
        <w:rPr>
          <w:noProof/>
        </w:rPr>
        <w:fldChar w:fldCharType="end"/>
      </w:r>
      <w:r>
        <w:instrText>)</w:instrText>
      </w:r>
      <w:bookmarkEnd w:id="11"/>
      <w:r>
        <w:fldChar w:fldCharType="end"/>
      </w:r>
    </w:p>
    <w:p w14:paraId="0982FAE2" w14:textId="77777777" w:rsidR="006C3DEB" w:rsidRDefault="006C3DEB" w:rsidP="006C3DEB">
      <w:r>
        <w:t>Earnings plus borrowing must equal the sum of corporate bond repayment (principal and interest), corporate tax, investment and net cash flow paid to shareholders (dividends or off-market share buy-backs less new share issuance).</w:t>
      </w:r>
    </w:p>
    <w:p w14:paraId="00DF5CD7" w14:textId="77777777" w:rsidR="006C3DEB" w:rsidRDefault="006C3DEB" w:rsidP="006C3DEB">
      <w:pPr>
        <w:pStyle w:val="Heading4"/>
      </w:pPr>
      <w:r>
        <w:t>Dividend policy</w:t>
      </w:r>
    </w:p>
    <w:p w14:paraId="13F94214" w14:textId="25E2CA6D" w:rsidR="006C3DEB" w:rsidRPr="00D13315" w:rsidRDefault="006C3DEB" w:rsidP="006C3DEB">
      <w:r w:rsidRPr="00D13315">
        <w:t>For simplicity</w:t>
      </w:r>
      <w:r>
        <w:t>,</w:t>
      </w:r>
      <w:r w:rsidRPr="00D13315">
        <w:t xml:space="preserve"> we assume the firm retains sufficient earnings</w:t>
      </w:r>
      <w:r>
        <w:t xml:space="preserve"> </w:t>
      </w:r>
      <w:r w:rsidRPr="00D13315">
        <w:t xml:space="preserve">to cover </w:t>
      </w:r>
      <w:r>
        <w:t xml:space="preserve">the cost of replacing </w:t>
      </w:r>
      <w:r w:rsidRPr="00D13315">
        <w:t>depreciat</w:t>
      </w:r>
      <w:r>
        <w:t>ed capital</w:t>
      </w:r>
      <w:r w:rsidR="00F23BD7">
        <w:t xml:space="preserve"> </w:t>
      </w:r>
      <w:r w:rsidRPr="00E670A7">
        <w:rPr>
          <w:position w:val="-14"/>
        </w:rPr>
        <w:object w:dxaOrig="980" w:dyaOrig="400" w14:anchorId="25F75EE9">
          <v:shape id="_x0000_i1237" type="#_x0000_t75" style="width:48pt;height:20.4pt" o:ole="">
            <v:imagedata r:id="rId441" o:title=""/>
          </v:shape>
          <o:OLEObject Type="Embed" ProgID="Equation.DSMT4" ShapeID="_x0000_i1237" DrawAspect="Content" ObjectID="_1754918788" r:id="rId442"/>
        </w:object>
      </w:r>
      <w:r>
        <w:t>.</w:t>
      </w:r>
      <w:r w:rsidRPr="00D13315">
        <w:t xml:space="preserve"> </w:t>
      </w:r>
      <w:r>
        <w:t>A</w:t>
      </w:r>
      <w:r w:rsidRPr="00D13315">
        <w:t>fter interest</w:t>
      </w:r>
      <w:r>
        <w:t xml:space="preserve"> </w:t>
      </w:r>
      <w:r w:rsidRPr="00E670A7">
        <w:rPr>
          <w:position w:val="-14"/>
        </w:rPr>
        <w:object w:dxaOrig="600" w:dyaOrig="400" w14:anchorId="1E00E458">
          <v:shape id="_x0000_i1238" type="#_x0000_t75" style="width:30pt;height:20.4pt" o:ole="">
            <v:imagedata r:id="rId443" o:title=""/>
          </v:shape>
          <o:OLEObject Type="Embed" ProgID="Equation.DSMT4" ShapeID="_x0000_i1238" DrawAspect="Content" ObjectID="_1754918789" r:id="rId444"/>
        </w:object>
      </w:r>
      <w:r>
        <w:t xml:space="preserve"> </w:t>
      </w:r>
      <w:r w:rsidRPr="00D13315">
        <w:t>and tax</w:t>
      </w:r>
      <w:r>
        <w:t xml:space="preserve"> </w:t>
      </w:r>
      <w:r w:rsidRPr="00E670A7">
        <w:rPr>
          <w:position w:val="-14"/>
        </w:rPr>
        <w:object w:dxaOrig="480" w:dyaOrig="380" w14:anchorId="2344B353">
          <v:shape id="_x0000_i1239" type="#_x0000_t75" style="width:24pt;height:18pt" o:ole="">
            <v:imagedata r:id="rId445" o:title=""/>
          </v:shape>
          <o:OLEObject Type="Embed" ProgID="Equation.DSMT4" ShapeID="_x0000_i1239" DrawAspect="Content" ObjectID="_1754918790" r:id="rId446"/>
        </w:object>
      </w:r>
      <w:r>
        <w:t xml:space="preserve">, the balance is </w:t>
      </w:r>
      <w:r w:rsidRPr="00D13315">
        <w:t xml:space="preserve">returned as either a dividend or </w:t>
      </w:r>
      <w:r>
        <w:t xml:space="preserve">off-market </w:t>
      </w:r>
      <w:r w:rsidRPr="00D13315">
        <w:t>share buy-back</w:t>
      </w:r>
      <w:r>
        <w:t xml:space="preserve"> collectively denoted by </w:t>
      </w:r>
      <w:r w:rsidRPr="00E670A7">
        <w:rPr>
          <w:position w:val="-14"/>
        </w:rPr>
        <w:object w:dxaOrig="380" w:dyaOrig="380" w14:anchorId="1DA04934">
          <v:shape id="_x0000_i1240" type="#_x0000_t75" style="width:18pt;height:18pt" o:ole="">
            <v:imagedata r:id="rId447" o:title=""/>
          </v:shape>
          <o:OLEObject Type="Embed" ProgID="Equation.DSMT4" ShapeID="_x0000_i1240" DrawAspect="Content" ObjectID="_1754918791" r:id="rId448"/>
        </w:object>
      </w:r>
      <w:r w:rsidRPr="00D13315">
        <w:t>:</w:t>
      </w:r>
    </w:p>
    <w:p w14:paraId="5C68C5EB" w14:textId="77777777" w:rsidR="006C3DEB" w:rsidRPr="00D13315" w:rsidRDefault="006C3DEB" w:rsidP="006C3DEB">
      <w:pPr>
        <w:pStyle w:val="MTDisplayEquation"/>
      </w:pPr>
      <w:r w:rsidRPr="00D13315">
        <w:lastRenderedPageBreak/>
        <w:tab/>
      </w:r>
      <w:r w:rsidRPr="00E670A7">
        <w:rPr>
          <w:position w:val="-14"/>
        </w:rPr>
        <w:object w:dxaOrig="3480" w:dyaOrig="400" w14:anchorId="2924FF66">
          <v:shape id="_x0000_i1241" type="#_x0000_t75" style="width:174pt;height:20.4pt" o:ole="">
            <v:imagedata r:id="rId449" o:title=""/>
          </v:shape>
          <o:OLEObject Type="Embed" ProgID="Equation.DSMT4" ShapeID="_x0000_i1241" DrawAspect="Content" ObjectID="_1754918792" r:id="rId450"/>
        </w:object>
      </w:r>
      <w:r w:rsidRPr="00D13315">
        <w:tab/>
      </w:r>
    </w:p>
    <w:p w14:paraId="3A7DA6BE" w14:textId="77777777" w:rsidR="006C3DEB" w:rsidRPr="00D13315" w:rsidRDefault="006C3DEB" w:rsidP="006C3DEB">
      <w:r w:rsidRPr="00D13315">
        <w:t>This implies the following rule for the new issuance of equity</w:t>
      </w:r>
      <w:r w:rsidRPr="00E670A7">
        <w:rPr>
          <w:position w:val="-14"/>
        </w:rPr>
        <w:object w:dxaOrig="460" w:dyaOrig="400" w14:anchorId="0B66A5AE">
          <v:shape id="_x0000_i1242" type="#_x0000_t75" style="width:24pt;height:20.4pt" o:ole="">
            <v:imagedata r:id="rId451" o:title=""/>
          </v:shape>
          <o:OLEObject Type="Embed" ProgID="Equation.DSMT4" ShapeID="_x0000_i1242" DrawAspect="Content" ObjectID="_1754918793" r:id="rId452"/>
        </w:object>
      </w:r>
      <w:r w:rsidRPr="00D13315">
        <w:t>:</w:t>
      </w:r>
    </w:p>
    <w:p w14:paraId="0172AB6E" w14:textId="77777777" w:rsidR="006C3DEB" w:rsidRPr="00D13315" w:rsidRDefault="006C3DEB" w:rsidP="006C3DEB">
      <w:pPr>
        <w:pStyle w:val="MTDisplayEquation"/>
        <w:tabs>
          <w:tab w:val="left" w:pos="9150"/>
        </w:tabs>
      </w:pPr>
      <w:r w:rsidRPr="00D13315">
        <w:tab/>
      </w:r>
      <w:r w:rsidRPr="00E670A7">
        <w:rPr>
          <w:position w:val="-36"/>
        </w:rPr>
        <w:object w:dxaOrig="4280" w:dyaOrig="840" w14:anchorId="7BEEAB78">
          <v:shape id="_x0000_i1243" type="#_x0000_t75" style="width:214.2pt;height:42pt" o:ole="">
            <v:imagedata r:id="rId453" o:title=""/>
          </v:shape>
          <o:OLEObject Type="Embed" ProgID="Equation.DSMT4" ShapeID="_x0000_i1243" DrawAspect="Content" ObjectID="_1754918794" r:id="rId454"/>
        </w:object>
      </w:r>
    </w:p>
    <w:p w14:paraId="27275DB9" w14:textId="77777777" w:rsidR="006C3DEB" w:rsidRPr="00D13315" w:rsidRDefault="006C3DEB" w:rsidP="006C3DEB">
      <w:r>
        <w:t>T</w:t>
      </w:r>
      <w:r w:rsidRPr="00D13315">
        <w:t>he new issuance of shares is equal to the cost of investment in excess of depreciation less the change in the value of the firm’s capital that is financed by bonds. At the steady state, th</w:t>
      </w:r>
      <w:r>
        <w:t>is rule implies</w:t>
      </w:r>
      <w:r w:rsidRPr="00D13315">
        <w:t xml:space="preserve"> new issuance is equal to the growth of the capital stock financed by equity:</w:t>
      </w:r>
    </w:p>
    <w:p w14:paraId="2C4355FB" w14:textId="77777777" w:rsidR="006C3DEB" w:rsidRDefault="006C3DEB" w:rsidP="006C3DEB">
      <w:pPr>
        <w:pStyle w:val="MTDisplayEquation"/>
      </w:pPr>
      <w:r w:rsidRPr="00D13315">
        <w:tab/>
      </w:r>
      <w:r w:rsidRPr="00E670A7">
        <w:rPr>
          <w:position w:val="-78"/>
        </w:rPr>
        <w:object w:dxaOrig="5440" w:dyaOrig="1680" w14:anchorId="0E3521B1">
          <v:shape id="_x0000_i1244" type="#_x0000_t75" style="width:272.4pt;height:86.4pt" o:ole="">
            <v:imagedata r:id="rId455" o:title=""/>
          </v:shape>
          <o:OLEObject Type="Embed" ProgID="Equation.DSMT4" ShapeID="_x0000_i1244" DrawAspect="Content" ObjectID="_1754918795" r:id="rId456"/>
        </w:object>
      </w:r>
      <w:r>
        <w:tab/>
      </w:r>
    </w:p>
    <w:p w14:paraId="2E464002" w14:textId="77777777" w:rsidR="006C3DEB" w:rsidRDefault="006C3DEB" w:rsidP="006C3DEB">
      <w:pPr>
        <w:pStyle w:val="Heading4"/>
      </w:pPr>
      <w:r>
        <w:t>Firm’s optimisation problem</w:t>
      </w:r>
    </w:p>
    <w:p w14:paraId="5812694D" w14:textId="10EE869E" w:rsidR="006C3DEB" w:rsidRPr="001F7C05" w:rsidRDefault="006C3DEB" w:rsidP="006C3DEB">
      <w:r w:rsidRPr="00EF1360">
        <w:t xml:space="preserve">The representative firm’s objective is to maximise the </w:t>
      </w:r>
      <w:r>
        <w:t xml:space="preserve">market value of the </w:t>
      </w:r>
      <w:r w:rsidRPr="00EF1360">
        <w:t>firm</w:t>
      </w:r>
      <w:r>
        <w:t xml:space="preserve"> </w:t>
      </w:r>
      <w:r>
        <w:fldChar w:fldCharType="begin"/>
      </w:r>
      <w:r>
        <w:instrText xml:space="preserve"> GOTOBUTTON ZEqnNum558038  \* MERGEFORMAT </w:instrText>
      </w:r>
      <w:r w:rsidR="00E00A52">
        <w:instrText>(18)</w:instrText>
      </w:r>
      <w:r>
        <w:fldChar w:fldCharType="end"/>
      </w:r>
      <w:r>
        <w:t xml:space="preserve"> </w:t>
      </w:r>
      <w:r w:rsidRPr="00EF1360">
        <w:t>by choosing the level of production</w:t>
      </w:r>
      <w:r>
        <w:t xml:space="preserve"> (that is, the level of </w:t>
      </w:r>
      <w:r w:rsidRPr="00EF1360">
        <w:t>capital, labour</w:t>
      </w:r>
      <w:r>
        <w:t xml:space="preserve"> and </w:t>
      </w:r>
      <w:r w:rsidRPr="00EF1360">
        <w:t>intermediate</w:t>
      </w:r>
      <w:r>
        <w:t xml:space="preserve"> inputs)</w:t>
      </w:r>
      <w:r w:rsidRPr="00EF1360">
        <w:t xml:space="preserve"> subject to the</w:t>
      </w:r>
      <w:r>
        <w:t xml:space="preserve"> </w:t>
      </w:r>
      <w:r w:rsidRPr="007B6BEC">
        <w:t xml:space="preserve">budget constraint </w:t>
      </w:r>
      <w:r w:rsidRPr="007B6BEC">
        <w:fldChar w:fldCharType="begin"/>
      </w:r>
      <w:r w:rsidRPr="007B6BEC">
        <w:instrText xml:space="preserve"> GOTOBUTTON ZEqnNum828610  \* MERGEFORMAT </w:instrText>
      </w:r>
      <w:r w:rsidR="00E00A52">
        <w:instrText>(22)</w:instrText>
      </w:r>
      <w:r w:rsidRPr="007B6BEC">
        <w:fldChar w:fldCharType="end"/>
      </w:r>
      <w:r>
        <w:t xml:space="preserve">, production technology </w:t>
      </w:r>
      <w:r>
        <w:fldChar w:fldCharType="begin"/>
      </w:r>
      <w:r>
        <w:instrText xml:space="preserve"> GOTOBUTTON ZEqnNum615791  \* MERGEFORMAT </w:instrText>
      </w:r>
      <w:r w:rsidR="00E00A52">
        <w:instrText>(13)</w:instrText>
      </w:r>
      <w:r>
        <w:fldChar w:fldCharType="end"/>
      </w:r>
      <w:r>
        <w:t>,</w:t>
      </w:r>
      <w:r w:rsidRPr="007B6BEC">
        <w:t xml:space="preserve"> and the market prices of</w:t>
      </w:r>
      <w:r>
        <w:t xml:space="preserve"> output,</w:t>
      </w:r>
      <w:r w:rsidRPr="007B6BEC">
        <w:t xml:space="preserve"> investment, labour and intermediate goods. </w:t>
      </w:r>
      <w:r>
        <w:t>F</w:t>
      </w:r>
      <w:r w:rsidRPr="001A03D8">
        <w:t>urther detail</w:t>
      </w:r>
      <w:r>
        <w:t>s</w:t>
      </w:r>
      <w:r w:rsidRPr="001A03D8">
        <w:t xml:space="preserve"> of the firm’s optimisation problem are provided in Appendix C.</w:t>
      </w:r>
    </w:p>
    <w:p w14:paraId="555E85A0" w14:textId="77777777" w:rsidR="006C3DEB" w:rsidRPr="00514689" w:rsidRDefault="006C3DEB" w:rsidP="006C3DEB">
      <w:pPr>
        <w:pStyle w:val="Heading3"/>
      </w:pPr>
      <w:r>
        <w:t>Rest of the world</w:t>
      </w:r>
    </w:p>
    <w:p w14:paraId="26393AC5" w14:textId="77777777" w:rsidR="006C3DEB" w:rsidRDefault="006C3DEB" w:rsidP="006C3DEB">
      <w:pPr>
        <w:pStyle w:val="Heading4"/>
      </w:pPr>
      <w:r>
        <w:t>Global goods and services market</w:t>
      </w:r>
    </w:p>
    <w:p w14:paraId="7C9063C4" w14:textId="77777777" w:rsidR="006C3DEB" w:rsidRDefault="006C3DEB" w:rsidP="006C3DEB">
      <w:r w:rsidRPr="00514689">
        <w:t xml:space="preserve">For </w:t>
      </w:r>
      <w:r>
        <w:t>imports of</w:t>
      </w:r>
      <w:r w:rsidRPr="00514689">
        <w:t xml:space="preserve"> goods </w:t>
      </w:r>
      <w:r>
        <w:t>and services</w:t>
      </w:r>
      <w:r w:rsidRPr="00514689">
        <w:t xml:space="preserve">, </w:t>
      </w:r>
      <w:r>
        <w:t xml:space="preserve">we assume </w:t>
      </w:r>
      <w:r w:rsidRPr="00514689">
        <w:t xml:space="preserve">the </w:t>
      </w:r>
      <w:r>
        <w:t xml:space="preserve">foreign sector supplies </w:t>
      </w:r>
      <w:r w:rsidRPr="00E670A7">
        <w:rPr>
          <w:position w:val="-14"/>
        </w:rPr>
        <w:object w:dxaOrig="420" w:dyaOrig="400" w14:anchorId="275A49F6">
          <v:shape id="_x0000_i1245" type="#_x0000_t75" style="width:19.8pt;height:20.4pt" o:ole="">
            <v:imagedata r:id="rId457" o:title=""/>
          </v:shape>
          <o:OLEObject Type="Embed" ProgID="Equation.DSMT4" ShapeID="_x0000_i1245" DrawAspect="Content" ObjectID="_1754918796" r:id="rId458"/>
        </w:object>
      </w:r>
      <w:r>
        <w:t xml:space="preserve"> at the exogenously determined price</w:t>
      </w:r>
      <w:r w:rsidRPr="00E670A7">
        <w:rPr>
          <w:position w:val="-14"/>
        </w:rPr>
        <w:object w:dxaOrig="400" w:dyaOrig="400" w14:anchorId="4DD420DB">
          <v:shape id="_x0000_i1246" type="#_x0000_t75" style="width:20.4pt;height:20.4pt" o:ole="">
            <v:imagedata r:id="rId459" o:title=""/>
          </v:shape>
          <o:OLEObject Type="Embed" ProgID="Equation.DSMT4" ShapeID="_x0000_i1246" DrawAspect="Content" ObjectID="_1754918797" r:id="rId460"/>
        </w:object>
      </w:r>
      <w:r>
        <w:t xml:space="preserve">. This implies that domestic demand cannot affect the price. In other words, the supply of imports is perfectly elastic at this price. Imports compete with differentiated goods of the same type produced domestically. The extent to which they compete is dictated by the degree of substitutability. For ease of exposition, we assume there is a notional distribution sector which aggregates domestic and imported varieties of goods. This approach is explained in detail in the next section. </w:t>
      </w:r>
    </w:p>
    <w:p w14:paraId="4A504BFD" w14:textId="1657DDFB" w:rsidR="006C3DEB" w:rsidRPr="00CE4CE9" w:rsidRDefault="006C3DEB" w:rsidP="006C3DEB">
      <w:r w:rsidRPr="00AC7931">
        <w:t>For exports of goods and services, we adopt a richer specification than typically assumed in small open economy models by recognising that export demand is affected by substitutability for varieties of the same good; substitutability for other goods; and the market power of Australian producers. In a similar way to global economic models (</w:t>
      </w:r>
      <w:r w:rsidR="009452D5">
        <w:t>for example,</w:t>
      </w:r>
      <w:r w:rsidRPr="00AC7931">
        <w:t xml:space="preserve"> Hertel</w:t>
      </w:r>
      <w:r>
        <w:t xml:space="preserve"> (</w:t>
      </w:r>
      <w:r w:rsidRPr="00AC7931">
        <w:t>1997</w:t>
      </w:r>
      <w:r>
        <w:t>)</w:t>
      </w:r>
      <w:r w:rsidRPr="00AC7931">
        <w:t xml:space="preserve">; McKibbin and Wilcoxen </w:t>
      </w:r>
      <w:r>
        <w:t>(</w:t>
      </w:r>
      <w:r w:rsidRPr="00AC7931">
        <w:t>1998</w:t>
      </w:r>
      <w:r>
        <w:t>)</w:t>
      </w:r>
      <w:r w:rsidRPr="00AC7931">
        <w:t>), we employ a representative consumer in the ROW who solves a nested utility maximis</w:t>
      </w:r>
      <w:r>
        <w:t>ation</w:t>
      </w:r>
      <w:r w:rsidRPr="00AC7931">
        <w:t xml:space="preserve"> problem. At the top of the</w:t>
      </w:r>
      <w:r w:rsidRPr="00CE4CE9">
        <w:t xml:space="preserve"> nest is the choice between different types of goods. Following this is the choice between varieties of the same good that are produced in different exporting countries.</w:t>
      </w:r>
    </w:p>
    <w:p w14:paraId="0580176F" w14:textId="77777777" w:rsidR="006C3DEB" w:rsidRPr="00CE4CE9" w:rsidRDefault="006C3DEB" w:rsidP="006C3DEB">
      <w:r w:rsidRPr="00CE4CE9">
        <w:t>As derived in Appendix D, the foreign consumer’s optimal level of demand for Australian exports are:</w:t>
      </w:r>
    </w:p>
    <w:p w14:paraId="1E0FADBB" w14:textId="27FBFB22" w:rsidR="006C3DEB" w:rsidRPr="00CE4CE9" w:rsidRDefault="006C3DEB" w:rsidP="006C3DEB">
      <w:pPr>
        <w:pStyle w:val="MTDisplayEquation"/>
      </w:pPr>
      <w:r w:rsidRPr="00CE4CE9">
        <w:lastRenderedPageBreak/>
        <w:tab/>
      </w:r>
      <w:r w:rsidRPr="00E670A7">
        <w:rPr>
          <w:position w:val="-36"/>
        </w:rPr>
        <w:object w:dxaOrig="3500" w:dyaOrig="920" w14:anchorId="5DFD5E21">
          <v:shape id="_x0000_i1247" type="#_x0000_t75" style="width:175.8pt;height:46.8pt" o:ole="">
            <v:imagedata r:id="rId461" o:title=""/>
          </v:shape>
          <o:OLEObject Type="Embed" ProgID="Equation.DSMT4" ShapeID="_x0000_i1247" DrawAspect="Content" ObjectID="_1754918798" r:id="rId462"/>
        </w:object>
      </w:r>
      <w:r w:rsidRPr="00CE4CE9">
        <w:t xml:space="preserve"> </w:t>
      </w:r>
      <w:r w:rsidRPr="00CE4CE9">
        <w:tab/>
      </w:r>
      <w:r w:rsidRPr="00CE4CE9">
        <w:fldChar w:fldCharType="begin"/>
      </w:r>
      <w:r w:rsidRPr="00CE4CE9">
        <w:instrText xml:space="preserve"> MACROBUTTON MTPlaceRef \* MERGEFORMAT </w:instrText>
      </w:r>
      <w:r w:rsidRPr="00CE4CE9">
        <w:fldChar w:fldCharType="begin"/>
      </w:r>
      <w:r w:rsidRPr="00CE4CE9">
        <w:instrText xml:space="preserve"> SEQ MTEqn \h \* MERGEFORMAT </w:instrText>
      </w:r>
      <w:r w:rsidRPr="00CE4CE9">
        <w:fldChar w:fldCharType="end"/>
      </w:r>
      <w:bookmarkStart w:id="12" w:name="ZEqnNum829104"/>
      <w:r w:rsidRPr="00CE4CE9">
        <w:instrText>(</w:instrText>
      </w:r>
      <w:r w:rsidRPr="00CE4CE9">
        <w:rPr>
          <w:noProof/>
        </w:rPr>
        <w:fldChar w:fldCharType="begin"/>
      </w:r>
      <w:r w:rsidRPr="00CE4CE9">
        <w:rPr>
          <w:noProof/>
        </w:rPr>
        <w:instrText xml:space="preserve"> SEQ MTEqn \c \* Arabic \* MERGEFORMAT </w:instrText>
      </w:r>
      <w:r w:rsidRPr="00CE4CE9">
        <w:rPr>
          <w:noProof/>
        </w:rPr>
        <w:fldChar w:fldCharType="separate"/>
      </w:r>
      <w:r w:rsidR="00E00A52">
        <w:rPr>
          <w:noProof/>
        </w:rPr>
        <w:instrText>23</w:instrText>
      </w:r>
      <w:r w:rsidRPr="00CE4CE9">
        <w:rPr>
          <w:noProof/>
        </w:rPr>
        <w:fldChar w:fldCharType="end"/>
      </w:r>
      <w:r w:rsidRPr="00CE4CE9">
        <w:instrText>)</w:instrText>
      </w:r>
      <w:bookmarkEnd w:id="12"/>
      <w:r w:rsidRPr="00CE4CE9">
        <w:fldChar w:fldCharType="end"/>
      </w:r>
    </w:p>
    <w:p w14:paraId="5A889F72" w14:textId="59784394" w:rsidR="006C3DEB" w:rsidRPr="00CE4CE9" w:rsidRDefault="006C3DEB" w:rsidP="006C3DEB">
      <w:r w:rsidRPr="00CE4CE9">
        <w:t>where for good</w:t>
      </w:r>
      <w:r w:rsidRPr="00E670A7">
        <w:rPr>
          <w:position w:val="-10"/>
        </w:rPr>
        <w:object w:dxaOrig="200" w:dyaOrig="300" w14:anchorId="5C10F965">
          <v:shape id="_x0000_i1248" type="#_x0000_t75" style="width:10.8pt;height:15pt" o:ole="">
            <v:imagedata r:id="rId463" o:title=""/>
          </v:shape>
          <o:OLEObject Type="Embed" ProgID="Equation.DSMT4" ShapeID="_x0000_i1248" DrawAspect="Content" ObjectID="_1754918799" r:id="rId464"/>
        </w:object>
      </w:r>
      <w:r w:rsidRPr="00CE4CE9">
        <w:t>:</w:t>
      </w:r>
      <w:r w:rsidRPr="00E670A7">
        <w:rPr>
          <w:position w:val="-14"/>
        </w:rPr>
        <w:object w:dxaOrig="360" w:dyaOrig="380" w14:anchorId="123C76A1">
          <v:shape id="_x0000_i1249" type="#_x0000_t75" style="width:18pt;height:18pt" o:ole="">
            <v:imagedata r:id="rId465" o:title=""/>
          </v:shape>
          <o:OLEObject Type="Embed" ProgID="Equation.DSMT4" ShapeID="_x0000_i1249" DrawAspect="Content" ObjectID="_1754918800" r:id="rId466"/>
        </w:object>
      </w:r>
      <w:r w:rsidRPr="00CE4CE9">
        <w:t>is the level of Australian exports;</w:t>
      </w:r>
      <w:r w:rsidRPr="00E670A7">
        <w:rPr>
          <w:position w:val="-12"/>
        </w:rPr>
        <w:object w:dxaOrig="240" w:dyaOrig="380" w14:anchorId="349FB749">
          <v:shape id="_x0000_i1250" type="#_x0000_t75" style="width:14.4pt;height:18pt" o:ole="">
            <v:imagedata r:id="rId467" o:title=""/>
          </v:shape>
          <o:OLEObject Type="Embed" ProgID="Equation.DSMT4" ShapeID="_x0000_i1250" DrawAspect="Content" ObjectID="_1754918801" r:id="rId468"/>
        </w:object>
      </w:r>
      <w:r w:rsidRPr="00CE4CE9">
        <w:t xml:space="preserve">is the level of foreign aggregate demand; </w:t>
      </w:r>
      <w:r w:rsidRPr="00E670A7">
        <w:rPr>
          <w:position w:val="-14"/>
        </w:rPr>
        <w:object w:dxaOrig="1040" w:dyaOrig="400" w14:anchorId="6E473938">
          <v:shape id="_x0000_i1251" type="#_x0000_t75" style="width:52.8pt;height:20.4pt" o:ole="">
            <v:imagedata r:id="rId469" o:title=""/>
          </v:shape>
          <o:OLEObject Type="Embed" ProgID="Equation.DSMT4" ShapeID="_x0000_i1251" DrawAspect="Content" ObjectID="_1754918802" r:id="rId470"/>
        </w:object>
      </w:r>
      <w:r>
        <w:t xml:space="preserve"> is </w:t>
      </w:r>
      <w:r w:rsidRPr="00CE4CE9">
        <w:t>the CES weight for the specific good in foreign aggregate demand;</w:t>
      </w:r>
      <w:r w:rsidRPr="005E41EE">
        <w:t xml:space="preserve"> </w:t>
      </w:r>
      <w:r w:rsidRPr="00E670A7">
        <w:rPr>
          <w:position w:val="-14"/>
        </w:rPr>
        <w:object w:dxaOrig="1140" w:dyaOrig="400" w14:anchorId="3D6B010C">
          <v:shape id="_x0000_i1252" type="#_x0000_t75" style="width:57pt;height:20.4pt" o:ole="">
            <v:imagedata r:id="rId471" o:title=""/>
          </v:shape>
          <o:OLEObject Type="Embed" ProgID="Equation.DSMT4" ShapeID="_x0000_i1252" DrawAspect="Content" ObjectID="_1754918803" r:id="rId472"/>
        </w:object>
      </w:r>
      <w:r>
        <w:t xml:space="preserve"> </w:t>
      </w:r>
      <w:r w:rsidRPr="00CE4CE9">
        <w:t>is the CES weight for Australian exports in foreign demand for the specific good;</w:t>
      </w:r>
      <w:r w:rsidR="00F973D6">
        <w:t xml:space="preserve"> </w:t>
      </w:r>
      <w:r w:rsidRPr="00E670A7">
        <w:rPr>
          <w:position w:val="-10"/>
        </w:rPr>
        <w:object w:dxaOrig="720" w:dyaOrig="360" w14:anchorId="4D13EBD2">
          <v:shape id="_x0000_i1253" type="#_x0000_t75" style="width:37.8pt;height:18pt" o:ole="">
            <v:imagedata r:id="rId473" o:title=""/>
          </v:shape>
          <o:OLEObject Type="Embed" ProgID="Equation.DSMT4" ShapeID="_x0000_i1253" DrawAspect="Content" ObjectID="_1754918804" r:id="rId474"/>
        </w:object>
      </w:r>
      <w:r>
        <w:t xml:space="preserve"> </w:t>
      </w:r>
      <w:r w:rsidRPr="00CE4CE9">
        <w:t>is the elasticity of substitution between different types of goods; and</w:t>
      </w:r>
      <w:r w:rsidR="00F973D6">
        <w:t xml:space="preserve"> </w:t>
      </w:r>
      <w:r w:rsidRPr="00E670A7">
        <w:rPr>
          <w:position w:val="-14"/>
        </w:rPr>
        <w:object w:dxaOrig="820" w:dyaOrig="400" w14:anchorId="104AB58D">
          <v:shape id="_x0000_i1254" type="#_x0000_t75" style="width:40.8pt;height:20.4pt" o:ole="">
            <v:imagedata r:id="rId475" o:title=""/>
          </v:shape>
          <o:OLEObject Type="Embed" ProgID="Equation.DSMT4" ShapeID="_x0000_i1254" DrawAspect="Content" ObjectID="_1754918805" r:id="rId476"/>
        </w:object>
      </w:r>
      <w:r w:rsidRPr="00CE4CE9">
        <w:t>is the elasticity of substitution between varieties of the same good from different exporters. Furthermore,</w:t>
      </w:r>
      <w:r w:rsidRPr="00122389">
        <w:t xml:space="preserve"> </w:t>
      </w:r>
      <w:r w:rsidRPr="00E670A7">
        <w:rPr>
          <w:position w:val="-12"/>
        </w:rPr>
        <w:object w:dxaOrig="380" w:dyaOrig="380" w14:anchorId="1D23A908">
          <v:shape id="_x0000_i1255" type="#_x0000_t75" style="width:18pt;height:18pt" o:ole="">
            <v:imagedata r:id="rId477" o:title=""/>
          </v:shape>
          <o:OLEObject Type="Embed" ProgID="Equation.DSMT4" ShapeID="_x0000_i1255" DrawAspect="Content" ObjectID="_1754918806" r:id="rId478"/>
        </w:object>
      </w:r>
      <w:r>
        <w:t>is</w:t>
      </w:r>
      <w:r w:rsidRPr="00122389">
        <w:t xml:space="preserve"> </w:t>
      </w:r>
      <w:r w:rsidRPr="00CE4CE9">
        <w:t>the price index of the foreign consumer’s aggregate demand</w:t>
      </w:r>
      <w:r>
        <w:t>, and</w:t>
      </w:r>
      <w:r w:rsidRPr="00E670A7">
        <w:rPr>
          <w:position w:val="-14"/>
        </w:rPr>
        <w:object w:dxaOrig="400" w:dyaOrig="400" w14:anchorId="7C186454">
          <v:shape id="_x0000_i1256" type="#_x0000_t75" style="width:20.4pt;height:20.4pt" o:ole="">
            <v:imagedata r:id="rId479" o:title=""/>
          </v:shape>
          <o:OLEObject Type="Embed" ProgID="Equation.DSMT4" ShapeID="_x0000_i1256" DrawAspect="Content" ObjectID="_1754918807" r:id="rId480"/>
        </w:object>
      </w:r>
      <w:r w:rsidRPr="00CE4CE9">
        <w:t>is the price index of good</w:t>
      </w:r>
      <w:r w:rsidRPr="00E670A7">
        <w:rPr>
          <w:position w:val="-10"/>
        </w:rPr>
        <w:object w:dxaOrig="200" w:dyaOrig="300" w14:anchorId="4ECDF535">
          <v:shape id="_x0000_i1257" type="#_x0000_t75" style="width:10.8pt;height:15pt" o:ole="">
            <v:imagedata r:id="rId481" o:title=""/>
          </v:shape>
          <o:OLEObject Type="Embed" ProgID="Equation.DSMT4" ShapeID="_x0000_i1257" DrawAspect="Content" ObjectID="_1754918808" r:id="rId482"/>
        </w:object>
      </w:r>
      <w:r w:rsidRPr="00CE4CE9">
        <w:t>for the foreign consumer that is a CES aggregat</w:t>
      </w:r>
      <w:r>
        <w:t>e</w:t>
      </w:r>
      <w:r w:rsidRPr="00CE4CE9">
        <w:t xml:space="preserve"> of</w:t>
      </w:r>
      <w:r>
        <w:t xml:space="preserve"> the prices of</w:t>
      </w:r>
      <w:r w:rsidRPr="00CE4CE9">
        <w:t xml:space="preserve"> exports</w:t>
      </w:r>
      <w:r>
        <w:t xml:space="preserve"> the from Australia</w:t>
      </w:r>
      <w:r w:rsidRPr="00E670A7">
        <w:rPr>
          <w:position w:val="-14"/>
        </w:rPr>
        <w:object w:dxaOrig="400" w:dyaOrig="400" w14:anchorId="4E44D47C">
          <v:shape id="_x0000_i1258" type="#_x0000_t75" style="width:20.4pt;height:20.4pt" o:ole="">
            <v:imagedata r:id="rId483" o:title=""/>
          </v:shape>
          <o:OLEObject Type="Embed" ProgID="Equation.DSMT4" ShapeID="_x0000_i1258" DrawAspect="Content" ObjectID="_1754918809" r:id="rId484"/>
        </w:object>
      </w:r>
      <w:r>
        <w:t>and the ROW</w:t>
      </w:r>
      <w:r w:rsidRPr="00E670A7">
        <w:rPr>
          <w:position w:val="-14"/>
        </w:rPr>
        <w:object w:dxaOrig="400" w:dyaOrig="400" w14:anchorId="419877E8">
          <v:shape id="_x0000_i1259" type="#_x0000_t75" style="width:20.4pt;height:20.4pt" o:ole="">
            <v:imagedata r:id="rId485" o:title=""/>
          </v:shape>
          <o:OLEObject Type="Embed" ProgID="Equation.DSMT4" ShapeID="_x0000_i1259" DrawAspect="Content" ObjectID="_1754918810" r:id="rId486"/>
        </w:object>
      </w:r>
      <w:r w:rsidRPr="00CE4CE9">
        <w:t>:</w:t>
      </w:r>
    </w:p>
    <w:p w14:paraId="4659C150" w14:textId="24FA6914" w:rsidR="006C3DEB" w:rsidRPr="00CE4CE9" w:rsidRDefault="006C3DEB" w:rsidP="006C3DEB">
      <w:pPr>
        <w:pStyle w:val="MTDisplayEquation"/>
      </w:pPr>
      <w:r w:rsidRPr="00CE4CE9">
        <w:tab/>
      </w:r>
      <w:r w:rsidRPr="00E670A7">
        <w:rPr>
          <w:position w:val="-26"/>
        </w:rPr>
        <w:object w:dxaOrig="4800" w:dyaOrig="780" w14:anchorId="113CD77A">
          <v:shape id="_x0000_i1260" type="#_x0000_t75" style="width:240pt;height:39.6pt" o:ole="">
            <v:imagedata r:id="rId487" o:title=""/>
          </v:shape>
          <o:OLEObject Type="Embed" ProgID="Equation.DSMT4" ShapeID="_x0000_i1260" DrawAspect="Content" ObjectID="_1754918811" r:id="rId488"/>
        </w:object>
      </w:r>
      <w:r w:rsidRPr="00CE4CE9">
        <w:t xml:space="preserve"> </w:t>
      </w:r>
      <w:r w:rsidRPr="00CE4CE9">
        <w:tab/>
      </w:r>
      <w:r w:rsidRPr="00CE4CE9">
        <w:fldChar w:fldCharType="begin"/>
      </w:r>
      <w:r w:rsidRPr="00CE4CE9">
        <w:instrText xml:space="preserve"> MACROBUTTON MTPlaceRef \* MERGEFORMAT </w:instrText>
      </w:r>
      <w:r w:rsidRPr="00CE4CE9">
        <w:fldChar w:fldCharType="begin"/>
      </w:r>
      <w:r w:rsidRPr="00CE4CE9">
        <w:instrText xml:space="preserve"> SEQ MTEqn \h \* MERGEFORMAT </w:instrText>
      </w:r>
      <w:r w:rsidRPr="00CE4CE9">
        <w:fldChar w:fldCharType="end"/>
      </w:r>
      <w:r w:rsidRPr="00CE4CE9">
        <w:instrText>(</w:instrText>
      </w:r>
      <w:r w:rsidRPr="00CE4CE9">
        <w:rPr>
          <w:noProof/>
        </w:rPr>
        <w:fldChar w:fldCharType="begin"/>
      </w:r>
      <w:r w:rsidRPr="00CE4CE9">
        <w:rPr>
          <w:noProof/>
        </w:rPr>
        <w:instrText xml:space="preserve"> SEQ MTEqn \c \* Arabic \* MERGEFORMAT </w:instrText>
      </w:r>
      <w:r w:rsidRPr="00CE4CE9">
        <w:rPr>
          <w:noProof/>
        </w:rPr>
        <w:fldChar w:fldCharType="separate"/>
      </w:r>
      <w:r w:rsidR="00E00A52">
        <w:rPr>
          <w:noProof/>
        </w:rPr>
        <w:instrText>24</w:instrText>
      </w:r>
      <w:r w:rsidRPr="00CE4CE9">
        <w:rPr>
          <w:noProof/>
        </w:rPr>
        <w:fldChar w:fldCharType="end"/>
      </w:r>
      <w:r w:rsidRPr="00CE4CE9">
        <w:instrText>)</w:instrText>
      </w:r>
      <w:r w:rsidRPr="00CE4CE9">
        <w:fldChar w:fldCharType="end"/>
      </w:r>
    </w:p>
    <w:p w14:paraId="7C59FF4A" w14:textId="5089D4E6" w:rsidR="006C3DEB" w:rsidRDefault="006C3DEB" w:rsidP="006C3DEB">
      <w:r>
        <w:t>Both</w:t>
      </w:r>
      <w:r w:rsidRPr="00E670A7">
        <w:rPr>
          <w:position w:val="-12"/>
        </w:rPr>
        <w:object w:dxaOrig="380" w:dyaOrig="380" w14:anchorId="66230EC7">
          <v:shape id="_x0000_i1261" type="#_x0000_t75" style="width:18pt;height:18pt" o:ole="">
            <v:imagedata r:id="rId489" o:title=""/>
          </v:shape>
          <o:OLEObject Type="Embed" ProgID="Equation.DSMT4" ShapeID="_x0000_i1261" DrawAspect="Content" ObjectID="_1754918812" r:id="rId490"/>
        </w:object>
      </w:r>
      <w:r>
        <w:t>and</w:t>
      </w:r>
      <w:r w:rsidRPr="00E670A7">
        <w:rPr>
          <w:position w:val="-14"/>
        </w:rPr>
        <w:object w:dxaOrig="400" w:dyaOrig="400" w14:anchorId="69FACF9E">
          <v:shape id="_x0000_i1262" type="#_x0000_t75" style="width:20.4pt;height:20.4pt" o:ole="">
            <v:imagedata r:id="rId491" o:title=""/>
          </v:shape>
          <o:OLEObject Type="Embed" ProgID="Equation.DSMT4" ShapeID="_x0000_i1262" DrawAspect="Content" ObjectID="_1754918813" r:id="rId492"/>
        </w:object>
      </w:r>
      <w:r w:rsidR="005203F2">
        <w:t xml:space="preserve"> </w:t>
      </w:r>
      <w:r>
        <w:t>are</w:t>
      </w:r>
      <w:r w:rsidRPr="00CE4CE9">
        <w:t xml:space="preserve"> assumed to be exogenous.</w:t>
      </w:r>
    </w:p>
    <w:p w14:paraId="57AE77C6" w14:textId="6682F2A4" w:rsidR="006C3DEB" w:rsidRPr="00AC7931" w:rsidRDefault="006C3DEB" w:rsidP="006C3DEB">
      <w:r w:rsidRPr="00AC7931">
        <w:t>The export demand function for good</w:t>
      </w:r>
      <w:r w:rsidRPr="00E670A7">
        <w:rPr>
          <w:position w:val="-10"/>
        </w:rPr>
        <w:object w:dxaOrig="200" w:dyaOrig="300" w14:anchorId="55FBCCBE">
          <v:shape id="_x0000_i1263" type="#_x0000_t75" style="width:10.8pt;height:15pt" o:ole="">
            <v:imagedata r:id="rId493" o:title=""/>
          </v:shape>
          <o:OLEObject Type="Embed" ProgID="Equation.DSMT4" ShapeID="_x0000_i1263" DrawAspect="Content" ObjectID="_1754918814" r:id="rId494"/>
        </w:object>
      </w:r>
      <w:r w:rsidRPr="00AC7931">
        <w:t xml:space="preserve">makes </w:t>
      </w:r>
      <w:r>
        <w:t xml:space="preserve">it </w:t>
      </w:r>
      <w:r w:rsidRPr="00AC7931">
        <w:t>clear that Australian exports depend on the substitutability of Australian and ROW varieties of good</w:t>
      </w:r>
      <w:r w:rsidRPr="00E670A7">
        <w:rPr>
          <w:position w:val="-10"/>
        </w:rPr>
        <w:object w:dxaOrig="200" w:dyaOrig="300" w14:anchorId="37EA87E4">
          <v:shape id="_x0000_i1264" type="#_x0000_t75" style="width:10.8pt;height:15pt" o:ole="">
            <v:imagedata r:id="rId495" o:title=""/>
          </v:shape>
          <o:OLEObject Type="Embed" ProgID="Equation.DSMT4" ShapeID="_x0000_i1264" DrawAspect="Content" ObjectID="_1754918815" r:id="rId496"/>
        </w:object>
      </w:r>
      <w:r w:rsidRPr="00AC7931">
        <w:t xml:space="preserve">, </w:t>
      </w:r>
      <w:r w:rsidRPr="00E670A7">
        <w:rPr>
          <w:position w:val="-14"/>
        </w:rPr>
        <w:object w:dxaOrig="440" w:dyaOrig="400" w14:anchorId="3B6BFAC3">
          <v:shape id="_x0000_i1265" type="#_x0000_t75" style="width:21.6pt;height:20.4pt" o:ole="">
            <v:imagedata r:id="rId497" o:title=""/>
          </v:shape>
          <o:OLEObject Type="Embed" ProgID="Equation.DSMT4" ShapeID="_x0000_i1265" DrawAspect="Content" ObjectID="_1754918816" r:id="rId498"/>
        </w:object>
      </w:r>
      <w:r w:rsidRPr="00AC7931">
        <w:t xml:space="preserve">, the substitutability of all goods </w:t>
      </w:r>
      <w:r w:rsidRPr="00E670A7">
        <w:rPr>
          <w:position w:val="-10"/>
        </w:rPr>
        <w:object w:dxaOrig="340" w:dyaOrig="360" w14:anchorId="387FE8E0">
          <v:shape id="_x0000_i1266" type="#_x0000_t75" style="width:18pt;height:18pt" o:ole="">
            <v:imagedata r:id="rId499" o:title=""/>
          </v:shape>
          <o:OLEObject Type="Embed" ProgID="Equation.DSMT4" ShapeID="_x0000_i1266" DrawAspect="Content" ObjectID="_1754918817" r:id="rId500"/>
        </w:object>
      </w:r>
      <w:r w:rsidRPr="00AC7931">
        <w:t xml:space="preserve">and the market power of Australian producers of good </w:t>
      </w:r>
      <w:r w:rsidRPr="00E670A7">
        <w:rPr>
          <w:position w:val="-10"/>
        </w:rPr>
        <w:object w:dxaOrig="200" w:dyaOrig="300" w14:anchorId="1E15B1A5">
          <v:shape id="_x0000_i1267" type="#_x0000_t75" style="width:10.8pt;height:15pt" o:ole="">
            <v:imagedata r:id="rId501" o:title=""/>
          </v:shape>
          <o:OLEObject Type="Embed" ProgID="Equation.DSMT4" ShapeID="_x0000_i1267" DrawAspect="Content" ObjectID="_1754918818" r:id="rId502"/>
        </w:object>
      </w:r>
      <w:r w:rsidRPr="00AC7931">
        <w:t>,</w:t>
      </w:r>
      <w:r w:rsidRPr="00E670A7">
        <w:rPr>
          <w:position w:val="-14"/>
        </w:rPr>
        <w:object w:dxaOrig="440" w:dyaOrig="400" w14:anchorId="414CB95E">
          <v:shape id="_x0000_i1268" type="#_x0000_t75" style="width:21.6pt;height:20.4pt" o:ole="">
            <v:imagedata r:id="rId503" o:title=""/>
          </v:shape>
          <o:OLEObject Type="Embed" ProgID="Equation.DSMT4" ShapeID="_x0000_i1268" DrawAspect="Content" ObjectID="_1754918819" r:id="rId504"/>
        </w:object>
      </w:r>
      <w:r w:rsidRPr="00AC7931">
        <w:t>. When competing with other varieties, higher substitutability implies export demand is more sensitive to price changes, while greater market power implies export demand is less sensitive to price changes. When competing with other goods, higher substitutability</w:t>
      </w:r>
      <w:r w:rsidR="00B50DB2">
        <w:t xml:space="preserve"> </w:t>
      </w:r>
      <w:r w:rsidRPr="00E670A7">
        <w:rPr>
          <w:position w:val="-14"/>
        </w:rPr>
        <w:object w:dxaOrig="340" w:dyaOrig="400" w14:anchorId="37702E5B">
          <v:shape id="_x0000_i1269" type="#_x0000_t75" style="width:18pt;height:20.4pt" o:ole="">
            <v:imagedata r:id="rId505" o:title=""/>
          </v:shape>
          <o:OLEObject Type="Embed" ProgID="Equation.DSMT4" ShapeID="_x0000_i1269" DrawAspect="Content" ObjectID="_1754918820" r:id="rId506"/>
        </w:object>
      </w:r>
      <w:r w:rsidRPr="00AC7931">
        <w:t>implies export demand is more sensitive to aggregate price changes, while greater market power</w:t>
      </w:r>
      <w:r w:rsidR="00B50DB2">
        <w:t xml:space="preserve"> </w:t>
      </w:r>
      <w:r w:rsidRPr="00E670A7">
        <w:rPr>
          <w:position w:val="-14"/>
        </w:rPr>
        <w:object w:dxaOrig="440" w:dyaOrig="400" w14:anchorId="65AF1F6A">
          <v:shape id="_x0000_i1270" type="#_x0000_t75" style="width:21.6pt;height:20.4pt" o:ole="">
            <v:imagedata r:id="rId507" o:title=""/>
          </v:shape>
          <o:OLEObject Type="Embed" ProgID="Equation.DSMT4" ShapeID="_x0000_i1270" DrawAspect="Content" ObjectID="_1754918821" r:id="rId508"/>
        </w:object>
      </w:r>
      <w:r w:rsidRPr="00AC7931">
        <w:t>implies greater influence of Australian prices on aggregate prices.</w:t>
      </w:r>
    </w:p>
    <w:p w14:paraId="5B35D5AC" w14:textId="77777777" w:rsidR="006C3DEB" w:rsidRDefault="006C3DEB" w:rsidP="006C3DEB">
      <w:pPr>
        <w:pStyle w:val="Heading4"/>
      </w:pPr>
      <w:r>
        <w:t>Global funds market</w:t>
      </w:r>
    </w:p>
    <w:p w14:paraId="3B531328" w14:textId="77777777" w:rsidR="006C3DEB" w:rsidRPr="00036C07" w:rsidRDefault="006C3DEB" w:rsidP="006C3DEB">
      <w:r w:rsidRPr="00036C07">
        <w:t xml:space="preserve">Foreign capital is assumed to be supplied as one period bonds or equity. Irrespective of the </w:t>
      </w:r>
      <w:r>
        <w:t xml:space="preserve">end </w:t>
      </w:r>
      <w:r w:rsidRPr="00036C07">
        <w:t>use</w:t>
      </w:r>
      <w:r>
        <w:t>,</w:t>
      </w:r>
      <w:r w:rsidRPr="00036C07">
        <w:t xml:space="preserve"> the supply of capital is assumed to be perfectly elastic at the global required after tax rate of return for that investment type. Required rates </w:t>
      </w:r>
      <w:r>
        <w:t xml:space="preserve">of return </w:t>
      </w:r>
      <w:r w:rsidRPr="00036C07">
        <w:t>vary across investment types due to different risk premia. We assume a benchmark rate equal to the global required after tax rate of return for government bonds denoted</w:t>
      </w:r>
      <w:r w:rsidRPr="00E670A7">
        <w:rPr>
          <w:position w:val="-12"/>
        </w:rPr>
        <w:object w:dxaOrig="340" w:dyaOrig="380" w14:anchorId="0A5514DB">
          <v:shape id="_x0000_i1271" type="#_x0000_t75" style="width:18pt;height:18pt" o:ole="">
            <v:imagedata r:id="rId509" o:title=""/>
          </v:shape>
          <o:OLEObject Type="Embed" ProgID="Equation.DSMT4" ShapeID="_x0000_i1271" DrawAspect="Content" ObjectID="_1754918822" r:id="rId510"/>
        </w:object>
      </w:r>
      <w:r w:rsidRPr="00036C07">
        <w:t xml:space="preserve">. Following the </w:t>
      </w:r>
      <w:r>
        <w:t xml:space="preserve">empirical </w:t>
      </w:r>
      <w:r w:rsidRPr="00036C07">
        <w:t xml:space="preserve">literature, equity </w:t>
      </w:r>
      <w:r>
        <w:t xml:space="preserve">is assumed to </w:t>
      </w:r>
      <w:r w:rsidRPr="00036C07">
        <w:t>ha</w:t>
      </w:r>
      <w:r>
        <w:t>ve</w:t>
      </w:r>
      <w:r w:rsidRPr="00036C07">
        <w:t xml:space="preserve"> a larger risk premium than corporate debt, which in turn has a larger premiu</w:t>
      </w:r>
      <w:r>
        <w:t>m than sovereign debt</w:t>
      </w:r>
      <w:r w:rsidRPr="00036C07">
        <w:t>.</w:t>
      </w:r>
    </w:p>
    <w:p w14:paraId="7D12C00B" w14:textId="77777777" w:rsidR="006C3DEB" w:rsidRPr="00036C07" w:rsidRDefault="006C3DEB" w:rsidP="006C3DEB">
      <w:r w:rsidRPr="00036C07">
        <w:t xml:space="preserve">Finally, Australian investors can also </w:t>
      </w:r>
      <w:r>
        <w:t>undertake portfolio investment</w:t>
      </w:r>
      <w:r w:rsidRPr="00036C07">
        <w:t xml:space="preserve"> offshore at an assumed foreign after-tax rate of return</w:t>
      </w:r>
      <w:r w:rsidRPr="00E670A7">
        <w:rPr>
          <w:position w:val="-12"/>
        </w:rPr>
        <w:object w:dxaOrig="360" w:dyaOrig="380" w14:anchorId="7D0DC5E2">
          <v:shape id="_x0000_i1272" type="#_x0000_t75" style="width:18pt;height:18pt" o:ole="">
            <v:imagedata r:id="rId511" o:title=""/>
          </v:shape>
          <o:OLEObject Type="Embed" ProgID="Equation.DSMT4" ShapeID="_x0000_i1272" DrawAspect="Content" ObjectID="_1754918823" r:id="rId512"/>
        </w:object>
      </w:r>
      <w:r w:rsidRPr="00036C07">
        <w:t>.</w:t>
      </w:r>
    </w:p>
    <w:p w14:paraId="535E5005" w14:textId="77777777" w:rsidR="006C3DEB" w:rsidRPr="004A5224" w:rsidRDefault="006C3DEB" w:rsidP="006C3DEB">
      <w:pPr>
        <w:pStyle w:val="Heading4"/>
      </w:pPr>
      <w:r>
        <w:t>National budget constraint</w:t>
      </w:r>
    </w:p>
    <w:p w14:paraId="6430AA8D" w14:textId="77777777" w:rsidR="006C3DEB" w:rsidRDefault="006C3DEB" w:rsidP="006C3DEB">
      <w:pPr>
        <w:pStyle w:val="MTDisplayEquation"/>
      </w:pPr>
      <w:r>
        <w:t>Given the quantities and prices of imports and exports, as well as the global required rates of return, the national budget constraint is as follows:</w:t>
      </w:r>
    </w:p>
    <w:p w14:paraId="3A0BE227" w14:textId="05697C7F" w:rsidR="006C3DEB" w:rsidRPr="007B6BEC" w:rsidRDefault="006C3DEB" w:rsidP="006C3DEB">
      <w:pPr>
        <w:pStyle w:val="MTDisplayEquation"/>
      </w:pPr>
      <w:r>
        <w:lastRenderedPageBreak/>
        <w:tab/>
      </w:r>
      <w:r w:rsidRPr="00E670A7">
        <w:rPr>
          <w:position w:val="-30"/>
        </w:rPr>
        <w:object w:dxaOrig="6560" w:dyaOrig="700" w14:anchorId="146D7560">
          <v:shape id="_x0000_i1273" type="#_x0000_t75" style="width:327pt;height:34.8pt" o:ole="">
            <v:imagedata r:id="rId513" o:title=""/>
          </v:shape>
          <o:OLEObject Type="Embed" ProgID="Equation.DSMT4" ShapeID="_x0000_i1273" DrawAspect="Content" ObjectID="_1754918824" r:id="rId514"/>
        </w:object>
      </w:r>
      <w:r w:rsidRPr="007B6BEC">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25</w:instrText>
      </w:r>
      <w:r>
        <w:rPr>
          <w:noProof/>
        </w:rPr>
        <w:fldChar w:fldCharType="end"/>
      </w:r>
      <w:r>
        <w:instrText>)</w:instrText>
      </w:r>
      <w:r>
        <w:fldChar w:fldCharType="end"/>
      </w:r>
    </w:p>
    <w:p w14:paraId="74EFC077" w14:textId="77777777" w:rsidR="006C3DEB" w:rsidRDefault="006C3DEB" w:rsidP="006C3DEB">
      <w:r>
        <w:t>w</w:t>
      </w:r>
      <w:r w:rsidRPr="007B6BEC">
        <w:t>here</w:t>
      </w:r>
      <w:r>
        <w:t>:</w:t>
      </w:r>
      <w:r w:rsidRPr="00A14985">
        <w:t xml:space="preserve"> </w:t>
      </w:r>
      <w:r w:rsidRPr="00E670A7">
        <w:rPr>
          <w:position w:val="-12"/>
        </w:rPr>
        <w:object w:dxaOrig="300" w:dyaOrig="380" w14:anchorId="463CAA88">
          <v:shape id="_x0000_i1274" type="#_x0000_t75" style="width:15pt;height:18pt" o:ole="">
            <v:imagedata r:id="rId515" o:title=""/>
          </v:shape>
          <o:OLEObject Type="Embed" ProgID="Equation.DSMT4" ShapeID="_x0000_i1274" DrawAspect="Content" ObjectID="_1754918825" r:id="rId516"/>
        </w:object>
      </w:r>
      <w:r>
        <w:t>are</w:t>
      </w:r>
      <w:r w:rsidRPr="007B6BEC">
        <w:t xml:space="preserve"> household assets held abroad</w:t>
      </w:r>
      <w:r>
        <w:t>;</w:t>
      </w:r>
      <w:r w:rsidRPr="007B6BEC">
        <w:t xml:space="preserve"> </w:t>
      </w:r>
      <w:r w:rsidRPr="00E670A7">
        <w:rPr>
          <w:position w:val="-12"/>
        </w:rPr>
        <w:object w:dxaOrig="360" w:dyaOrig="380" w14:anchorId="20670843">
          <v:shape id="_x0000_i1275" type="#_x0000_t75" style="width:18pt;height:18pt" o:ole="">
            <v:imagedata r:id="rId517" o:title=""/>
          </v:shape>
          <o:OLEObject Type="Embed" ProgID="Equation.DSMT4" ShapeID="_x0000_i1275" DrawAspect="Content" ObjectID="_1754918826" r:id="rId518"/>
        </w:object>
      </w:r>
      <w:r>
        <w:t>are gross</w:t>
      </w:r>
      <w:r w:rsidRPr="007B6BEC">
        <w:t xml:space="preserve"> assets held in Australia </w:t>
      </w:r>
      <w:r>
        <w:t xml:space="preserve">by foreigners; </w:t>
      </w:r>
      <w:r w:rsidRPr="007B6BEC">
        <w:t>and</w:t>
      </w:r>
      <w:r w:rsidRPr="00E670A7">
        <w:rPr>
          <w:position w:val="-12"/>
        </w:rPr>
        <w:object w:dxaOrig="300" w:dyaOrig="380" w14:anchorId="2BB4B88D">
          <v:shape id="_x0000_i1276" type="#_x0000_t75" style="width:15pt;height:18pt" o:ole="">
            <v:imagedata r:id="rId519" o:title=""/>
          </v:shape>
          <o:OLEObject Type="Embed" ProgID="Equation.DSMT4" ShapeID="_x0000_i1276" DrawAspect="Content" ObjectID="_1754918827" r:id="rId520"/>
        </w:object>
      </w:r>
      <w:r w:rsidRPr="007B6BEC">
        <w:t xml:space="preserve">is the average after-tax rate of return </w:t>
      </w:r>
      <w:r>
        <w:t xml:space="preserve">for </w:t>
      </w:r>
      <w:r w:rsidRPr="007B6BEC">
        <w:t>the fo</w:t>
      </w:r>
      <w:r>
        <w:t>reigner’s investment portfolio.</w:t>
      </w:r>
    </w:p>
    <w:p w14:paraId="18DB8149" w14:textId="77777777" w:rsidR="006C3DEB" w:rsidRPr="007B6BEC" w:rsidRDefault="006C3DEB" w:rsidP="006C3DEB">
      <w:pPr>
        <w:pStyle w:val="Heading3"/>
      </w:pPr>
      <w:r w:rsidRPr="007B6BEC">
        <w:t>Distribution sector</w:t>
      </w:r>
    </w:p>
    <w:p w14:paraId="37FB886A" w14:textId="5B38E32F" w:rsidR="006C3DEB" w:rsidRPr="007B6BEC" w:rsidRDefault="006C3DEB" w:rsidP="006C3DEB">
      <w:pPr>
        <w:rPr>
          <w:lang w:val="en-US"/>
        </w:rPr>
      </w:pPr>
      <w:r w:rsidRPr="007B6BEC">
        <w:rPr>
          <w:lang w:val="en-US"/>
        </w:rPr>
        <w:t xml:space="preserve">As discussed above, for ease of exposition we assume that there is a notional domestic distribution sector. The distribution firm </w:t>
      </w:r>
      <w:r>
        <w:rPr>
          <w:lang w:val="en-US"/>
        </w:rPr>
        <w:t xml:space="preserve">combines </w:t>
      </w:r>
      <w:r w:rsidRPr="007B6BEC">
        <w:rPr>
          <w:lang w:val="en-US"/>
        </w:rPr>
        <w:t>import</w:t>
      </w:r>
      <w:r>
        <w:rPr>
          <w:lang w:val="en-US"/>
        </w:rPr>
        <w:t>ed</w:t>
      </w:r>
      <w:r w:rsidRPr="007B6BEC">
        <w:rPr>
          <w:lang w:val="en-US"/>
        </w:rPr>
        <w:t xml:space="preserve"> goods and domestically produced goods to form composite consumption</w:t>
      </w:r>
      <w:r w:rsidR="00582851">
        <w:rPr>
          <w:lang w:val="en-US"/>
        </w:rPr>
        <w:t xml:space="preserve"> </w:t>
      </w:r>
      <w:r w:rsidRPr="00E670A7">
        <w:rPr>
          <w:position w:val="-12"/>
        </w:rPr>
        <w:object w:dxaOrig="380" w:dyaOrig="380" w14:anchorId="4F18B444">
          <v:shape id="_x0000_i1277" type="#_x0000_t75" style="width:18pt;height:18pt" o:ole="">
            <v:imagedata r:id="rId521" o:title=""/>
          </v:shape>
          <o:OLEObject Type="Embed" ProgID="Equation.DSMT4" ShapeID="_x0000_i1277" DrawAspect="Content" ObjectID="_1754918828" r:id="rId522"/>
        </w:object>
      </w:r>
      <w:r w:rsidRPr="007B6BEC">
        <w:rPr>
          <w:lang w:val="en-US"/>
        </w:rPr>
        <w:t>, investment</w:t>
      </w:r>
      <w:r w:rsidR="00582851">
        <w:rPr>
          <w:lang w:val="en-US"/>
        </w:rPr>
        <w:t xml:space="preserve"> </w:t>
      </w:r>
      <w:r w:rsidRPr="00E670A7">
        <w:rPr>
          <w:position w:val="-14"/>
        </w:rPr>
        <w:object w:dxaOrig="300" w:dyaOrig="380" w14:anchorId="01C873A4">
          <v:shape id="_x0000_i1278" type="#_x0000_t75" style="width:15pt;height:18pt" o:ole="">
            <v:imagedata r:id="rId523" o:title=""/>
          </v:shape>
          <o:OLEObject Type="Embed" ProgID="Equation.DSMT4" ShapeID="_x0000_i1278" DrawAspect="Content" ObjectID="_1754918829" r:id="rId524"/>
        </w:object>
      </w:r>
      <w:r>
        <w:rPr>
          <w:lang w:val="en-US"/>
        </w:rPr>
        <w:t xml:space="preserve">, </w:t>
      </w:r>
      <w:r w:rsidRPr="007B6BEC">
        <w:rPr>
          <w:lang w:val="en-US"/>
        </w:rPr>
        <w:t xml:space="preserve">intermediate </w:t>
      </w:r>
      <w:r>
        <w:rPr>
          <w:lang w:val="en-US"/>
        </w:rPr>
        <w:t>inputs</w:t>
      </w:r>
      <w:r w:rsidR="00582851">
        <w:rPr>
          <w:lang w:val="en-US"/>
        </w:rPr>
        <w:t xml:space="preserve"> </w:t>
      </w:r>
      <w:r w:rsidRPr="00E670A7">
        <w:rPr>
          <w:position w:val="-14"/>
        </w:rPr>
        <w:object w:dxaOrig="360" w:dyaOrig="380" w14:anchorId="02091361">
          <v:shape id="_x0000_i1279" type="#_x0000_t75" style="width:18pt;height:18pt" o:ole="">
            <v:imagedata r:id="rId525" o:title=""/>
          </v:shape>
          <o:OLEObject Type="Embed" ProgID="Equation.DSMT4" ShapeID="_x0000_i1279" DrawAspect="Content" ObjectID="_1754918830" r:id="rId526"/>
        </w:object>
      </w:r>
      <w:r w:rsidRPr="007B6BEC">
        <w:rPr>
          <w:lang w:val="en-US"/>
        </w:rPr>
        <w:t>, and government spending</w:t>
      </w:r>
      <w:r w:rsidR="00582851">
        <w:rPr>
          <w:lang w:val="en-US"/>
        </w:rPr>
        <w:t xml:space="preserve"> </w:t>
      </w:r>
      <w:r w:rsidRPr="00E670A7">
        <w:rPr>
          <w:position w:val="-12"/>
        </w:rPr>
        <w:object w:dxaOrig="260" w:dyaOrig="360" w14:anchorId="31391794">
          <v:shape id="_x0000_i1280" type="#_x0000_t75" style="width:14.4pt;height:18pt" o:ole="">
            <v:imagedata r:id="rId527" o:title=""/>
          </v:shape>
          <o:OLEObject Type="Embed" ProgID="Equation.DSMT4" ShapeID="_x0000_i1280" DrawAspect="Content" ObjectID="_1754918831" r:id="rId528"/>
        </w:object>
      </w:r>
      <w:r w:rsidRPr="007B6BEC">
        <w:rPr>
          <w:lang w:val="en-US"/>
        </w:rPr>
        <w:t xml:space="preserve">which are sold to households, firms and the government. </w:t>
      </w:r>
      <w:r w:rsidRPr="001A03D8">
        <w:rPr>
          <w:lang w:val="en-US"/>
        </w:rPr>
        <w:t>Further detail</w:t>
      </w:r>
      <w:r>
        <w:rPr>
          <w:lang w:val="en-US"/>
        </w:rPr>
        <w:t>s</w:t>
      </w:r>
      <w:r w:rsidRPr="001A03D8">
        <w:rPr>
          <w:lang w:val="en-US"/>
        </w:rPr>
        <w:t xml:space="preserve"> o</w:t>
      </w:r>
      <w:r>
        <w:rPr>
          <w:lang w:val="en-US"/>
        </w:rPr>
        <w:t>f</w:t>
      </w:r>
      <w:r w:rsidRPr="001A03D8">
        <w:rPr>
          <w:lang w:val="en-US"/>
        </w:rPr>
        <w:t xml:space="preserve"> the distribution sector</w:t>
      </w:r>
      <w:r>
        <w:rPr>
          <w:lang w:val="en-US"/>
        </w:rPr>
        <w:t>’</w:t>
      </w:r>
      <w:r w:rsidRPr="001A03D8">
        <w:rPr>
          <w:lang w:val="en-US"/>
        </w:rPr>
        <w:t>s</w:t>
      </w:r>
      <w:r>
        <w:rPr>
          <w:lang w:val="en-US"/>
        </w:rPr>
        <w:t xml:space="preserve"> </w:t>
      </w:r>
      <w:r w:rsidRPr="001A03D8">
        <w:rPr>
          <w:lang w:val="en-US"/>
        </w:rPr>
        <w:t xml:space="preserve">optimisation problem are </w:t>
      </w:r>
      <w:r>
        <w:rPr>
          <w:lang w:val="en-US"/>
        </w:rPr>
        <w:t>provided in Appendix E</w:t>
      </w:r>
      <w:r w:rsidRPr="001A03D8">
        <w:rPr>
          <w:lang w:val="en-US"/>
        </w:rPr>
        <w:t>.</w:t>
      </w:r>
    </w:p>
    <w:p w14:paraId="47AD1B81" w14:textId="77777777" w:rsidR="006C3DEB" w:rsidRPr="007B6BEC" w:rsidRDefault="006C3DEB" w:rsidP="006C3DEB">
      <w:pPr>
        <w:pStyle w:val="Heading4"/>
      </w:pPr>
      <w:r w:rsidRPr="007B6BEC">
        <w:t>Consumption</w:t>
      </w:r>
      <w:r>
        <w:t xml:space="preserve"> goods and services</w:t>
      </w:r>
    </w:p>
    <w:p w14:paraId="57050B43" w14:textId="00E9C855" w:rsidR="006C3DEB" w:rsidRPr="007B6BEC" w:rsidRDefault="006C3DEB" w:rsidP="006C3DEB">
      <w:r w:rsidRPr="007B6BEC">
        <w:t>Household consumption</w:t>
      </w:r>
      <w:r w:rsidR="00403DBE">
        <w:t xml:space="preserve"> </w:t>
      </w:r>
      <w:r w:rsidRPr="00E670A7">
        <w:rPr>
          <w:position w:val="-12"/>
        </w:rPr>
        <w:object w:dxaOrig="380" w:dyaOrig="380" w14:anchorId="764A6119">
          <v:shape id="_x0000_i1281" type="#_x0000_t75" style="width:18pt;height:18pt" o:ole="">
            <v:imagedata r:id="rId529" o:title=""/>
          </v:shape>
          <o:OLEObject Type="Embed" ProgID="Equation.DSMT4" ShapeID="_x0000_i1281" DrawAspect="Content" ObjectID="_1754918832" r:id="rId530"/>
        </w:object>
      </w:r>
      <w:r w:rsidR="00403DBE">
        <w:t xml:space="preserve"> </w:t>
      </w:r>
      <w:r w:rsidRPr="007B6BEC">
        <w:t>is a nested CES aggregate of individual consumption goods</w:t>
      </w:r>
      <w:r>
        <w:t xml:space="preserve"> which reflects household preferences</w:t>
      </w:r>
      <w:r w:rsidRPr="007B6BEC">
        <w:t>. At the top</w:t>
      </w:r>
      <w:r>
        <w:t xml:space="preserve"> </w:t>
      </w:r>
      <w:r w:rsidRPr="007B6BEC">
        <w:t xml:space="preserve">tier, the distribution sector </w:t>
      </w:r>
      <w:r>
        <w:t xml:space="preserve">notionally </w:t>
      </w:r>
      <w:r w:rsidRPr="007B6BEC">
        <w:t>allocates total expenditure</w:t>
      </w:r>
      <w:r w:rsidRPr="00E670A7">
        <w:rPr>
          <w:position w:val="-12"/>
        </w:rPr>
        <w:object w:dxaOrig="620" w:dyaOrig="380" w14:anchorId="1E7BFA90">
          <v:shape id="_x0000_i1282" type="#_x0000_t75" style="width:31.2pt;height:18pt" o:ole="">
            <v:imagedata r:id="rId531" o:title=""/>
          </v:shape>
          <o:OLEObject Type="Embed" ProgID="Equation.DSMT4" ShapeID="_x0000_i1282" DrawAspect="Content" ObjectID="_1754918833" r:id="rId532"/>
        </w:object>
      </w:r>
      <w:r w:rsidR="00403DBE">
        <w:t xml:space="preserve"> </w:t>
      </w:r>
      <w:r>
        <w:t>to a basket of goods</w:t>
      </w:r>
      <w:r w:rsidR="00403DBE">
        <w:t xml:space="preserve"> </w:t>
      </w:r>
      <w:r w:rsidRPr="00E670A7">
        <w:rPr>
          <w:position w:val="-14"/>
        </w:rPr>
        <w:object w:dxaOrig="380" w:dyaOrig="400" w14:anchorId="1548312B">
          <v:shape id="_x0000_i1283" type="#_x0000_t75" style="width:18pt;height:20.4pt" o:ole="">
            <v:imagedata r:id="rId533" o:title=""/>
          </v:shape>
          <o:OLEObject Type="Embed" ProgID="Equation.DSMT4" ShapeID="_x0000_i1283" DrawAspect="Content" ObjectID="_1754918834" r:id="rId534"/>
        </w:object>
      </w:r>
      <w:r>
        <w:t xml:space="preserve">, which are in turn </w:t>
      </w:r>
      <w:r w:rsidRPr="007B6BEC">
        <w:t>composite</w:t>
      </w:r>
      <w:r>
        <w:t>s</w:t>
      </w:r>
      <w:r w:rsidRPr="007B6BEC">
        <w:t xml:space="preserve"> of dom</w:t>
      </w:r>
      <w:r>
        <w:t>estic and imported varieties</w:t>
      </w:r>
      <w:r w:rsidRPr="007B6BEC">
        <w:t xml:space="preserve">. The </w:t>
      </w:r>
      <w:r>
        <w:t xml:space="preserve">distribution sector picks the consumption bundle that </w:t>
      </w:r>
      <w:r w:rsidRPr="007B6BEC">
        <w:t>maximise</w:t>
      </w:r>
      <w:r>
        <w:t>s</w:t>
      </w:r>
      <w:r w:rsidRPr="007B6BEC">
        <w:t xml:space="preserve"> household utility </w:t>
      </w:r>
      <w:r>
        <w:t>subject to the allocated budget</w:t>
      </w:r>
      <w:r w:rsidRPr="007B6BEC">
        <w:t>:</w:t>
      </w:r>
    </w:p>
    <w:p w14:paraId="778DFCA7" w14:textId="77777777" w:rsidR="006C3DEB" w:rsidRDefault="006C3DEB" w:rsidP="006C3DEB">
      <w:pPr>
        <w:pStyle w:val="MTDisplayEquation"/>
      </w:pPr>
      <w:r>
        <w:tab/>
      </w:r>
      <w:r w:rsidRPr="00E670A7">
        <w:rPr>
          <w:position w:val="-34"/>
        </w:rPr>
        <w:object w:dxaOrig="3040" w:dyaOrig="980" w14:anchorId="0D9303B5">
          <v:shape id="_x0000_i1284" type="#_x0000_t75" style="width:152.4pt;height:48pt" o:ole="">
            <v:imagedata r:id="rId535" o:title=""/>
          </v:shape>
          <o:OLEObject Type="Embed" ProgID="Equation.DSMT4" ShapeID="_x0000_i1284" DrawAspect="Content" ObjectID="_1754918835" r:id="rId536"/>
        </w:object>
      </w:r>
    </w:p>
    <w:p w14:paraId="1D22816A" w14:textId="77777777" w:rsidR="006C3DEB" w:rsidRDefault="006C3DEB" w:rsidP="006C3DEB">
      <w:r>
        <w:t>subject to:</w:t>
      </w:r>
    </w:p>
    <w:p w14:paraId="3383C247" w14:textId="77777777" w:rsidR="006C3DEB" w:rsidRDefault="006C3DEB" w:rsidP="006C3DEB">
      <w:pPr>
        <w:tabs>
          <w:tab w:val="center" w:pos="4520"/>
          <w:tab w:val="right" w:pos="9020"/>
        </w:tabs>
        <w:jc w:val="both"/>
      </w:pPr>
      <w:r w:rsidRPr="00514689">
        <w:tab/>
      </w:r>
      <w:r w:rsidRPr="00E670A7">
        <w:rPr>
          <w:position w:val="-30"/>
        </w:rPr>
        <w:object w:dxaOrig="1800" w:dyaOrig="560" w14:anchorId="5C01FC5C">
          <v:shape id="_x0000_i1285" type="#_x0000_t75" style="width:90pt;height:27pt" o:ole="">
            <v:imagedata r:id="rId537" o:title=""/>
          </v:shape>
          <o:OLEObject Type="Embed" ProgID="Equation.DSMT4" ShapeID="_x0000_i1285" DrawAspect="Content" ObjectID="_1754918836" r:id="rId538"/>
        </w:object>
      </w:r>
    </w:p>
    <w:p w14:paraId="4DB8E02E" w14:textId="603446D0" w:rsidR="006C3DEB" w:rsidRDefault="006C3DEB" w:rsidP="001F0F19">
      <w:pPr>
        <w:tabs>
          <w:tab w:val="center" w:pos="4520"/>
          <w:tab w:val="right" w:pos="9020"/>
        </w:tabs>
        <w:jc w:val="both"/>
      </w:pPr>
      <w:r>
        <w:t>where:</w:t>
      </w:r>
      <w:r w:rsidRPr="00DF0311">
        <w:t xml:space="preserve"> </w:t>
      </w:r>
      <w:r w:rsidRPr="00E670A7">
        <w:rPr>
          <w:position w:val="-10"/>
        </w:rPr>
        <w:object w:dxaOrig="660" w:dyaOrig="360" w14:anchorId="533B4BCF">
          <v:shape id="_x0000_i1286" type="#_x0000_t75" style="width:31.8pt;height:18pt" o:ole="">
            <v:imagedata r:id="rId539" o:title=""/>
          </v:shape>
          <o:OLEObject Type="Embed" ProgID="Equation.DSMT4" ShapeID="_x0000_i1286" DrawAspect="Content" ObjectID="_1754918837" r:id="rId540"/>
        </w:object>
      </w:r>
      <w:r w:rsidR="00403DBE">
        <w:t xml:space="preserve"> </w:t>
      </w:r>
      <w:r>
        <w:t>is</w:t>
      </w:r>
      <w:r w:rsidRPr="00514689">
        <w:t xml:space="preserve"> the elasticity of </w:t>
      </w:r>
      <w:r>
        <w:t>substitution;</w:t>
      </w:r>
      <w:r w:rsidRPr="00DF0311">
        <w:t xml:space="preserve"> </w:t>
      </w:r>
      <w:r w:rsidRPr="00E670A7">
        <w:rPr>
          <w:position w:val="-14"/>
        </w:rPr>
        <w:object w:dxaOrig="980" w:dyaOrig="400" w14:anchorId="24D81DBE">
          <v:shape id="_x0000_i1287" type="#_x0000_t75" style="width:48pt;height:20.4pt" o:ole="">
            <v:imagedata r:id="rId541" o:title=""/>
          </v:shape>
          <o:OLEObject Type="Embed" ProgID="Equation.DSMT4" ShapeID="_x0000_i1287" DrawAspect="Content" ObjectID="_1754918838" r:id="rId542"/>
        </w:object>
      </w:r>
      <w:r w:rsidR="00403DBE">
        <w:t xml:space="preserve"> </w:t>
      </w:r>
      <w:r w:rsidRPr="000B3F32">
        <w:t xml:space="preserve">is </w:t>
      </w:r>
      <w:r>
        <w:t>the CES weight for different goods</w:t>
      </w:r>
      <w:r w:rsidRPr="00E670A7">
        <w:rPr>
          <w:position w:val="-10"/>
        </w:rPr>
        <w:object w:dxaOrig="200" w:dyaOrig="300" w14:anchorId="11F9B7D3">
          <v:shape id="_x0000_i1288" type="#_x0000_t75" style="width:10.8pt;height:15pt" o:ole="">
            <v:imagedata r:id="rId543" o:title=""/>
          </v:shape>
          <o:OLEObject Type="Embed" ProgID="Equation.DSMT4" ShapeID="_x0000_i1288" DrawAspect="Content" ObjectID="_1754918839" r:id="rId544"/>
        </w:object>
      </w:r>
      <w:r w:rsidR="00403DBE">
        <w:t xml:space="preserve"> </w:t>
      </w:r>
      <w:r>
        <w:t>with</w:t>
      </w:r>
      <w:r w:rsidRPr="00E670A7">
        <w:rPr>
          <w:position w:val="-30"/>
        </w:rPr>
        <w:object w:dxaOrig="900" w:dyaOrig="560" w14:anchorId="340DDD2A">
          <v:shape id="_x0000_i1289" type="#_x0000_t75" style="width:45pt;height:27pt" o:ole="">
            <v:imagedata r:id="rId545" o:title=""/>
          </v:shape>
          <o:OLEObject Type="Embed" ProgID="Equation.DSMT4" ShapeID="_x0000_i1289" DrawAspect="Content" ObjectID="_1754918840" r:id="rId546"/>
        </w:object>
      </w:r>
      <w:r>
        <w:t xml:space="preserve">; and </w:t>
      </w:r>
      <w:r w:rsidRPr="00E670A7">
        <w:rPr>
          <w:position w:val="-14"/>
        </w:rPr>
        <w:object w:dxaOrig="400" w:dyaOrig="400" w14:anchorId="12EA60FD">
          <v:shape id="_x0000_i1290" type="#_x0000_t75" style="width:20.4pt;height:20.4pt" o:ole="">
            <v:imagedata r:id="rId547" o:title=""/>
          </v:shape>
          <o:OLEObject Type="Embed" ProgID="Equation.DSMT4" ShapeID="_x0000_i1290" DrawAspect="Content" ObjectID="_1754918841" r:id="rId548"/>
        </w:object>
      </w:r>
      <w:r w:rsidRPr="000B3F32">
        <w:t xml:space="preserve"> is the market price including all taxes and subsidies on each composite good.</w:t>
      </w:r>
      <w:r w:rsidRPr="00514689">
        <w:t xml:space="preserve"> </w:t>
      </w:r>
    </w:p>
    <w:p w14:paraId="487D267E" w14:textId="2F5BD443" w:rsidR="006C3DEB" w:rsidRDefault="006C3DEB" w:rsidP="006C3DEB">
      <w:r w:rsidRPr="00514689">
        <w:t>At the bottom</w:t>
      </w:r>
      <w:r>
        <w:t xml:space="preserve"> </w:t>
      </w:r>
      <w:r w:rsidRPr="00514689">
        <w:t xml:space="preserve">tier, </w:t>
      </w:r>
      <w:r>
        <w:t xml:space="preserve">the </w:t>
      </w:r>
      <w:r w:rsidRPr="007B6BEC">
        <w:t xml:space="preserve">distribution sector </w:t>
      </w:r>
      <w:r>
        <w:t xml:space="preserve">notionally </w:t>
      </w:r>
      <w:r w:rsidRPr="007B6BEC">
        <w:t>allocates expenditure</w:t>
      </w:r>
      <w:r w:rsidRPr="00E670A7">
        <w:rPr>
          <w:position w:val="-14"/>
        </w:rPr>
        <w:object w:dxaOrig="700" w:dyaOrig="400" w14:anchorId="44977D63">
          <v:shape id="_x0000_i1291" type="#_x0000_t75" style="width:34.8pt;height:20.4pt" o:ole="">
            <v:imagedata r:id="rId549" o:title=""/>
          </v:shape>
          <o:OLEObject Type="Embed" ProgID="Equation.DSMT4" ShapeID="_x0000_i1291" DrawAspect="Content" ObjectID="_1754918842" r:id="rId550"/>
        </w:object>
      </w:r>
      <w:r w:rsidRPr="007B6BEC">
        <w:t xml:space="preserve"> </w:t>
      </w:r>
      <w:r>
        <w:t xml:space="preserve">to </w:t>
      </w:r>
      <w:r w:rsidRPr="007B6BEC">
        <w:t xml:space="preserve">a basket of goods </w:t>
      </w:r>
      <w:r>
        <w:t>composed of</w:t>
      </w:r>
      <w:r>
        <w:rPr>
          <w:lang w:val="en-US"/>
        </w:rPr>
        <w:t xml:space="preserve"> </w:t>
      </w:r>
      <w:r w:rsidRPr="00514689">
        <w:t>domestic</w:t>
      </w:r>
      <w:r>
        <w:t xml:space="preserve">ally produced </w:t>
      </w:r>
      <w:r w:rsidRPr="00E670A7">
        <w:rPr>
          <w:position w:val="-14"/>
        </w:rPr>
        <w:object w:dxaOrig="520" w:dyaOrig="400" w14:anchorId="02B210A4">
          <v:shape id="_x0000_i1292" type="#_x0000_t75" style="width:25.8pt;height:20.4pt" o:ole="">
            <v:imagedata r:id="rId551" o:title=""/>
          </v:shape>
          <o:OLEObject Type="Embed" ProgID="Equation.DSMT4" ShapeID="_x0000_i1292" DrawAspect="Content" ObjectID="_1754918843" r:id="rId552"/>
        </w:object>
      </w:r>
      <w:r w:rsidRPr="00514689">
        <w:t>and imported</w:t>
      </w:r>
      <w:r w:rsidR="003E288B">
        <w:t xml:space="preserve"> </w:t>
      </w:r>
      <w:r w:rsidRPr="00E670A7">
        <w:rPr>
          <w:position w:val="-14"/>
        </w:rPr>
        <w:object w:dxaOrig="540" w:dyaOrig="400" w14:anchorId="0435169C">
          <v:shape id="_x0000_i1293" type="#_x0000_t75" style="width:27pt;height:20.4pt" o:ole="">
            <v:imagedata r:id="rId553" o:title=""/>
          </v:shape>
          <o:OLEObject Type="Embed" ProgID="Equation.DSMT4" ShapeID="_x0000_i1293" DrawAspect="Content" ObjectID="_1754918844" r:id="rId554"/>
        </w:object>
      </w:r>
      <w:r w:rsidR="003E288B">
        <w:t xml:space="preserve"> </w:t>
      </w:r>
      <w:r>
        <w:t xml:space="preserve">varieties. </w:t>
      </w:r>
      <w:r w:rsidRPr="007B6BEC">
        <w:t xml:space="preserve">The </w:t>
      </w:r>
      <w:r>
        <w:t xml:space="preserve">distribution sector picks the consumption bundle that </w:t>
      </w:r>
      <w:r w:rsidRPr="007B6BEC">
        <w:t>maximise</w:t>
      </w:r>
      <w:r>
        <w:t>s</w:t>
      </w:r>
      <w:r w:rsidRPr="007B6BEC">
        <w:t xml:space="preserve"> household utility </w:t>
      </w:r>
      <w:r>
        <w:t>subject to the allocated budget:</w:t>
      </w:r>
    </w:p>
    <w:p w14:paraId="043A8B31" w14:textId="77777777" w:rsidR="006C3DEB" w:rsidRDefault="006C3DEB" w:rsidP="006C3DEB">
      <w:pPr>
        <w:pStyle w:val="MTDisplayEquation"/>
      </w:pPr>
      <w:r>
        <w:tab/>
      </w:r>
      <w:r w:rsidRPr="00E670A7">
        <w:rPr>
          <w:position w:val="-38"/>
        </w:rPr>
        <w:object w:dxaOrig="5720" w:dyaOrig="1080" w14:anchorId="03B1068A">
          <v:shape id="_x0000_i1294" type="#_x0000_t75" style="width:285.6pt;height:56.4pt" o:ole="">
            <v:imagedata r:id="rId555" o:title=""/>
          </v:shape>
          <o:OLEObject Type="Embed" ProgID="Equation.DSMT4" ShapeID="_x0000_i1294" DrawAspect="Content" ObjectID="_1754918845" r:id="rId556"/>
        </w:object>
      </w:r>
      <w:r>
        <w:t xml:space="preserve"> </w:t>
      </w:r>
    </w:p>
    <w:p w14:paraId="284D31D9" w14:textId="77777777" w:rsidR="006C3DEB" w:rsidRDefault="006C3DEB" w:rsidP="006C3DEB">
      <w:r>
        <w:t>subject to:</w:t>
      </w:r>
    </w:p>
    <w:p w14:paraId="347E27ED" w14:textId="77777777" w:rsidR="006C3DEB" w:rsidRDefault="006C3DEB" w:rsidP="006C3DEB">
      <w:pPr>
        <w:ind w:left="720" w:firstLine="720"/>
      </w:pPr>
      <w:r w:rsidRPr="00E670A7">
        <w:rPr>
          <w:position w:val="-14"/>
        </w:rPr>
        <w:object w:dxaOrig="6800" w:dyaOrig="400" w14:anchorId="39549884">
          <v:shape id="_x0000_i1295" type="#_x0000_t75" style="width:340.2pt;height:20.4pt" o:ole="">
            <v:imagedata r:id="rId557" o:title=""/>
          </v:shape>
          <o:OLEObject Type="Embed" ProgID="Equation.DSMT4" ShapeID="_x0000_i1295" DrawAspect="Content" ObjectID="_1754918846" r:id="rId558"/>
        </w:object>
      </w:r>
      <w:r>
        <w:t xml:space="preserve"> </w:t>
      </w:r>
    </w:p>
    <w:p w14:paraId="66CE7D9F" w14:textId="14E7F86F" w:rsidR="006C3DEB" w:rsidRDefault="006C3DEB" w:rsidP="006C3DEB">
      <w:r>
        <w:t>where:</w:t>
      </w:r>
      <w:r w:rsidRPr="00E670A7">
        <w:rPr>
          <w:position w:val="-14"/>
        </w:rPr>
        <w:object w:dxaOrig="380" w:dyaOrig="400" w14:anchorId="7D6BD9F7">
          <v:shape id="_x0000_i1296" type="#_x0000_t75" style="width:18pt;height:20.4pt" o:ole="">
            <v:imagedata r:id="rId559" o:title=""/>
          </v:shape>
          <o:OLEObject Type="Embed" ProgID="Equation.DSMT4" ShapeID="_x0000_i1296" DrawAspect="Content" ObjectID="_1754918847" r:id="rId560"/>
        </w:object>
      </w:r>
      <w:r w:rsidR="003E288B">
        <w:t xml:space="preserve"> </w:t>
      </w:r>
      <w:r>
        <w:t>is</w:t>
      </w:r>
      <w:r w:rsidRPr="00514689">
        <w:t xml:space="preserve"> the elasticity of substitution</w:t>
      </w:r>
      <w:r>
        <w:t>;</w:t>
      </w:r>
      <w:r w:rsidRPr="00E670A7">
        <w:rPr>
          <w:position w:val="-14"/>
        </w:rPr>
        <w:object w:dxaOrig="1080" w:dyaOrig="400" w14:anchorId="2D95E61F">
          <v:shape id="_x0000_i1297" type="#_x0000_t75" style="width:56.4pt;height:20.4pt" o:ole="">
            <v:imagedata r:id="rId561" o:title=""/>
          </v:shape>
          <o:OLEObject Type="Embed" ProgID="Equation.DSMT4" ShapeID="_x0000_i1297" DrawAspect="Content" ObjectID="_1754918848" r:id="rId562"/>
        </w:object>
      </w:r>
      <w:r>
        <w:t>is the CES weight for</w:t>
      </w:r>
      <w:r w:rsidRPr="00514689">
        <w:t xml:space="preserve"> </w:t>
      </w:r>
      <w:r>
        <w:t>imported</w:t>
      </w:r>
      <w:r w:rsidRPr="00514689">
        <w:t xml:space="preserve"> goods</w:t>
      </w:r>
      <w:r>
        <w:t>;</w:t>
      </w:r>
      <w:r w:rsidRPr="00241836">
        <w:t xml:space="preserve"> </w:t>
      </w:r>
      <w:r w:rsidRPr="00E670A7">
        <w:rPr>
          <w:position w:val="-12"/>
        </w:rPr>
        <w:object w:dxaOrig="380" w:dyaOrig="380" w14:anchorId="6AAA03CF">
          <v:shape id="_x0000_i1298" type="#_x0000_t75" style="width:18pt;height:18pt" o:ole="">
            <v:imagedata r:id="rId563" o:title=""/>
          </v:shape>
          <o:OLEObject Type="Embed" ProgID="Equation.DSMT4" ShapeID="_x0000_i1298" DrawAspect="Content" ObjectID="_1754918849" r:id="rId564"/>
        </w:object>
      </w:r>
      <w:r>
        <w:t>is the statutory goods and services tax (GST);</w:t>
      </w:r>
      <w:r w:rsidRPr="00241836">
        <w:t xml:space="preserve"> </w:t>
      </w:r>
      <w:r w:rsidRPr="00E670A7">
        <w:rPr>
          <w:position w:val="-14"/>
        </w:rPr>
        <w:object w:dxaOrig="400" w:dyaOrig="400" w14:anchorId="17610028">
          <v:shape id="_x0000_i1299" type="#_x0000_t75" style="width:20.4pt;height:20.4pt" o:ole="">
            <v:imagedata r:id="rId565" o:title=""/>
          </v:shape>
          <o:OLEObject Type="Embed" ProgID="Equation.DSMT4" ShapeID="_x0000_i1299" DrawAspect="Content" ObjectID="_1754918850" r:id="rId566"/>
        </w:object>
      </w:r>
      <w:r w:rsidR="00A06400">
        <w:t xml:space="preserve"> </w:t>
      </w:r>
      <w:r>
        <w:t>is the share of goods subject to GST; and</w:t>
      </w:r>
      <w:r w:rsidRPr="00E670A7">
        <w:rPr>
          <w:position w:val="-14"/>
        </w:rPr>
        <w:object w:dxaOrig="460" w:dyaOrig="400" w14:anchorId="7F4FBDD8">
          <v:shape id="_x0000_i1300" type="#_x0000_t75" style="width:24pt;height:20.4pt" o:ole="">
            <v:imagedata r:id="rId567" o:title=""/>
          </v:shape>
          <o:OLEObject Type="Embed" ProgID="Equation.DSMT4" ShapeID="_x0000_i1300" DrawAspect="Content" ObjectID="_1754918851" r:id="rId568"/>
        </w:object>
      </w:r>
      <w:r>
        <w:t xml:space="preserve">is an effective ad valorem tax rate that captures the net effect of duties, subsidies and other taxes associated with the supply of consumption goods and services. </w:t>
      </w:r>
    </w:p>
    <w:p w14:paraId="1AB62464" w14:textId="77777777" w:rsidR="006C3DEB" w:rsidRDefault="006C3DEB" w:rsidP="006C3DEB">
      <w:pPr>
        <w:pStyle w:val="Heading4"/>
      </w:pPr>
      <w:r>
        <w:t>Investment goods and services</w:t>
      </w:r>
    </w:p>
    <w:p w14:paraId="589ECBD2" w14:textId="15296528" w:rsidR="006C3DEB" w:rsidRDefault="006C3DEB" w:rsidP="006C3DEB">
      <w:r>
        <w:t>C</w:t>
      </w:r>
      <w:r w:rsidRPr="004A5224">
        <w:t>apital formation of sector</w:t>
      </w:r>
      <w:r w:rsidRPr="00E670A7">
        <w:rPr>
          <w:position w:val="-10"/>
        </w:rPr>
        <w:object w:dxaOrig="200" w:dyaOrig="300" w14:anchorId="3132F3F7">
          <v:shape id="_x0000_i1301" type="#_x0000_t75" style="width:10.8pt;height:15pt" o:ole="">
            <v:imagedata r:id="rId569" o:title=""/>
          </v:shape>
          <o:OLEObject Type="Embed" ProgID="Equation.DSMT4" ShapeID="_x0000_i1301" DrawAspect="Content" ObjectID="_1754918852" r:id="rId570"/>
        </w:object>
      </w:r>
      <w:r>
        <w:t>is assumed to be a composite investment good</w:t>
      </w:r>
      <w:r w:rsidR="00803702">
        <w:t xml:space="preserve"> </w:t>
      </w:r>
      <w:r w:rsidRPr="00E670A7">
        <w:rPr>
          <w:position w:val="-14"/>
        </w:rPr>
        <w:object w:dxaOrig="300" w:dyaOrig="380" w14:anchorId="0AC6252C">
          <v:shape id="_x0000_i1302" type="#_x0000_t75" style="width:15pt;height:18pt" o:ole="">
            <v:imagedata r:id="rId571" o:title=""/>
          </v:shape>
          <o:OLEObject Type="Embed" ProgID="Equation.DSMT4" ShapeID="_x0000_i1302" DrawAspect="Content" ObjectID="_1754918853" r:id="rId572"/>
        </w:object>
      </w:r>
      <w:r w:rsidRPr="004A5224">
        <w:t xml:space="preserve"> </w:t>
      </w:r>
      <w:r>
        <w:t>which is an aggregate of different types of goods</w:t>
      </w:r>
      <w:r w:rsidR="00803702">
        <w:t xml:space="preserve"> </w:t>
      </w:r>
      <w:r w:rsidRPr="00E670A7">
        <w:rPr>
          <w:position w:val="-14"/>
        </w:rPr>
        <w:object w:dxaOrig="420" w:dyaOrig="380" w14:anchorId="6E8CC5AC">
          <v:shape id="_x0000_i1303" type="#_x0000_t75" style="width:19.8pt;height:18pt" o:ole="">
            <v:imagedata r:id="rId573" o:title=""/>
          </v:shape>
          <o:OLEObject Type="Embed" ProgID="Equation.DSMT4" ShapeID="_x0000_i1303" DrawAspect="Content" ObjectID="_1754918854" r:id="rId574"/>
        </w:object>
      </w:r>
      <w:r w:rsidRPr="004A5224">
        <w:t xml:space="preserve"> </w:t>
      </w:r>
      <w:r>
        <w:t>which in turn is a composite of domestically produced</w:t>
      </w:r>
      <w:r w:rsidR="00803702">
        <w:t xml:space="preserve"> </w:t>
      </w:r>
      <w:r w:rsidRPr="00E670A7">
        <w:rPr>
          <w:position w:val="-14"/>
        </w:rPr>
        <w:object w:dxaOrig="560" w:dyaOrig="380" w14:anchorId="29885CA2">
          <v:shape id="_x0000_i1304" type="#_x0000_t75" style="width:27pt;height:18pt" o:ole="">
            <v:imagedata r:id="rId575" o:title=""/>
          </v:shape>
          <o:OLEObject Type="Embed" ProgID="Equation.DSMT4" ShapeID="_x0000_i1304" DrawAspect="Content" ObjectID="_1754918855" r:id="rId576"/>
        </w:object>
      </w:r>
      <w:r w:rsidRPr="004A5224">
        <w:t>and imported</w:t>
      </w:r>
      <w:r w:rsidR="00803702">
        <w:t xml:space="preserve"> </w:t>
      </w:r>
      <w:r w:rsidRPr="00E670A7">
        <w:rPr>
          <w:position w:val="-14"/>
        </w:rPr>
        <w:object w:dxaOrig="600" w:dyaOrig="380" w14:anchorId="6F568425">
          <v:shape id="_x0000_i1305" type="#_x0000_t75" style="width:30pt;height:18pt" o:ole="">
            <v:imagedata r:id="rId577" o:title=""/>
          </v:shape>
          <o:OLEObject Type="Embed" ProgID="Equation.DSMT4" ShapeID="_x0000_i1305" DrawAspect="Content" ObjectID="_1754918856" r:id="rId578"/>
        </w:object>
      </w:r>
      <w:r>
        <w:t>varieties.</w:t>
      </w:r>
    </w:p>
    <w:p w14:paraId="5EFE19AB" w14:textId="77777777" w:rsidR="006C3DEB" w:rsidRPr="004A5224" w:rsidRDefault="006C3DEB" w:rsidP="006C3DEB">
      <w:r>
        <w:t>At the top-tier, the distribution sector’s objective is to maximise the value of the firm’s gross fixed capital expenditure by combining different types of investment goods subject to the firm’s investment preferences, captured by a CES function, and the firm’s allocated budget</w:t>
      </w:r>
      <w:r w:rsidRPr="00E670A7">
        <w:rPr>
          <w:position w:val="-14"/>
        </w:rPr>
        <w:object w:dxaOrig="620" w:dyaOrig="400" w14:anchorId="651882B7">
          <v:shape id="_x0000_i1306" type="#_x0000_t75" style="width:31.2pt;height:20.4pt" o:ole="">
            <v:imagedata r:id="rId579" o:title=""/>
          </v:shape>
          <o:OLEObject Type="Embed" ProgID="Equation.DSMT4" ShapeID="_x0000_i1306" DrawAspect="Content" ObjectID="_1754918857" r:id="rId580"/>
        </w:object>
      </w:r>
      <w:r w:rsidRPr="004A5224">
        <w:t>:</w:t>
      </w:r>
    </w:p>
    <w:p w14:paraId="552BA1EA" w14:textId="77777777" w:rsidR="006C3DEB" w:rsidRDefault="006C3DEB" w:rsidP="006C3DEB">
      <w:pPr>
        <w:pStyle w:val="MTDisplayEquation"/>
      </w:pPr>
      <w:r>
        <w:tab/>
      </w:r>
      <w:r w:rsidRPr="00E670A7">
        <w:rPr>
          <w:position w:val="-38"/>
        </w:rPr>
        <w:object w:dxaOrig="3100" w:dyaOrig="1080" w14:anchorId="785B894F">
          <v:shape id="_x0000_i1307" type="#_x0000_t75" style="width:156pt;height:56.4pt" o:ole="">
            <v:imagedata r:id="rId581" o:title=""/>
          </v:shape>
          <o:OLEObject Type="Embed" ProgID="Equation.DSMT4" ShapeID="_x0000_i1307" DrawAspect="Content" ObjectID="_1754918858" r:id="rId582"/>
        </w:object>
      </w:r>
      <w:r>
        <w:t xml:space="preserve"> </w:t>
      </w:r>
    </w:p>
    <w:p w14:paraId="05EF8453" w14:textId="77777777" w:rsidR="006C3DEB" w:rsidRDefault="006C3DEB" w:rsidP="006C3DEB">
      <w:r>
        <w:t>subject to the budget constraint:</w:t>
      </w:r>
    </w:p>
    <w:p w14:paraId="50B4105C" w14:textId="77777777" w:rsidR="006C3DEB" w:rsidRDefault="006C3DEB" w:rsidP="006C3DEB">
      <w:pPr>
        <w:jc w:val="center"/>
      </w:pPr>
      <w:r w:rsidRPr="00E670A7">
        <w:rPr>
          <w:position w:val="-28"/>
        </w:rPr>
        <w:object w:dxaOrig="1980" w:dyaOrig="540" w14:anchorId="6AAF8BF1">
          <v:shape id="_x0000_i1308" type="#_x0000_t75" style="width:99pt;height:27pt" o:ole="">
            <v:imagedata r:id="rId583" o:title=""/>
          </v:shape>
          <o:OLEObject Type="Embed" ProgID="Equation.DSMT4" ShapeID="_x0000_i1308" DrawAspect="Content" ObjectID="_1754918859" r:id="rId584"/>
        </w:object>
      </w:r>
    </w:p>
    <w:p w14:paraId="26E479B5" w14:textId="1E066FF4" w:rsidR="006C3DEB" w:rsidRDefault="006C3DEB" w:rsidP="006C3DEB">
      <w:r>
        <w:t>where:</w:t>
      </w:r>
      <w:r w:rsidRPr="00A21FD2">
        <w:t xml:space="preserve"> </w:t>
      </w:r>
      <w:r w:rsidRPr="00E670A7">
        <w:rPr>
          <w:position w:val="-14"/>
        </w:rPr>
        <w:object w:dxaOrig="660" w:dyaOrig="400" w14:anchorId="6B987A49">
          <v:shape id="_x0000_i1309" type="#_x0000_t75" style="width:31.8pt;height:20.4pt" o:ole="">
            <v:imagedata r:id="rId585" o:title=""/>
          </v:shape>
          <o:OLEObject Type="Embed" ProgID="Equation.DSMT4" ShapeID="_x0000_i1309" DrawAspect="Content" ObjectID="_1754918860" r:id="rId586"/>
        </w:object>
      </w:r>
      <w:r>
        <w:t>is</w:t>
      </w:r>
      <w:r w:rsidRPr="00514689">
        <w:t xml:space="preserve"> the elasticity of substitution</w:t>
      </w:r>
      <w:r>
        <w:t>;</w:t>
      </w:r>
      <w:r w:rsidRPr="00A21FD2">
        <w:t xml:space="preserve"> </w:t>
      </w:r>
      <w:r w:rsidRPr="00E670A7">
        <w:rPr>
          <w:position w:val="-14"/>
        </w:rPr>
        <w:object w:dxaOrig="1080" w:dyaOrig="400" w14:anchorId="53982546">
          <v:shape id="_x0000_i1310" type="#_x0000_t75" style="width:56.4pt;height:20.4pt" o:ole="">
            <v:imagedata r:id="rId587" o:title=""/>
          </v:shape>
          <o:OLEObject Type="Embed" ProgID="Equation.DSMT4" ShapeID="_x0000_i1310" DrawAspect="Content" ObjectID="_1754918861" r:id="rId588"/>
        </w:object>
      </w:r>
      <w:r w:rsidR="008E0261">
        <w:t xml:space="preserve"> </w:t>
      </w:r>
      <w:r>
        <w:t xml:space="preserve">is </w:t>
      </w:r>
      <w:r w:rsidR="00907E06">
        <w:t>the</w:t>
      </w:r>
      <w:r>
        <w:t xml:space="preserve"> </w:t>
      </w:r>
      <w:r w:rsidR="00714F97">
        <w:t>CES</w:t>
      </w:r>
      <w:r>
        <w:t xml:space="preserve"> weight for variety</w:t>
      </w:r>
      <w:r w:rsidR="00907E06">
        <w:t xml:space="preserve"> </w:t>
      </w:r>
      <w:r w:rsidRPr="00E670A7">
        <w:rPr>
          <w:position w:val="-6"/>
        </w:rPr>
        <w:object w:dxaOrig="200" w:dyaOrig="279" w14:anchorId="0EDAD7DB">
          <v:shape id="_x0000_i1311" type="#_x0000_t75" style="width:10.8pt;height:15pt" o:ole="">
            <v:imagedata r:id="rId589" o:title=""/>
          </v:shape>
          <o:OLEObject Type="Embed" ProgID="Equation.DSMT4" ShapeID="_x0000_i1311" DrawAspect="Content" ObjectID="_1754918862" r:id="rId590"/>
        </w:object>
      </w:r>
      <w:r>
        <w:t xml:space="preserve"> with </w:t>
      </w:r>
      <w:r w:rsidRPr="00E670A7">
        <w:rPr>
          <w:position w:val="-28"/>
        </w:rPr>
        <w:object w:dxaOrig="1020" w:dyaOrig="540" w14:anchorId="7C97B5D6">
          <v:shape id="_x0000_i1312" type="#_x0000_t75" style="width:52.2pt;height:27pt" o:ole="">
            <v:imagedata r:id="rId591" o:title=""/>
          </v:shape>
          <o:OLEObject Type="Embed" ProgID="Equation.DSMT4" ShapeID="_x0000_i1312" DrawAspect="Content" ObjectID="_1754918863" r:id="rId592"/>
        </w:object>
      </w:r>
      <w:r>
        <w:t>; and</w:t>
      </w:r>
      <w:r w:rsidRPr="00E670A7">
        <w:rPr>
          <w:position w:val="-14"/>
        </w:rPr>
        <w:object w:dxaOrig="520" w:dyaOrig="400" w14:anchorId="6327C54E">
          <v:shape id="_x0000_i1313" type="#_x0000_t75" style="width:25.8pt;height:20.4pt" o:ole="">
            <v:imagedata r:id="rId593" o:title=""/>
          </v:shape>
          <o:OLEObject Type="Embed" ProgID="Equation.DSMT4" ShapeID="_x0000_i1313" DrawAspect="Content" ObjectID="_1754918864" r:id="rId594"/>
        </w:object>
      </w:r>
      <w:r w:rsidR="00F05D8C">
        <w:t xml:space="preserve"> </w:t>
      </w:r>
      <w:r>
        <w:t>is the market price</w:t>
      </w:r>
      <w:r w:rsidRPr="00514689">
        <w:t xml:space="preserve"> of each</w:t>
      </w:r>
      <w:r>
        <w:t xml:space="preserve"> composite</w:t>
      </w:r>
      <w:r w:rsidRPr="00514689">
        <w:t xml:space="preserve"> good</w:t>
      </w:r>
      <w:r>
        <w:t xml:space="preserve"> for investment of the sector.</w:t>
      </w:r>
    </w:p>
    <w:p w14:paraId="261DD7E4" w14:textId="05AC68A8" w:rsidR="006C3DEB" w:rsidRPr="00A876ED" w:rsidRDefault="006C3DEB" w:rsidP="006C3DEB">
      <w:r>
        <w:t xml:space="preserve">At the bottom-tier, the distribution sector’s objective is to maximise the firm’s value of gross fixed capital expenditure of variety </w:t>
      </w:r>
      <w:r w:rsidR="00F05D8C" w:rsidRPr="00E670A7">
        <w:rPr>
          <w:position w:val="-6"/>
        </w:rPr>
        <w:object w:dxaOrig="200" w:dyaOrig="279" w14:anchorId="2A37DF86">
          <v:shape id="_x0000_i1314" type="#_x0000_t75" style="width:10.8pt;height:15pt" o:ole="">
            <v:imagedata r:id="rId589" o:title=""/>
          </v:shape>
          <o:OLEObject Type="Embed" ProgID="Equation.DSMT4" ShapeID="_x0000_i1314" DrawAspect="Content" ObjectID="_1754918865" r:id="rId595"/>
        </w:object>
      </w:r>
      <w:r>
        <w:t xml:space="preserve"> by combining domestic and imported varieties of investment goods subject to the firm’s investment preferences, captured by a CES function, and the firm’s allocated budget</w:t>
      </w:r>
      <w:r w:rsidRPr="00E670A7">
        <w:rPr>
          <w:position w:val="-14"/>
        </w:rPr>
        <w:object w:dxaOrig="880" w:dyaOrig="400" w14:anchorId="07C93734">
          <v:shape id="_x0000_i1315" type="#_x0000_t75" style="width:44.4pt;height:20.4pt" o:ole="">
            <v:imagedata r:id="rId596" o:title=""/>
          </v:shape>
          <o:OLEObject Type="Embed" ProgID="Equation.DSMT4" ShapeID="_x0000_i1315" DrawAspect="Content" ObjectID="_1754918866" r:id="rId597"/>
        </w:object>
      </w:r>
      <w:r>
        <w:t>:</w:t>
      </w:r>
    </w:p>
    <w:p w14:paraId="61F01613" w14:textId="77777777" w:rsidR="006C3DEB" w:rsidRDefault="006C3DEB" w:rsidP="006C3DEB">
      <w:pPr>
        <w:pStyle w:val="MTDisplayEquation"/>
      </w:pPr>
      <w:r>
        <w:tab/>
      </w:r>
      <w:r w:rsidRPr="00E670A7">
        <w:rPr>
          <w:position w:val="-38"/>
        </w:rPr>
        <w:object w:dxaOrig="6020" w:dyaOrig="1080" w14:anchorId="4D576EA7">
          <v:shape id="_x0000_i1316" type="#_x0000_t75" style="width:300.6pt;height:56.4pt" o:ole="">
            <v:imagedata r:id="rId598" o:title=""/>
          </v:shape>
          <o:OLEObject Type="Embed" ProgID="Equation.DSMT4" ShapeID="_x0000_i1316" DrawAspect="Content" ObjectID="_1754918867" r:id="rId599"/>
        </w:object>
      </w:r>
      <w:r>
        <w:t xml:space="preserve"> </w:t>
      </w:r>
    </w:p>
    <w:p w14:paraId="571EB721" w14:textId="77777777" w:rsidR="006C3DEB" w:rsidRDefault="006C3DEB" w:rsidP="006C3DEB">
      <w:r>
        <w:t>subject to:</w:t>
      </w:r>
    </w:p>
    <w:p w14:paraId="506457FC" w14:textId="77777777" w:rsidR="006C3DEB" w:rsidRPr="00A876ED" w:rsidRDefault="006C3DEB" w:rsidP="006C3DEB">
      <w:pPr>
        <w:ind w:left="720" w:firstLine="720"/>
      </w:pPr>
      <w:r w:rsidRPr="00E670A7">
        <w:rPr>
          <w:position w:val="-14"/>
        </w:rPr>
        <w:object w:dxaOrig="7320" w:dyaOrig="400" w14:anchorId="2E3CCF51">
          <v:shape id="_x0000_i1317" type="#_x0000_t75" style="width:365.4pt;height:20.4pt" o:ole="">
            <v:imagedata r:id="rId600" o:title=""/>
          </v:shape>
          <o:OLEObject Type="Embed" ProgID="Equation.DSMT4" ShapeID="_x0000_i1317" DrawAspect="Content" ObjectID="_1754918868" r:id="rId601"/>
        </w:object>
      </w:r>
      <w:r>
        <w:t xml:space="preserve"> </w:t>
      </w:r>
    </w:p>
    <w:p w14:paraId="34904713" w14:textId="1A35A8F1" w:rsidR="006C3DEB" w:rsidRDefault="006C3DEB" w:rsidP="006C3DEB">
      <w:r>
        <w:lastRenderedPageBreak/>
        <w:t>where:</w:t>
      </w:r>
      <w:r w:rsidRPr="00241836">
        <w:t xml:space="preserve"> </w:t>
      </w:r>
      <w:r w:rsidRPr="00E670A7">
        <w:rPr>
          <w:position w:val="-14"/>
        </w:rPr>
        <w:object w:dxaOrig="400" w:dyaOrig="400" w14:anchorId="6DEA1750">
          <v:shape id="_x0000_i1318" type="#_x0000_t75" style="width:20.4pt;height:20.4pt" o:ole="">
            <v:imagedata r:id="rId602" o:title=""/>
          </v:shape>
          <o:OLEObject Type="Embed" ProgID="Equation.DSMT4" ShapeID="_x0000_i1318" DrawAspect="Content" ObjectID="_1754918869" r:id="rId603"/>
        </w:object>
      </w:r>
      <w:r>
        <w:t xml:space="preserve"> is</w:t>
      </w:r>
      <w:r w:rsidRPr="00514689">
        <w:t xml:space="preserve"> the elasticity of substitution</w:t>
      </w:r>
      <w:r>
        <w:t>;</w:t>
      </w:r>
      <w:r w:rsidRPr="00241836">
        <w:t xml:space="preserve"> </w:t>
      </w:r>
      <w:r w:rsidRPr="00E670A7">
        <w:rPr>
          <w:position w:val="-14"/>
        </w:rPr>
        <w:object w:dxaOrig="1040" w:dyaOrig="400" w14:anchorId="488D3D71">
          <v:shape id="_x0000_i1319" type="#_x0000_t75" style="width:52.8pt;height:20.4pt" o:ole="">
            <v:imagedata r:id="rId604" o:title=""/>
          </v:shape>
          <o:OLEObject Type="Embed" ProgID="Equation.DSMT4" ShapeID="_x0000_i1319" DrawAspect="Content" ObjectID="_1754918870" r:id="rId605"/>
        </w:object>
      </w:r>
      <w:r w:rsidR="00AA6832">
        <w:t xml:space="preserve"> </w:t>
      </w:r>
      <w:r>
        <w:t>is</w:t>
      </w:r>
      <w:r w:rsidRPr="00514689">
        <w:t xml:space="preserve"> </w:t>
      </w:r>
      <w:r>
        <w:t>the CES weight for</w:t>
      </w:r>
      <w:r w:rsidRPr="00514689">
        <w:t xml:space="preserve"> </w:t>
      </w:r>
      <w:r>
        <w:t>imported</w:t>
      </w:r>
      <w:r w:rsidRPr="00514689">
        <w:t xml:space="preserve"> goods</w:t>
      </w:r>
      <w:r>
        <w:t>;</w:t>
      </w:r>
      <w:r w:rsidRPr="00241836">
        <w:t xml:space="preserve"> </w:t>
      </w:r>
      <w:r w:rsidRPr="00E670A7">
        <w:rPr>
          <w:position w:val="-14"/>
        </w:rPr>
        <w:object w:dxaOrig="520" w:dyaOrig="400" w14:anchorId="6D7AE8BF">
          <v:shape id="_x0000_i1320" type="#_x0000_t75" style="width:25.8pt;height:20.4pt" o:ole="">
            <v:imagedata r:id="rId606" o:title=""/>
          </v:shape>
          <o:OLEObject Type="Embed" ProgID="Equation.DSMT4" ShapeID="_x0000_i1320" DrawAspect="Content" ObjectID="_1754918871" r:id="rId607"/>
        </w:object>
      </w:r>
      <w:r w:rsidR="00AA6832">
        <w:t xml:space="preserve"> </w:t>
      </w:r>
      <w:r>
        <w:t>is share of investment goods subject to the GST; and</w:t>
      </w:r>
      <w:r w:rsidRPr="00E670A7">
        <w:rPr>
          <w:position w:val="-14"/>
        </w:rPr>
        <w:object w:dxaOrig="480" w:dyaOrig="400" w14:anchorId="1F3FD948">
          <v:shape id="_x0000_i1321" type="#_x0000_t75" style="width:24pt;height:20.4pt" o:ole="">
            <v:imagedata r:id="rId608" o:title=""/>
          </v:shape>
          <o:OLEObject Type="Embed" ProgID="Equation.DSMT4" ShapeID="_x0000_i1321" DrawAspect="Content" ObjectID="_1754918872" r:id="rId609"/>
        </w:object>
      </w:r>
      <w:r w:rsidR="00AA6832">
        <w:t xml:space="preserve"> </w:t>
      </w:r>
      <w:r>
        <w:t>is an effective ad valorem tax rate that captures the net effect of duties, subsidies and other taxes associated with the supply of investment goods and services.</w:t>
      </w:r>
    </w:p>
    <w:p w14:paraId="1E03664B" w14:textId="77777777" w:rsidR="006C3DEB" w:rsidRDefault="006C3DEB" w:rsidP="006C3DEB">
      <w:pPr>
        <w:pStyle w:val="Heading4"/>
      </w:pPr>
      <w:r>
        <w:t>Intermediate goods and services</w:t>
      </w:r>
    </w:p>
    <w:p w14:paraId="0377FC2E" w14:textId="77777777" w:rsidR="006C3DEB" w:rsidRDefault="006C3DEB" w:rsidP="006C3DEB">
      <w:r>
        <w:t xml:space="preserve">In a similar vein, </w:t>
      </w:r>
      <w:r w:rsidRPr="00DA2219">
        <w:t>the distribution sect</w:t>
      </w:r>
      <w:r>
        <w:t>or produces aggregate intermediate good</w:t>
      </w:r>
      <w:r w:rsidRPr="00E670A7">
        <w:rPr>
          <w:position w:val="-14"/>
        </w:rPr>
        <w:object w:dxaOrig="360" w:dyaOrig="380" w14:anchorId="6F7F563A">
          <v:shape id="_x0000_i1322" type="#_x0000_t75" style="width:18pt;height:18pt" o:ole="">
            <v:imagedata r:id="rId610" o:title=""/>
          </v:shape>
          <o:OLEObject Type="Embed" ProgID="Equation.DSMT4" ShapeID="_x0000_i1322" DrawAspect="Content" ObjectID="_1754918873" r:id="rId611"/>
        </w:object>
      </w:r>
      <w:r>
        <w:t xml:space="preserve">by combining different inputs </w:t>
      </w:r>
      <w:r w:rsidRPr="00E670A7">
        <w:rPr>
          <w:position w:val="-14"/>
        </w:rPr>
        <w:object w:dxaOrig="480" w:dyaOrig="380" w14:anchorId="031BDC52">
          <v:shape id="_x0000_i1323" type="#_x0000_t75" style="width:24pt;height:18pt" o:ole="">
            <v:imagedata r:id="rId612" o:title=""/>
          </v:shape>
          <o:OLEObject Type="Embed" ProgID="Equation.DSMT4" ShapeID="_x0000_i1323" DrawAspect="Content" ObjectID="_1754918874" r:id="rId613"/>
        </w:object>
      </w:r>
      <w:r>
        <w:t xml:space="preserve">, which are in turn composites of </w:t>
      </w:r>
      <w:r w:rsidRPr="00DA2219">
        <w:t>domestically produced</w:t>
      </w:r>
      <w:r w:rsidRPr="00E670A7">
        <w:rPr>
          <w:position w:val="-14"/>
        </w:rPr>
        <w:object w:dxaOrig="600" w:dyaOrig="380" w14:anchorId="5EDFE2F8">
          <v:shape id="_x0000_i1324" type="#_x0000_t75" style="width:30pt;height:18pt" o:ole="">
            <v:imagedata r:id="rId614" o:title=""/>
          </v:shape>
          <o:OLEObject Type="Embed" ProgID="Equation.DSMT4" ShapeID="_x0000_i1324" DrawAspect="Content" ObjectID="_1754918875" r:id="rId615"/>
        </w:object>
      </w:r>
      <w:r w:rsidRPr="00DA2219">
        <w:t>and imported</w:t>
      </w:r>
      <w:r w:rsidRPr="00E670A7">
        <w:rPr>
          <w:position w:val="-14"/>
        </w:rPr>
        <w:object w:dxaOrig="639" w:dyaOrig="380" w14:anchorId="4E13323D">
          <v:shape id="_x0000_i1325" type="#_x0000_t75" style="width:31.8pt;height:18pt" o:ole="">
            <v:imagedata r:id="rId616" o:title=""/>
          </v:shape>
          <o:OLEObject Type="Embed" ProgID="Equation.DSMT4" ShapeID="_x0000_i1325" DrawAspect="Content" ObjectID="_1754918876" r:id="rId617"/>
        </w:object>
      </w:r>
      <w:r>
        <w:t xml:space="preserve">varieties. </w:t>
      </w:r>
    </w:p>
    <w:p w14:paraId="2D121547" w14:textId="52602232" w:rsidR="006C3DEB" w:rsidRDefault="006C3DEB" w:rsidP="006C3DEB">
      <w:r>
        <w:t>At the top-tier, the distribution sector’s objective is to maximise the value of the firm’s intermediate input expenditure by combining different types of intermediate goods subject to the firm’s production requirements, captured by a CES function, and the firm’s allocated budget</w:t>
      </w:r>
      <w:r w:rsidR="00AA6832">
        <w:t xml:space="preserve"> </w:t>
      </w:r>
      <w:r w:rsidRPr="00E670A7">
        <w:rPr>
          <w:position w:val="-14"/>
        </w:rPr>
        <w:object w:dxaOrig="680" w:dyaOrig="400" w14:anchorId="517B3F73">
          <v:shape id="_x0000_i1326" type="#_x0000_t75" style="width:33pt;height:20.4pt" o:ole="">
            <v:imagedata r:id="rId618" o:title=""/>
          </v:shape>
          <o:OLEObject Type="Embed" ProgID="Equation.DSMT4" ShapeID="_x0000_i1326" DrawAspect="Content" ObjectID="_1754918877" r:id="rId619"/>
        </w:object>
      </w:r>
      <w:r w:rsidRPr="004A5224">
        <w:t>:</w:t>
      </w:r>
    </w:p>
    <w:p w14:paraId="29C710D9" w14:textId="77777777" w:rsidR="006C3DEB" w:rsidRDefault="006C3DEB" w:rsidP="006C3DEB">
      <w:pPr>
        <w:pStyle w:val="MTDisplayEquation"/>
      </w:pPr>
      <w:r>
        <w:tab/>
      </w:r>
      <w:r w:rsidRPr="00E670A7">
        <w:rPr>
          <w:position w:val="-38"/>
        </w:rPr>
        <w:object w:dxaOrig="3220" w:dyaOrig="1080" w14:anchorId="003E1132">
          <v:shape id="_x0000_i1327" type="#_x0000_t75" style="width:162pt;height:56.4pt" o:ole="">
            <v:imagedata r:id="rId620" o:title=""/>
          </v:shape>
          <o:OLEObject Type="Embed" ProgID="Equation.DSMT4" ShapeID="_x0000_i1327" DrawAspect="Content" ObjectID="_1754918878" r:id="rId621"/>
        </w:object>
      </w:r>
      <w:r>
        <w:t xml:space="preserve"> </w:t>
      </w:r>
    </w:p>
    <w:p w14:paraId="54DE1652" w14:textId="77777777" w:rsidR="006C3DEB" w:rsidRDefault="006C3DEB" w:rsidP="006C3DEB">
      <w:r>
        <w:t>subject to the expenditure constraint:</w:t>
      </w:r>
    </w:p>
    <w:p w14:paraId="670B182F" w14:textId="77777777" w:rsidR="006C3DEB" w:rsidRDefault="006C3DEB" w:rsidP="006C3DEB">
      <w:pPr>
        <w:jc w:val="center"/>
      </w:pPr>
      <w:r w:rsidRPr="00E670A7">
        <w:rPr>
          <w:position w:val="-28"/>
        </w:rPr>
        <w:object w:dxaOrig="2100" w:dyaOrig="540" w14:anchorId="68266CA6">
          <v:shape id="_x0000_i1328" type="#_x0000_t75" style="width:105pt;height:27pt" o:ole="">
            <v:imagedata r:id="rId622" o:title=""/>
          </v:shape>
          <o:OLEObject Type="Embed" ProgID="Equation.DSMT4" ShapeID="_x0000_i1328" DrawAspect="Content" ObjectID="_1754918879" r:id="rId623"/>
        </w:object>
      </w:r>
    </w:p>
    <w:p w14:paraId="2FABBF75" w14:textId="3B289484" w:rsidR="006C3DEB" w:rsidRDefault="006C3DEB" w:rsidP="006C3DEB">
      <w:r>
        <w:t>where:</w:t>
      </w:r>
      <w:r w:rsidRPr="00DC5F2D">
        <w:t xml:space="preserve"> </w:t>
      </w:r>
      <w:r w:rsidRPr="00E670A7">
        <w:rPr>
          <w:position w:val="-14"/>
        </w:rPr>
        <w:object w:dxaOrig="660" w:dyaOrig="400" w14:anchorId="25231312">
          <v:shape id="_x0000_i1329" type="#_x0000_t75" style="width:31.8pt;height:20.4pt" o:ole="">
            <v:imagedata r:id="rId624" o:title=""/>
          </v:shape>
          <o:OLEObject Type="Embed" ProgID="Equation.DSMT4" ShapeID="_x0000_i1329" DrawAspect="Content" ObjectID="_1754918880" r:id="rId625"/>
        </w:object>
      </w:r>
      <w:r w:rsidRPr="00514689">
        <w:t xml:space="preserve"> </w:t>
      </w:r>
      <w:r>
        <w:t>is</w:t>
      </w:r>
      <w:r w:rsidRPr="00514689">
        <w:t xml:space="preserve"> the elasticity of substitution</w:t>
      </w:r>
      <w:r>
        <w:t>;</w:t>
      </w:r>
      <w:r w:rsidRPr="00DC5F2D">
        <w:t xml:space="preserve"> </w:t>
      </w:r>
      <w:r w:rsidRPr="00E670A7">
        <w:rPr>
          <w:position w:val="-14"/>
        </w:rPr>
        <w:object w:dxaOrig="1080" w:dyaOrig="400" w14:anchorId="4D9F5794">
          <v:shape id="_x0000_i1330" type="#_x0000_t75" style="width:56.4pt;height:20.4pt" o:ole="">
            <v:imagedata r:id="rId626" o:title=""/>
          </v:shape>
          <o:OLEObject Type="Embed" ProgID="Equation.DSMT4" ShapeID="_x0000_i1330" DrawAspect="Content" ObjectID="_1754918881" r:id="rId627"/>
        </w:object>
      </w:r>
      <w:r w:rsidRPr="00514689">
        <w:t xml:space="preserve"> </w:t>
      </w:r>
      <w:r>
        <w:t xml:space="preserve">is the CES weight for variety </w:t>
      </w:r>
      <w:r w:rsidRPr="00E670A7">
        <w:rPr>
          <w:position w:val="-6"/>
        </w:rPr>
        <w:object w:dxaOrig="200" w:dyaOrig="279" w14:anchorId="74EFB1E3">
          <v:shape id="_x0000_i1331" type="#_x0000_t75" style="width:10.8pt;height:15pt" o:ole="">
            <v:imagedata r:id="rId628" o:title=""/>
          </v:shape>
          <o:OLEObject Type="Embed" ProgID="Equation.DSMT4" ShapeID="_x0000_i1331" DrawAspect="Content" ObjectID="_1754918882" r:id="rId629"/>
        </w:object>
      </w:r>
      <w:r w:rsidR="008F18D8">
        <w:t xml:space="preserve"> </w:t>
      </w:r>
      <w:r>
        <w:t>with</w:t>
      </w:r>
      <w:r w:rsidRPr="00E670A7">
        <w:rPr>
          <w:position w:val="-28"/>
        </w:rPr>
        <w:object w:dxaOrig="1020" w:dyaOrig="540" w14:anchorId="2A884B99">
          <v:shape id="_x0000_i1332" type="#_x0000_t75" style="width:52.2pt;height:27pt" o:ole="">
            <v:imagedata r:id="rId630" o:title=""/>
          </v:shape>
          <o:OLEObject Type="Embed" ProgID="Equation.DSMT4" ShapeID="_x0000_i1332" DrawAspect="Content" ObjectID="_1754918883" r:id="rId631"/>
        </w:object>
      </w:r>
      <w:r>
        <w:t>; and</w:t>
      </w:r>
      <w:r w:rsidRPr="00E670A7">
        <w:rPr>
          <w:position w:val="-14"/>
        </w:rPr>
        <w:object w:dxaOrig="520" w:dyaOrig="400" w14:anchorId="49C9096B">
          <v:shape id="_x0000_i1333" type="#_x0000_t75" style="width:25.8pt;height:20.4pt" o:ole="">
            <v:imagedata r:id="rId632" o:title=""/>
          </v:shape>
          <o:OLEObject Type="Embed" ProgID="Equation.DSMT4" ShapeID="_x0000_i1333" DrawAspect="Content" ObjectID="_1754918884" r:id="rId633"/>
        </w:object>
      </w:r>
      <w:r w:rsidR="008F18D8">
        <w:t xml:space="preserve"> </w:t>
      </w:r>
      <w:r>
        <w:t>is the market price</w:t>
      </w:r>
      <w:r w:rsidRPr="00514689">
        <w:t xml:space="preserve"> of </w:t>
      </w:r>
      <w:r>
        <w:t xml:space="preserve">intermediate good </w:t>
      </w:r>
      <w:r w:rsidRPr="00E670A7">
        <w:rPr>
          <w:position w:val="-6"/>
        </w:rPr>
        <w:object w:dxaOrig="200" w:dyaOrig="279" w14:anchorId="407B29BC">
          <v:shape id="_x0000_i1334" type="#_x0000_t75" style="width:10.8pt;height:15pt" o:ole="">
            <v:imagedata r:id="rId634" o:title=""/>
          </v:shape>
          <o:OLEObject Type="Embed" ProgID="Equation.DSMT4" ShapeID="_x0000_i1334" DrawAspect="Content" ObjectID="_1754918885" r:id="rId635"/>
        </w:object>
      </w:r>
      <w:r>
        <w:t>.</w:t>
      </w:r>
    </w:p>
    <w:p w14:paraId="6ADCB30F" w14:textId="2A73C0AB" w:rsidR="006C3DEB" w:rsidRDefault="006C3DEB" w:rsidP="006C3DEB">
      <w:r>
        <w:t xml:space="preserve">At the bottom-tier, the distribution sector’s objective is to maximise the firms value of intermediate goods expenditure on variety </w:t>
      </w:r>
      <w:r w:rsidR="00714F97" w:rsidRPr="00E670A7">
        <w:rPr>
          <w:position w:val="-6"/>
        </w:rPr>
        <w:object w:dxaOrig="200" w:dyaOrig="279" w14:anchorId="110E0125">
          <v:shape id="_x0000_i1335" type="#_x0000_t75" style="width:10.8pt;height:15pt" o:ole="">
            <v:imagedata r:id="rId589" o:title=""/>
          </v:shape>
          <o:OLEObject Type="Embed" ProgID="Equation.DSMT4" ShapeID="_x0000_i1335" DrawAspect="Content" ObjectID="_1754918886" r:id="rId636"/>
        </w:object>
      </w:r>
      <w:r>
        <w:t xml:space="preserve"> by combining domestic and imported varieties of intermediate goods subject to the firm’s production preferences, captured by a CES function, and the firm’s allocated budget</w:t>
      </w:r>
      <w:r w:rsidRPr="00E670A7">
        <w:rPr>
          <w:position w:val="-14"/>
        </w:rPr>
        <w:object w:dxaOrig="940" w:dyaOrig="400" w14:anchorId="4FFCDF4C">
          <v:shape id="_x0000_i1336" type="#_x0000_t75" style="width:46.2pt;height:20.4pt" o:ole="">
            <v:imagedata r:id="rId637" o:title=""/>
          </v:shape>
          <o:OLEObject Type="Embed" ProgID="Equation.DSMT4" ShapeID="_x0000_i1336" DrawAspect="Content" ObjectID="_1754918887" r:id="rId638"/>
        </w:object>
      </w:r>
      <w:r>
        <w:t>:</w:t>
      </w:r>
    </w:p>
    <w:p w14:paraId="2FCE3233" w14:textId="77777777" w:rsidR="006C3DEB" w:rsidRDefault="006C3DEB" w:rsidP="006C3DEB">
      <w:pPr>
        <w:pStyle w:val="MTDisplayEquation"/>
      </w:pPr>
      <w:r>
        <w:tab/>
      </w:r>
      <w:r w:rsidRPr="00E670A7">
        <w:rPr>
          <w:position w:val="-38"/>
        </w:rPr>
        <w:object w:dxaOrig="6200" w:dyaOrig="1080" w14:anchorId="330F43D2">
          <v:shape id="_x0000_i1337" type="#_x0000_t75" style="width:309.6pt;height:56.4pt" o:ole="">
            <v:imagedata r:id="rId639" o:title=""/>
          </v:shape>
          <o:OLEObject Type="Embed" ProgID="Equation.DSMT4" ShapeID="_x0000_i1337" DrawAspect="Content" ObjectID="_1754918888" r:id="rId640"/>
        </w:object>
      </w:r>
      <w:r>
        <w:t xml:space="preserve"> </w:t>
      </w:r>
    </w:p>
    <w:p w14:paraId="097B2497" w14:textId="77777777" w:rsidR="006C3DEB" w:rsidRDefault="006C3DEB" w:rsidP="006C3DEB">
      <w:pPr>
        <w:tabs>
          <w:tab w:val="center" w:pos="4520"/>
          <w:tab w:val="right" w:pos="9020"/>
        </w:tabs>
        <w:jc w:val="both"/>
      </w:pPr>
      <w:r>
        <w:t>subject to:</w:t>
      </w:r>
    </w:p>
    <w:p w14:paraId="54376149" w14:textId="77777777" w:rsidR="006C3DEB" w:rsidRDefault="006C3DEB" w:rsidP="006C3DEB">
      <w:pPr>
        <w:tabs>
          <w:tab w:val="center" w:pos="4520"/>
          <w:tab w:val="right" w:pos="9020"/>
        </w:tabs>
        <w:ind w:firstLine="1440"/>
        <w:jc w:val="both"/>
      </w:pPr>
      <w:r w:rsidRPr="00E670A7">
        <w:rPr>
          <w:position w:val="-14"/>
        </w:rPr>
        <w:object w:dxaOrig="7460" w:dyaOrig="400" w14:anchorId="6BA9A7A1">
          <v:shape id="_x0000_i1338" type="#_x0000_t75" style="width:370.2pt;height:20.4pt" o:ole="">
            <v:imagedata r:id="rId641" o:title=""/>
          </v:shape>
          <o:OLEObject Type="Embed" ProgID="Equation.DSMT4" ShapeID="_x0000_i1338" DrawAspect="Content" ObjectID="_1754918889" r:id="rId642"/>
        </w:object>
      </w:r>
      <w:r>
        <w:t xml:space="preserve"> </w:t>
      </w:r>
    </w:p>
    <w:p w14:paraId="6B9C22B4" w14:textId="78B1F7F5" w:rsidR="006C3DEB" w:rsidRDefault="006C3DEB" w:rsidP="006C3DEB">
      <w:r>
        <w:t>where:</w:t>
      </w:r>
      <w:r w:rsidRPr="00AF2AAE">
        <w:t xml:space="preserve"> </w:t>
      </w:r>
      <w:r w:rsidRPr="00E670A7">
        <w:rPr>
          <w:position w:val="-14"/>
        </w:rPr>
        <w:object w:dxaOrig="400" w:dyaOrig="400" w14:anchorId="6690AB3F">
          <v:shape id="_x0000_i1339" type="#_x0000_t75" style="width:20.4pt;height:20.4pt" o:ole="">
            <v:imagedata r:id="rId643" o:title=""/>
          </v:shape>
          <o:OLEObject Type="Embed" ProgID="Equation.DSMT4" ShapeID="_x0000_i1339" DrawAspect="Content" ObjectID="_1754918890" r:id="rId644"/>
        </w:object>
      </w:r>
      <w:r>
        <w:t>is</w:t>
      </w:r>
      <w:r w:rsidRPr="00514689">
        <w:t xml:space="preserve"> the elasticity of substitution</w:t>
      </w:r>
      <w:r>
        <w:t>;</w:t>
      </w:r>
      <w:r w:rsidRPr="00AF2AAE">
        <w:t xml:space="preserve"> </w:t>
      </w:r>
      <w:r w:rsidRPr="00E670A7">
        <w:rPr>
          <w:position w:val="-14"/>
        </w:rPr>
        <w:object w:dxaOrig="1080" w:dyaOrig="400" w14:anchorId="57066F1F">
          <v:shape id="_x0000_i1340" type="#_x0000_t75" style="width:56.4pt;height:20.4pt" o:ole="">
            <v:imagedata r:id="rId645" o:title=""/>
          </v:shape>
          <o:OLEObject Type="Embed" ProgID="Equation.DSMT4" ShapeID="_x0000_i1340" DrawAspect="Content" ObjectID="_1754918891" r:id="rId646"/>
        </w:object>
      </w:r>
      <w:r>
        <w:t>is</w:t>
      </w:r>
      <w:r w:rsidRPr="00514689">
        <w:t xml:space="preserve"> the </w:t>
      </w:r>
      <w:r>
        <w:t>CES weight for</w:t>
      </w:r>
      <w:r w:rsidRPr="00514689">
        <w:t xml:space="preserve"> </w:t>
      </w:r>
      <w:r>
        <w:t>imported</w:t>
      </w:r>
      <w:r w:rsidRPr="00514689">
        <w:t xml:space="preserve"> goods</w:t>
      </w:r>
      <w:r>
        <w:t>;</w:t>
      </w:r>
      <w:r w:rsidRPr="00AF2AAE">
        <w:t xml:space="preserve"> </w:t>
      </w:r>
      <w:r w:rsidRPr="00E670A7">
        <w:rPr>
          <w:position w:val="-14"/>
        </w:rPr>
        <w:object w:dxaOrig="520" w:dyaOrig="400" w14:anchorId="2CE1CCEF">
          <v:shape id="_x0000_i1341" type="#_x0000_t75" style="width:25.8pt;height:20.4pt" o:ole="">
            <v:imagedata r:id="rId647" o:title=""/>
          </v:shape>
          <o:OLEObject Type="Embed" ProgID="Equation.DSMT4" ShapeID="_x0000_i1341" DrawAspect="Content" ObjectID="_1754918892" r:id="rId648"/>
        </w:object>
      </w:r>
      <w:r w:rsidR="00714F97">
        <w:t xml:space="preserve"> </w:t>
      </w:r>
      <w:r>
        <w:t>is share of good k that is subject to the GST;</w:t>
      </w:r>
      <w:r w:rsidRPr="004B5B3F">
        <w:t xml:space="preserve"> </w:t>
      </w:r>
      <w:r>
        <w:t xml:space="preserve">and </w:t>
      </w:r>
      <w:r w:rsidRPr="00E670A7">
        <w:rPr>
          <w:position w:val="-14"/>
        </w:rPr>
        <w:object w:dxaOrig="480" w:dyaOrig="400" w14:anchorId="6D7FAA0A">
          <v:shape id="_x0000_i1342" type="#_x0000_t75" style="width:24pt;height:20.4pt" o:ole="">
            <v:imagedata r:id="rId649" o:title=""/>
          </v:shape>
          <o:OLEObject Type="Embed" ProgID="Equation.DSMT4" ShapeID="_x0000_i1342" DrawAspect="Content" ObjectID="_1754918893" r:id="rId650"/>
        </w:object>
      </w:r>
      <w:r w:rsidR="00714F97">
        <w:t xml:space="preserve"> </w:t>
      </w:r>
      <w:r>
        <w:t xml:space="preserve">is an effective ad valorem tax rate that captures </w:t>
      </w:r>
      <w:r>
        <w:lastRenderedPageBreak/>
        <w:t>the net effect of duties, subsidies and other taxes associated with the supply of intermediate goods and services.</w:t>
      </w:r>
    </w:p>
    <w:p w14:paraId="5FEC56E3" w14:textId="77777777" w:rsidR="006C3DEB" w:rsidRDefault="006C3DEB" w:rsidP="006C3DEB">
      <w:pPr>
        <w:pStyle w:val="Heading4"/>
      </w:pPr>
      <w:r>
        <w:t>Government spending</w:t>
      </w:r>
    </w:p>
    <w:p w14:paraId="08CE3A47" w14:textId="77777777" w:rsidR="006C3DEB" w:rsidRDefault="006C3DEB" w:rsidP="006C3DEB">
      <w:r>
        <w:t>Government spending also has a two-tiered preference structure, although it has a different allocation mechanism for goods and varieties.</w:t>
      </w:r>
    </w:p>
    <w:p w14:paraId="6A9E7A46" w14:textId="2C165280" w:rsidR="006C3DEB" w:rsidRDefault="006C3DEB" w:rsidP="006C3DEB">
      <w:r>
        <w:t>At the top-tier, t</w:t>
      </w:r>
      <w:r w:rsidRPr="00A34220">
        <w:t xml:space="preserve">he government </w:t>
      </w:r>
      <w:r>
        <w:t>is assumed to undertake spending with a fixed bundle of goods and services</w:t>
      </w:r>
      <w:r w:rsidRPr="00E670A7">
        <w:rPr>
          <w:position w:val="-14"/>
        </w:rPr>
        <w:object w:dxaOrig="380" w:dyaOrig="380" w14:anchorId="55AB2AD5">
          <v:shape id="_x0000_i1343" type="#_x0000_t75" style="width:18pt;height:18pt" o:ole="">
            <v:imagedata r:id="rId651" o:title=""/>
          </v:shape>
          <o:OLEObject Type="Embed" ProgID="Equation.DSMT4" ShapeID="_x0000_i1343" DrawAspect="Content" ObjectID="_1754918894" r:id="rId652"/>
        </w:object>
      </w:r>
      <w:r w:rsidR="00714F97">
        <w:t xml:space="preserve"> </w:t>
      </w:r>
      <w:r>
        <w:t>supplied by the distribution sector. Given the market price</w:t>
      </w:r>
      <w:r w:rsidRPr="00514689">
        <w:t xml:space="preserve"> of </w:t>
      </w:r>
      <w:r>
        <w:t xml:space="preserve">each </w:t>
      </w:r>
      <w:r w:rsidRPr="00514689">
        <w:t>good</w:t>
      </w:r>
      <w:r w:rsidRPr="00E670A7">
        <w:rPr>
          <w:position w:val="-14"/>
        </w:rPr>
        <w:object w:dxaOrig="400" w:dyaOrig="400" w14:anchorId="2297081F">
          <v:shape id="_x0000_i1344" type="#_x0000_t75" style="width:20.4pt;height:20.4pt" o:ole="">
            <v:imagedata r:id="rId653" o:title=""/>
          </v:shape>
          <o:OLEObject Type="Embed" ProgID="Equation.DSMT4" ShapeID="_x0000_i1344" DrawAspect="Content" ObjectID="_1754918895" r:id="rId654"/>
        </w:object>
      </w:r>
      <w:r>
        <w:t>, total government spending is:</w:t>
      </w:r>
    </w:p>
    <w:p w14:paraId="5CC5D061" w14:textId="208B5ED8" w:rsidR="006C3DEB" w:rsidRDefault="006C3DEB" w:rsidP="006C3DEB">
      <w:pPr>
        <w:pStyle w:val="MTDisplayEquation"/>
      </w:pPr>
      <w:r w:rsidRPr="00CE4CE9">
        <w:tab/>
      </w:r>
      <w:r w:rsidRPr="00E670A7">
        <w:rPr>
          <w:position w:val="-30"/>
        </w:rPr>
        <w:object w:dxaOrig="1719" w:dyaOrig="560" w14:anchorId="171F3F77">
          <v:shape id="_x0000_i1345" type="#_x0000_t75" style="width:87pt;height:27pt" o:ole="">
            <v:imagedata r:id="rId655" o:title=""/>
          </v:shape>
          <o:OLEObject Type="Embed" ProgID="Equation.DSMT4" ShapeID="_x0000_i1345" DrawAspect="Content" ObjectID="_1754918896" r:id="rId656"/>
        </w:object>
      </w:r>
      <w:r w:rsidRPr="00CE4CE9">
        <w:t xml:space="preserve"> </w:t>
      </w:r>
      <w:r w:rsidRPr="00CE4CE9">
        <w:tab/>
      </w:r>
      <w:r w:rsidRPr="00CE4CE9">
        <w:fldChar w:fldCharType="begin"/>
      </w:r>
      <w:r w:rsidRPr="00CE4CE9">
        <w:instrText xml:space="preserve"> MACROBUTTON MTPlaceRef \* MERGEFORMAT </w:instrText>
      </w:r>
      <w:r w:rsidRPr="00CE4CE9">
        <w:fldChar w:fldCharType="begin"/>
      </w:r>
      <w:r w:rsidRPr="00CE4CE9">
        <w:instrText xml:space="preserve"> SEQ MTEqn \h \* MERGEFORMAT </w:instrText>
      </w:r>
      <w:r w:rsidRPr="00CE4CE9">
        <w:fldChar w:fldCharType="end"/>
      </w:r>
      <w:r w:rsidRPr="00CE4CE9">
        <w:instrText>(</w:instrText>
      </w:r>
      <w:r w:rsidRPr="00CE4CE9">
        <w:rPr>
          <w:noProof/>
        </w:rPr>
        <w:fldChar w:fldCharType="begin"/>
      </w:r>
      <w:r w:rsidRPr="00CE4CE9">
        <w:rPr>
          <w:noProof/>
        </w:rPr>
        <w:instrText xml:space="preserve"> SEQ MTEqn \c \* Arabic \* MERGEFORMAT </w:instrText>
      </w:r>
      <w:r w:rsidRPr="00CE4CE9">
        <w:rPr>
          <w:noProof/>
        </w:rPr>
        <w:fldChar w:fldCharType="separate"/>
      </w:r>
      <w:r w:rsidR="00E00A52">
        <w:rPr>
          <w:noProof/>
        </w:rPr>
        <w:instrText>26</w:instrText>
      </w:r>
      <w:r w:rsidRPr="00CE4CE9">
        <w:rPr>
          <w:noProof/>
        </w:rPr>
        <w:fldChar w:fldCharType="end"/>
      </w:r>
      <w:r w:rsidRPr="00CE4CE9">
        <w:instrText>)</w:instrText>
      </w:r>
      <w:r w:rsidRPr="00CE4CE9">
        <w:fldChar w:fldCharType="end"/>
      </w:r>
    </w:p>
    <w:p w14:paraId="2BD80A3B" w14:textId="70E14541" w:rsidR="006C3DEB" w:rsidRDefault="006C3DEB" w:rsidP="006C3DEB">
      <w:r>
        <w:t>Here</w:t>
      </w:r>
      <w:r w:rsidR="00C00EF7">
        <w:t xml:space="preserve"> </w:t>
      </w:r>
      <w:r w:rsidRPr="00E670A7">
        <w:rPr>
          <w:position w:val="-12"/>
        </w:rPr>
        <w:object w:dxaOrig="320" w:dyaOrig="380" w14:anchorId="24D28688">
          <v:shape id="_x0000_i1346" type="#_x0000_t75" style="width:15.6pt;height:18pt" o:ole="">
            <v:imagedata r:id="rId657" o:title=""/>
          </v:shape>
          <o:OLEObject Type="Embed" ProgID="Equation.DSMT4" ShapeID="_x0000_i1346" DrawAspect="Content" ObjectID="_1754918897" r:id="rId658"/>
        </w:object>
      </w:r>
      <w:r w:rsidR="00C00EF7">
        <w:t xml:space="preserve"> </w:t>
      </w:r>
      <w:r>
        <w:t>is the price of composite good purchased by the government, and real government expenditure</w:t>
      </w:r>
      <w:r w:rsidRPr="00E670A7">
        <w:rPr>
          <w:position w:val="-12"/>
        </w:rPr>
        <w:object w:dxaOrig="260" w:dyaOrig="360" w14:anchorId="3B7FE221">
          <v:shape id="_x0000_i1347" type="#_x0000_t75" style="width:14.4pt;height:18pt" o:ole="">
            <v:imagedata r:id="rId659" o:title=""/>
          </v:shape>
          <o:OLEObject Type="Embed" ProgID="Equation.DSMT4" ShapeID="_x0000_i1347" DrawAspect="Content" ObjectID="_1754918898" r:id="rId660"/>
        </w:object>
      </w:r>
      <w:r>
        <w:t xml:space="preserve">is assumed to be a CES aggregate of the bundle: </w:t>
      </w:r>
    </w:p>
    <w:p w14:paraId="1A0D4FFA" w14:textId="39B11207" w:rsidR="006C3DEB" w:rsidRPr="001932A5" w:rsidRDefault="006C3DEB" w:rsidP="006C3DEB">
      <w:pPr>
        <w:pStyle w:val="MTDisplayEquation"/>
      </w:pPr>
      <w:r w:rsidRPr="00CE4CE9">
        <w:tab/>
      </w:r>
      <w:r w:rsidRPr="00E670A7">
        <w:rPr>
          <w:position w:val="-34"/>
        </w:rPr>
        <w:object w:dxaOrig="2540" w:dyaOrig="980" w14:anchorId="3412D3D8">
          <v:shape id="_x0000_i1348" type="#_x0000_t75" style="width:126.6pt;height:48pt" o:ole="">
            <v:imagedata r:id="rId661" o:title=""/>
          </v:shape>
          <o:OLEObject Type="Embed" ProgID="Equation.DSMT4" ShapeID="_x0000_i1348" DrawAspect="Content" ObjectID="_1754918899" r:id="rId662"/>
        </w:object>
      </w:r>
      <w:r w:rsidRPr="00CE4CE9">
        <w:t xml:space="preserve"> </w:t>
      </w:r>
      <w:r w:rsidRPr="00CE4CE9">
        <w:tab/>
      </w:r>
      <w:r w:rsidRPr="00CE4CE9">
        <w:fldChar w:fldCharType="begin"/>
      </w:r>
      <w:r w:rsidRPr="00CE4CE9">
        <w:instrText xml:space="preserve"> MACROBUTTON MTPlaceRef \* MERGEFORMAT </w:instrText>
      </w:r>
      <w:r w:rsidRPr="00CE4CE9">
        <w:fldChar w:fldCharType="begin"/>
      </w:r>
      <w:r w:rsidRPr="00CE4CE9">
        <w:instrText xml:space="preserve"> SEQ MTEqn \h \* MERGEFORMAT </w:instrText>
      </w:r>
      <w:r w:rsidRPr="00CE4CE9">
        <w:fldChar w:fldCharType="end"/>
      </w:r>
      <w:r w:rsidRPr="00CE4CE9">
        <w:instrText>(</w:instrText>
      </w:r>
      <w:r w:rsidRPr="00CE4CE9">
        <w:rPr>
          <w:noProof/>
        </w:rPr>
        <w:fldChar w:fldCharType="begin"/>
      </w:r>
      <w:r w:rsidRPr="00CE4CE9">
        <w:rPr>
          <w:noProof/>
        </w:rPr>
        <w:instrText xml:space="preserve"> SEQ MTEqn \c \* Arabic \* MERGEFORMAT </w:instrText>
      </w:r>
      <w:r w:rsidRPr="00CE4CE9">
        <w:rPr>
          <w:noProof/>
        </w:rPr>
        <w:fldChar w:fldCharType="separate"/>
      </w:r>
      <w:r w:rsidR="00E00A52">
        <w:rPr>
          <w:noProof/>
        </w:rPr>
        <w:instrText>27</w:instrText>
      </w:r>
      <w:r w:rsidRPr="00CE4CE9">
        <w:rPr>
          <w:noProof/>
        </w:rPr>
        <w:fldChar w:fldCharType="end"/>
      </w:r>
      <w:r w:rsidRPr="00CE4CE9">
        <w:instrText>)</w:instrText>
      </w:r>
      <w:r w:rsidRPr="00CE4CE9">
        <w:fldChar w:fldCharType="end"/>
      </w:r>
    </w:p>
    <w:p w14:paraId="0BC1FBCC" w14:textId="6C1A0674" w:rsidR="006C3DEB" w:rsidRDefault="00C00EF7" w:rsidP="006C3DEB">
      <w:pPr>
        <w:pStyle w:val="MTDisplayEquation"/>
      </w:pPr>
      <w:r>
        <w:t>W</w:t>
      </w:r>
      <w:r w:rsidR="006C3DEB">
        <w:t>ith</w:t>
      </w:r>
      <w:r>
        <w:t xml:space="preserve"> </w:t>
      </w:r>
      <w:r w:rsidR="006C3DEB" w:rsidRPr="00E670A7">
        <w:rPr>
          <w:position w:val="-10"/>
        </w:rPr>
        <w:object w:dxaOrig="680" w:dyaOrig="360" w14:anchorId="5155E6BA">
          <v:shape id="_x0000_i1349" type="#_x0000_t75" style="width:33pt;height:18pt" o:ole="">
            <v:imagedata r:id="rId663" o:title=""/>
          </v:shape>
          <o:OLEObject Type="Embed" ProgID="Equation.DSMT4" ShapeID="_x0000_i1349" DrawAspect="Content" ObjectID="_1754918900" r:id="rId664"/>
        </w:object>
      </w:r>
      <w:r w:rsidR="00C83A93">
        <w:t xml:space="preserve"> denotes</w:t>
      </w:r>
      <w:r w:rsidR="006C3DEB" w:rsidRPr="00514689">
        <w:t xml:space="preserve"> the elasticity of substitution</w:t>
      </w:r>
      <w:r w:rsidR="006C3DEB">
        <w:t>, and</w:t>
      </w:r>
      <w:r w:rsidR="00883C8C">
        <w:t xml:space="preserve"> </w:t>
      </w:r>
      <w:r w:rsidR="006C3DEB" w:rsidRPr="00E670A7">
        <w:rPr>
          <w:position w:val="-14"/>
        </w:rPr>
        <w:object w:dxaOrig="999" w:dyaOrig="400" w14:anchorId="67813E91">
          <v:shape id="_x0000_i1350" type="#_x0000_t75" style="width:49.8pt;height:20.4pt" o:ole="">
            <v:imagedata r:id="rId665" o:title=""/>
          </v:shape>
          <o:OLEObject Type="Embed" ProgID="Equation.DSMT4" ShapeID="_x0000_i1350" DrawAspect="Content" ObjectID="_1754918901" r:id="rId666"/>
        </w:object>
      </w:r>
      <w:r w:rsidR="00E45E9B">
        <w:t xml:space="preserve"> </w:t>
      </w:r>
      <w:r w:rsidR="00883C8C">
        <w:t>denotes</w:t>
      </w:r>
      <w:r w:rsidR="006C3DEB">
        <w:t xml:space="preserve"> the CES weight for variety</w:t>
      </w:r>
      <w:r w:rsidR="006C3DEB" w:rsidRPr="00E670A7">
        <w:rPr>
          <w:position w:val="-10"/>
        </w:rPr>
        <w:object w:dxaOrig="200" w:dyaOrig="300" w14:anchorId="644A2813">
          <v:shape id="_x0000_i1351" type="#_x0000_t75" style="width:10.8pt;height:15pt" o:ole="">
            <v:imagedata r:id="rId667" o:title=""/>
          </v:shape>
          <o:OLEObject Type="Embed" ProgID="Equation.DSMT4" ShapeID="_x0000_i1351" DrawAspect="Content" ObjectID="_1754918902" r:id="rId668"/>
        </w:object>
      </w:r>
      <w:r w:rsidR="00883C8C">
        <w:t xml:space="preserve"> </w:t>
      </w:r>
      <w:r w:rsidR="006C3DEB">
        <w:t>with</w:t>
      </w:r>
      <w:r w:rsidR="00883C8C">
        <w:t xml:space="preserve"> </w:t>
      </w:r>
      <w:r w:rsidR="006C3DEB" w:rsidRPr="00E670A7">
        <w:rPr>
          <w:position w:val="-30"/>
        </w:rPr>
        <w:object w:dxaOrig="920" w:dyaOrig="560" w14:anchorId="0BF05438">
          <v:shape id="_x0000_i1352" type="#_x0000_t75" style="width:46.8pt;height:27pt" o:ole="">
            <v:imagedata r:id="rId669" o:title=""/>
          </v:shape>
          <o:OLEObject Type="Embed" ProgID="Equation.DSMT4" ShapeID="_x0000_i1352" DrawAspect="Content" ObjectID="_1754918903" r:id="rId670"/>
        </w:object>
      </w:r>
      <w:r w:rsidR="006C3DEB">
        <w:t xml:space="preserve">. </w:t>
      </w:r>
    </w:p>
    <w:p w14:paraId="2BE569A6" w14:textId="77777777" w:rsidR="006C3DEB" w:rsidRDefault="006C3DEB" w:rsidP="006C3DEB">
      <w:r w:rsidRPr="00514689">
        <w:t xml:space="preserve">At the bottom-tier, </w:t>
      </w:r>
      <w:r>
        <w:t>the distribution sector optimally allocates funds</w:t>
      </w:r>
      <w:r w:rsidRPr="00E670A7">
        <w:rPr>
          <w:position w:val="-14"/>
        </w:rPr>
        <w:object w:dxaOrig="720" w:dyaOrig="400" w14:anchorId="1DDBB0BA">
          <v:shape id="_x0000_i1353" type="#_x0000_t75" style="width:37.8pt;height:20.4pt" o:ole="">
            <v:imagedata r:id="rId671" o:title=""/>
          </v:shape>
          <o:OLEObject Type="Embed" ProgID="Equation.DSMT4" ShapeID="_x0000_i1353" DrawAspect="Content" ObjectID="_1754918904" r:id="rId672"/>
        </w:object>
      </w:r>
      <w:r>
        <w:t xml:space="preserve">on behalf of the government to </w:t>
      </w:r>
      <w:r w:rsidRPr="00514689">
        <w:t>domestic</w:t>
      </w:r>
      <w:r>
        <w:t>ally produced</w:t>
      </w:r>
      <w:r w:rsidRPr="00E670A7">
        <w:rPr>
          <w:position w:val="-14"/>
        </w:rPr>
        <w:object w:dxaOrig="499" w:dyaOrig="380" w14:anchorId="101794E2">
          <v:shape id="_x0000_i1354" type="#_x0000_t75" style="width:25.2pt;height:18pt" o:ole="">
            <v:imagedata r:id="rId673" o:title=""/>
          </v:shape>
          <o:OLEObject Type="Embed" ProgID="Equation.DSMT4" ShapeID="_x0000_i1354" DrawAspect="Content" ObjectID="_1754918905" r:id="rId674"/>
        </w:object>
      </w:r>
      <w:r w:rsidRPr="00514689">
        <w:t>and imported</w:t>
      </w:r>
      <w:r w:rsidRPr="00E670A7">
        <w:rPr>
          <w:position w:val="-14"/>
        </w:rPr>
        <w:object w:dxaOrig="540" w:dyaOrig="380" w14:anchorId="73B75640">
          <v:shape id="_x0000_i1355" type="#_x0000_t75" style="width:27pt;height:18pt" o:ole="">
            <v:imagedata r:id="rId675" o:title=""/>
          </v:shape>
          <o:OLEObject Type="Embed" ProgID="Equation.DSMT4" ShapeID="_x0000_i1355" DrawAspect="Content" ObjectID="_1754918906" r:id="rId676"/>
        </w:object>
      </w:r>
      <w:r>
        <w:t>varieties of good j:</w:t>
      </w:r>
    </w:p>
    <w:p w14:paraId="1B12C30C" w14:textId="77777777" w:rsidR="006C3DEB" w:rsidRDefault="006C3DEB" w:rsidP="006C3DEB">
      <w:pPr>
        <w:pStyle w:val="MTDisplayEquation"/>
      </w:pPr>
      <w:r>
        <w:tab/>
      </w:r>
      <w:r w:rsidRPr="00E670A7">
        <w:rPr>
          <w:position w:val="-38"/>
        </w:rPr>
        <w:object w:dxaOrig="5740" w:dyaOrig="1080" w14:anchorId="5B74BF46">
          <v:shape id="_x0000_i1356" type="#_x0000_t75" style="width:287.4pt;height:56.4pt" o:ole="">
            <v:imagedata r:id="rId677" o:title=""/>
          </v:shape>
          <o:OLEObject Type="Embed" ProgID="Equation.DSMT4" ShapeID="_x0000_i1356" DrawAspect="Content" ObjectID="_1754918907" r:id="rId678"/>
        </w:object>
      </w:r>
    </w:p>
    <w:p w14:paraId="32D9F4ED" w14:textId="77777777" w:rsidR="006C3DEB" w:rsidRDefault="006C3DEB" w:rsidP="006C3DEB">
      <w:r>
        <w:t>subject to:</w:t>
      </w:r>
    </w:p>
    <w:p w14:paraId="6E960348" w14:textId="77777777" w:rsidR="006C3DEB" w:rsidRDefault="006C3DEB" w:rsidP="006C3DEB">
      <w:pPr>
        <w:ind w:left="2160" w:firstLine="720"/>
      </w:pPr>
      <w:r w:rsidRPr="00E670A7">
        <w:rPr>
          <w:position w:val="-14"/>
        </w:rPr>
        <w:object w:dxaOrig="2780" w:dyaOrig="400" w14:anchorId="28DABB2B">
          <v:shape id="_x0000_i1357" type="#_x0000_t75" style="width:136.2pt;height:20.4pt" o:ole="">
            <v:imagedata r:id="rId679" o:title=""/>
          </v:shape>
          <o:OLEObject Type="Embed" ProgID="Equation.DSMT4" ShapeID="_x0000_i1357" DrawAspect="Content" ObjectID="_1754918908" r:id="rId680"/>
        </w:object>
      </w:r>
      <w:r>
        <w:t xml:space="preserve"> </w:t>
      </w:r>
    </w:p>
    <w:p w14:paraId="0C08E389" w14:textId="77777777" w:rsidR="006C3DEB" w:rsidRDefault="006C3DEB" w:rsidP="006C3DEB">
      <w:r>
        <w:t>where:</w:t>
      </w:r>
      <w:r w:rsidRPr="00514689">
        <w:t xml:space="preserve"> </w:t>
      </w:r>
      <w:r w:rsidRPr="00E670A7">
        <w:rPr>
          <w:position w:val="-14"/>
        </w:rPr>
        <w:object w:dxaOrig="780" w:dyaOrig="400" w14:anchorId="6A4B392F">
          <v:shape id="_x0000_i1358" type="#_x0000_t75" style="width:39.6pt;height:20.4pt" o:ole="">
            <v:imagedata r:id="rId681" o:title=""/>
          </v:shape>
          <o:OLEObject Type="Embed" ProgID="Equation.DSMT4" ShapeID="_x0000_i1358" DrawAspect="Content" ObjectID="_1754918909" r:id="rId682"/>
        </w:object>
      </w:r>
      <w:r>
        <w:t>is</w:t>
      </w:r>
      <w:r w:rsidRPr="00514689">
        <w:t xml:space="preserve"> the elasticity of substitution</w:t>
      </w:r>
      <w:r>
        <w:t>; and</w:t>
      </w:r>
      <w:r w:rsidRPr="00E670A7">
        <w:rPr>
          <w:position w:val="-14"/>
        </w:rPr>
        <w:object w:dxaOrig="1100" w:dyaOrig="400" w14:anchorId="62DDB4BC">
          <v:shape id="_x0000_i1359" type="#_x0000_t75" style="width:54pt;height:20.4pt" o:ole="">
            <v:imagedata r:id="rId683" o:title=""/>
          </v:shape>
          <o:OLEObject Type="Embed" ProgID="Equation.DSMT4" ShapeID="_x0000_i1359" DrawAspect="Content" ObjectID="_1754918910" r:id="rId684"/>
        </w:object>
      </w:r>
      <w:r>
        <w:t>is</w:t>
      </w:r>
      <w:r w:rsidRPr="00514689">
        <w:t xml:space="preserve"> the </w:t>
      </w:r>
      <w:r>
        <w:t>CES weight for</w:t>
      </w:r>
      <w:r w:rsidRPr="00514689">
        <w:t xml:space="preserve"> </w:t>
      </w:r>
      <w:r>
        <w:t>imported</w:t>
      </w:r>
      <w:r w:rsidRPr="00514689">
        <w:t xml:space="preserve"> goods</w:t>
      </w:r>
      <w:r>
        <w:t xml:space="preserve">. </w:t>
      </w:r>
    </w:p>
    <w:p w14:paraId="4C0DB458" w14:textId="77777777" w:rsidR="006C3DEB" w:rsidRDefault="006C3DEB" w:rsidP="006C3DEB">
      <w:pPr>
        <w:pStyle w:val="Heading4"/>
      </w:pPr>
      <w:r>
        <w:t>Goods and services tax</w:t>
      </w:r>
    </w:p>
    <w:p w14:paraId="44CC68F0" w14:textId="2D686D7B" w:rsidR="006C3DEB" w:rsidRDefault="006C3DEB" w:rsidP="006C3DEB">
      <w:r>
        <w:t xml:space="preserve">The Australian GST framework is summarised in </w:t>
      </w:r>
      <w:r w:rsidR="00E00A52">
        <w:t xml:space="preserve">Table </w:t>
      </w:r>
      <w:r w:rsidR="00E00A52">
        <w:rPr>
          <w:noProof/>
        </w:rPr>
        <w:t>1</w:t>
      </w:r>
      <w:r>
        <w:t xml:space="preserve">, based on information from the Australian Taxation Office (ATO, 2022). There are three possible outcomes: the sector is ‘subject to GST’ if the goods and services sold by the sector is taxed at the GST rate and the sector is credited for the GST paid on its inputs; the sector is ‘GST free’ if the goods and services sold by the sector are not subject to </w:t>
      </w:r>
      <w:r>
        <w:lastRenderedPageBreak/>
        <w:t xml:space="preserve">GST and the sector is credited for the GST paid on its inputs; and the sector is ‘input-taxed’ if the goods and services sold by the sector are not subject to GST and the sector is not credited for the GST paid on its inputs. </w:t>
      </w:r>
    </w:p>
    <w:p w14:paraId="70E29846" w14:textId="77777777" w:rsidR="006C3DEB" w:rsidRDefault="006C3DEB" w:rsidP="006C3DEB">
      <w:r>
        <w:t>We capture this variation through coverage factors that are specific to the type of good and service and its stage of production. For example, if a sector falls under the ‘subject to GST’ category all GST paid on intermediate inputs and investment goods will be refunded by the government:</w:t>
      </w:r>
    </w:p>
    <w:p w14:paraId="3FF8B482" w14:textId="77777777" w:rsidR="006C3DEB" w:rsidRDefault="006C3DEB" w:rsidP="006C3DEB">
      <w:pPr>
        <w:jc w:val="center"/>
      </w:pPr>
      <w:r w:rsidRPr="00E670A7">
        <w:rPr>
          <w:position w:val="-14"/>
        </w:rPr>
        <w:object w:dxaOrig="1620" w:dyaOrig="400" w14:anchorId="6E6B8961">
          <v:shape id="_x0000_i1360" type="#_x0000_t75" style="width:81.6pt;height:20.4pt" o:ole="">
            <v:imagedata r:id="rId685" o:title=""/>
          </v:shape>
          <o:OLEObject Type="Embed" ProgID="Equation.DSMT4" ShapeID="_x0000_i1360" DrawAspect="Content" ObjectID="_1754918911" r:id="rId686"/>
        </w:object>
      </w:r>
      <w:r>
        <w:t>,</w:t>
      </w:r>
    </w:p>
    <w:p w14:paraId="4331BB77" w14:textId="77777777" w:rsidR="006C3DEB" w:rsidRDefault="006C3DEB" w:rsidP="006C3DEB">
      <w:r>
        <w:t>while the full statutory rate will apply to goods sold to the consumer:</w:t>
      </w:r>
    </w:p>
    <w:p w14:paraId="65F18EB5" w14:textId="77777777" w:rsidR="006C3DEB" w:rsidRDefault="006C3DEB" w:rsidP="006C3DEB">
      <w:pPr>
        <w:jc w:val="center"/>
      </w:pPr>
      <w:r w:rsidRPr="00E670A7">
        <w:rPr>
          <w:position w:val="-14"/>
        </w:rPr>
        <w:object w:dxaOrig="740" w:dyaOrig="400" w14:anchorId="2E823C76">
          <v:shape id="_x0000_i1361" type="#_x0000_t75" style="width:36.6pt;height:20.4pt" o:ole="">
            <v:imagedata r:id="rId687" o:title=""/>
          </v:shape>
          <o:OLEObject Type="Embed" ProgID="Equation.DSMT4" ShapeID="_x0000_i1361" DrawAspect="Content" ObjectID="_1754918912" r:id="rId688"/>
        </w:object>
      </w:r>
      <w:r>
        <w:t>.</w:t>
      </w:r>
    </w:p>
    <w:p w14:paraId="7EFCA4B8" w14:textId="77777777" w:rsidR="006C3DEB" w:rsidRDefault="006C3DEB" w:rsidP="006C3DEB">
      <w:r>
        <w:t>However, the sectoral detail in the model is typically not at the level of individual goods and services where the coverage factors are zero or one, so we must use value-weighted shares of individual consumption, investment or intermediate goods to estimate the coverage factors that applies to the sectors in the model. These estimated coverage factors lie between zero and one.</w:t>
      </w:r>
    </w:p>
    <w:p w14:paraId="3D48276C" w14:textId="47763DA5" w:rsidR="006C3DEB" w:rsidRDefault="006C3DEB" w:rsidP="006C3DEB">
      <w:pPr>
        <w:pStyle w:val="TableMainHeading"/>
      </w:pPr>
      <w:bookmarkStart w:id="13" w:name="_Ref101946810"/>
      <w:r>
        <w:t xml:space="preserve">Table </w:t>
      </w:r>
      <w:r>
        <w:rPr>
          <w:noProof/>
        </w:rPr>
        <w:fldChar w:fldCharType="begin"/>
      </w:r>
      <w:r>
        <w:rPr>
          <w:noProof/>
        </w:rPr>
        <w:instrText xml:space="preserve"> SEQ Table \* ARABIC </w:instrText>
      </w:r>
      <w:r>
        <w:rPr>
          <w:noProof/>
        </w:rPr>
        <w:fldChar w:fldCharType="separate"/>
      </w:r>
      <w:r w:rsidR="00E00A52">
        <w:rPr>
          <w:noProof/>
        </w:rPr>
        <w:t>1</w:t>
      </w:r>
      <w:r>
        <w:rPr>
          <w:noProof/>
        </w:rPr>
        <w:fldChar w:fldCharType="end"/>
      </w:r>
      <w:bookmarkEnd w:id="13"/>
      <w:r>
        <w:t xml:space="preserve">: </w:t>
      </w:r>
      <w:r w:rsidRPr="001A7B98">
        <w:t>Taxation under different GST treatments</w:t>
      </w:r>
    </w:p>
    <w:tbl>
      <w:tblPr>
        <w:tblStyle w:val="LightShading-Accent1"/>
        <w:tblW w:w="5000" w:type="pct"/>
        <w:jc w:val="center"/>
        <w:tblBorders>
          <w:top w:val="none" w:sz="0" w:space="0" w:color="auto"/>
          <w:bottom w:val="none" w:sz="0" w:space="0" w:color="auto"/>
        </w:tblBorders>
        <w:tblLook w:val="04A0" w:firstRow="1" w:lastRow="0" w:firstColumn="1" w:lastColumn="0" w:noHBand="0" w:noVBand="1"/>
      </w:tblPr>
      <w:tblGrid>
        <w:gridCol w:w="3022"/>
        <w:gridCol w:w="3024"/>
        <w:gridCol w:w="3024"/>
      </w:tblGrid>
      <w:tr w:rsidR="006C3DEB" w14:paraId="58963857" w14:textId="77777777" w:rsidTr="00F071E2">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left w:val="none" w:sz="0" w:space="0" w:color="auto"/>
              <w:bottom w:val="single" w:sz="4" w:space="0" w:color="auto"/>
              <w:right w:val="none" w:sz="0" w:space="0" w:color="auto"/>
            </w:tcBorders>
            <w:shd w:val="clear" w:color="auto" w:fill="EEEEEE" w:themeFill="background2"/>
            <w:vAlign w:val="center"/>
          </w:tcPr>
          <w:p w14:paraId="141D2863" w14:textId="77777777" w:rsidR="006C3DEB" w:rsidRPr="00DC2367" w:rsidRDefault="006C3DEB" w:rsidP="005A7549">
            <w:pPr>
              <w:pStyle w:val="TableColumnHeadingLeft"/>
              <w:rPr>
                <w:b/>
                <w:bCs w:val="0"/>
              </w:rPr>
            </w:pPr>
            <w:r w:rsidRPr="00DC2367">
              <w:rPr>
                <w:b/>
                <w:bCs w:val="0"/>
              </w:rPr>
              <w:t>Treatment</w:t>
            </w:r>
          </w:p>
        </w:tc>
        <w:tc>
          <w:tcPr>
            <w:tcW w:w="2589" w:type="dxa"/>
            <w:tcBorders>
              <w:top w:val="single" w:sz="4" w:space="0" w:color="auto"/>
              <w:left w:val="none" w:sz="0" w:space="0" w:color="auto"/>
              <w:bottom w:val="single" w:sz="4" w:space="0" w:color="auto"/>
              <w:right w:val="none" w:sz="0" w:space="0" w:color="auto"/>
            </w:tcBorders>
            <w:shd w:val="clear" w:color="auto" w:fill="EEEEEE" w:themeFill="background2"/>
            <w:vAlign w:val="center"/>
          </w:tcPr>
          <w:p w14:paraId="3DA322C0" w14:textId="77777777" w:rsidR="006C3DEB" w:rsidRPr="00DC2367" w:rsidRDefault="006C3DEB" w:rsidP="005A7549">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DC2367">
              <w:rPr>
                <w:b/>
                <w:bCs w:val="0"/>
              </w:rPr>
              <w:t>Output subject to GST</w:t>
            </w:r>
          </w:p>
        </w:tc>
        <w:tc>
          <w:tcPr>
            <w:tcW w:w="2589" w:type="dxa"/>
            <w:tcBorders>
              <w:top w:val="single" w:sz="4" w:space="0" w:color="auto"/>
              <w:left w:val="none" w:sz="0" w:space="0" w:color="auto"/>
              <w:bottom w:val="single" w:sz="4" w:space="0" w:color="auto"/>
              <w:right w:val="none" w:sz="0" w:space="0" w:color="auto"/>
            </w:tcBorders>
            <w:shd w:val="clear" w:color="auto" w:fill="EEEEEE" w:themeFill="background2"/>
            <w:vAlign w:val="center"/>
          </w:tcPr>
          <w:p w14:paraId="3678EFD9" w14:textId="77777777" w:rsidR="006C3DEB" w:rsidRPr="00DC2367" w:rsidRDefault="006C3DEB" w:rsidP="005A7549">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DC2367">
              <w:rPr>
                <w:b/>
                <w:bCs w:val="0"/>
              </w:rPr>
              <w:t>Credits for GST on inputs</w:t>
            </w:r>
          </w:p>
        </w:tc>
      </w:tr>
      <w:tr w:rsidR="006C3DEB" w14:paraId="5A59EFF6" w14:textId="77777777" w:rsidTr="00F071E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left w:val="none" w:sz="0" w:space="0" w:color="auto"/>
              <w:right w:val="single" w:sz="4" w:space="0" w:color="auto"/>
            </w:tcBorders>
            <w:shd w:val="clear" w:color="auto" w:fill="EEEEEE" w:themeFill="background2"/>
            <w:vAlign w:val="center"/>
          </w:tcPr>
          <w:p w14:paraId="15FC39A6" w14:textId="77777777" w:rsidR="006C3DEB" w:rsidRPr="00DC2367" w:rsidRDefault="006C3DEB" w:rsidP="005A7549">
            <w:pPr>
              <w:pStyle w:val="TableColumnHeadingLeft"/>
              <w:rPr>
                <w:b/>
                <w:bCs w:val="0"/>
              </w:rPr>
            </w:pPr>
            <w:r w:rsidRPr="00DC2367">
              <w:rPr>
                <w:b/>
                <w:bCs w:val="0"/>
              </w:rPr>
              <w:t>Subject to GST</w:t>
            </w:r>
          </w:p>
        </w:tc>
        <w:tc>
          <w:tcPr>
            <w:tcW w:w="2589" w:type="dxa"/>
            <w:tcBorders>
              <w:top w:val="single" w:sz="4" w:space="0" w:color="auto"/>
              <w:left w:val="single" w:sz="4" w:space="0" w:color="auto"/>
              <w:right w:val="none" w:sz="0" w:space="0" w:color="auto"/>
            </w:tcBorders>
            <w:shd w:val="clear" w:color="auto" w:fill="FFFFFF" w:themeFill="background1"/>
            <w:vAlign w:val="center"/>
          </w:tcPr>
          <w:p w14:paraId="083C5932" w14:textId="77777777" w:rsidR="006C3DEB" w:rsidRPr="0088277E" w:rsidRDefault="006C3DEB" w:rsidP="005A7549">
            <w:pPr>
              <w:pStyle w:val="Tabletextleft0"/>
              <w:cnfStyle w:val="000000100000" w:firstRow="0" w:lastRow="0" w:firstColumn="0" w:lastColumn="0" w:oddVBand="0" w:evenVBand="0" w:oddHBand="1" w:evenHBand="0" w:firstRowFirstColumn="0" w:firstRowLastColumn="0" w:lastRowFirstColumn="0" w:lastRowLastColumn="0"/>
            </w:pPr>
            <w:r w:rsidRPr="0088277E">
              <w:t>Yes</w:t>
            </w:r>
          </w:p>
        </w:tc>
        <w:tc>
          <w:tcPr>
            <w:tcW w:w="2589" w:type="dxa"/>
            <w:tcBorders>
              <w:top w:val="single" w:sz="4" w:space="0" w:color="auto"/>
              <w:left w:val="none" w:sz="0" w:space="0" w:color="auto"/>
              <w:right w:val="none" w:sz="0" w:space="0" w:color="auto"/>
            </w:tcBorders>
            <w:shd w:val="clear" w:color="auto" w:fill="FFFFFF" w:themeFill="background1"/>
            <w:vAlign w:val="center"/>
          </w:tcPr>
          <w:p w14:paraId="0E367602" w14:textId="77777777" w:rsidR="006C3DEB" w:rsidRPr="0088277E" w:rsidRDefault="006C3DEB" w:rsidP="005A7549">
            <w:pPr>
              <w:pStyle w:val="Tabletextleft0"/>
              <w:cnfStyle w:val="000000100000" w:firstRow="0" w:lastRow="0" w:firstColumn="0" w:lastColumn="0" w:oddVBand="0" w:evenVBand="0" w:oddHBand="1" w:evenHBand="0" w:firstRowFirstColumn="0" w:firstRowLastColumn="0" w:lastRowFirstColumn="0" w:lastRowLastColumn="0"/>
            </w:pPr>
            <w:r w:rsidRPr="0088277E">
              <w:t>Yes</w:t>
            </w:r>
          </w:p>
        </w:tc>
      </w:tr>
      <w:tr w:rsidR="006C3DEB" w14:paraId="6F81059A" w14:textId="77777777" w:rsidTr="00F071E2">
        <w:trPr>
          <w:trHeight w:val="272"/>
          <w:jc w:val="center"/>
        </w:trPr>
        <w:tc>
          <w:tcPr>
            <w:cnfStyle w:val="001000000000" w:firstRow="0" w:lastRow="0" w:firstColumn="1" w:lastColumn="0" w:oddVBand="0" w:evenVBand="0" w:oddHBand="0" w:evenHBand="0" w:firstRowFirstColumn="0" w:firstRowLastColumn="0" w:lastRowFirstColumn="0" w:lastRowLastColumn="0"/>
            <w:tcW w:w="2588" w:type="dxa"/>
            <w:tcBorders>
              <w:right w:val="single" w:sz="4" w:space="0" w:color="auto"/>
            </w:tcBorders>
            <w:shd w:val="clear" w:color="auto" w:fill="EEEEEE" w:themeFill="background2"/>
            <w:vAlign w:val="center"/>
          </w:tcPr>
          <w:p w14:paraId="475783EA" w14:textId="77777777" w:rsidR="006C3DEB" w:rsidRPr="00DC2367" w:rsidRDefault="006C3DEB" w:rsidP="005A7549">
            <w:pPr>
              <w:pStyle w:val="TableColumnHeadingLeft"/>
              <w:rPr>
                <w:b/>
                <w:bCs w:val="0"/>
              </w:rPr>
            </w:pPr>
            <w:r w:rsidRPr="00DC2367">
              <w:rPr>
                <w:b/>
                <w:bCs w:val="0"/>
              </w:rPr>
              <w:t>GST-free</w:t>
            </w:r>
          </w:p>
        </w:tc>
        <w:tc>
          <w:tcPr>
            <w:tcW w:w="2589" w:type="dxa"/>
            <w:tcBorders>
              <w:left w:val="single" w:sz="4" w:space="0" w:color="auto"/>
            </w:tcBorders>
            <w:shd w:val="clear" w:color="auto" w:fill="FFFFFF" w:themeFill="background1"/>
            <w:vAlign w:val="center"/>
          </w:tcPr>
          <w:p w14:paraId="036C6FCB" w14:textId="77777777" w:rsidR="006C3DEB" w:rsidRPr="0088277E" w:rsidRDefault="006C3DEB" w:rsidP="005A7549">
            <w:pPr>
              <w:pStyle w:val="Tabletextleft0"/>
              <w:cnfStyle w:val="000000000000" w:firstRow="0" w:lastRow="0" w:firstColumn="0" w:lastColumn="0" w:oddVBand="0" w:evenVBand="0" w:oddHBand="0" w:evenHBand="0" w:firstRowFirstColumn="0" w:firstRowLastColumn="0" w:lastRowFirstColumn="0" w:lastRowLastColumn="0"/>
            </w:pPr>
            <w:r w:rsidRPr="0088277E">
              <w:t>No</w:t>
            </w:r>
          </w:p>
        </w:tc>
        <w:tc>
          <w:tcPr>
            <w:tcW w:w="2589" w:type="dxa"/>
            <w:shd w:val="clear" w:color="auto" w:fill="FFFFFF" w:themeFill="background1"/>
            <w:vAlign w:val="center"/>
          </w:tcPr>
          <w:p w14:paraId="720972AB" w14:textId="77777777" w:rsidR="006C3DEB" w:rsidRPr="0088277E" w:rsidRDefault="006C3DEB" w:rsidP="005A7549">
            <w:pPr>
              <w:pStyle w:val="Tabletextleft0"/>
              <w:cnfStyle w:val="000000000000" w:firstRow="0" w:lastRow="0" w:firstColumn="0" w:lastColumn="0" w:oddVBand="0" w:evenVBand="0" w:oddHBand="0" w:evenHBand="0" w:firstRowFirstColumn="0" w:firstRowLastColumn="0" w:lastRowFirstColumn="0" w:lastRowLastColumn="0"/>
            </w:pPr>
            <w:r w:rsidRPr="0088277E">
              <w:t>Yes</w:t>
            </w:r>
          </w:p>
        </w:tc>
      </w:tr>
      <w:tr w:rsidR="006C3DEB" w14:paraId="1C668B1B" w14:textId="77777777" w:rsidTr="00F071E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588" w:type="dxa"/>
            <w:tcBorders>
              <w:left w:val="none" w:sz="0" w:space="0" w:color="auto"/>
              <w:bottom w:val="single" w:sz="4" w:space="0" w:color="auto"/>
              <w:right w:val="single" w:sz="4" w:space="0" w:color="auto"/>
            </w:tcBorders>
            <w:shd w:val="clear" w:color="auto" w:fill="EEEEEE" w:themeFill="background2"/>
            <w:vAlign w:val="center"/>
          </w:tcPr>
          <w:p w14:paraId="43C0CBF9" w14:textId="77777777" w:rsidR="006C3DEB" w:rsidRPr="00DC2367" w:rsidRDefault="006C3DEB" w:rsidP="005A7549">
            <w:pPr>
              <w:pStyle w:val="TableColumnHeadingLeft"/>
              <w:rPr>
                <w:b/>
                <w:bCs w:val="0"/>
              </w:rPr>
            </w:pPr>
            <w:r w:rsidRPr="00DC2367">
              <w:rPr>
                <w:b/>
                <w:bCs w:val="0"/>
              </w:rPr>
              <w:t>Input-taxed</w:t>
            </w:r>
          </w:p>
        </w:tc>
        <w:tc>
          <w:tcPr>
            <w:tcW w:w="2589" w:type="dxa"/>
            <w:tcBorders>
              <w:left w:val="single" w:sz="4" w:space="0" w:color="auto"/>
              <w:bottom w:val="single" w:sz="4" w:space="0" w:color="auto"/>
              <w:right w:val="none" w:sz="0" w:space="0" w:color="auto"/>
            </w:tcBorders>
            <w:shd w:val="clear" w:color="auto" w:fill="FFFFFF" w:themeFill="background1"/>
            <w:vAlign w:val="center"/>
          </w:tcPr>
          <w:p w14:paraId="565DE001" w14:textId="77777777" w:rsidR="006C3DEB" w:rsidRPr="0088277E" w:rsidRDefault="006C3DEB" w:rsidP="005A7549">
            <w:pPr>
              <w:pStyle w:val="Tabletextleft0"/>
              <w:cnfStyle w:val="000000100000" w:firstRow="0" w:lastRow="0" w:firstColumn="0" w:lastColumn="0" w:oddVBand="0" w:evenVBand="0" w:oddHBand="1" w:evenHBand="0" w:firstRowFirstColumn="0" w:firstRowLastColumn="0" w:lastRowFirstColumn="0" w:lastRowLastColumn="0"/>
            </w:pPr>
            <w:r w:rsidRPr="0088277E">
              <w:t>No</w:t>
            </w:r>
          </w:p>
        </w:tc>
        <w:tc>
          <w:tcPr>
            <w:tcW w:w="2589" w:type="dxa"/>
            <w:tcBorders>
              <w:left w:val="none" w:sz="0" w:space="0" w:color="auto"/>
              <w:bottom w:val="single" w:sz="4" w:space="0" w:color="auto"/>
              <w:right w:val="none" w:sz="0" w:space="0" w:color="auto"/>
            </w:tcBorders>
            <w:shd w:val="clear" w:color="auto" w:fill="FFFFFF" w:themeFill="background1"/>
            <w:vAlign w:val="center"/>
          </w:tcPr>
          <w:p w14:paraId="6A676A51" w14:textId="77777777" w:rsidR="006C3DEB" w:rsidRPr="0088277E" w:rsidRDefault="006C3DEB" w:rsidP="005A7549">
            <w:pPr>
              <w:pStyle w:val="Tabletextleft0"/>
              <w:cnfStyle w:val="000000100000" w:firstRow="0" w:lastRow="0" w:firstColumn="0" w:lastColumn="0" w:oddVBand="0" w:evenVBand="0" w:oddHBand="1" w:evenHBand="0" w:firstRowFirstColumn="0" w:firstRowLastColumn="0" w:lastRowFirstColumn="0" w:lastRowLastColumn="0"/>
            </w:pPr>
            <w:r w:rsidRPr="0088277E">
              <w:t>No</w:t>
            </w:r>
          </w:p>
        </w:tc>
      </w:tr>
    </w:tbl>
    <w:p w14:paraId="24F350F2" w14:textId="77777777" w:rsidR="006C3DEB" w:rsidRPr="000C5322" w:rsidRDefault="006C3DEB" w:rsidP="006C3DEB">
      <w:pPr>
        <w:pStyle w:val="TableTextLeft"/>
      </w:pPr>
      <w:r w:rsidRPr="00CE033E">
        <w:t>Source: ATO (20</w:t>
      </w:r>
      <w:r>
        <w:t>22</w:t>
      </w:r>
      <w:r w:rsidRPr="00CE033E">
        <w:t>).</w:t>
      </w:r>
      <w:r>
        <w:t xml:space="preserve"> </w:t>
      </w:r>
    </w:p>
    <w:p w14:paraId="257507FE" w14:textId="77777777" w:rsidR="006C3DEB" w:rsidRDefault="006C3DEB" w:rsidP="006C3DEB">
      <w:r>
        <w:t>Given the statutory GST rate and the coverage factors, the total GST collected from the distribution sector is:</w:t>
      </w:r>
    </w:p>
    <w:p w14:paraId="15C057F8" w14:textId="77777777" w:rsidR="006C3DEB" w:rsidRPr="000C5B37" w:rsidRDefault="006C3DEB" w:rsidP="006C3DEB">
      <w:r w:rsidRPr="00E670A7">
        <w:rPr>
          <w:position w:val="-72"/>
        </w:rPr>
        <w:object w:dxaOrig="9600" w:dyaOrig="1560" w14:anchorId="555635D6">
          <v:shape id="_x0000_i1362" type="#_x0000_t75" style="width:481.2pt;height:79.2pt" o:ole="">
            <v:imagedata r:id="rId689" o:title=""/>
          </v:shape>
          <o:OLEObject Type="Embed" ProgID="Equation.DSMT4" ShapeID="_x0000_i1362" DrawAspect="Content" ObjectID="_1754918913" r:id="rId690"/>
        </w:object>
      </w:r>
    </w:p>
    <w:p w14:paraId="0EFB7D85" w14:textId="77777777" w:rsidR="006C3DEB" w:rsidRDefault="006C3DEB" w:rsidP="006C3DEB">
      <w:pPr>
        <w:pStyle w:val="Heading4"/>
      </w:pPr>
      <w:r>
        <w:t>Other indirect taxes</w:t>
      </w:r>
    </w:p>
    <w:p w14:paraId="610B022C" w14:textId="77777777" w:rsidR="006C3DEB" w:rsidRDefault="006C3DEB" w:rsidP="006C3DEB">
      <w:r>
        <w:t>Given the effective ad-valorem tax rates for other indirect taxes, the revenue collected by the government is:</w:t>
      </w:r>
    </w:p>
    <w:p w14:paraId="7E5F4E49" w14:textId="77777777" w:rsidR="006C3DEB" w:rsidRDefault="006C3DEB" w:rsidP="006C3DEB">
      <w:pPr>
        <w:jc w:val="center"/>
      </w:pPr>
      <w:r w:rsidRPr="00E670A7">
        <w:rPr>
          <w:position w:val="-72"/>
        </w:rPr>
        <w:object w:dxaOrig="6280" w:dyaOrig="1560" w14:anchorId="675C2AB5">
          <v:shape id="_x0000_i1363" type="#_x0000_t75" style="width:315pt;height:79.2pt" o:ole="">
            <v:imagedata r:id="rId691" o:title=""/>
          </v:shape>
          <o:OLEObject Type="Embed" ProgID="Equation.DSMT4" ShapeID="_x0000_i1363" DrawAspect="Content" ObjectID="_1754918914" r:id="rId692"/>
        </w:object>
      </w:r>
    </w:p>
    <w:p w14:paraId="294B53D6" w14:textId="77777777" w:rsidR="006C3DEB" w:rsidRPr="001478AC" w:rsidRDefault="006C3DEB" w:rsidP="006C3DEB">
      <w:pPr>
        <w:pStyle w:val="Heading3"/>
      </w:pPr>
      <w:r w:rsidRPr="001478AC">
        <w:lastRenderedPageBreak/>
        <w:t>Government</w:t>
      </w:r>
    </w:p>
    <w:p w14:paraId="49DC0265" w14:textId="77777777" w:rsidR="006C3DEB" w:rsidRDefault="006C3DEB" w:rsidP="006C3DEB">
      <w:pPr>
        <w:rPr>
          <w:lang w:val="en-US"/>
        </w:rPr>
      </w:pPr>
      <w:r w:rsidRPr="001478AC">
        <w:rPr>
          <w:lang w:val="en-US"/>
        </w:rPr>
        <w:t xml:space="preserve">The government is defined as the ‘general government sector’. For Version 1.0 of OLGA, detailed modelling of the government sector has been confined to Commonwealth government taxes and transfers, with rules of thumb for state and local taxes and government spending. </w:t>
      </w:r>
      <w:r w:rsidRPr="008573BB">
        <w:rPr>
          <w:lang w:val="en-US"/>
        </w:rPr>
        <w:t xml:space="preserve">Detailed modelling of state and local taxes including land tax and municipal rates </w:t>
      </w:r>
      <w:r>
        <w:rPr>
          <w:lang w:val="en-US"/>
        </w:rPr>
        <w:t>will</w:t>
      </w:r>
      <w:r w:rsidRPr="008573BB">
        <w:rPr>
          <w:lang w:val="en-US"/>
        </w:rPr>
        <w:t xml:space="preserve"> be incorporated </w:t>
      </w:r>
      <w:r>
        <w:rPr>
          <w:lang w:val="en-US"/>
        </w:rPr>
        <w:t>in</w:t>
      </w:r>
      <w:r w:rsidRPr="008573BB">
        <w:rPr>
          <w:lang w:val="en-US"/>
        </w:rPr>
        <w:t xml:space="preserve"> future </w:t>
      </w:r>
      <w:r>
        <w:rPr>
          <w:lang w:val="en-US"/>
        </w:rPr>
        <w:t xml:space="preserve">model </w:t>
      </w:r>
      <w:r w:rsidRPr="008573BB">
        <w:rPr>
          <w:lang w:val="en-US"/>
        </w:rPr>
        <w:t>development. Similarly, detailed modelling of general government spending will be considered in a development module dedicated to government spending.</w:t>
      </w:r>
      <w:r w:rsidRPr="001478AC">
        <w:rPr>
          <w:lang w:val="en-US"/>
        </w:rPr>
        <w:t xml:space="preserve">  </w:t>
      </w:r>
    </w:p>
    <w:p w14:paraId="1854CBBD" w14:textId="77777777" w:rsidR="006C3DEB" w:rsidRPr="00A34220" w:rsidRDefault="006C3DEB" w:rsidP="006C3DEB">
      <w:pPr>
        <w:pStyle w:val="Heading4"/>
      </w:pPr>
      <w:r>
        <w:t>Revenue</w:t>
      </w:r>
    </w:p>
    <w:p w14:paraId="0818CC7C" w14:textId="77777777" w:rsidR="006C3DEB" w:rsidRDefault="006C3DEB" w:rsidP="006C3DEB">
      <w:r>
        <w:t>T</w:t>
      </w:r>
      <w:r w:rsidRPr="00A34220">
        <w:t xml:space="preserve">he government </w:t>
      </w:r>
      <w:r>
        <w:t>raises revenue through various forms of taxation, with the total tax collected denoted</w:t>
      </w:r>
      <w:r w:rsidRPr="00E670A7">
        <w:rPr>
          <w:position w:val="-12"/>
        </w:rPr>
        <w:object w:dxaOrig="400" w:dyaOrig="360" w14:anchorId="55DF4508">
          <v:shape id="_x0000_i1364" type="#_x0000_t75" style="width:20.4pt;height:18pt" o:ole="">
            <v:imagedata r:id="rId693" o:title=""/>
          </v:shape>
          <o:OLEObject Type="Embed" ProgID="Equation.DSMT4" ShapeID="_x0000_i1364" DrawAspect="Content" ObjectID="_1754918915" r:id="rId694"/>
        </w:object>
      </w:r>
      <w:r>
        <w:t>. These taxes include</w:t>
      </w:r>
      <w:r w:rsidRPr="00A34220">
        <w:t xml:space="preserve"> </w:t>
      </w:r>
      <w:r>
        <w:t>personal income tax</w:t>
      </w:r>
      <w:r w:rsidRPr="00E670A7">
        <w:rPr>
          <w:position w:val="-12"/>
        </w:rPr>
        <w:object w:dxaOrig="420" w:dyaOrig="360" w14:anchorId="71683798">
          <v:shape id="_x0000_i1365" type="#_x0000_t75" style="width:19.8pt;height:18pt" o:ole="">
            <v:imagedata r:id="rId695" o:title=""/>
          </v:shape>
          <o:OLEObject Type="Embed" ProgID="Equation.DSMT4" ShapeID="_x0000_i1365" DrawAspect="Content" ObjectID="_1754918916" r:id="rId696"/>
        </w:object>
      </w:r>
      <w:r w:rsidRPr="00A34220">
        <w:t xml:space="preserve">, </w:t>
      </w:r>
      <w:r>
        <w:t xml:space="preserve">corporate income tax </w:t>
      </w:r>
      <w:r w:rsidRPr="00E670A7">
        <w:rPr>
          <w:position w:val="-12"/>
        </w:rPr>
        <w:object w:dxaOrig="360" w:dyaOrig="360" w14:anchorId="4629AD71">
          <v:shape id="_x0000_i1366" type="#_x0000_t75" style="width:18pt;height:18pt" o:ole="">
            <v:imagedata r:id="rId697" o:title=""/>
          </v:shape>
          <o:OLEObject Type="Embed" ProgID="Equation.DSMT4" ShapeID="_x0000_i1366" DrawAspect="Content" ObjectID="_1754918917" r:id="rId698"/>
        </w:object>
      </w:r>
      <w:r w:rsidRPr="00A34220">
        <w:t xml:space="preserve">, </w:t>
      </w:r>
      <w:r>
        <w:t xml:space="preserve">payroll tax </w:t>
      </w:r>
      <w:r w:rsidRPr="00E670A7">
        <w:rPr>
          <w:position w:val="-12"/>
        </w:rPr>
        <w:object w:dxaOrig="440" w:dyaOrig="360" w14:anchorId="47EF9F31">
          <v:shape id="_x0000_i1367" type="#_x0000_t75" style="width:21.6pt;height:18pt" o:ole="">
            <v:imagedata r:id="rId699" o:title=""/>
          </v:shape>
          <o:OLEObject Type="Embed" ProgID="Equation.DSMT4" ShapeID="_x0000_i1367" DrawAspect="Content" ObjectID="_1754918918" r:id="rId700"/>
        </w:object>
      </w:r>
      <w:r>
        <w:t>, goods and services tax</w:t>
      </w:r>
      <w:r w:rsidRPr="00E670A7">
        <w:rPr>
          <w:position w:val="-12"/>
        </w:rPr>
        <w:object w:dxaOrig="420" w:dyaOrig="360" w14:anchorId="4EBAFE28">
          <v:shape id="_x0000_i1368" type="#_x0000_t75" style="width:19.8pt;height:18pt" o:ole="">
            <v:imagedata r:id="rId701" o:title=""/>
          </v:shape>
          <o:OLEObject Type="Embed" ProgID="Equation.DSMT4" ShapeID="_x0000_i1368" DrawAspect="Content" ObjectID="_1754918919" r:id="rId702"/>
        </w:object>
      </w:r>
      <w:r>
        <w:t xml:space="preserve">, other ad valorem taxes </w:t>
      </w:r>
      <w:r w:rsidRPr="00E670A7">
        <w:rPr>
          <w:position w:val="-12"/>
        </w:rPr>
        <w:object w:dxaOrig="380" w:dyaOrig="360" w14:anchorId="76B518D3">
          <v:shape id="_x0000_i1369" type="#_x0000_t75" style="width:18pt;height:18pt" o:ole="">
            <v:imagedata r:id="rId703" o:title=""/>
          </v:shape>
          <o:OLEObject Type="Embed" ProgID="Equation.DSMT4" ShapeID="_x0000_i1369" DrawAspect="Content" ObjectID="_1754918920" r:id="rId704"/>
        </w:object>
      </w:r>
      <w:r>
        <w:t>,</w:t>
      </w:r>
      <w:r w:rsidRPr="00A34220">
        <w:t xml:space="preserve"> and withholding taxes</w:t>
      </w:r>
      <w:r>
        <w:t xml:space="preserve"> </w:t>
      </w:r>
      <w:r w:rsidRPr="00E670A7">
        <w:rPr>
          <w:position w:val="-12"/>
        </w:rPr>
        <w:object w:dxaOrig="360" w:dyaOrig="360" w14:anchorId="1C863DC2">
          <v:shape id="_x0000_i1370" type="#_x0000_t75" style="width:18pt;height:18pt" o:ole="">
            <v:imagedata r:id="rId705" o:title=""/>
          </v:shape>
          <o:OLEObject Type="Embed" ProgID="Equation.DSMT4" ShapeID="_x0000_i1370" DrawAspect="Content" ObjectID="_1754918921" r:id="rId706"/>
        </w:object>
      </w:r>
      <w:r>
        <w:t xml:space="preserve">which are the sum of withholding tax </w:t>
      </w:r>
      <w:r w:rsidRPr="00A34220">
        <w:t xml:space="preserve">on </w:t>
      </w:r>
      <w:r>
        <w:t>income earned by non-residents from investment in Australian government bonds and corporate bonds</w:t>
      </w:r>
      <w:r w:rsidRPr="00A34220">
        <w:t>:</w:t>
      </w:r>
    </w:p>
    <w:p w14:paraId="3A6954B7" w14:textId="5B755C67" w:rsidR="006C3DEB" w:rsidRDefault="006C3DEB" w:rsidP="006C3DEB">
      <w:pPr>
        <w:pStyle w:val="MTDisplayEquation"/>
      </w:pPr>
      <w:r>
        <w:tab/>
      </w:r>
      <w:r w:rsidRPr="00E670A7">
        <w:rPr>
          <w:position w:val="-12"/>
        </w:rPr>
        <w:object w:dxaOrig="3840" w:dyaOrig="360" w14:anchorId="64FBEC8D">
          <v:shape id="_x0000_i1371" type="#_x0000_t75" style="width:192.6pt;height:18pt" o:ole="">
            <v:imagedata r:id="rId707" o:title=""/>
          </v:shape>
          <o:OLEObject Type="Embed" ProgID="Equation.DSMT4" ShapeID="_x0000_i1371" DrawAspect="Content" ObjectID="_1754918922" r:id="rId708"/>
        </w:objec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28</w:instrText>
      </w:r>
      <w:r>
        <w:rPr>
          <w:noProof/>
        </w:rPr>
        <w:fldChar w:fldCharType="end"/>
      </w:r>
      <w:r>
        <w:instrText>)</w:instrText>
      </w:r>
      <w:r>
        <w:fldChar w:fldCharType="end"/>
      </w:r>
    </w:p>
    <w:p w14:paraId="75E3B5A3" w14:textId="77777777" w:rsidR="006C3DEB" w:rsidRPr="00345191" w:rsidRDefault="006C3DEB" w:rsidP="006C3DEB">
      <w:pPr>
        <w:jc w:val="center"/>
      </w:pPr>
      <w:r w:rsidRPr="00E670A7">
        <w:rPr>
          <w:position w:val="-90"/>
        </w:rPr>
        <w:object w:dxaOrig="2079" w:dyaOrig="1719" w14:anchorId="2FAEDC74">
          <v:shape id="_x0000_i1372" type="#_x0000_t75" style="width:104.4pt;height:87pt" o:ole="">
            <v:imagedata r:id="rId709" o:title=""/>
          </v:shape>
          <o:OLEObject Type="Embed" ProgID="Equation.DSMT4" ShapeID="_x0000_i1372" DrawAspect="Content" ObjectID="_1754918923" r:id="rId710"/>
        </w:object>
      </w:r>
    </w:p>
    <w:p w14:paraId="3B50C796" w14:textId="77777777" w:rsidR="006C3DEB" w:rsidRDefault="006C3DEB" w:rsidP="006C3DEB">
      <w:pPr>
        <w:pStyle w:val="Heading4"/>
      </w:pPr>
      <w:r>
        <w:t>Payments</w:t>
      </w:r>
    </w:p>
    <w:p w14:paraId="250586FB" w14:textId="77777777" w:rsidR="006C3DEB" w:rsidRPr="00DC2367" w:rsidRDefault="006C3DEB" w:rsidP="006C3DEB">
      <w:pPr>
        <w:pStyle w:val="Heading5"/>
        <w:rPr>
          <w:rStyle w:val="IntenseEmphasis"/>
          <w:b/>
          <w:bCs w:val="0"/>
          <w:i w:val="0"/>
          <w:iCs/>
          <w:color w:val="000000" w:themeColor="text1"/>
        </w:rPr>
      </w:pPr>
      <w:r w:rsidRPr="00DC2367">
        <w:rPr>
          <w:rStyle w:val="IntenseEmphasis"/>
          <w:b/>
          <w:bCs w:val="0"/>
          <w:i w:val="0"/>
          <w:iCs/>
          <w:color w:val="000000" w:themeColor="text1"/>
        </w:rPr>
        <w:t>Spending</w:t>
      </w:r>
    </w:p>
    <w:p w14:paraId="60181B94" w14:textId="50F3A945" w:rsidR="006C3DEB" w:rsidRDefault="006C3DEB" w:rsidP="006C3DEB">
      <w:r>
        <w:t>As noted above, t</w:t>
      </w:r>
      <w:r w:rsidRPr="001A03D8">
        <w:t xml:space="preserve">he government is assumed to </w:t>
      </w:r>
      <w:r>
        <w:t>undertake spending on a fixed bundle of goods and services supplied by the distribution sector. This bundle gives the aggregate real government expenditure</w:t>
      </w:r>
      <w:r w:rsidR="00BC532F">
        <w:t xml:space="preserve"> </w:t>
      </w:r>
      <w:r w:rsidRPr="00E670A7">
        <w:rPr>
          <w:position w:val="-12"/>
        </w:rPr>
        <w:object w:dxaOrig="260" w:dyaOrig="360" w14:anchorId="624C11F3">
          <v:shape id="_x0000_i1373" type="#_x0000_t75" style="width:14.4pt;height:18pt" o:ole="">
            <v:imagedata r:id="rId711" o:title=""/>
          </v:shape>
          <o:OLEObject Type="Embed" ProgID="Equation.DSMT4" ShapeID="_x0000_i1373" DrawAspect="Content" ObjectID="_1754918924" r:id="rId712"/>
        </w:object>
      </w:r>
      <w:r w:rsidR="00BC532F">
        <w:t xml:space="preserve"> </w:t>
      </w:r>
      <w:r>
        <w:t>at price</w:t>
      </w:r>
      <w:r w:rsidR="00661D1B">
        <w:t xml:space="preserve"> </w:t>
      </w:r>
      <w:r w:rsidRPr="00E670A7">
        <w:rPr>
          <w:position w:val="-12"/>
        </w:rPr>
        <w:object w:dxaOrig="320" w:dyaOrig="380" w14:anchorId="1B597FE1">
          <v:shape id="_x0000_i1374" type="#_x0000_t75" style="width:15.6pt;height:18pt" o:ole="">
            <v:imagedata r:id="rId713" o:title=""/>
          </v:shape>
          <o:OLEObject Type="Embed" ProgID="Equation.DSMT4" ShapeID="_x0000_i1374" DrawAspect="Content" ObjectID="_1754918925" r:id="rId714"/>
        </w:object>
      </w:r>
      <w:r w:rsidR="00BC532F">
        <w:t xml:space="preserve"> </w:t>
      </w:r>
      <w:r>
        <w:t>as per equations (26) and (27).</w:t>
      </w:r>
    </w:p>
    <w:p w14:paraId="17E6F926" w14:textId="77777777" w:rsidR="006C3DEB" w:rsidRPr="001478AC" w:rsidRDefault="006C3DEB" w:rsidP="006C3DEB">
      <w:r w:rsidRPr="001478AC">
        <w:t>Following the broader literature, government spending does not enter the household utility function. Both the level of government spending and the utility it provides will be the subject of the government spending development module.</w:t>
      </w:r>
    </w:p>
    <w:p w14:paraId="12F0EE5D" w14:textId="77777777" w:rsidR="006C3DEB" w:rsidRPr="00E464F5" w:rsidRDefault="006C3DEB" w:rsidP="006C3DEB">
      <w:pPr>
        <w:pStyle w:val="Heading5"/>
        <w:rPr>
          <w:rStyle w:val="IntenseEmphasis"/>
        </w:rPr>
      </w:pPr>
      <w:r w:rsidRPr="00B34AB0">
        <w:rPr>
          <w:rStyle w:val="IntenseEmphasis"/>
          <w:b/>
          <w:bCs w:val="0"/>
          <w:i w:val="0"/>
          <w:iCs/>
          <w:color w:val="000000" w:themeColor="text1"/>
        </w:rPr>
        <w:t>Transfers</w:t>
      </w:r>
    </w:p>
    <w:p w14:paraId="3FF52B2B" w14:textId="77777777" w:rsidR="006C3DEB" w:rsidRPr="00A34220" w:rsidRDefault="006C3DEB" w:rsidP="006C3DEB">
      <w:r>
        <w:t>H</w:t>
      </w:r>
      <w:r w:rsidRPr="001A03D8">
        <w:t xml:space="preserve">ouseholds can access the age pension </w:t>
      </w:r>
      <w:r>
        <w:t xml:space="preserve">(subject to means-testing) </w:t>
      </w:r>
      <w:r w:rsidRPr="001A03D8">
        <w:t>and other social transfers</w:t>
      </w:r>
      <w:r>
        <w:t xml:space="preserve"> (see age pension and social transfer functions above)</w:t>
      </w:r>
      <w:r w:rsidRPr="001A03D8">
        <w:t xml:space="preserve">. The total cost of </w:t>
      </w:r>
      <w:r>
        <w:t xml:space="preserve">the </w:t>
      </w:r>
      <w:r w:rsidRPr="001A03D8">
        <w:t>age pension is</w:t>
      </w:r>
      <w:r w:rsidRPr="00E670A7">
        <w:rPr>
          <w:position w:val="-12"/>
        </w:rPr>
        <w:object w:dxaOrig="499" w:dyaOrig="360" w14:anchorId="538BA418">
          <v:shape id="_x0000_i1375" type="#_x0000_t75" style="width:25.2pt;height:18pt" o:ole="">
            <v:imagedata r:id="rId715" o:title=""/>
          </v:shape>
          <o:OLEObject Type="Embed" ProgID="Equation.DSMT4" ShapeID="_x0000_i1375" DrawAspect="Content" ObjectID="_1754918926" r:id="rId716"/>
        </w:object>
      </w:r>
      <w:r w:rsidRPr="001A03D8">
        <w:t>, while the t</w:t>
      </w:r>
      <w:r>
        <w:t xml:space="preserve">otal cost of other transfers is </w:t>
      </w:r>
      <w:r w:rsidRPr="00E670A7">
        <w:rPr>
          <w:position w:val="-12"/>
        </w:rPr>
        <w:object w:dxaOrig="260" w:dyaOrig="360" w14:anchorId="2F22FFE4">
          <v:shape id="_x0000_i1376" type="#_x0000_t75" style="width:14.4pt;height:18pt" o:ole="">
            <v:imagedata r:id="rId717" o:title=""/>
          </v:shape>
          <o:OLEObject Type="Embed" ProgID="Equation.DSMT4" ShapeID="_x0000_i1376" DrawAspect="Content" ObjectID="_1754918927" r:id="rId718"/>
        </w:object>
      </w:r>
      <w:r w:rsidRPr="001A03D8">
        <w:t>:</w:t>
      </w:r>
    </w:p>
    <w:p w14:paraId="3B85F21A" w14:textId="77777777" w:rsidR="006C3DEB" w:rsidRPr="00A34220" w:rsidRDefault="006C3DEB" w:rsidP="006C3DEB">
      <w:pPr>
        <w:jc w:val="center"/>
      </w:pPr>
      <w:r w:rsidRPr="00E670A7">
        <w:rPr>
          <w:position w:val="-28"/>
        </w:rPr>
        <w:object w:dxaOrig="2240" w:dyaOrig="540" w14:anchorId="6CBF9921">
          <v:shape id="_x0000_i1377" type="#_x0000_t75" style="width:113.4pt;height:27pt" o:ole="">
            <v:imagedata r:id="rId719" o:title=""/>
          </v:shape>
          <o:OLEObject Type="Embed" ProgID="Equation.DSMT4" ShapeID="_x0000_i1377" DrawAspect="Content" ObjectID="_1754918928" r:id="rId720"/>
        </w:object>
      </w:r>
      <w:r w:rsidRPr="00A34220">
        <w:t xml:space="preserve"> </w:t>
      </w:r>
    </w:p>
    <w:p w14:paraId="1CA5B55A" w14:textId="77777777" w:rsidR="006C3DEB" w:rsidRDefault="006C3DEB" w:rsidP="006C3DEB">
      <w:pPr>
        <w:jc w:val="center"/>
      </w:pPr>
      <w:r w:rsidRPr="00E670A7">
        <w:rPr>
          <w:position w:val="-28"/>
        </w:rPr>
        <w:object w:dxaOrig="1780" w:dyaOrig="540" w14:anchorId="0D6275E3">
          <v:shape id="_x0000_i1378" type="#_x0000_t75" style="width:89.4pt;height:27pt" o:ole="">
            <v:imagedata r:id="rId721" o:title=""/>
          </v:shape>
          <o:OLEObject Type="Embed" ProgID="Equation.DSMT4" ShapeID="_x0000_i1378" DrawAspect="Content" ObjectID="_1754918929" r:id="rId722"/>
        </w:object>
      </w:r>
    </w:p>
    <w:p w14:paraId="1C2AF25F" w14:textId="77777777" w:rsidR="006C3DEB" w:rsidRDefault="006C3DEB" w:rsidP="006C3DEB">
      <w:pPr>
        <w:pStyle w:val="Heading4"/>
      </w:pPr>
      <w:r>
        <w:t>Government budget constraint</w:t>
      </w:r>
    </w:p>
    <w:p w14:paraId="36A0F497" w14:textId="77777777" w:rsidR="006C3DEB" w:rsidRPr="00514689" w:rsidRDefault="006C3DEB" w:rsidP="006C3DEB">
      <w:r>
        <w:t>The</w:t>
      </w:r>
      <w:r w:rsidRPr="00514689">
        <w:t xml:space="preserve"> government’s </w:t>
      </w:r>
      <w:r>
        <w:t xml:space="preserve">flow </w:t>
      </w:r>
      <w:r w:rsidRPr="00514689">
        <w:t>budget constraint is:</w:t>
      </w:r>
    </w:p>
    <w:p w14:paraId="57D402AC" w14:textId="10A36E9C" w:rsidR="006C3DEB" w:rsidRDefault="006C3DEB" w:rsidP="006C3DEB">
      <w:pPr>
        <w:pStyle w:val="MTDisplayEquation"/>
      </w:pPr>
      <w:r w:rsidRPr="00514689">
        <w:tab/>
      </w:r>
      <w:r w:rsidRPr="00E670A7">
        <w:rPr>
          <w:position w:val="-12"/>
        </w:rPr>
        <w:object w:dxaOrig="4560" w:dyaOrig="380" w14:anchorId="1551325A">
          <v:shape id="_x0000_i1379" type="#_x0000_t75" style="width:228.6pt;height:18pt" o:ole="">
            <v:imagedata r:id="rId723" o:title=""/>
          </v:shape>
          <o:OLEObject Type="Embed" ProgID="Equation.DSMT4" ShapeID="_x0000_i1379" DrawAspect="Content" ObjectID="_1754918930" r:id="rId724"/>
        </w:objec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bookmarkStart w:id="14" w:name="ZEqnNum237847"/>
      <w:r>
        <w:instrText>(</w:instrText>
      </w:r>
      <w:r>
        <w:rPr>
          <w:noProof/>
        </w:rPr>
        <w:fldChar w:fldCharType="begin"/>
      </w:r>
      <w:r>
        <w:rPr>
          <w:noProof/>
        </w:rPr>
        <w:instrText xml:space="preserve"> SEQ MTEqn \c \* Arabic \* MERGEFORMAT </w:instrText>
      </w:r>
      <w:r>
        <w:rPr>
          <w:noProof/>
        </w:rPr>
        <w:fldChar w:fldCharType="separate"/>
      </w:r>
      <w:r w:rsidR="00E00A52">
        <w:rPr>
          <w:noProof/>
        </w:rPr>
        <w:instrText>29</w:instrText>
      </w:r>
      <w:r>
        <w:rPr>
          <w:noProof/>
        </w:rPr>
        <w:fldChar w:fldCharType="end"/>
      </w:r>
      <w:r>
        <w:instrText>)</w:instrText>
      </w:r>
      <w:bookmarkEnd w:id="14"/>
      <w:r>
        <w:fldChar w:fldCharType="end"/>
      </w:r>
    </w:p>
    <w:p w14:paraId="7B7754B3" w14:textId="25578601" w:rsidR="006C3DEB" w:rsidRDefault="00661D1B" w:rsidP="006C3DEB">
      <w:r>
        <w:t>W</w:t>
      </w:r>
      <w:r w:rsidR="006C3DEB">
        <w:t>here</w:t>
      </w:r>
      <w:r>
        <w:t xml:space="preserve"> </w:t>
      </w:r>
      <w:r w:rsidR="006C3DEB" w:rsidRPr="00E670A7">
        <w:rPr>
          <w:position w:val="-12"/>
        </w:rPr>
        <w:object w:dxaOrig="279" w:dyaOrig="380" w14:anchorId="6705529A">
          <v:shape id="_x0000_i1380" type="#_x0000_t75" style="width:15pt;height:18pt" o:ole="">
            <v:imagedata r:id="rId725" o:title=""/>
          </v:shape>
          <o:OLEObject Type="Embed" ProgID="Equation.DSMT4" ShapeID="_x0000_i1380" DrawAspect="Content" ObjectID="_1754918931" r:id="rId726"/>
        </w:object>
      </w:r>
      <w:r w:rsidR="006C3DEB">
        <w:t xml:space="preserve">is the level of government net debt at the beginning of period </w:t>
      </w:r>
      <w:r w:rsidR="006C3DEB" w:rsidRPr="00E670A7">
        <w:rPr>
          <w:position w:val="-6"/>
        </w:rPr>
        <w:object w:dxaOrig="139" w:dyaOrig="240" w14:anchorId="523EC8B8">
          <v:shape id="_x0000_i1381" type="#_x0000_t75" style="width:6.6pt;height:14.4pt" o:ole="">
            <v:imagedata r:id="rId727" o:title=""/>
          </v:shape>
          <o:OLEObject Type="Embed" ProgID="Equation.DSMT4" ShapeID="_x0000_i1381" DrawAspect="Content" ObjectID="_1754918932" r:id="rId728"/>
        </w:object>
      </w:r>
      <w:r w:rsidR="006C3DEB">
        <w:t>.</w:t>
      </w:r>
    </w:p>
    <w:p w14:paraId="2BF95D86" w14:textId="77777777" w:rsidR="006C3DEB" w:rsidRPr="00514689" w:rsidRDefault="006C3DEB" w:rsidP="006C3DEB">
      <w:r w:rsidRPr="000E56C2">
        <w:t>In a model where households have perfect foresight, the government cannot incur unbounded liabilities or accumulate unbounded assets in the long run. To</w:t>
      </w:r>
      <w:r>
        <w:t xml:space="preserve"> rule out</w:t>
      </w:r>
      <w:r w:rsidRPr="000E56C2">
        <w:t xml:space="preserve"> this possibility we assume that the government credib</w:t>
      </w:r>
      <w:r>
        <w:t>ly</w:t>
      </w:r>
      <w:r w:rsidRPr="000E56C2">
        <w:t xml:space="preserve"> commits to a fiscal rule that ensures its debt to GDP ratio is stabilised at a given target within a finite period. In other words, the government must adopt a funding offset that yields a path of primary budget balances sufficient </w:t>
      </w:r>
      <w:r>
        <w:t xml:space="preserve">to </w:t>
      </w:r>
      <w:r w:rsidRPr="000E56C2">
        <w:t xml:space="preserve">achieve and stabilise debt at its target level by the specified date. This means that permanent increases in spending or </w:t>
      </w:r>
      <w:r>
        <w:t>reductions</w:t>
      </w:r>
      <w:r w:rsidRPr="000E56C2">
        <w:t xml:space="preserve"> </w:t>
      </w:r>
      <w:r>
        <w:t>in</w:t>
      </w:r>
      <w:r w:rsidRPr="000E56C2">
        <w:t xml:space="preserve"> tax revenue must be matched by permanent increases in other taxes or </w:t>
      </w:r>
      <w:r>
        <w:t>reductions in</w:t>
      </w:r>
      <w:r w:rsidRPr="000E56C2">
        <w:t xml:space="preserve"> spending. Similarly, temporary </w:t>
      </w:r>
      <w:r>
        <w:t xml:space="preserve">increases to </w:t>
      </w:r>
      <w:r w:rsidRPr="000E56C2">
        <w:t xml:space="preserve">spending or </w:t>
      </w:r>
      <w:r>
        <w:t>reductions</w:t>
      </w:r>
      <w:r w:rsidRPr="000E56C2">
        <w:t xml:space="preserve"> </w:t>
      </w:r>
      <w:r>
        <w:t>in</w:t>
      </w:r>
      <w:r w:rsidRPr="000E56C2">
        <w:t xml:space="preserve"> tax revenue must be either financed by a temporary offset sufficient to stabilise debt at its original level, or a permanent increase in taxation or cut</w:t>
      </w:r>
      <w:r>
        <w:t>s</w:t>
      </w:r>
      <w:r w:rsidRPr="000E56C2">
        <w:t xml:space="preserve"> to spending sufficient to</w:t>
      </w:r>
      <w:r>
        <w:t xml:space="preserve"> fund the higher interest expenditure that comes with a higher debt level</w:t>
      </w:r>
      <w:r w:rsidRPr="000E56C2">
        <w:t>.</w:t>
      </w:r>
    </w:p>
    <w:p w14:paraId="5D2337E2" w14:textId="77777777" w:rsidR="006C3DEB" w:rsidRPr="00A34220" w:rsidRDefault="006C3DEB" w:rsidP="006C3DEB">
      <w:pPr>
        <w:pStyle w:val="Heading3"/>
      </w:pPr>
      <w:r>
        <w:t>Financial sector</w:t>
      </w:r>
    </w:p>
    <w:p w14:paraId="2B23C2AD" w14:textId="77777777" w:rsidR="006C3DEB" w:rsidRDefault="006C3DEB" w:rsidP="006C3DEB">
      <w:r w:rsidRPr="00A34220">
        <w:t>The financial sector allocates household savings to</w:t>
      </w:r>
      <w:r>
        <w:t xml:space="preserve"> domestic</w:t>
      </w:r>
      <w:r w:rsidRPr="00A34220">
        <w:t xml:space="preserve"> and foreign assets. Under the small open economy</w:t>
      </w:r>
      <w:r>
        <w:t xml:space="preserve"> and perfect capital market</w:t>
      </w:r>
      <w:r w:rsidRPr="00A34220">
        <w:t xml:space="preserve"> assumption</w:t>
      </w:r>
      <w:r>
        <w:t>s</w:t>
      </w:r>
      <w:r w:rsidRPr="00A34220">
        <w:t xml:space="preserve"> any shortfall in funds is sourced from the foreign sector, with the foreign investor </w:t>
      </w:r>
      <w:r>
        <w:t xml:space="preserve">being </w:t>
      </w:r>
      <w:r w:rsidRPr="00A34220">
        <w:t>the marginal</w:t>
      </w:r>
      <w:r>
        <w:t xml:space="preserve"> investor in all asset markets.</w:t>
      </w:r>
    </w:p>
    <w:p w14:paraId="15F03E11" w14:textId="77777777" w:rsidR="006C3DEB" w:rsidRDefault="006C3DEB" w:rsidP="006C3DEB">
      <w:pPr>
        <w:pStyle w:val="Heading4"/>
      </w:pPr>
      <w:r>
        <w:t>Household savings</w:t>
      </w:r>
    </w:p>
    <w:p w14:paraId="3C89D623" w14:textId="77777777" w:rsidR="006C3DEB" w:rsidRDefault="006C3DEB" w:rsidP="006C3DEB">
      <w:r>
        <w:t>D</w:t>
      </w:r>
      <w:r w:rsidRPr="00261B58">
        <w:t>omestic households supply the following level of funds:</w:t>
      </w:r>
    </w:p>
    <w:p w14:paraId="0EE8CCE4" w14:textId="187DD952" w:rsidR="006C3DEB" w:rsidRDefault="006C3DEB" w:rsidP="006C3DEB">
      <w:pPr>
        <w:pStyle w:val="MTDisplayEquation"/>
      </w:pPr>
      <w:r>
        <w:tab/>
      </w:r>
      <w:r w:rsidRPr="00E670A7">
        <w:rPr>
          <w:position w:val="-28"/>
        </w:rPr>
        <w:object w:dxaOrig="1740" w:dyaOrig="540" w14:anchorId="4DA70E77">
          <v:shape id="_x0000_i1382" type="#_x0000_t75" style="width:87pt;height:27pt" o:ole="">
            <v:imagedata r:id="rId729" o:title=""/>
          </v:shape>
          <o:OLEObject Type="Embed" ProgID="Equation.DSMT4" ShapeID="_x0000_i1382" DrawAspect="Content" ObjectID="_1754918933" r:id="rId73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30</w:instrText>
      </w:r>
      <w:r>
        <w:rPr>
          <w:noProof/>
        </w:rPr>
        <w:fldChar w:fldCharType="end"/>
      </w:r>
      <w:r>
        <w:instrText>)</w:instrText>
      </w:r>
      <w:r>
        <w:fldChar w:fldCharType="end"/>
      </w:r>
    </w:p>
    <w:p w14:paraId="140907F2" w14:textId="77777777" w:rsidR="006C3DEB" w:rsidRPr="00454C79" w:rsidRDefault="006C3DEB" w:rsidP="006C3DEB">
      <w:r w:rsidRPr="00454C79">
        <w:t>Investment decisions are managed by a notional fund</w:t>
      </w:r>
      <w:r>
        <w:t>s</w:t>
      </w:r>
      <w:r w:rsidRPr="00454C79">
        <w:t xml:space="preserve"> manager. </w:t>
      </w:r>
    </w:p>
    <w:p w14:paraId="39827C79" w14:textId="77777777" w:rsidR="006C3DEB" w:rsidRPr="005950D0" w:rsidRDefault="006C3DEB" w:rsidP="006C3DEB">
      <w:r w:rsidRPr="00454C79">
        <w:t>The allocation of household savings follows a nested structure. At the top</w:t>
      </w:r>
      <w:r>
        <w:t xml:space="preserve"> </w:t>
      </w:r>
      <w:r w:rsidRPr="00454C79">
        <w:t xml:space="preserve">tier, households </w:t>
      </w:r>
      <w:r>
        <w:t>are required to allocate a</w:t>
      </w:r>
      <w:r w:rsidRPr="00454C79">
        <w:t xml:space="preserve"> </w:t>
      </w:r>
      <w:r w:rsidRPr="005950D0">
        <w:t>share of savings to ownership of dwellings with the remainder allocated to non</w:t>
      </w:r>
      <w:r w:rsidRPr="005950D0">
        <w:noBreakHyphen/>
        <w:t xml:space="preserve">dwelling assets </w:t>
      </w:r>
      <w:r>
        <w:t xml:space="preserve">as </w:t>
      </w:r>
      <w:r w:rsidRPr="005950D0">
        <w:t xml:space="preserve">described in detail below. </w:t>
      </w:r>
    </w:p>
    <w:p w14:paraId="5DEDF237" w14:textId="77777777" w:rsidR="006C3DEB" w:rsidRPr="005950D0" w:rsidRDefault="006C3DEB" w:rsidP="006C3DEB">
      <w:r w:rsidRPr="005950D0">
        <w:t xml:space="preserve">OLGA Version 1.0 assumes the Australian dwellings sector is </w:t>
      </w:r>
      <w:r>
        <w:t xml:space="preserve">fully </w:t>
      </w:r>
      <w:r w:rsidRPr="005950D0">
        <w:t xml:space="preserve">owned by Australian households. This means the savings allocated to dwellings must equal the market value of the dwellings sector: </w:t>
      </w:r>
    </w:p>
    <w:p w14:paraId="0C721408" w14:textId="77777777" w:rsidR="006C3DEB" w:rsidRPr="005950D0" w:rsidRDefault="006C3DEB" w:rsidP="006C3DEB">
      <w:pPr>
        <w:pStyle w:val="MTDisplayEquation"/>
      </w:pPr>
      <w:r w:rsidRPr="005950D0">
        <w:tab/>
      </w:r>
      <w:r w:rsidRPr="00E670A7">
        <w:rPr>
          <w:position w:val="-14"/>
        </w:rPr>
        <w:object w:dxaOrig="1420" w:dyaOrig="400" w14:anchorId="1CE2B9FC">
          <v:shape id="_x0000_i1383" type="#_x0000_t75" style="width:71.4pt;height:20.4pt" o:ole="">
            <v:imagedata r:id="rId731" o:title=""/>
          </v:shape>
          <o:OLEObject Type="Embed" ProgID="Equation.DSMT4" ShapeID="_x0000_i1383" DrawAspect="Content" ObjectID="_1754918934" r:id="rId732"/>
        </w:object>
      </w:r>
      <w:r w:rsidRPr="005950D0">
        <w:tab/>
      </w:r>
    </w:p>
    <w:p w14:paraId="0F77278A" w14:textId="44CE37F0" w:rsidR="006C3DEB" w:rsidRPr="005950D0" w:rsidRDefault="006C47D3" w:rsidP="006C3DEB">
      <w:r w:rsidRPr="005950D0">
        <w:t>W</w:t>
      </w:r>
      <w:r w:rsidR="006C3DEB" w:rsidRPr="005950D0">
        <w:t>here</w:t>
      </w:r>
      <w:r>
        <w:t xml:space="preserve"> </w:t>
      </w:r>
      <w:r w:rsidR="006C3DEB" w:rsidRPr="00E670A7">
        <w:rPr>
          <w:position w:val="-14"/>
        </w:rPr>
        <w:object w:dxaOrig="920" w:dyaOrig="400" w14:anchorId="4105A85A">
          <v:shape id="_x0000_i1384" type="#_x0000_t75" style="width:46.8pt;height:20.4pt" o:ole="">
            <v:imagedata r:id="rId733" o:title=""/>
          </v:shape>
          <o:OLEObject Type="Embed" ProgID="Equation.DSMT4" ShapeID="_x0000_i1384" DrawAspect="Content" ObjectID="_1754918935" r:id="rId734"/>
        </w:object>
      </w:r>
      <w:r w:rsidR="006C3DEB" w:rsidRPr="005950D0">
        <w:t xml:space="preserve"> is the share of household savings allocated to dwellings. </w:t>
      </w:r>
      <w:r w:rsidR="006C3DEB">
        <w:t xml:space="preserve">In this </w:t>
      </w:r>
      <w:r w:rsidR="006C3DEB" w:rsidRPr="005950D0">
        <w:t>version of OLGA</w:t>
      </w:r>
      <w:r w:rsidR="006C3DEB">
        <w:t>,</w:t>
      </w:r>
      <w:r w:rsidR="006C3DEB" w:rsidRPr="005950D0">
        <w:t xml:space="preserve"> </w:t>
      </w:r>
      <w:r w:rsidR="006C3DEB">
        <w:t xml:space="preserve">houses are assumed to be owner-occupied so </w:t>
      </w:r>
      <w:r w:rsidR="006C3DEB" w:rsidRPr="005950D0">
        <w:t xml:space="preserve">the </w:t>
      </w:r>
      <w:r w:rsidR="006C3DEB">
        <w:t>income stream from housing is not taxed</w:t>
      </w:r>
      <w:r w:rsidR="006C3DEB" w:rsidRPr="005950D0">
        <w:t xml:space="preserve"> </w:t>
      </w:r>
      <w:r w:rsidR="006C3DEB">
        <w:t>and</w:t>
      </w:r>
      <w:r w:rsidR="006C3DEB" w:rsidRPr="005950D0">
        <w:t xml:space="preserve"> there </w:t>
      </w:r>
      <w:r w:rsidR="006C3DEB" w:rsidRPr="005950D0">
        <w:lastRenderedPageBreak/>
        <w:t xml:space="preserve">is no need to distinguish between equity holdings that return earnings via capital gain or dividends. This limitation will be addressed in a development module dedicated to the taxation of housing. </w:t>
      </w:r>
    </w:p>
    <w:p w14:paraId="69348830" w14:textId="5F3335E6" w:rsidR="006C3DEB" w:rsidRPr="005950D0" w:rsidRDefault="006C3DEB" w:rsidP="006C3DEB">
      <w:r w:rsidRPr="005950D0">
        <w:t>At the second tier, the remaining share of household savings</w:t>
      </w:r>
      <w:r w:rsidR="006C47D3">
        <w:t xml:space="preserve"> </w:t>
      </w:r>
      <w:r w:rsidRPr="00E670A7">
        <w:rPr>
          <w:position w:val="-14"/>
        </w:rPr>
        <w:object w:dxaOrig="1219" w:dyaOrig="400" w14:anchorId="11185A31">
          <v:shape id="_x0000_i1385" type="#_x0000_t75" style="width:61.2pt;height:20.4pt" o:ole="">
            <v:imagedata r:id="rId735" o:title=""/>
          </v:shape>
          <o:OLEObject Type="Embed" ProgID="Equation.DSMT4" ShapeID="_x0000_i1385" DrawAspect="Content" ObjectID="_1754918936" r:id="rId736"/>
        </w:object>
      </w:r>
      <w:r w:rsidR="006C47D3">
        <w:t xml:space="preserve"> </w:t>
      </w:r>
      <w:r w:rsidRPr="005950D0">
        <w:t>is allocated to non-dwelling assets. These savings are distributed across a fixed</w:t>
      </w:r>
      <w:r>
        <w:t>-</w:t>
      </w:r>
      <w:r w:rsidRPr="005950D0">
        <w:t>weight portfolio of domestic and foreign assets.</w:t>
      </w:r>
      <w:r w:rsidRPr="005950D0" w:rsidDel="0084234C">
        <w:t xml:space="preserve"> </w:t>
      </w:r>
      <w:r w:rsidRPr="005950D0">
        <w:t>The domestic component includes: domestic corporate and government bonds, with weights of</w:t>
      </w:r>
      <w:r w:rsidRPr="00E670A7">
        <w:rPr>
          <w:position w:val="-12"/>
        </w:rPr>
        <w:object w:dxaOrig="740" w:dyaOrig="380" w14:anchorId="6E48C6F1">
          <v:shape id="_x0000_i1386" type="#_x0000_t75" style="width:36.6pt;height:18pt" o:ole="">
            <v:imagedata r:id="rId737" o:title=""/>
          </v:shape>
          <o:OLEObject Type="Embed" ProgID="Equation.DSMT4" ShapeID="_x0000_i1386" DrawAspect="Content" ObjectID="_1754918937" r:id="rId738"/>
        </w:object>
      </w:r>
      <w:r w:rsidR="006C47D3">
        <w:t xml:space="preserve"> </w:t>
      </w:r>
      <w:r w:rsidRPr="005950D0">
        <w:t>and</w:t>
      </w:r>
      <w:r w:rsidR="006C47D3">
        <w:t xml:space="preserve"> </w:t>
      </w:r>
      <w:r w:rsidRPr="00E670A7">
        <w:rPr>
          <w:position w:val="-12"/>
        </w:rPr>
        <w:object w:dxaOrig="760" w:dyaOrig="380" w14:anchorId="7904EDC7">
          <v:shape id="_x0000_i1387" type="#_x0000_t75" style="width:39pt;height:18pt" o:ole="">
            <v:imagedata r:id="rId739" o:title=""/>
          </v:shape>
          <o:OLEObject Type="Embed" ProgID="Equation.DSMT4" ShapeID="_x0000_i1387" DrawAspect="Content" ObjectID="_1754918938" r:id="rId740"/>
        </w:object>
      </w:r>
      <w:r w:rsidR="006C47D3">
        <w:t xml:space="preserve"> </w:t>
      </w:r>
      <w:r w:rsidRPr="005950D0">
        <w:t>respectively; and equity in domestic firms in all non-dwelling sectors with a weight of</w:t>
      </w:r>
      <w:r>
        <w:t xml:space="preserve"> </w:t>
      </w:r>
      <w:r w:rsidRPr="00E670A7">
        <w:rPr>
          <w:position w:val="-12"/>
        </w:rPr>
        <w:object w:dxaOrig="760" w:dyaOrig="380" w14:anchorId="4D22F097">
          <v:shape id="_x0000_i1388" type="#_x0000_t75" style="width:39pt;height:18pt" o:ole="">
            <v:imagedata r:id="rId741" o:title=""/>
          </v:shape>
          <o:OLEObject Type="Embed" ProgID="Equation.DSMT4" ShapeID="_x0000_i1388" DrawAspect="Content" ObjectID="_1754918939" r:id="rId742"/>
        </w:object>
      </w:r>
      <w:r w:rsidRPr="005950D0">
        <w:t xml:space="preserve"> for firms that distribute earnings as fully franked dividends, and a weight of</w:t>
      </w:r>
      <w:r w:rsidR="001F1661">
        <w:t xml:space="preserve"> </w:t>
      </w:r>
      <w:r w:rsidRPr="00E670A7">
        <w:rPr>
          <w:position w:val="-12"/>
        </w:rPr>
        <w:object w:dxaOrig="740" w:dyaOrig="380" w14:anchorId="5074B017">
          <v:shape id="_x0000_i1389" type="#_x0000_t75" style="width:36.6pt;height:18pt" o:ole="">
            <v:imagedata r:id="rId743" o:title=""/>
          </v:shape>
          <o:OLEObject Type="Embed" ProgID="Equation.DSMT4" ShapeID="_x0000_i1389" DrawAspect="Content" ObjectID="_1754918940" r:id="rId744"/>
        </w:object>
      </w:r>
      <w:r w:rsidR="001F1661">
        <w:t xml:space="preserve"> </w:t>
      </w:r>
      <w:r w:rsidRPr="005950D0">
        <w:t xml:space="preserve">for firms that distribute earnings as capital gains. The foreign component is assumed to be a composite of foreign assets (foreign bonds and equity) with weight </w:t>
      </w:r>
      <w:r w:rsidR="007E2DF9">
        <w:t>equal to</w:t>
      </w:r>
      <w:r w:rsidRPr="00E670A7">
        <w:rPr>
          <w:position w:val="-12"/>
        </w:rPr>
        <w:object w:dxaOrig="3379" w:dyaOrig="380" w14:anchorId="27943707">
          <v:shape id="_x0000_i1390" type="#_x0000_t75" style="width:168.6pt;height:18pt" o:ole="">
            <v:imagedata r:id="rId745" o:title=""/>
          </v:shape>
          <o:OLEObject Type="Embed" ProgID="Equation.DSMT4" ShapeID="_x0000_i1390" DrawAspect="Content" ObjectID="_1754918941" r:id="rId746"/>
        </w:object>
      </w:r>
      <w:r w:rsidRPr="005950D0">
        <w:t>.</w:t>
      </w:r>
    </w:p>
    <w:p w14:paraId="1F5975FA" w14:textId="77777777" w:rsidR="006C3DEB" w:rsidRDefault="006C3DEB" w:rsidP="006C3DEB">
      <w:r w:rsidRPr="005950D0">
        <w:t>For Version 1.0 of OLGA we assume that the portfolio for household savings allocated to non</w:t>
      </w:r>
      <w:r w:rsidRPr="005950D0">
        <w:noBreakHyphen/>
        <w:t>dwelling assets is fixed. This assumption will be relaxed in a development module dedicated to the taxation of savings.</w:t>
      </w:r>
    </w:p>
    <w:p w14:paraId="640B5EAF" w14:textId="77777777" w:rsidR="006C3DEB" w:rsidRPr="00A34220" w:rsidRDefault="006C3DEB" w:rsidP="006C3DEB">
      <w:pPr>
        <w:pStyle w:val="Heading4"/>
      </w:pPr>
      <w:r>
        <w:t>Domestic government bonds</w:t>
      </w:r>
    </w:p>
    <w:p w14:paraId="233C3B4A" w14:textId="262CD745" w:rsidR="006C3DEB" w:rsidRDefault="006C3DEB" w:rsidP="006C3DEB">
      <w:r w:rsidRPr="00FF3A15">
        <w:t xml:space="preserve">For simplicity we assume </w:t>
      </w:r>
      <w:r>
        <w:t xml:space="preserve">the </w:t>
      </w:r>
      <w:r w:rsidRPr="00FF3A15">
        <w:t>government issues one period bonds.</w:t>
      </w:r>
      <w:r>
        <w:t xml:space="preserve"> The assumed global required after tax rate of return for sovereign/government debt is</w:t>
      </w:r>
      <w:r w:rsidR="00CE561F">
        <w:t xml:space="preserve"> </w:t>
      </w:r>
      <w:r w:rsidRPr="00E670A7">
        <w:rPr>
          <w:position w:val="-12"/>
        </w:rPr>
        <w:object w:dxaOrig="340" w:dyaOrig="380" w14:anchorId="7C0FC4C2">
          <v:shape id="_x0000_i1391" type="#_x0000_t75" style="width:18pt;height:18pt" o:ole="">
            <v:imagedata r:id="rId747" o:title=""/>
          </v:shape>
          <o:OLEObject Type="Embed" ProgID="Equation.DSMT4" ShapeID="_x0000_i1391" DrawAspect="Content" ObjectID="_1754918942" r:id="rId748"/>
        </w:object>
      </w:r>
      <w:r>
        <w:t>. Foreign investors receiving income from bonds must pay withholding tax at the rate</w:t>
      </w:r>
      <w:r w:rsidR="00CE561F">
        <w:t xml:space="preserve"> </w:t>
      </w:r>
      <w:r w:rsidRPr="00E670A7">
        <w:rPr>
          <w:position w:val="-12"/>
        </w:rPr>
        <w:object w:dxaOrig="340" w:dyaOrig="380" w14:anchorId="03FC2FAE">
          <v:shape id="_x0000_i1392" type="#_x0000_t75" style="width:18pt;height:18pt" o:ole="">
            <v:imagedata r:id="rId749" o:title=""/>
          </v:shape>
          <o:OLEObject Type="Embed" ProgID="Equation.DSMT4" ShapeID="_x0000_i1392" DrawAspect="Content" ObjectID="_1754918943" r:id="rId750"/>
        </w:object>
      </w:r>
      <w:r>
        <w:t>. A country risk premium</w:t>
      </w:r>
      <w:r w:rsidR="00CE561F">
        <w:t xml:space="preserve"> </w:t>
      </w:r>
      <w:r w:rsidRPr="00E670A7">
        <w:rPr>
          <w:position w:val="-12"/>
        </w:rPr>
        <w:object w:dxaOrig="340" w:dyaOrig="380" w14:anchorId="7CBDDA95">
          <v:shape id="_x0000_i1393" type="#_x0000_t75" style="width:18pt;height:18pt" o:ole="">
            <v:imagedata r:id="rId751" o:title=""/>
          </v:shape>
          <o:OLEObject Type="Embed" ProgID="Equation.DSMT4" ShapeID="_x0000_i1393" DrawAspect="Content" ObjectID="_1754918944" r:id="rId752"/>
        </w:object>
      </w:r>
      <w:r>
        <w:t xml:space="preserve">implies the following global required before tax rate of return on Australian government bonds: </w:t>
      </w:r>
    </w:p>
    <w:p w14:paraId="58BB45F2" w14:textId="4BE7C727" w:rsidR="006C3DEB" w:rsidRDefault="006C3DEB" w:rsidP="006C3DEB">
      <w:pPr>
        <w:pStyle w:val="MTDisplayEquation"/>
      </w:pPr>
      <w:r>
        <w:tab/>
      </w:r>
      <w:r w:rsidRPr="00E670A7">
        <w:rPr>
          <w:position w:val="-30"/>
        </w:rPr>
        <w:object w:dxaOrig="1380" w:dyaOrig="720" w14:anchorId="1A77850F">
          <v:shape id="_x0000_i1394" type="#_x0000_t75" style="width:71.4pt;height:37.8pt" o:ole="">
            <v:imagedata r:id="rId753" o:title=""/>
          </v:shape>
          <o:OLEObject Type="Embed" ProgID="Equation.DSMT4" ShapeID="_x0000_i1394" DrawAspect="Content" ObjectID="_1754918945" r:id="rId75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31</w:instrText>
      </w:r>
      <w:r>
        <w:rPr>
          <w:noProof/>
        </w:rPr>
        <w:fldChar w:fldCharType="end"/>
      </w:r>
      <w:r>
        <w:instrText>)</w:instrText>
      </w:r>
      <w:r>
        <w:fldChar w:fldCharType="end"/>
      </w:r>
    </w:p>
    <w:p w14:paraId="23773A5E" w14:textId="660F2338" w:rsidR="006C3DEB" w:rsidRDefault="006C3DEB" w:rsidP="006C3DEB">
      <w:r>
        <w:t>Domestic government bond holders who are subject to a marginal personal income tax rate</w:t>
      </w:r>
      <w:r w:rsidRPr="00E670A7">
        <w:rPr>
          <w:position w:val="-12"/>
        </w:rPr>
        <w:object w:dxaOrig="380" w:dyaOrig="380" w14:anchorId="76385EE5">
          <v:shape id="_x0000_i1395" type="#_x0000_t75" style="width:18pt;height:18pt" o:ole="">
            <v:imagedata r:id="rId755" o:title=""/>
          </v:shape>
          <o:OLEObject Type="Embed" ProgID="Equation.DSMT4" ShapeID="_x0000_i1395" DrawAspect="Content" ObjectID="_1754918946" r:id="rId756"/>
        </w:object>
      </w:r>
      <w:r>
        <w:t>will earn the following after tax return:</w:t>
      </w:r>
    </w:p>
    <w:p w14:paraId="3006FFBE" w14:textId="1D32ECF2" w:rsidR="006C3DEB" w:rsidRDefault="006C3DEB" w:rsidP="006C3DEB">
      <w:pPr>
        <w:pStyle w:val="MTDisplayEquation"/>
      </w:pPr>
      <w:r>
        <w:tab/>
      </w:r>
      <w:r w:rsidRPr="00E670A7">
        <w:rPr>
          <w:position w:val="-30"/>
        </w:rPr>
        <w:object w:dxaOrig="3120" w:dyaOrig="720" w14:anchorId="6B9D7E36">
          <v:shape id="_x0000_i1396" type="#_x0000_t75" style="width:158.4pt;height:37.8pt" o:ole="">
            <v:imagedata r:id="rId757" o:title=""/>
          </v:shape>
          <o:OLEObject Type="Embed" ProgID="Equation.DSMT4" ShapeID="_x0000_i1396" DrawAspect="Content" ObjectID="_1754918947" r:id="rId75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32</w:instrText>
      </w:r>
      <w:r>
        <w:rPr>
          <w:noProof/>
        </w:rPr>
        <w:fldChar w:fldCharType="end"/>
      </w:r>
      <w:r>
        <w:instrText>)</w:instrText>
      </w:r>
      <w:r>
        <w:fldChar w:fldCharType="end"/>
      </w:r>
    </w:p>
    <w:p w14:paraId="178DDC77" w14:textId="77777777" w:rsidR="006C3DEB" w:rsidRDefault="006C3DEB" w:rsidP="006C3DEB">
      <w:r>
        <w:t>Based on the fixed asset allocation shares described above, the value of government bonds held domestically is:</w:t>
      </w:r>
    </w:p>
    <w:p w14:paraId="384F7CCD" w14:textId="7613CEF5" w:rsidR="006C3DEB" w:rsidRDefault="006C3DEB" w:rsidP="006C3DEB">
      <w:pPr>
        <w:pStyle w:val="MTDisplayEquation"/>
      </w:pPr>
      <w:r>
        <w:tab/>
      </w:r>
      <w:r w:rsidRPr="00E670A7">
        <w:rPr>
          <w:position w:val="-16"/>
        </w:rPr>
        <w:object w:dxaOrig="2120" w:dyaOrig="440" w14:anchorId="13FFC3BF">
          <v:shape id="_x0000_i1397" type="#_x0000_t75" style="width:105pt;height:21.6pt" o:ole="">
            <v:imagedata r:id="rId759" o:title=""/>
          </v:shape>
          <o:OLEObject Type="Embed" ProgID="Equation.DSMT4" ShapeID="_x0000_i1397" DrawAspect="Content" ObjectID="_1754918948" r:id="rId76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33</w:instrText>
      </w:r>
      <w:r>
        <w:rPr>
          <w:noProof/>
        </w:rPr>
        <w:fldChar w:fldCharType="end"/>
      </w:r>
      <w:r>
        <w:instrText>)</w:instrText>
      </w:r>
      <w:r>
        <w:fldChar w:fldCharType="end"/>
      </w:r>
    </w:p>
    <w:p w14:paraId="5C738775" w14:textId="77777777" w:rsidR="006C3DEB" w:rsidRPr="00036C07" w:rsidRDefault="006C3DEB" w:rsidP="006C3DEB">
      <w:r>
        <w:t>This implies the following foreign holding of Australian government bonds:</w:t>
      </w:r>
    </w:p>
    <w:p w14:paraId="57207C2D" w14:textId="7745F19C" w:rsidR="006C3DEB" w:rsidRDefault="006C3DEB" w:rsidP="006C3DEB">
      <w:pPr>
        <w:pStyle w:val="MTDisplayEquation"/>
      </w:pPr>
      <w:r>
        <w:tab/>
      </w:r>
      <w:r w:rsidRPr="00E670A7">
        <w:rPr>
          <w:position w:val="-12"/>
        </w:rPr>
        <w:object w:dxaOrig="1340" w:dyaOrig="380" w14:anchorId="5605400A">
          <v:shape id="_x0000_i1398" type="#_x0000_t75" style="width:65.4pt;height:18pt" o:ole="">
            <v:imagedata r:id="rId761" o:title=""/>
          </v:shape>
          <o:OLEObject Type="Embed" ProgID="Equation.DSMT4" ShapeID="_x0000_i1398" DrawAspect="Content" ObjectID="_1754918949" r:id="rId76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34</w:instrText>
      </w:r>
      <w:r>
        <w:rPr>
          <w:noProof/>
        </w:rPr>
        <w:fldChar w:fldCharType="end"/>
      </w:r>
      <w:r>
        <w:instrText>)</w:instrText>
      </w:r>
      <w:r>
        <w:fldChar w:fldCharType="end"/>
      </w:r>
    </w:p>
    <w:p w14:paraId="1448C109" w14:textId="77777777" w:rsidR="006C3DEB" w:rsidRDefault="006C3DEB" w:rsidP="006C3DEB">
      <w:r>
        <w:t>and withholding tax revenue:</w:t>
      </w:r>
    </w:p>
    <w:p w14:paraId="46224552" w14:textId="77777777" w:rsidR="006C3DEB" w:rsidRPr="00311EBC" w:rsidRDefault="006C3DEB" w:rsidP="006C3DEB">
      <w:pPr>
        <w:jc w:val="center"/>
      </w:pPr>
      <w:r w:rsidRPr="00E670A7">
        <w:rPr>
          <w:position w:val="-12"/>
        </w:rPr>
        <w:object w:dxaOrig="1440" w:dyaOrig="380" w14:anchorId="2276AEAE">
          <v:shape id="_x0000_i1399" type="#_x0000_t75" style="width:1in;height:18pt" o:ole="">
            <v:imagedata r:id="rId763" o:title=""/>
          </v:shape>
          <o:OLEObject Type="Embed" ProgID="Equation.DSMT4" ShapeID="_x0000_i1399" DrawAspect="Content" ObjectID="_1754918950" r:id="rId764"/>
        </w:object>
      </w:r>
    </w:p>
    <w:p w14:paraId="2BCA2678" w14:textId="77777777" w:rsidR="006C3DEB" w:rsidRDefault="006C3DEB" w:rsidP="006C3DEB">
      <w:pPr>
        <w:pStyle w:val="Heading4"/>
      </w:pPr>
      <w:r>
        <w:lastRenderedPageBreak/>
        <w:t>Domestic corporate bonds</w:t>
      </w:r>
    </w:p>
    <w:p w14:paraId="05328E9B" w14:textId="77777777" w:rsidR="006C3DEB" w:rsidRDefault="006C3DEB" w:rsidP="006C3DEB">
      <w:r w:rsidRPr="00FF3A15">
        <w:t xml:space="preserve">For simplicity </w:t>
      </w:r>
      <w:r>
        <w:t xml:space="preserve">we assume </w:t>
      </w:r>
      <w:r w:rsidRPr="00FF3A15">
        <w:t>firms issue one period bonds.</w:t>
      </w:r>
      <w:r>
        <w:t xml:space="preserve"> The global required return on corporate bonds is as follows:</w:t>
      </w:r>
    </w:p>
    <w:p w14:paraId="7F958EF2" w14:textId="2A85D8E2" w:rsidR="006C3DEB" w:rsidRDefault="006C3DEB" w:rsidP="006C3DEB">
      <w:pPr>
        <w:pStyle w:val="MTDisplayEquation"/>
      </w:pPr>
      <w:r>
        <w:tab/>
      </w:r>
      <w:r w:rsidRPr="00E670A7">
        <w:rPr>
          <w:position w:val="-30"/>
        </w:rPr>
        <w:object w:dxaOrig="1840" w:dyaOrig="720" w14:anchorId="3E180408">
          <v:shape id="_x0000_i1400" type="#_x0000_t75" style="width:92.4pt;height:37.8pt" o:ole="">
            <v:imagedata r:id="rId765" o:title=""/>
          </v:shape>
          <o:OLEObject Type="Embed" ProgID="Equation.DSMT4" ShapeID="_x0000_i1400" DrawAspect="Content" ObjectID="_1754918951" r:id="rId76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35</w:instrText>
      </w:r>
      <w:r>
        <w:rPr>
          <w:noProof/>
        </w:rPr>
        <w:fldChar w:fldCharType="end"/>
      </w:r>
      <w:r>
        <w:instrText>)</w:instrText>
      </w:r>
      <w:r>
        <w:fldChar w:fldCharType="end"/>
      </w:r>
    </w:p>
    <w:p w14:paraId="2799D46C" w14:textId="2F1D06F1" w:rsidR="006C3DEB" w:rsidRDefault="006C3DEB" w:rsidP="006C3DEB">
      <w:r>
        <w:t>where:</w:t>
      </w:r>
      <w:r w:rsidRPr="00E0038D">
        <w:t xml:space="preserve"> </w:t>
      </w:r>
      <w:r w:rsidRPr="00E670A7">
        <w:rPr>
          <w:position w:val="-12"/>
        </w:rPr>
        <w:object w:dxaOrig="300" w:dyaOrig="380" w14:anchorId="3A5F70F0">
          <v:shape id="_x0000_i1401" type="#_x0000_t75" style="width:15pt;height:18pt" o:ole="">
            <v:imagedata r:id="rId767" o:title=""/>
          </v:shape>
          <o:OLEObject Type="Embed" ProgID="Equation.DSMT4" ShapeID="_x0000_i1401" DrawAspect="Content" ObjectID="_1754918952" r:id="rId768"/>
        </w:object>
      </w:r>
      <w:r w:rsidR="001529C3">
        <w:t xml:space="preserve"> </w:t>
      </w:r>
      <w:r>
        <w:t>is the risk premium on corporate bonds; and</w:t>
      </w:r>
      <w:r w:rsidR="001529C3">
        <w:t xml:space="preserve"> </w:t>
      </w:r>
      <w:r w:rsidRPr="00E670A7">
        <w:rPr>
          <w:position w:val="-12"/>
        </w:rPr>
        <w:object w:dxaOrig="340" w:dyaOrig="380" w14:anchorId="7A7C6C58">
          <v:shape id="_x0000_i1402" type="#_x0000_t75" style="width:18pt;height:18pt" o:ole="">
            <v:imagedata r:id="rId769" o:title=""/>
          </v:shape>
          <o:OLEObject Type="Embed" ProgID="Equation.DSMT4" ShapeID="_x0000_i1402" DrawAspect="Content" ObjectID="_1754918953" r:id="rId770"/>
        </w:object>
      </w:r>
      <w:r w:rsidR="001529C3">
        <w:t xml:space="preserve"> </w:t>
      </w:r>
      <w:r>
        <w:t>is the withholding tax rate.</w:t>
      </w:r>
    </w:p>
    <w:p w14:paraId="53770C79" w14:textId="10BDD946" w:rsidR="006C3DEB" w:rsidRDefault="006C3DEB" w:rsidP="006C3DEB">
      <w:r>
        <w:t>Domestic corporate bond holders who are subject to a marginal personal income tax rate</w:t>
      </w:r>
      <w:r w:rsidR="001529C3">
        <w:t xml:space="preserve"> </w:t>
      </w:r>
      <w:r w:rsidRPr="00E670A7">
        <w:rPr>
          <w:position w:val="-12"/>
        </w:rPr>
        <w:object w:dxaOrig="380" w:dyaOrig="380" w14:anchorId="12555EE9">
          <v:shape id="_x0000_i1403" type="#_x0000_t75" style="width:18pt;height:18pt" o:ole="">
            <v:imagedata r:id="rId771" o:title=""/>
          </v:shape>
          <o:OLEObject Type="Embed" ProgID="Equation.DSMT4" ShapeID="_x0000_i1403" DrawAspect="Content" ObjectID="_1754918954" r:id="rId772"/>
        </w:object>
      </w:r>
      <w:r w:rsidR="001529C3">
        <w:t xml:space="preserve"> </w:t>
      </w:r>
      <w:r>
        <w:t>will earn the following after tax return:</w:t>
      </w:r>
    </w:p>
    <w:p w14:paraId="1926649D" w14:textId="02F2A1F8" w:rsidR="006C3DEB" w:rsidRDefault="006C3DEB" w:rsidP="006C3DEB">
      <w:pPr>
        <w:pStyle w:val="MTDisplayEquation"/>
      </w:pPr>
      <w:r>
        <w:tab/>
      </w:r>
      <w:r w:rsidRPr="00E670A7">
        <w:rPr>
          <w:position w:val="-30"/>
        </w:rPr>
        <w:object w:dxaOrig="3580" w:dyaOrig="720" w14:anchorId="7026DCB2">
          <v:shape id="_x0000_i1404" type="#_x0000_t75" style="width:178.2pt;height:37.8pt" o:ole="">
            <v:imagedata r:id="rId773" o:title=""/>
          </v:shape>
          <o:OLEObject Type="Embed" ProgID="Equation.DSMT4" ShapeID="_x0000_i1404" DrawAspect="Content" ObjectID="_1754918955" r:id="rId77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36</w:instrText>
      </w:r>
      <w:r>
        <w:rPr>
          <w:noProof/>
        </w:rPr>
        <w:fldChar w:fldCharType="end"/>
      </w:r>
      <w:r>
        <w:instrText>)</w:instrText>
      </w:r>
      <w:r>
        <w:fldChar w:fldCharType="end"/>
      </w:r>
    </w:p>
    <w:p w14:paraId="70EE88AA" w14:textId="77777777" w:rsidR="006C3DEB" w:rsidRDefault="006C3DEB" w:rsidP="006C3DEB">
      <w:r>
        <w:t>Given the fixed asset allocation of shares described above the value of corporate bonds held domestically is:</w:t>
      </w:r>
    </w:p>
    <w:p w14:paraId="09FDD35A" w14:textId="6C079CD0" w:rsidR="006C3DEB" w:rsidRDefault="006C3DEB" w:rsidP="006C3DEB">
      <w:pPr>
        <w:pStyle w:val="MTDisplayEquation"/>
      </w:pPr>
      <w:r>
        <w:tab/>
      </w:r>
      <w:r w:rsidRPr="00E670A7">
        <w:rPr>
          <w:position w:val="-16"/>
        </w:rPr>
        <w:object w:dxaOrig="2079" w:dyaOrig="440" w14:anchorId="1DED8084">
          <v:shape id="_x0000_i1405" type="#_x0000_t75" style="width:104.4pt;height:21.6pt" o:ole="">
            <v:imagedata r:id="rId775" o:title=""/>
          </v:shape>
          <o:OLEObject Type="Embed" ProgID="Equation.DSMT4" ShapeID="_x0000_i1405" DrawAspect="Content" ObjectID="_1754918956" r:id="rId77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37</w:instrText>
      </w:r>
      <w:r>
        <w:rPr>
          <w:noProof/>
        </w:rPr>
        <w:fldChar w:fldCharType="end"/>
      </w:r>
      <w:r>
        <w:instrText>)</w:instrText>
      </w:r>
      <w:r>
        <w:fldChar w:fldCharType="end"/>
      </w:r>
    </w:p>
    <w:p w14:paraId="69A1E541" w14:textId="77777777" w:rsidR="006C3DEB" w:rsidRPr="003D7B04" w:rsidRDefault="006C3DEB" w:rsidP="006C3DEB">
      <w:r>
        <w:t>This implies the following foreign holding of Australian corporate bonds:</w:t>
      </w:r>
    </w:p>
    <w:p w14:paraId="02E4EC59" w14:textId="76FC89F2" w:rsidR="006C3DEB" w:rsidRDefault="006C3DEB" w:rsidP="006C3DEB">
      <w:pPr>
        <w:pStyle w:val="MTDisplayEquation"/>
      </w:pPr>
      <w:r>
        <w:tab/>
      </w:r>
      <w:r w:rsidRPr="00E670A7">
        <w:rPr>
          <w:position w:val="-12"/>
        </w:rPr>
        <w:object w:dxaOrig="1300" w:dyaOrig="380" w14:anchorId="3B681880">
          <v:shape id="_x0000_i1406" type="#_x0000_t75" style="width:65.4pt;height:18pt" o:ole="">
            <v:imagedata r:id="rId777" o:title=""/>
          </v:shape>
          <o:OLEObject Type="Embed" ProgID="Equation.DSMT4" ShapeID="_x0000_i1406" DrawAspect="Content" ObjectID="_1754918957" r:id="rId77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38</w:instrText>
      </w:r>
      <w:r>
        <w:rPr>
          <w:noProof/>
        </w:rPr>
        <w:fldChar w:fldCharType="end"/>
      </w:r>
      <w:r>
        <w:instrText>)</w:instrText>
      </w:r>
      <w:r>
        <w:fldChar w:fldCharType="end"/>
      </w:r>
    </w:p>
    <w:p w14:paraId="234BBDDE" w14:textId="77777777" w:rsidR="006C3DEB" w:rsidRDefault="006C3DEB" w:rsidP="006C3DEB">
      <w:r>
        <w:t>and withholding tax revenue:</w:t>
      </w:r>
    </w:p>
    <w:p w14:paraId="2BBFB595" w14:textId="77777777" w:rsidR="006C3DEB" w:rsidRPr="00311EBC" w:rsidRDefault="006C3DEB" w:rsidP="006C3DEB">
      <w:pPr>
        <w:jc w:val="center"/>
      </w:pPr>
      <w:r w:rsidRPr="00E670A7">
        <w:rPr>
          <w:position w:val="-12"/>
        </w:rPr>
        <w:object w:dxaOrig="1380" w:dyaOrig="380" w14:anchorId="2380CA75">
          <v:shape id="_x0000_i1407" type="#_x0000_t75" style="width:71.4pt;height:18pt" o:ole="">
            <v:imagedata r:id="rId779" o:title=""/>
          </v:shape>
          <o:OLEObject Type="Embed" ProgID="Equation.DSMT4" ShapeID="_x0000_i1407" DrawAspect="Content" ObjectID="_1754918958" r:id="rId780"/>
        </w:object>
      </w:r>
    </w:p>
    <w:p w14:paraId="74A5EDFE" w14:textId="77777777" w:rsidR="006C3DEB" w:rsidRDefault="006C3DEB" w:rsidP="006C3DEB">
      <w:pPr>
        <w:pStyle w:val="Heading4"/>
      </w:pPr>
      <w:r>
        <w:t>Domestic equity</w:t>
      </w:r>
    </w:p>
    <w:p w14:paraId="1CA81373" w14:textId="77777777" w:rsidR="006C3DEB" w:rsidRDefault="006C3DEB" w:rsidP="006C3DEB">
      <w:r>
        <w:t>The required rate of return for a foreign equity investor will depend on the way earnings are distributed. Foreign investors do not pay tax in Australia on capital gains earned on Australian assets which implies the following required rate of return to foreign equity holders when their return is realised as a capital gain:</w:t>
      </w:r>
    </w:p>
    <w:p w14:paraId="76FEE516" w14:textId="5F5548AB" w:rsidR="006C3DEB" w:rsidRDefault="006C3DEB" w:rsidP="006C3DEB">
      <w:pPr>
        <w:pStyle w:val="MTDisplayEquation"/>
      </w:pPr>
      <w:r w:rsidRPr="00514689">
        <w:tab/>
      </w:r>
      <w:r w:rsidRPr="00E670A7">
        <w:rPr>
          <w:position w:val="-12"/>
        </w:rPr>
        <w:object w:dxaOrig="2320" w:dyaOrig="380" w14:anchorId="1EE3A9D2">
          <v:shape id="_x0000_i1408" type="#_x0000_t75" style="width:117pt;height:18pt" o:ole="">
            <v:imagedata r:id="rId781" o:title=""/>
          </v:shape>
          <o:OLEObject Type="Embed" ProgID="Equation.DSMT4" ShapeID="_x0000_i1408" DrawAspect="Content" ObjectID="_1754918959" r:id="rId782"/>
        </w:objec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39</w:instrText>
      </w:r>
      <w:r>
        <w:rPr>
          <w:noProof/>
        </w:rPr>
        <w:fldChar w:fldCharType="end"/>
      </w:r>
      <w:r>
        <w:instrText>)</w:instrText>
      </w:r>
      <w:r>
        <w:fldChar w:fldCharType="end"/>
      </w:r>
    </w:p>
    <w:p w14:paraId="2BA773AE" w14:textId="77777777" w:rsidR="006C3DEB" w:rsidRDefault="006C3DEB" w:rsidP="006C3DEB">
      <w:r>
        <w:t>where</w:t>
      </w:r>
      <w:r w:rsidRPr="00E670A7">
        <w:rPr>
          <w:position w:val="-12"/>
        </w:rPr>
        <w:object w:dxaOrig="300" w:dyaOrig="380" w14:anchorId="1EF6A36D">
          <v:shape id="_x0000_i1409" type="#_x0000_t75" style="width:15pt;height:18pt" o:ole="">
            <v:imagedata r:id="rId783" o:title=""/>
          </v:shape>
          <o:OLEObject Type="Embed" ProgID="Equation.DSMT4" ShapeID="_x0000_i1409" DrawAspect="Content" ObjectID="_1754918960" r:id="rId784"/>
        </w:object>
      </w:r>
      <w:r>
        <w:t>is an equity premium.</w:t>
      </w:r>
    </w:p>
    <w:p w14:paraId="520DA942" w14:textId="77777777" w:rsidR="006C3DEB" w:rsidRDefault="006C3DEB" w:rsidP="006C3DEB">
      <w:r>
        <w:t xml:space="preserve">In contrast, foreign investors must pay withholding tax </w:t>
      </w:r>
      <w:r w:rsidRPr="00E670A7">
        <w:rPr>
          <w:position w:val="-12"/>
        </w:rPr>
        <w:object w:dxaOrig="420" w:dyaOrig="380" w14:anchorId="76E840AB">
          <v:shape id="_x0000_i1410" type="#_x0000_t75" style="width:19.8pt;height:18pt" o:ole="">
            <v:imagedata r:id="rId785" o:title=""/>
          </v:shape>
          <o:OLEObject Type="Embed" ProgID="Equation.DSMT4" ShapeID="_x0000_i1410" DrawAspect="Content" ObjectID="_1754918961" r:id="rId786"/>
        </w:object>
      </w:r>
      <w:r>
        <w:t>on dividends, which implies the following required rate of return to foreign equity holders when their return is realised as a dividend:</w:t>
      </w:r>
    </w:p>
    <w:p w14:paraId="71233B04" w14:textId="5BAC18B0" w:rsidR="006C3DEB" w:rsidRDefault="006C3DEB" w:rsidP="006C3DEB">
      <w:pPr>
        <w:pStyle w:val="MTDisplayEquation"/>
      </w:pPr>
      <w:r>
        <w:tab/>
      </w:r>
      <w:r w:rsidRPr="00E670A7">
        <w:rPr>
          <w:position w:val="-30"/>
        </w:rPr>
        <w:object w:dxaOrig="2880" w:dyaOrig="720" w14:anchorId="4705E98A">
          <v:shape id="_x0000_i1411" type="#_x0000_t75" style="width:2in;height:37.8pt" o:ole="">
            <v:imagedata r:id="rId787" o:title=""/>
          </v:shape>
          <o:OLEObject Type="Embed" ProgID="Equation.DSMT4" ShapeID="_x0000_i1411" DrawAspect="Content" ObjectID="_1754918962" r:id="rId78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40</w:instrText>
      </w:r>
      <w:r>
        <w:rPr>
          <w:noProof/>
        </w:rPr>
        <w:fldChar w:fldCharType="end"/>
      </w:r>
      <w:r>
        <w:instrText>)</w:instrText>
      </w:r>
      <w:r>
        <w:fldChar w:fldCharType="end"/>
      </w:r>
    </w:p>
    <w:p w14:paraId="6F9BF3D3" w14:textId="77777777" w:rsidR="006C3DEB" w:rsidRDefault="006C3DEB" w:rsidP="006C3DEB">
      <w:r>
        <w:lastRenderedPageBreak/>
        <w:t xml:space="preserve">Given </w:t>
      </w:r>
      <w:r w:rsidRPr="00E670A7">
        <w:rPr>
          <w:position w:val="-12"/>
        </w:rPr>
        <w:object w:dxaOrig="840" w:dyaOrig="380" w14:anchorId="48DD3211">
          <v:shape id="_x0000_i1412" type="#_x0000_t75" style="width:42pt;height:18pt" o:ole="">
            <v:imagedata r:id="rId789" o:title=""/>
          </v:shape>
          <o:OLEObject Type="Embed" ProgID="Equation.DSMT4" ShapeID="_x0000_i1412" DrawAspect="Content" ObjectID="_1754918963" r:id="rId790"/>
        </w:object>
      </w:r>
      <w:r>
        <w:t>, the lowest cost foreign investor (aka the marginal foreign investor) is one that realises their return as a capital gain. This implies that the global required rate of return on domestic equity is:</w:t>
      </w:r>
    </w:p>
    <w:p w14:paraId="4CE5CABB" w14:textId="62BB53CF" w:rsidR="006C3DEB" w:rsidRDefault="006C3DEB" w:rsidP="006C3DEB">
      <w:pPr>
        <w:pStyle w:val="MTDisplayEquation"/>
      </w:pPr>
      <w:r w:rsidRPr="00514689">
        <w:tab/>
      </w:r>
      <w:r w:rsidRPr="00E670A7">
        <w:rPr>
          <w:position w:val="-12"/>
        </w:rPr>
        <w:object w:dxaOrig="2260" w:dyaOrig="380" w14:anchorId="68D69555">
          <v:shape id="_x0000_i1413" type="#_x0000_t75" style="width:113.4pt;height:18pt" o:ole="">
            <v:imagedata r:id="rId791" o:title=""/>
          </v:shape>
          <o:OLEObject Type="Embed" ProgID="Equation.DSMT4" ShapeID="_x0000_i1413" DrawAspect="Content" ObjectID="_1754918964" r:id="rId792"/>
        </w:objec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41</w:instrText>
      </w:r>
      <w:r>
        <w:rPr>
          <w:noProof/>
        </w:rPr>
        <w:fldChar w:fldCharType="end"/>
      </w:r>
      <w:r>
        <w:instrText>)</w:instrText>
      </w:r>
      <w:r>
        <w:fldChar w:fldCharType="end"/>
      </w:r>
    </w:p>
    <w:p w14:paraId="269F4320" w14:textId="11E7CE51" w:rsidR="006C3DEB" w:rsidRDefault="006C3DEB" w:rsidP="006C3DEB">
      <w:r>
        <w:t>In this version of the model we do model the optimal allocation of funds between non-dwelling assets by assuming that</w:t>
      </w:r>
      <w:r w:rsidRPr="001A03D8">
        <w:t xml:space="preserve"> households invest in firms that pay dividends</w:t>
      </w:r>
      <w:r>
        <w:t xml:space="preserve"> </w:t>
      </w:r>
      <w:r w:rsidRPr="001A03D8">
        <w:t>as well as firms that return earnings as a capital gain</w:t>
      </w:r>
      <w:r>
        <w:t xml:space="preserve"> according to an exogenous fixed split</w:t>
      </w:r>
      <w:r w:rsidR="00005F1E">
        <w:t xml:space="preserve"> </w:t>
      </w:r>
      <w:r w:rsidRPr="00E670A7">
        <w:rPr>
          <w:position w:val="-12"/>
        </w:rPr>
        <w:object w:dxaOrig="380" w:dyaOrig="380" w14:anchorId="0B2BD1F2">
          <v:shape id="_x0000_i1414" type="#_x0000_t75" style="width:18pt;height:18pt" o:ole="">
            <v:imagedata r:id="rId793" o:title=""/>
          </v:shape>
          <o:OLEObject Type="Embed" ProgID="Equation.DSMT4" ShapeID="_x0000_i1414" DrawAspect="Content" ObjectID="_1754918965" r:id="rId794"/>
        </w:object>
      </w:r>
      <w:r w:rsidR="00005F1E">
        <w:t xml:space="preserve"> </w:t>
      </w:r>
      <w:r>
        <w:t>and</w:t>
      </w:r>
      <w:r w:rsidR="00005F1E">
        <w:t xml:space="preserve"> </w:t>
      </w:r>
      <w:r w:rsidRPr="00E670A7">
        <w:rPr>
          <w:position w:val="-12"/>
        </w:rPr>
        <w:object w:dxaOrig="360" w:dyaOrig="380" w14:anchorId="2B21F241">
          <v:shape id="_x0000_i1415" type="#_x0000_t75" style="width:18pt;height:18pt" o:ole="">
            <v:imagedata r:id="rId795" o:title=""/>
          </v:shape>
          <o:OLEObject Type="Embed" ProgID="Equation.DSMT4" ShapeID="_x0000_i1415" DrawAspect="Content" ObjectID="_1754918966" r:id="rId796"/>
        </w:object>
      </w:r>
      <w:r>
        <w:t>. Domestic and foreign equity investors earn the same rate of return. It follows that a domestic investor, subject to marginal personal income tax rate</w:t>
      </w:r>
      <w:r w:rsidR="00005F1E">
        <w:t xml:space="preserve"> </w:t>
      </w:r>
      <w:r w:rsidRPr="00E670A7">
        <w:rPr>
          <w:position w:val="-12"/>
        </w:rPr>
        <w:object w:dxaOrig="380" w:dyaOrig="380" w14:anchorId="50576A13">
          <v:shape id="_x0000_i1416" type="#_x0000_t75" style="width:18pt;height:18pt" o:ole="">
            <v:imagedata r:id="rId797" o:title=""/>
          </v:shape>
          <o:OLEObject Type="Embed" ProgID="Equation.DSMT4" ShapeID="_x0000_i1416" DrawAspect="Content" ObjectID="_1754918967" r:id="rId798"/>
        </w:object>
      </w:r>
      <w:r>
        <w:t>, who realises their return as a dividend will have the following after tax return:</w:t>
      </w:r>
    </w:p>
    <w:p w14:paraId="46DED846" w14:textId="313E347A" w:rsidR="006C3DEB" w:rsidRDefault="006C3DEB" w:rsidP="006C3DEB">
      <w:pPr>
        <w:pStyle w:val="MTDisplayEquation"/>
      </w:pPr>
      <w:r>
        <w:tab/>
      </w:r>
      <w:r w:rsidRPr="00E670A7">
        <w:rPr>
          <w:position w:val="-30"/>
        </w:rPr>
        <w:object w:dxaOrig="4099" w:dyaOrig="720" w14:anchorId="448D392A">
          <v:shape id="_x0000_i1417" type="#_x0000_t75" style="width:205.8pt;height:37.8pt" o:ole="">
            <v:imagedata r:id="rId799" o:title=""/>
          </v:shape>
          <o:OLEObject Type="Embed" ProgID="Equation.DSMT4" ShapeID="_x0000_i1417" DrawAspect="Content" ObjectID="_1754918968" r:id="rId80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42</w:instrText>
      </w:r>
      <w:r>
        <w:rPr>
          <w:noProof/>
        </w:rPr>
        <w:fldChar w:fldCharType="end"/>
      </w:r>
      <w:r>
        <w:instrText>)</w:instrText>
      </w:r>
      <w:r>
        <w:fldChar w:fldCharType="end"/>
      </w:r>
    </w:p>
    <w:p w14:paraId="6E1BD15D" w14:textId="77777777" w:rsidR="006C3DEB" w:rsidRDefault="006C3DEB" w:rsidP="006C3DEB">
      <w:r>
        <w:t>while those that realise their return as a capital gain will have the following after-tax return:</w:t>
      </w:r>
    </w:p>
    <w:p w14:paraId="3C3BD81E" w14:textId="59ECE32B" w:rsidR="006C3DEB" w:rsidRDefault="006C3DEB" w:rsidP="006C3DEB">
      <w:pPr>
        <w:pStyle w:val="MTDisplayEquation"/>
      </w:pPr>
      <w:r>
        <w:tab/>
      </w:r>
      <w:r w:rsidRPr="00E670A7">
        <w:rPr>
          <w:position w:val="-12"/>
        </w:rPr>
        <w:object w:dxaOrig="5679" w:dyaOrig="380" w14:anchorId="78D6C710">
          <v:shape id="_x0000_i1418" type="#_x0000_t75" style="width:283.2pt;height:18pt" o:ole="">
            <v:imagedata r:id="rId801" o:title=""/>
          </v:shape>
          <o:OLEObject Type="Embed" ProgID="Equation.DSMT4" ShapeID="_x0000_i1418" DrawAspect="Content" ObjectID="_1754918969" r:id="rId80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43</w:instrText>
      </w:r>
      <w:r>
        <w:rPr>
          <w:noProof/>
        </w:rPr>
        <w:fldChar w:fldCharType="end"/>
      </w:r>
      <w:r>
        <w:instrText>)</w:instrText>
      </w:r>
      <w:r>
        <w:fldChar w:fldCharType="end"/>
      </w:r>
    </w:p>
    <w:p w14:paraId="5EDED023" w14:textId="77777777" w:rsidR="006C3DEB" w:rsidRDefault="006C3DEB" w:rsidP="006C3DEB">
      <w:r>
        <w:t xml:space="preserve">where </w:t>
      </w:r>
      <w:r w:rsidRPr="00E670A7">
        <w:rPr>
          <w:position w:val="-12"/>
        </w:rPr>
        <w:object w:dxaOrig="420" w:dyaOrig="380" w14:anchorId="629FA39A">
          <v:shape id="_x0000_i1419" type="#_x0000_t75" style="width:19.8pt;height:18pt" o:ole="">
            <v:imagedata r:id="rId803" o:title=""/>
          </v:shape>
          <o:OLEObject Type="Embed" ProgID="Equation.DSMT4" ShapeID="_x0000_i1419" DrawAspect="Content" ObjectID="_1754918970" r:id="rId804"/>
        </w:object>
      </w:r>
      <w:r>
        <w:t xml:space="preserve"> is the capital gains discount.</w:t>
      </w:r>
    </w:p>
    <w:p w14:paraId="24E3B55E" w14:textId="77777777" w:rsidR="006C3DEB" w:rsidRPr="0019103C" w:rsidRDefault="006C3DEB" w:rsidP="006C3DEB">
      <w:r w:rsidRPr="0019103C">
        <w:t xml:space="preserve">Based on </w:t>
      </w:r>
      <w:r>
        <w:t xml:space="preserve">the </w:t>
      </w:r>
      <w:r w:rsidRPr="0019103C">
        <w:t>asset allocation shares described above</w:t>
      </w:r>
      <w:r>
        <w:t>,</w:t>
      </w:r>
      <w:r w:rsidRPr="0019103C">
        <w:t xml:space="preserve"> the equity in Australian firms held domestically</w:t>
      </w:r>
      <w:r>
        <w:t xml:space="preserve"> (including in the dwellings sector)</w:t>
      </w:r>
      <w:r w:rsidRPr="0019103C">
        <w:t xml:space="preserve"> is:</w:t>
      </w:r>
    </w:p>
    <w:p w14:paraId="4EB1AB24" w14:textId="037D9FFE" w:rsidR="006C3DEB" w:rsidRPr="0019103C" w:rsidRDefault="006C3DEB" w:rsidP="006C3DEB">
      <w:pPr>
        <w:pStyle w:val="MTDisplayEquation"/>
      </w:pPr>
      <w:r w:rsidRPr="0019103C">
        <w:tab/>
      </w:r>
      <w:r w:rsidRPr="00E670A7">
        <w:rPr>
          <w:position w:val="-14"/>
        </w:rPr>
        <w:object w:dxaOrig="3640" w:dyaOrig="400" w14:anchorId="21542F47">
          <v:shape id="_x0000_i1420" type="#_x0000_t75" style="width:183pt;height:20.4pt" o:ole="">
            <v:imagedata r:id="rId805" o:title=""/>
          </v:shape>
          <o:OLEObject Type="Embed" ProgID="Equation.DSMT4" ShapeID="_x0000_i1420" DrawAspect="Content" ObjectID="_1754918971" r:id="rId806"/>
        </w:object>
      </w:r>
      <w:r w:rsidRPr="0019103C">
        <w:tab/>
      </w:r>
      <w:r w:rsidRPr="0019103C">
        <w:fldChar w:fldCharType="begin"/>
      </w:r>
      <w:r w:rsidRPr="0019103C">
        <w:instrText xml:space="preserve"> MACROBUTTON MTPlaceRef \* MERGEFORMAT </w:instrText>
      </w:r>
      <w:r w:rsidRPr="0019103C">
        <w:fldChar w:fldCharType="begin"/>
      </w:r>
      <w:r w:rsidRPr="0019103C">
        <w:instrText xml:space="preserve"> SEQ MTEqn \h \* MERGEFORMAT </w:instrText>
      </w:r>
      <w:r w:rsidRPr="0019103C">
        <w:fldChar w:fldCharType="end"/>
      </w:r>
      <w:r w:rsidRPr="0019103C">
        <w:instrText>(</w:instrText>
      </w:r>
      <w:r w:rsidRPr="0019103C">
        <w:rPr>
          <w:noProof/>
        </w:rPr>
        <w:fldChar w:fldCharType="begin"/>
      </w:r>
      <w:r w:rsidRPr="0019103C">
        <w:rPr>
          <w:noProof/>
        </w:rPr>
        <w:instrText xml:space="preserve"> SEQ MTEqn \c \* Arabic \* MERGEFORMAT </w:instrText>
      </w:r>
      <w:r w:rsidRPr="0019103C">
        <w:rPr>
          <w:noProof/>
        </w:rPr>
        <w:fldChar w:fldCharType="separate"/>
      </w:r>
      <w:r w:rsidR="00E00A52">
        <w:rPr>
          <w:noProof/>
        </w:rPr>
        <w:instrText>44</w:instrText>
      </w:r>
      <w:r w:rsidRPr="0019103C">
        <w:rPr>
          <w:noProof/>
        </w:rPr>
        <w:fldChar w:fldCharType="end"/>
      </w:r>
      <w:r w:rsidRPr="0019103C">
        <w:instrText>)</w:instrText>
      </w:r>
      <w:r w:rsidRPr="0019103C">
        <w:fldChar w:fldCharType="end"/>
      </w:r>
    </w:p>
    <w:p w14:paraId="10FF75AC" w14:textId="77777777" w:rsidR="006C3DEB" w:rsidRPr="0019103C" w:rsidRDefault="006C3DEB" w:rsidP="006C3DEB">
      <w:r w:rsidRPr="0019103C">
        <w:t>This implies the following foreign holding of equity in Australian firms:</w:t>
      </w:r>
    </w:p>
    <w:p w14:paraId="3352090C" w14:textId="6E4B1DB1" w:rsidR="006C3DEB" w:rsidRPr="0019103C" w:rsidRDefault="006C3DEB" w:rsidP="006C3DEB">
      <w:pPr>
        <w:pStyle w:val="MTDisplayEquation"/>
      </w:pPr>
      <w:r w:rsidRPr="0019103C">
        <w:tab/>
      </w:r>
      <w:r w:rsidRPr="00E670A7">
        <w:rPr>
          <w:position w:val="-12"/>
        </w:rPr>
        <w:object w:dxaOrig="1260" w:dyaOrig="380" w14:anchorId="35A67296">
          <v:shape id="_x0000_i1421" type="#_x0000_t75" style="width:61.2pt;height:18pt" o:ole="">
            <v:imagedata r:id="rId807" o:title=""/>
          </v:shape>
          <o:OLEObject Type="Embed" ProgID="Equation.DSMT4" ShapeID="_x0000_i1421" DrawAspect="Content" ObjectID="_1754918972" r:id="rId808"/>
        </w:object>
      </w:r>
      <w:r w:rsidRPr="0019103C">
        <w:t xml:space="preserve"> </w:t>
      </w:r>
      <w:r w:rsidRPr="0019103C">
        <w:tab/>
      </w:r>
      <w:r w:rsidRPr="0019103C">
        <w:fldChar w:fldCharType="begin"/>
      </w:r>
      <w:r w:rsidRPr="0019103C">
        <w:instrText xml:space="preserve"> MACROBUTTON MTPlaceRef \* MERGEFORMAT </w:instrText>
      </w:r>
      <w:r w:rsidRPr="0019103C">
        <w:fldChar w:fldCharType="begin"/>
      </w:r>
      <w:r w:rsidRPr="0019103C">
        <w:instrText xml:space="preserve"> SEQ MTEqn \h \* MERGEFORMAT </w:instrText>
      </w:r>
      <w:r w:rsidRPr="0019103C">
        <w:fldChar w:fldCharType="end"/>
      </w:r>
      <w:r w:rsidRPr="0019103C">
        <w:instrText>(</w:instrText>
      </w:r>
      <w:r w:rsidR="009B2CE5">
        <w:fldChar w:fldCharType="begin"/>
      </w:r>
      <w:r w:rsidR="009B2CE5">
        <w:instrText>SEQ MTEqn \c \* Arabic \* MERGEFORMAT</w:instrText>
      </w:r>
      <w:r w:rsidR="009B2CE5">
        <w:fldChar w:fldCharType="separate"/>
      </w:r>
      <w:r w:rsidR="00E00A52">
        <w:rPr>
          <w:noProof/>
        </w:rPr>
        <w:instrText>45</w:instrText>
      </w:r>
      <w:r w:rsidR="009B2CE5">
        <w:rPr>
          <w:noProof/>
        </w:rPr>
        <w:fldChar w:fldCharType="end"/>
      </w:r>
      <w:r w:rsidRPr="0019103C">
        <w:instrText>)</w:instrText>
      </w:r>
      <w:r w:rsidRPr="0019103C">
        <w:fldChar w:fldCharType="end"/>
      </w:r>
    </w:p>
    <w:p w14:paraId="6D31E8B9" w14:textId="77777777" w:rsidR="006C3DEB" w:rsidRDefault="006C3DEB" w:rsidP="006C3DEB">
      <w:pPr>
        <w:pStyle w:val="Heading4"/>
      </w:pPr>
      <w:r w:rsidRPr="0019103C">
        <w:t>Household’s foreign investment</w:t>
      </w:r>
    </w:p>
    <w:p w14:paraId="2EB9F978" w14:textId="5F3EF104" w:rsidR="006C3DEB" w:rsidRDefault="006C3DEB" w:rsidP="006C3DEB">
      <w:r>
        <w:t>Finally, domestic investors are assumed to earn a before Australian tax rate of return of</w:t>
      </w:r>
      <w:r w:rsidR="007F3530">
        <w:t xml:space="preserve"> </w:t>
      </w:r>
      <w:r w:rsidRPr="00E670A7">
        <w:rPr>
          <w:position w:val="-12"/>
        </w:rPr>
        <w:object w:dxaOrig="360" w:dyaOrig="380" w14:anchorId="4D86BC62">
          <v:shape id="_x0000_i1422" type="#_x0000_t75" style="width:18pt;height:18pt" o:ole="">
            <v:imagedata r:id="rId809" o:title=""/>
          </v:shape>
          <o:OLEObject Type="Embed" ProgID="Equation.DSMT4" ShapeID="_x0000_i1422" DrawAspect="Content" ObjectID="_1754918973" r:id="rId810"/>
        </w:object>
      </w:r>
      <w:r w:rsidR="007F3530">
        <w:t xml:space="preserve"> </w:t>
      </w:r>
      <w:r>
        <w:t>on the composite of foreign assets (bonds and equity):</w:t>
      </w:r>
    </w:p>
    <w:p w14:paraId="2FA4389A" w14:textId="7402777E" w:rsidR="006C3DEB" w:rsidRDefault="006C3DEB" w:rsidP="006C3DEB">
      <w:pPr>
        <w:pStyle w:val="MTDisplayEquation"/>
      </w:pPr>
      <w:r>
        <w:tab/>
      </w:r>
      <w:r w:rsidRPr="00E670A7">
        <w:rPr>
          <w:position w:val="-12"/>
        </w:rPr>
        <w:object w:dxaOrig="1480" w:dyaOrig="380" w14:anchorId="44F5D7EA">
          <v:shape id="_x0000_i1423" type="#_x0000_t75" style="width:72.6pt;height:18pt" o:ole="">
            <v:imagedata r:id="rId811" o:title=""/>
          </v:shape>
          <o:OLEObject Type="Embed" ProgID="Equation.DSMT4" ShapeID="_x0000_i1423" DrawAspect="Content" ObjectID="_1754918974" r:id="rId81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46</w:instrText>
      </w:r>
      <w:r>
        <w:rPr>
          <w:noProof/>
        </w:rPr>
        <w:fldChar w:fldCharType="end"/>
      </w:r>
      <w:r>
        <w:instrText>)</w:instrText>
      </w:r>
      <w:r>
        <w:fldChar w:fldCharType="end"/>
      </w:r>
    </w:p>
    <w:p w14:paraId="4A1C34C6" w14:textId="71A62D16" w:rsidR="006C3DEB" w:rsidRPr="001478AC" w:rsidRDefault="007F3530" w:rsidP="006C3DEB">
      <w:r>
        <w:t>W</w:t>
      </w:r>
      <w:r w:rsidR="006C3DEB">
        <w:t>here</w:t>
      </w:r>
      <w:r>
        <w:t xml:space="preserve"> </w:t>
      </w:r>
      <w:r w:rsidR="006C3DEB" w:rsidRPr="00E670A7">
        <w:rPr>
          <w:position w:val="-12"/>
        </w:rPr>
        <w:object w:dxaOrig="400" w:dyaOrig="380" w14:anchorId="2668FD75">
          <v:shape id="_x0000_i1424" type="#_x0000_t75" style="width:20.4pt;height:18pt" o:ole="">
            <v:imagedata r:id="rId813" o:title=""/>
          </v:shape>
          <o:OLEObject Type="Embed" ProgID="Equation.DSMT4" ShapeID="_x0000_i1424" DrawAspect="Content" ObjectID="_1754918975" r:id="rId814"/>
        </w:object>
      </w:r>
      <w:r>
        <w:t xml:space="preserve"> </w:t>
      </w:r>
      <w:r w:rsidR="006C3DEB">
        <w:t xml:space="preserve">is the risk </w:t>
      </w:r>
      <w:r w:rsidR="006C3DEB" w:rsidRPr="001478AC">
        <w:t>premium of the foreign portfolio over the sovereign borrowing rate.</w:t>
      </w:r>
    </w:p>
    <w:p w14:paraId="37217F0D" w14:textId="77777777" w:rsidR="006C3DEB" w:rsidRDefault="006C3DEB" w:rsidP="006C3DEB">
      <w:r w:rsidRPr="001478AC">
        <w:t>Based on the asset allocation shares described above, foreign assets held domestically is:</w:t>
      </w:r>
    </w:p>
    <w:p w14:paraId="1B13D783" w14:textId="72996F81" w:rsidR="006C3DEB" w:rsidRDefault="006C3DEB" w:rsidP="006C3DEB">
      <w:pPr>
        <w:pStyle w:val="MTDisplayEquation"/>
      </w:pPr>
      <w:r>
        <w:tab/>
      </w:r>
      <w:r w:rsidRPr="00E670A7">
        <w:rPr>
          <w:position w:val="-14"/>
        </w:rPr>
        <w:object w:dxaOrig="1960" w:dyaOrig="400" w14:anchorId="24D035FE">
          <v:shape id="_x0000_i1425" type="#_x0000_t75" style="width:97.8pt;height:20.4pt" o:ole="">
            <v:imagedata r:id="rId815" o:title=""/>
          </v:shape>
          <o:OLEObject Type="Embed" ProgID="Equation.DSMT4" ShapeID="_x0000_i1425" DrawAspect="Content" ObjectID="_1754918976" r:id="rId81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47</w:instrText>
      </w:r>
      <w:r>
        <w:rPr>
          <w:noProof/>
        </w:rPr>
        <w:fldChar w:fldCharType="end"/>
      </w:r>
      <w:r>
        <w:instrText>)</w:instrText>
      </w:r>
      <w:r>
        <w:fldChar w:fldCharType="end"/>
      </w:r>
    </w:p>
    <w:p w14:paraId="633F827F" w14:textId="77777777" w:rsidR="006C3DEB" w:rsidRDefault="006C3DEB" w:rsidP="006C3DEB">
      <w:pPr>
        <w:pStyle w:val="Heading4"/>
      </w:pPr>
      <w:r>
        <w:lastRenderedPageBreak/>
        <w:t>Household’s return on savings</w:t>
      </w:r>
    </w:p>
    <w:p w14:paraId="167E2E09" w14:textId="77777777" w:rsidR="006C3DEB" w:rsidRPr="001478AC" w:rsidRDefault="006C3DEB" w:rsidP="006C3DEB">
      <w:r>
        <w:t>The household’s implied b</w:t>
      </w:r>
      <w:r w:rsidRPr="001478AC">
        <w:t xml:space="preserve">efore personal income tax rate of return on savings is as follows: </w:t>
      </w:r>
    </w:p>
    <w:p w14:paraId="01B8D854" w14:textId="0FE3A2D9" w:rsidR="006C3DEB" w:rsidRPr="001478AC" w:rsidRDefault="006C3DEB" w:rsidP="006C3DEB">
      <w:pPr>
        <w:pStyle w:val="MTDisplayEquation"/>
      </w:pPr>
      <w:r w:rsidRPr="001478AC">
        <w:tab/>
      </w:r>
      <w:r w:rsidRPr="00E670A7">
        <w:rPr>
          <w:position w:val="-36"/>
        </w:rPr>
        <w:object w:dxaOrig="8199" w:dyaOrig="840" w14:anchorId="62B4057F">
          <v:shape id="_x0000_i1426" type="#_x0000_t75" style="width:410.4pt;height:42pt" o:ole="">
            <v:imagedata r:id="rId817" o:title=""/>
          </v:shape>
          <o:OLEObject Type="Embed" ProgID="Equation.DSMT4" ShapeID="_x0000_i1426" DrawAspect="Content" ObjectID="_1754918977" r:id="rId818"/>
        </w:object>
      </w:r>
      <w:r w:rsidRPr="001478AC">
        <w:tab/>
      </w:r>
      <w:r w:rsidRPr="001478AC">
        <w:fldChar w:fldCharType="begin"/>
      </w:r>
      <w:r w:rsidRPr="001478AC">
        <w:instrText xml:space="preserve"> MACROBUTTON MTPlaceRef \* MERGEFORMAT </w:instrText>
      </w:r>
      <w:r w:rsidRPr="001478AC">
        <w:fldChar w:fldCharType="begin"/>
      </w:r>
      <w:r w:rsidRPr="001478AC">
        <w:instrText xml:space="preserve"> SEQ MTEqn \h \* MERGEFORMAT </w:instrText>
      </w:r>
      <w:r w:rsidRPr="001478AC">
        <w:fldChar w:fldCharType="end"/>
      </w:r>
      <w:r w:rsidRPr="001478AC">
        <w:instrText>(</w:instrText>
      </w:r>
      <w:r w:rsidRPr="001478AC">
        <w:rPr>
          <w:noProof/>
        </w:rPr>
        <w:fldChar w:fldCharType="begin"/>
      </w:r>
      <w:r w:rsidRPr="001478AC">
        <w:rPr>
          <w:noProof/>
        </w:rPr>
        <w:instrText xml:space="preserve"> SEQ MTEqn \c \* Arabic \* MERGEFORMAT </w:instrText>
      </w:r>
      <w:r w:rsidRPr="001478AC">
        <w:rPr>
          <w:noProof/>
        </w:rPr>
        <w:fldChar w:fldCharType="separate"/>
      </w:r>
      <w:r w:rsidR="00E00A52">
        <w:rPr>
          <w:noProof/>
        </w:rPr>
        <w:instrText>48</w:instrText>
      </w:r>
      <w:r w:rsidRPr="001478AC">
        <w:rPr>
          <w:noProof/>
        </w:rPr>
        <w:fldChar w:fldCharType="end"/>
      </w:r>
      <w:r w:rsidRPr="001478AC">
        <w:instrText>)</w:instrText>
      </w:r>
      <w:r w:rsidRPr="001478AC">
        <w:fldChar w:fldCharType="end"/>
      </w:r>
    </w:p>
    <w:p w14:paraId="2B4FC5D0" w14:textId="77777777" w:rsidR="006C3DEB" w:rsidRPr="001478AC" w:rsidRDefault="006C3DEB" w:rsidP="006C3DEB">
      <w:r>
        <w:t xml:space="preserve">Because </w:t>
      </w:r>
      <w:r w:rsidRPr="005950D0">
        <w:t xml:space="preserve">ownership of dwellings </w:t>
      </w:r>
      <w:r>
        <w:t>is exempted in Version 1.0 of OLGA, t</w:t>
      </w:r>
      <w:r w:rsidRPr="001478AC">
        <w:t>he rate of return on household savings for the purpose of calculating personal income tax payable is as follows:</w:t>
      </w:r>
    </w:p>
    <w:p w14:paraId="2E64985A" w14:textId="17E2BD68" w:rsidR="006C3DEB" w:rsidRPr="001478AC" w:rsidRDefault="006C3DEB" w:rsidP="006C3DEB">
      <w:pPr>
        <w:pStyle w:val="MTDisplayEquation"/>
      </w:pPr>
      <w:r w:rsidRPr="001478AC">
        <w:tab/>
      </w:r>
      <w:r w:rsidRPr="00E670A7">
        <w:rPr>
          <w:position w:val="-54"/>
        </w:rPr>
        <w:object w:dxaOrig="7339" w:dyaOrig="1200" w14:anchorId="2F43CA21">
          <v:shape id="_x0000_i1427" type="#_x0000_t75" style="width:367.2pt;height:59.4pt" o:ole="">
            <v:imagedata r:id="rId819" o:title=""/>
          </v:shape>
          <o:OLEObject Type="Embed" ProgID="Equation.DSMT4" ShapeID="_x0000_i1427" DrawAspect="Content" ObjectID="_1754918978" r:id="rId820"/>
        </w:object>
      </w:r>
      <w:r w:rsidRPr="001478AC">
        <w:tab/>
      </w:r>
      <w:r w:rsidRPr="001478AC">
        <w:fldChar w:fldCharType="begin"/>
      </w:r>
      <w:r w:rsidRPr="001478AC">
        <w:instrText xml:space="preserve"> MACROBUTTON MTPlaceRef \* MERGEFORMAT </w:instrText>
      </w:r>
      <w:r w:rsidRPr="001478AC">
        <w:fldChar w:fldCharType="begin"/>
      </w:r>
      <w:r w:rsidRPr="001478AC">
        <w:instrText xml:space="preserve"> SEQ MTEqn \h \* MERGEFORMAT </w:instrText>
      </w:r>
      <w:r w:rsidRPr="001478AC">
        <w:fldChar w:fldCharType="end"/>
      </w:r>
      <w:r w:rsidRPr="001478AC">
        <w:instrText>(</w:instrText>
      </w:r>
      <w:r w:rsidRPr="001478AC">
        <w:rPr>
          <w:noProof/>
        </w:rPr>
        <w:fldChar w:fldCharType="begin"/>
      </w:r>
      <w:r w:rsidRPr="001478AC">
        <w:rPr>
          <w:noProof/>
        </w:rPr>
        <w:instrText xml:space="preserve"> SEQ MTEqn \c \* Arabic \* MERGEFORMAT </w:instrText>
      </w:r>
      <w:r w:rsidRPr="001478AC">
        <w:rPr>
          <w:noProof/>
        </w:rPr>
        <w:fldChar w:fldCharType="separate"/>
      </w:r>
      <w:r w:rsidR="00E00A52">
        <w:rPr>
          <w:noProof/>
        </w:rPr>
        <w:instrText>49</w:instrText>
      </w:r>
      <w:r w:rsidRPr="001478AC">
        <w:rPr>
          <w:noProof/>
        </w:rPr>
        <w:fldChar w:fldCharType="end"/>
      </w:r>
      <w:r w:rsidRPr="001478AC">
        <w:instrText>)</w:instrText>
      </w:r>
      <w:r w:rsidRPr="001478AC">
        <w:fldChar w:fldCharType="end"/>
      </w:r>
    </w:p>
    <w:p w14:paraId="764AE832" w14:textId="39AC7088" w:rsidR="006C3DEB" w:rsidRDefault="006C3DEB" w:rsidP="006C3DEB">
      <w:r w:rsidRPr="001478AC">
        <w:t>This reflects that dividends are grossed up to account for franking credits, while earnings returned via share buyback reflect a</w:t>
      </w:r>
      <w:r>
        <w:t xml:space="preserve"> discounted</w:t>
      </w:r>
      <w:r w:rsidRPr="001478AC">
        <w:t xml:space="preserve"> capital gain. Returns from corporate bonds</w:t>
      </w:r>
      <w:r w:rsidRPr="00E670A7">
        <w:rPr>
          <w:position w:val="-12"/>
        </w:rPr>
        <w:object w:dxaOrig="260" w:dyaOrig="380" w14:anchorId="56AE2A88">
          <v:shape id="_x0000_i1428" type="#_x0000_t75" style="width:14.4pt;height:18pt" o:ole="">
            <v:imagedata r:id="rId821" o:title=""/>
          </v:shape>
          <o:OLEObject Type="Embed" ProgID="Equation.DSMT4" ShapeID="_x0000_i1428" DrawAspect="Content" ObjectID="_1754918979" r:id="rId822"/>
        </w:object>
      </w:r>
      <w:r w:rsidRPr="001478AC">
        <w:t>, government bonds</w:t>
      </w:r>
      <w:r w:rsidRPr="00E670A7">
        <w:rPr>
          <w:position w:val="-12"/>
        </w:rPr>
        <w:object w:dxaOrig="279" w:dyaOrig="380" w14:anchorId="72A27560">
          <v:shape id="_x0000_i1429" type="#_x0000_t75" style="width:15pt;height:18pt" o:ole="">
            <v:imagedata r:id="rId823" o:title=""/>
          </v:shape>
          <o:OLEObject Type="Embed" ProgID="Equation.DSMT4" ShapeID="_x0000_i1429" DrawAspect="Content" ObjectID="_1754918980" r:id="rId824"/>
        </w:object>
      </w:r>
      <w:r w:rsidRPr="001478AC">
        <w:t>and foreign assets</w:t>
      </w:r>
      <w:r w:rsidR="007F3530">
        <w:t xml:space="preserve"> </w:t>
      </w:r>
      <w:r w:rsidRPr="00E670A7">
        <w:rPr>
          <w:position w:val="-12"/>
        </w:rPr>
        <w:object w:dxaOrig="360" w:dyaOrig="380" w14:anchorId="5D7DD923">
          <v:shape id="_x0000_i1430" type="#_x0000_t75" style="width:18pt;height:18pt" o:ole="">
            <v:imagedata r:id="rId825" o:title=""/>
          </v:shape>
          <o:OLEObject Type="Embed" ProgID="Equation.DSMT4" ShapeID="_x0000_i1430" DrawAspect="Content" ObjectID="_1754918981" r:id="rId826"/>
        </w:object>
      </w:r>
      <w:r w:rsidRPr="001478AC">
        <w:t>are taxed at full value.</w:t>
      </w:r>
      <w:r>
        <w:t xml:space="preserve"> As we do not model superannuation separately in this version of OLGA, there is no concessional treatment of savings through superannuation.</w:t>
      </w:r>
    </w:p>
    <w:p w14:paraId="32BAC552" w14:textId="77777777" w:rsidR="006C3DEB" w:rsidRDefault="006C3DEB" w:rsidP="006C3DEB">
      <w:r>
        <w:t xml:space="preserve">For simplicity households are assumed to turn over their savings every period. As such, they are subject to tax/credit on the capital gain/loss resulting from the change in asset prices in that period. Foreign investors are not subject to capital gains tax. Corporate bonds, government bonds and the household’s foreign portfolio do not experience capital gain or loss because they are assumed to be one period securities. This means equity is the only household asset subject to price change. </w:t>
      </w:r>
    </w:p>
    <w:p w14:paraId="423097B5" w14:textId="77777777" w:rsidR="006C3DEB" w:rsidRDefault="006C3DEB" w:rsidP="006C3DEB">
      <w:pPr>
        <w:pStyle w:val="Heading4"/>
      </w:pPr>
      <w:r>
        <w:t>Total foreign liabilities</w:t>
      </w:r>
    </w:p>
    <w:p w14:paraId="5D38C814" w14:textId="77777777" w:rsidR="006C3DEB" w:rsidRDefault="006C3DEB" w:rsidP="006C3DEB">
      <w:r>
        <w:t>The total foreign liabilities of the Australian economy and the related portfolio weights are then:</w:t>
      </w:r>
    </w:p>
    <w:p w14:paraId="6660927C" w14:textId="5F4F6AE7" w:rsidR="006C3DEB" w:rsidRDefault="006C3DEB" w:rsidP="006C3DEB">
      <w:pPr>
        <w:pStyle w:val="MTDisplayEquation"/>
      </w:pPr>
      <w:r>
        <w:tab/>
      </w:r>
      <w:r w:rsidRPr="00E670A7">
        <w:rPr>
          <w:position w:val="-72"/>
        </w:rPr>
        <w:object w:dxaOrig="1900" w:dyaOrig="1560" w14:anchorId="3FFFF7E5">
          <v:shape id="_x0000_i1431" type="#_x0000_t75" style="width:96pt;height:79.2pt" o:ole="">
            <v:imagedata r:id="rId827" o:title=""/>
          </v:shape>
          <o:OLEObject Type="Embed" ProgID="Equation.DSMT4" ShapeID="_x0000_i1431" DrawAspect="Content" ObjectID="_1754918982" r:id="rId82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50</w:instrText>
      </w:r>
      <w:r>
        <w:rPr>
          <w:noProof/>
        </w:rPr>
        <w:fldChar w:fldCharType="end"/>
      </w:r>
      <w:r>
        <w:instrText>)</w:instrText>
      </w:r>
      <w:r>
        <w:fldChar w:fldCharType="end"/>
      </w:r>
    </w:p>
    <w:p w14:paraId="21E09C7B" w14:textId="77777777" w:rsidR="006C3DEB" w:rsidRDefault="006C3DEB" w:rsidP="006C3DEB">
      <w:r>
        <w:t>where:</w:t>
      </w:r>
      <w:r w:rsidRPr="00E670A7">
        <w:rPr>
          <w:position w:val="-12"/>
        </w:rPr>
        <w:object w:dxaOrig="840" w:dyaOrig="380" w14:anchorId="59D5E069">
          <v:shape id="_x0000_i1432" type="#_x0000_t75" style="width:42pt;height:18pt" o:ole="">
            <v:imagedata r:id="rId829" o:title=""/>
          </v:shape>
          <o:OLEObject Type="Embed" ProgID="Equation.DSMT4" ShapeID="_x0000_i1432" DrawAspect="Content" ObjectID="_1754918983" r:id="rId830"/>
        </w:object>
      </w:r>
      <w:r>
        <w:t>is the implied share of foreign liabilities accounted for by foreign holdings of Australian government bonds;</w:t>
      </w:r>
      <w:r w:rsidRPr="00E670A7">
        <w:rPr>
          <w:position w:val="-12"/>
        </w:rPr>
        <w:object w:dxaOrig="820" w:dyaOrig="380" w14:anchorId="7D0EFC46">
          <v:shape id="_x0000_i1433" type="#_x0000_t75" style="width:40.8pt;height:18pt" o:ole="">
            <v:imagedata r:id="rId831" o:title=""/>
          </v:shape>
          <o:OLEObject Type="Embed" ProgID="Equation.DSMT4" ShapeID="_x0000_i1433" DrawAspect="Content" ObjectID="_1754918984" r:id="rId832"/>
        </w:object>
      </w:r>
      <w:r>
        <w:t xml:space="preserve">is the implied share of foreign liabilities accounted for by foreign holdings of Australian corporate bonds; and </w:t>
      </w:r>
      <w:r w:rsidRPr="00E670A7">
        <w:rPr>
          <w:position w:val="-12"/>
        </w:rPr>
        <w:object w:dxaOrig="2520" w:dyaOrig="380" w14:anchorId="42F10B5B">
          <v:shape id="_x0000_i1434" type="#_x0000_t75" style="width:128.4pt;height:18pt" o:ole="">
            <v:imagedata r:id="rId833" o:title=""/>
          </v:shape>
          <o:OLEObject Type="Embed" ProgID="Equation.DSMT4" ShapeID="_x0000_i1434" DrawAspect="Content" ObjectID="_1754918985" r:id="rId834"/>
        </w:object>
      </w:r>
      <w:r>
        <w:t>is the implied share of foreign liabilities accounted for by foreign holdings of equity in Australian firms.</w:t>
      </w:r>
    </w:p>
    <w:p w14:paraId="40DFD0B5" w14:textId="77777777" w:rsidR="006C3DEB" w:rsidRDefault="006C3DEB" w:rsidP="006C3DEB">
      <w:r>
        <w:t>The implied after-tax rate of return on this portfolio is:</w:t>
      </w:r>
    </w:p>
    <w:p w14:paraId="6556882B" w14:textId="76615035" w:rsidR="006C3DEB" w:rsidRDefault="006C3DEB" w:rsidP="006C3DEB">
      <w:pPr>
        <w:pStyle w:val="MTDisplayEquation"/>
      </w:pPr>
      <w:r>
        <w:tab/>
      </w:r>
      <w:r w:rsidRPr="00E670A7">
        <w:rPr>
          <w:position w:val="-16"/>
        </w:rPr>
        <w:object w:dxaOrig="4480" w:dyaOrig="440" w14:anchorId="344D7AB3">
          <v:shape id="_x0000_i1435" type="#_x0000_t75" style="width:225pt;height:21.6pt" o:ole="">
            <v:imagedata r:id="rId835" o:title=""/>
          </v:shape>
          <o:OLEObject Type="Embed" ProgID="Equation.DSMT4" ShapeID="_x0000_i1435" DrawAspect="Content" ObjectID="_1754918986" r:id="rId83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51</w:instrText>
      </w:r>
      <w:r>
        <w:rPr>
          <w:noProof/>
        </w:rPr>
        <w:fldChar w:fldCharType="end"/>
      </w:r>
      <w:r>
        <w:instrText>)</w:instrText>
      </w:r>
      <w:r>
        <w:fldChar w:fldCharType="end"/>
      </w:r>
    </w:p>
    <w:p w14:paraId="43B2C059" w14:textId="77777777" w:rsidR="006C3DEB" w:rsidRDefault="006C3DEB" w:rsidP="006C3DEB">
      <w:pPr>
        <w:spacing w:before="0" w:after="200" w:line="276" w:lineRule="auto"/>
        <w:rPr>
          <w:rFonts w:ascii="Calibri" w:hAnsi="Calibri" w:cs="Arial"/>
          <w:b/>
          <w:color w:val="4D7861" w:themeColor="accent2"/>
          <w:kern w:val="32"/>
          <w:sz w:val="28"/>
          <w:szCs w:val="26"/>
        </w:rPr>
      </w:pPr>
      <w:r>
        <w:br w:type="page"/>
      </w:r>
    </w:p>
    <w:p w14:paraId="3B89F14C" w14:textId="77777777" w:rsidR="006C3DEB" w:rsidRPr="00514689" w:rsidRDefault="006C3DEB" w:rsidP="006C3DEB">
      <w:pPr>
        <w:pStyle w:val="Heading3"/>
      </w:pPr>
      <w:r>
        <w:lastRenderedPageBreak/>
        <w:t xml:space="preserve">Competitive </w:t>
      </w:r>
      <w:r w:rsidRPr="00514689">
        <w:t>Equilibrium</w:t>
      </w:r>
    </w:p>
    <w:p w14:paraId="35FAB7B8" w14:textId="77777777" w:rsidR="006C3DEB" w:rsidRPr="00855F75" w:rsidRDefault="006C3DEB" w:rsidP="006C3DEB">
      <w:r w:rsidRPr="00855F75">
        <w:t>Given the demographic structure</w:t>
      </w:r>
      <w:r w:rsidRPr="00E670A7">
        <w:rPr>
          <w:position w:val="-12"/>
        </w:rPr>
        <w:object w:dxaOrig="400" w:dyaOrig="380" w14:anchorId="1B68FA4C">
          <v:shape id="_x0000_i1436" type="#_x0000_t75" style="width:20.4pt;height:18pt" o:ole="">
            <v:imagedata r:id="rId837" o:title=""/>
          </v:shape>
          <o:OLEObject Type="Embed" ProgID="Equation.DSMT4" ShapeID="_x0000_i1436" DrawAspect="Content" ObjectID="_1754918987" r:id="rId838"/>
        </w:object>
      </w:r>
      <w:r w:rsidRPr="00855F75">
        <w:t>, relative labour efficiency</w:t>
      </w:r>
      <w:r w:rsidRPr="00E670A7">
        <w:rPr>
          <w:position w:val="-10"/>
        </w:rPr>
        <w:object w:dxaOrig="400" w:dyaOrig="360" w14:anchorId="25570436">
          <v:shape id="_x0000_i1437" type="#_x0000_t75" style="width:20.4pt;height:18pt" o:ole="">
            <v:imagedata r:id="rId839" o:title=""/>
          </v:shape>
          <o:OLEObject Type="Embed" ProgID="Equation.DSMT4" ShapeID="_x0000_i1437" DrawAspect="Content" ObjectID="_1754918988" r:id="rId840"/>
        </w:object>
      </w:r>
      <w:r w:rsidRPr="00855F75">
        <w:t xml:space="preserve">, labour augmenting technical progress </w:t>
      </w:r>
      <w:r w:rsidRPr="00E670A7">
        <w:rPr>
          <w:position w:val="-12"/>
        </w:rPr>
        <w:object w:dxaOrig="279" w:dyaOrig="380" w14:anchorId="164953DA">
          <v:shape id="_x0000_i1438" type="#_x0000_t75" style="width:15pt;height:18pt" o:ole="">
            <v:imagedata r:id="rId841" o:title=""/>
          </v:shape>
          <o:OLEObject Type="Embed" ProgID="Equation.DSMT4" ShapeID="_x0000_i1438" DrawAspect="Content" ObjectID="_1754918989" r:id="rId842"/>
        </w:object>
      </w:r>
      <w:r w:rsidRPr="00855F75">
        <w:t>, government policy (spending, transfers and tax), foreign prices</w:t>
      </w:r>
      <w:r w:rsidRPr="00E670A7">
        <w:rPr>
          <w:position w:val="-14"/>
        </w:rPr>
        <w:object w:dxaOrig="400" w:dyaOrig="400" w14:anchorId="16228992">
          <v:shape id="_x0000_i1439" type="#_x0000_t75" style="width:20.4pt;height:20.4pt" o:ole="">
            <v:imagedata r:id="rId843" o:title=""/>
          </v:shape>
          <o:OLEObject Type="Embed" ProgID="Equation.DSMT4" ShapeID="_x0000_i1439" DrawAspect="Content" ObjectID="_1754918990" r:id="rId844"/>
        </w:object>
      </w:r>
      <w:r w:rsidRPr="00855F75">
        <w:t>, the global required after tax rate of return for sovereign/government debt</w:t>
      </w:r>
      <w:r w:rsidRPr="00E670A7">
        <w:rPr>
          <w:position w:val="-12"/>
        </w:rPr>
        <w:object w:dxaOrig="340" w:dyaOrig="380" w14:anchorId="4604626E">
          <v:shape id="_x0000_i1440" type="#_x0000_t75" style="width:18pt;height:18pt" o:ole="">
            <v:imagedata r:id="rId845" o:title=""/>
          </v:shape>
          <o:OLEObject Type="Embed" ProgID="Equation.DSMT4" ShapeID="_x0000_i1440" DrawAspect="Content" ObjectID="_1754918991" r:id="rId846"/>
        </w:object>
      </w:r>
      <w:r w:rsidRPr="00855F75">
        <w:t>, risk premia and the initial distribution of household asset holdings</w:t>
      </w:r>
      <w:r w:rsidRPr="00E670A7">
        <w:rPr>
          <w:position w:val="-12"/>
        </w:rPr>
        <w:object w:dxaOrig="380" w:dyaOrig="380" w14:anchorId="3140FF3D">
          <v:shape id="_x0000_i1441" type="#_x0000_t75" style="width:18pt;height:18pt" o:ole="">
            <v:imagedata r:id="rId847" o:title=""/>
          </v:shape>
          <o:OLEObject Type="Embed" ProgID="Equation.DSMT4" ShapeID="_x0000_i1441" DrawAspect="Content" ObjectID="_1754918992" r:id="rId848"/>
        </w:object>
      </w:r>
      <w:r>
        <w:t>, a competitive</w:t>
      </w:r>
      <w:r w:rsidRPr="00855F75">
        <w:t xml:space="preserve"> equilibrium corresponds to a sequence of prices</w:t>
      </w:r>
      <w:r w:rsidRPr="00E670A7">
        <w:rPr>
          <w:position w:val="-20"/>
        </w:rPr>
        <w:object w:dxaOrig="840" w:dyaOrig="520" w14:anchorId="258C8281">
          <v:shape id="_x0000_i1442" type="#_x0000_t75" style="width:42pt;height:25.8pt" o:ole="">
            <v:imagedata r:id="rId849" o:title=""/>
          </v:shape>
          <o:OLEObject Type="Embed" ProgID="Equation.DSMT4" ShapeID="_x0000_i1442" DrawAspect="Content" ObjectID="_1754918993" r:id="rId850"/>
        </w:object>
      </w:r>
      <w:r w:rsidRPr="00855F75">
        <w:t>and a corresponding sequence of decisions by households</w:t>
      </w:r>
      <w:r w:rsidRPr="00E670A7">
        <w:rPr>
          <w:position w:val="-24"/>
        </w:rPr>
        <w:object w:dxaOrig="2120" w:dyaOrig="639" w14:anchorId="1A77634F">
          <v:shape id="_x0000_i1443" type="#_x0000_t75" style="width:105pt;height:31.8pt" o:ole="">
            <v:imagedata r:id="rId851" o:title=""/>
          </v:shape>
          <o:OLEObject Type="Embed" ProgID="Equation.DSMT4" ShapeID="_x0000_i1443" DrawAspect="Content" ObjectID="_1754918994" r:id="rId852"/>
        </w:object>
      </w:r>
      <w:r w:rsidRPr="00855F75">
        <w:t>and firms</w:t>
      </w:r>
      <w:r w:rsidRPr="00E670A7">
        <w:rPr>
          <w:position w:val="-20"/>
        </w:rPr>
        <w:object w:dxaOrig="1980" w:dyaOrig="520" w14:anchorId="71299C5F">
          <v:shape id="_x0000_i1444" type="#_x0000_t75" style="width:99pt;height:25.8pt" o:ole="">
            <v:imagedata r:id="rId853" o:title=""/>
          </v:shape>
          <o:OLEObject Type="Embed" ProgID="Equation.DSMT4" ShapeID="_x0000_i1444" DrawAspect="Content" ObjectID="_1754918995" r:id="rId854"/>
        </w:object>
      </w:r>
      <w:r w:rsidRPr="00855F75">
        <w:t>that satisfy the following conditions:</w:t>
      </w:r>
    </w:p>
    <w:p w14:paraId="6E66CFC7" w14:textId="5FB23652" w:rsidR="006C3DEB" w:rsidRPr="00855F75" w:rsidRDefault="006C3DEB" w:rsidP="006C3DEB">
      <w:pPr>
        <w:pStyle w:val="Alphanumbered"/>
        <w:tabs>
          <w:tab w:val="clear" w:pos="357"/>
        </w:tabs>
        <w:ind w:left="360" w:hanging="360"/>
      </w:pPr>
      <w:r w:rsidRPr="00855F75">
        <w:t>Households maximise intertemporal utility</w:t>
      </w:r>
      <w:r>
        <w:t xml:space="preserve"> </w:t>
      </w:r>
      <w:r>
        <w:fldChar w:fldCharType="begin"/>
      </w:r>
      <w:r>
        <w:instrText xml:space="preserve"> GOTOBUTTON ZEqnNum525669  \* MERGEFORMAT </w:instrText>
      </w:r>
      <w:r w:rsidR="00E00A52" w:rsidRPr="00E00A52">
        <w:instrText>(1)</w:instrText>
      </w:r>
      <w:r>
        <w:fldChar w:fldCharType="end"/>
      </w:r>
      <w:r w:rsidRPr="00855F75">
        <w:t xml:space="preserve"> subject to their budget constraint</w:t>
      </w:r>
      <w:r>
        <w:t xml:space="preserve"> </w:t>
      </w:r>
      <w:r>
        <w:fldChar w:fldCharType="begin"/>
      </w:r>
      <w:r>
        <w:instrText xml:space="preserve"> GOTOBUTTON ZEqnNum486876  \* MERGEFORMAT </w:instrText>
      </w:r>
      <w:r w:rsidR="00E00A52">
        <w:instrText>(7)</w:instrText>
      </w:r>
      <w:r>
        <w:fldChar w:fldCharType="end"/>
      </w:r>
      <w:r w:rsidRPr="00855F75">
        <w:t>;</w:t>
      </w:r>
    </w:p>
    <w:p w14:paraId="793DFF7F" w14:textId="7559FBE5" w:rsidR="006C3DEB" w:rsidRPr="00855F75" w:rsidRDefault="006C3DEB" w:rsidP="006C3DEB">
      <w:pPr>
        <w:pStyle w:val="Alphanumbered"/>
        <w:tabs>
          <w:tab w:val="clear" w:pos="357"/>
        </w:tabs>
        <w:ind w:left="360" w:hanging="360"/>
      </w:pPr>
      <w:r w:rsidRPr="00855F75">
        <w:t>Firms maximise the market value of the firm</w:t>
      </w:r>
      <w:r>
        <w:t xml:space="preserve"> </w:t>
      </w:r>
      <w:r>
        <w:fldChar w:fldCharType="begin"/>
      </w:r>
      <w:r>
        <w:instrText xml:space="preserve"> GOTOBUTTON ZEqnNum558038  \* MERGEFORMAT </w:instrText>
      </w:r>
      <w:r w:rsidR="00E00A52">
        <w:instrText>(18)</w:instrText>
      </w:r>
      <w:r>
        <w:fldChar w:fldCharType="end"/>
      </w:r>
      <w:r w:rsidRPr="00855F75">
        <w:t xml:space="preserve"> subject to their budget constraint</w:t>
      </w:r>
      <w:r>
        <w:t xml:space="preserve"> </w:t>
      </w:r>
      <w:r>
        <w:fldChar w:fldCharType="begin"/>
      </w:r>
      <w:r>
        <w:instrText xml:space="preserve"> GOTOBUTTON ZEqnNum828610  \* MERGEFORMAT </w:instrText>
      </w:r>
      <w:r w:rsidR="00E00A52">
        <w:instrText>(22)</w:instrText>
      </w:r>
      <w:r>
        <w:fldChar w:fldCharType="end"/>
      </w:r>
      <w:r w:rsidRPr="00855F75">
        <w:t>;</w:t>
      </w:r>
    </w:p>
    <w:p w14:paraId="5A7FB53A" w14:textId="3C853327" w:rsidR="006C3DEB" w:rsidRPr="00855F75" w:rsidRDefault="006C3DEB" w:rsidP="006C3DEB">
      <w:pPr>
        <w:pStyle w:val="Alphanumbered"/>
        <w:tabs>
          <w:tab w:val="clear" w:pos="357"/>
        </w:tabs>
        <w:ind w:left="360" w:hanging="360"/>
      </w:pPr>
      <w:r>
        <w:t>The g</w:t>
      </w:r>
      <w:r w:rsidRPr="00855F75">
        <w:t xml:space="preserve">overnment’s budget constraint </w:t>
      </w:r>
      <w:r>
        <w:fldChar w:fldCharType="begin"/>
      </w:r>
      <w:r>
        <w:instrText xml:space="preserve"> GOTOBUTTON ZEqnNum237847  \* MERGEFORMAT </w:instrText>
      </w:r>
      <w:r w:rsidR="00E00A52">
        <w:instrText>(29)</w:instrText>
      </w:r>
      <w:r>
        <w:fldChar w:fldCharType="end"/>
      </w:r>
      <w:r>
        <w:t xml:space="preserve"> </w:t>
      </w:r>
      <w:r w:rsidRPr="00855F75">
        <w:t>is satisfied;</w:t>
      </w:r>
    </w:p>
    <w:p w14:paraId="70586947" w14:textId="77777777" w:rsidR="006C3DEB" w:rsidRPr="00855F75" w:rsidRDefault="006C3DEB" w:rsidP="006C3DEB">
      <w:pPr>
        <w:pStyle w:val="Alphanumbered"/>
        <w:tabs>
          <w:tab w:val="clear" w:pos="357"/>
        </w:tabs>
        <w:ind w:left="360" w:hanging="360"/>
      </w:pPr>
      <w:r w:rsidRPr="00855F75">
        <w:t>Labour and capital markets clear;</w:t>
      </w:r>
    </w:p>
    <w:p w14:paraId="0ACBC8A0" w14:textId="77777777" w:rsidR="006C3DEB" w:rsidRPr="00855F75" w:rsidRDefault="006C3DEB" w:rsidP="006C3DEB">
      <w:pPr>
        <w:pStyle w:val="Alphanumbered"/>
        <w:tabs>
          <w:tab w:val="clear" w:pos="357"/>
        </w:tabs>
        <w:ind w:left="360" w:hanging="360"/>
      </w:pPr>
      <w:r w:rsidRPr="00855F75">
        <w:t>Goods markets clear:</w:t>
      </w:r>
    </w:p>
    <w:p w14:paraId="46DC511B" w14:textId="2B4C5A29" w:rsidR="006C3DEB" w:rsidRPr="00855F75" w:rsidRDefault="006C3DEB" w:rsidP="006C3DEB">
      <w:pPr>
        <w:pStyle w:val="MTDisplayEquation"/>
      </w:pPr>
      <w:r w:rsidRPr="00855F75">
        <w:tab/>
      </w:r>
      <w:r w:rsidRPr="00E670A7">
        <w:rPr>
          <w:position w:val="-30"/>
        </w:rPr>
        <w:object w:dxaOrig="4599" w:dyaOrig="560" w14:anchorId="6460DE13">
          <v:shape id="_x0000_i1445" type="#_x0000_t75" style="width:231pt;height:27pt" o:ole="">
            <v:imagedata r:id="rId855" o:title=""/>
          </v:shape>
          <o:OLEObject Type="Embed" ProgID="Equation.DSMT4" ShapeID="_x0000_i1445" DrawAspect="Content" ObjectID="_1754918996" r:id="rId856"/>
        </w:object>
      </w:r>
      <w:r w:rsidRPr="00855F75">
        <w:tab/>
      </w:r>
      <w:r w:rsidRPr="00855F75">
        <w:fldChar w:fldCharType="begin"/>
      </w:r>
      <w:r w:rsidRPr="00855F75">
        <w:instrText xml:space="preserve"> MACROBUTTON MTPlaceRef \* MERGEFORMAT (</w:instrText>
      </w:r>
      <w:r>
        <w:rPr>
          <w:noProof/>
        </w:rPr>
        <w:fldChar w:fldCharType="begin"/>
      </w:r>
      <w:r>
        <w:rPr>
          <w:noProof/>
        </w:rPr>
        <w:instrText xml:space="preserve"> SEQ MTEqn \c \* Arabic \* MERGEFORMAT </w:instrText>
      </w:r>
      <w:r>
        <w:rPr>
          <w:noProof/>
        </w:rPr>
        <w:fldChar w:fldCharType="separate"/>
      </w:r>
      <w:r w:rsidR="00E00A52">
        <w:rPr>
          <w:noProof/>
        </w:rPr>
        <w:instrText>51</w:instrText>
      </w:r>
      <w:r>
        <w:rPr>
          <w:noProof/>
        </w:rPr>
        <w:fldChar w:fldCharType="end"/>
      </w:r>
      <w:r w:rsidRPr="00855F75">
        <w:instrText>)</w:instrText>
      </w:r>
      <w:r w:rsidRPr="00855F75">
        <w:fldChar w:fldCharType="end"/>
      </w:r>
    </w:p>
    <w:p w14:paraId="0D204E61" w14:textId="77777777" w:rsidR="006C3DEB" w:rsidRPr="001F7C05" w:rsidRDefault="006C3DEB" w:rsidP="006C3DEB">
      <w:r w:rsidRPr="00855F75">
        <w:t xml:space="preserve">If the demographics and government policies are stabilised in the long term, then a balanced-growth path exists where, </w:t>
      </w:r>
      <w:r w:rsidRPr="002333C2">
        <w:t>with the exception of real wages which grow at constant rate</w:t>
      </w:r>
      <w:r w:rsidRPr="00E670A7">
        <w:rPr>
          <w:position w:val="-12"/>
        </w:rPr>
        <w:object w:dxaOrig="300" w:dyaOrig="380" w14:anchorId="73345897">
          <v:shape id="_x0000_i1446" type="#_x0000_t75" style="width:15pt;height:18pt" o:ole="">
            <v:imagedata r:id="rId857" o:title=""/>
          </v:shape>
          <o:OLEObject Type="Embed" ProgID="Equation.DSMT4" ShapeID="_x0000_i1446" DrawAspect="Content" ObjectID="_1754918997" r:id="rId858"/>
        </w:object>
      </w:r>
      <w:r w:rsidRPr="002333C2">
        <w:t>,</w:t>
      </w:r>
      <w:r w:rsidRPr="00855F75">
        <w:t xml:space="preserve"> relative prices are </w:t>
      </w:r>
      <w:r>
        <w:t>stationary</w:t>
      </w:r>
      <w:r w:rsidRPr="00855F75">
        <w:t xml:space="preserve"> and all other variables </w:t>
      </w:r>
      <w:r>
        <w:t xml:space="preserve">(in per capita terms) </w:t>
      </w:r>
      <w:r w:rsidRPr="00855F75">
        <w:t>are growing at the constant rate of</w:t>
      </w:r>
      <w:r w:rsidRPr="00E670A7">
        <w:rPr>
          <w:position w:val="-12"/>
        </w:rPr>
        <w:object w:dxaOrig="300" w:dyaOrig="380" w14:anchorId="3A3782F4">
          <v:shape id="_x0000_i1447" type="#_x0000_t75" style="width:15pt;height:18pt" o:ole="">
            <v:imagedata r:id="rId859" o:title=""/>
          </v:shape>
          <o:OLEObject Type="Embed" ProgID="Equation.DSMT4" ShapeID="_x0000_i1447" DrawAspect="Content" ObjectID="_1754918998" r:id="rId860"/>
        </w:object>
      </w:r>
      <w:r w:rsidRPr="00855F75">
        <w:t>.</w:t>
      </w:r>
    </w:p>
    <w:p w14:paraId="2B6BA35A" w14:textId="77777777" w:rsidR="006C3DEB" w:rsidRPr="00DC2367" w:rsidRDefault="006C3DEB" w:rsidP="006C3DEB">
      <w:pPr>
        <w:pStyle w:val="Heading1Numbered"/>
        <w:numPr>
          <w:ilvl w:val="0"/>
          <w:numId w:val="0"/>
        </w:numPr>
        <w:ind w:left="454" w:hanging="454"/>
      </w:pPr>
      <w:r w:rsidRPr="00DC2367">
        <w:t>Solution method</w:t>
      </w:r>
    </w:p>
    <w:p w14:paraId="5B666B71" w14:textId="77777777" w:rsidR="006C3DEB" w:rsidRDefault="006C3DEB" w:rsidP="006C3DEB">
      <w:pPr>
        <w:rPr>
          <w:b/>
          <w:smallCaps/>
        </w:rPr>
      </w:pPr>
      <w:r>
        <w:t xml:space="preserve">Following </w:t>
      </w:r>
      <w:r w:rsidRPr="00E87C9A">
        <w:t>Auerbach and Kotlikoff (1987)</w:t>
      </w:r>
      <w:r>
        <w:t>, we solve the model by using an improved</w:t>
      </w:r>
      <w:r w:rsidRPr="00477683">
        <w:t xml:space="preserve"> Gauss-Se</w:t>
      </w:r>
      <w:r>
        <w:t>i</w:t>
      </w:r>
      <w:r w:rsidRPr="00477683">
        <w:t>del algorithm</w:t>
      </w:r>
      <w:r w:rsidRPr="00596D07">
        <w:rPr>
          <w:rStyle w:val="FootnoteReference"/>
          <w:vertAlign w:val="superscript"/>
        </w:rPr>
        <w:footnoteReference w:id="7"/>
      </w:r>
      <w:r>
        <w:t>.</w:t>
      </w:r>
      <w:r w:rsidRPr="00477683">
        <w:t xml:space="preserve"> </w:t>
      </w:r>
      <w:r>
        <w:t xml:space="preserve">Intuitively, the </w:t>
      </w:r>
      <w:r w:rsidRPr="00477683">
        <w:t>Gauss-Se</w:t>
      </w:r>
      <w:r>
        <w:t>i</w:t>
      </w:r>
      <w:r w:rsidRPr="00477683">
        <w:t>del algorithm</w:t>
      </w:r>
      <w:r>
        <w:t xml:space="preserve"> can be thought of as a </w:t>
      </w:r>
      <w:r w:rsidRPr="008A1CEA">
        <w:t>Walrasian</w:t>
      </w:r>
      <w:r w:rsidRPr="00477683">
        <w:t xml:space="preserve"> auction system that allocates resources until an economic equilibrium is reached. </w:t>
      </w:r>
    </w:p>
    <w:p w14:paraId="0334AD4A" w14:textId="77777777" w:rsidR="006C3DEB" w:rsidRPr="00127BCB" w:rsidRDefault="006C3DEB" w:rsidP="006C3DEB">
      <w:pPr>
        <w:rPr>
          <w:b/>
          <w:smallCaps/>
        </w:rPr>
      </w:pPr>
      <w:r w:rsidRPr="00477683">
        <w:t xml:space="preserve">The auctioneer in this system has no control over the interest rate or import prices, since our assumption that Australia is a small-open economy means these are set by the global market. But the auctioneer does set the price of goods </w:t>
      </w:r>
      <w:r>
        <w:t xml:space="preserve">and services </w:t>
      </w:r>
      <w:r w:rsidRPr="00477683">
        <w:t xml:space="preserve">and the </w:t>
      </w:r>
      <w:r>
        <w:t xml:space="preserve">aggregate </w:t>
      </w:r>
      <w:r w:rsidRPr="00477683">
        <w:t xml:space="preserve">wage, announcing each to a crowd of agents comprising firms, households, the foreign sector and the government. Based on this announcement, each agent proposes its own response. Firms in each sector determine the level of output and demand for capital, labour and intermediate goods that will maximise their market value. Households determine the labour supply and demand for consumption goods that will maximise their lifetime utility. The foreign sector determines a level of exports given their preferences and the announced prices. And the government determines how to balance its budget and allocate </w:t>
      </w:r>
      <w:r w:rsidRPr="00477683">
        <w:lastRenderedPageBreak/>
        <w:t>government spending in light of the announced prices. All agents – firms, households, the foreign sector, and the government – submit their intended responses to the auctioneer. The auctioneer reviews these responses and continues to adjust the prices/wage until the goods and labour markets have cleared and the wage is equalised across all sectors. The system is competitive because neither the firms, the households, the foreign sector nor the government can on their own determine the prices/wage announced by the auctioneer. The auction therefore results in a competitive equilibrium.</w:t>
      </w:r>
    </w:p>
    <w:p w14:paraId="16E89E31" w14:textId="77777777" w:rsidR="006C3DEB" w:rsidRDefault="006C3DEB" w:rsidP="006C3DEB">
      <w:r>
        <w:t>An outline of the</w:t>
      </w:r>
      <w:r w:rsidRPr="00DD598D">
        <w:t xml:space="preserve"> </w:t>
      </w:r>
      <w:r>
        <w:t xml:space="preserve">solution method is deferred to Appendix F. The model is </w:t>
      </w:r>
      <w:r w:rsidRPr="00DD598D">
        <w:t xml:space="preserve">implemented </w:t>
      </w:r>
      <w:r>
        <w:t>using</w:t>
      </w:r>
      <w:r w:rsidRPr="00DD598D">
        <w:t xml:space="preserve"> Matlab, a commercial software package that is widely used across industry and </w:t>
      </w:r>
      <w:r>
        <w:t>academia. Typically, it takes around half an hour</w:t>
      </w:r>
      <w:r w:rsidRPr="00DD598D">
        <w:t xml:space="preserve"> to solve the </w:t>
      </w:r>
      <w:r>
        <w:t xml:space="preserve">model for the </w:t>
      </w:r>
      <w:r w:rsidRPr="00DD598D">
        <w:t xml:space="preserve">steady states and </w:t>
      </w:r>
      <w:r>
        <w:t xml:space="preserve">the </w:t>
      </w:r>
      <w:r w:rsidRPr="00DD598D">
        <w:t>transition path.</w:t>
      </w:r>
    </w:p>
    <w:p w14:paraId="75097B04" w14:textId="77777777" w:rsidR="006C3DEB" w:rsidRDefault="006C3DEB" w:rsidP="006C3DEB">
      <w:pPr>
        <w:pStyle w:val="Heading1"/>
      </w:pPr>
      <w:r w:rsidRPr="008C6830">
        <w:t>Calibration</w:t>
      </w:r>
    </w:p>
    <w:p w14:paraId="07C148A9" w14:textId="77777777" w:rsidR="006C3DEB" w:rsidRPr="00AC7931" w:rsidRDefault="006C3DEB" w:rsidP="006C3DEB">
      <w:r w:rsidRPr="00AC7931">
        <w:t xml:space="preserve">The model is calibrated to match Australian demographic, economic, government and financial data. Where possible the model’s parameters are estimated directly using Australian data sources or reflect actual policy settings. Otherwise, parameters reflect consensus in the literature. </w:t>
      </w:r>
    </w:p>
    <w:p w14:paraId="1D0D26C8" w14:textId="77777777" w:rsidR="006C3DEB" w:rsidRPr="00AC7931" w:rsidRDefault="006C3DEB" w:rsidP="006C3DEB">
      <w:r w:rsidRPr="00AC7931">
        <w:t>In Version 1.0 we assume that in the absence of policy change the economy is on the balanced growth path. Working toward that end the growth rates of the model’s exogenous trends (that is, the population and labour augmenting technical progress) are constant. Similarly, exogenous lifecycle profiles for relative skill levels and survival probabilities are time-invariant.</w:t>
      </w:r>
    </w:p>
    <w:p w14:paraId="1C9580A7" w14:textId="77777777" w:rsidR="006C3DEB" w:rsidRPr="00AC7931" w:rsidRDefault="006C3DEB" w:rsidP="006C3DEB">
      <w:r w:rsidRPr="00AC7931">
        <w:t xml:space="preserve">When calibrating the model, it is necessary to make a decision about what historical data period the model is calibrated to. Due to data availability it is not always possible to calibrate all parts of the model to the same historical period. Version 1.0 of the model is designed to approximate the Australian economy </w:t>
      </w:r>
      <w:r>
        <w:t xml:space="preserve">around </w:t>
      </w:r>
      <w:r w:rsidRPr="00AC7931">
        <w:t xml:space="preserve">2015-16, which is a </w:t>
      </w:r>
      <w:r>
        <w:t>period</w:t>
      </w:r>
      <w:r w:rsidRPr="00AC7931">
        <w:t xml:space="preserve"> for which most of the data necessary to calibrate the model is available. Underlying this are the following set of key calibration assumptions: </w:t>
      </w:r>
    </w:p>
    <w:p w14:paraId="2E7550C6" w14:textId="77777777" w:rsidR="006C3DEB" w:rsidRPr="00AC7931" w:rsidRDefault="006C3DEB" w:rsidP="006C3DEB">
      <w:pPr>
        <w:pStyle w:val="AlphaParagraph"/>
      </w:pPr>
      <w:r w:rsidRPr="00AC7931">
        <w:t>parameters governing the production side of the economy and preferences over different commodities are calibrated to the 2014</w:t>
      </w:r>
      <w:r w:rsidRPr="00AC7931">
        <w:noBreakHyphen/>
        <w:t xml:space="preserve">15 Australian Input-Output tables; </w:t>
      </w:r>
    </w:p>
    <w:p w14:paraId="65A8880E" w14:textId="77777777" w:rsidR="006C3DEB" w:rsidRPr="00AC7931" w:rsidRDefault="006C3DEB" w:rsidP="006C3DEB">
      <w:pPr>
        <w:pStyle w:val="AlphaParagraph"/>
      </w:pPr>
      <w:r w:rsidRPr="00AC7931">
        <w:t xml:space="preserve">macroeconomic ratios such as the capital-to-output ratio and the net foreign asset to GDP position and government expenditure and revenue to GDP ratios are generally calibrated to </w:t>
      </w:r>
      <w:r>
        <w:t xml:space="preserve">the </w:t>
      </w:r>
      <w:r w:rsidRPr="00AC7931">
        <w:t xml:space="preserve">average over the five-year period to 2015-16; </w:t>
      </w:r>
    </w:p>
    <w:p w14:paraId="0D786FE9" w14:textId="77777777" w:rsidR="006C3DEB" w:rsidRPr="00FF7553" w:rsidRDefault="006C3DEB" w:rsidP="006C3DEB">
      <w:pPr>
        <w:pStyle w:val="AlphaParagraph"/>
      </w:pPr>
      <w:r w:rsidRPr="00FF7553">
        <w:t xml:space="preserve">survival probabilities, and therefore life expectancy, are calibrated to 2016-18 levels; and </w:t>
      </w:r>
    </w:p>
    <w:p w14:paraId="6069E38E" w14:textId="77777777" w:rsidR="006C3DEB" w:rsidRPr="00FE58F1" w:rsidRDefault="006C3DEB" w:rsidP="006C3DEB">
      <w:pPr>
        <w:pStyle w:val="AlphaParagraph"/>
      </w:pPr>
      <w:r w:rsidRPr="00FE58F1">
        <w:t xml:space="preserve">fiscal policy variables reflect policy settings as at 2016-17; and </w:t>
      </w:r>
    </w:p>
    <w:p w14:paraId="594BBB57" w14:textId="77777777" w:rsidR="006C3DEB" w:rsidRPr="00AC7931" w:rsidRDefault="006C3DEB" w:rsidP="006C3DEB">
      <w:pPr>
        <w:pStyle w:val="AlphaParagraph"/>
      </w:pPr>
      <w:r w:rsidRPr="00AC7931">
        <w:t>the relative earnings profiles and other household lifecycle variables are calibrated to the data in the 2015-16 Survey of Income and Housing (SIH) published by Australian Bureau of Statistics (ABS).</w:t>
      </w:r>
    </w:p>
    <w:p w14:paraId="495EE301" w14:textId="77777777" w:rsidR="006C3DEB" w:rsidRDefault="006C3DEB" w:rsidP="006C3DEB">
      <w:r w:rsidRPr="00AC7931">
        <w:t xml:space="preserve">Fiscal policy variables that are expressed in dollar terms (such as income tax thresholds) are normalised to have the same relationship to GDP per capita as they did in the 2015-16 financial year. </w:t>
      </w:r>
      <w:bookmarkStart w:id="15" w:name="_Hlk73953976"/>
      <w:r w:rsidRPr="00AC7931">
        <w:t>Along the balanced growth path, all value policy variables grow at the rate of GDP per capita.</w:t>
      </w:r>
      <w:bookmarkEnd w:id="15"/>
    </w:p>
    <w:p w14:paraId="58377481" w14:textId="77777777" w:rsidR="006C3DEB" w:rsidRPr="00CC2926" w:rsidRDefault="006C3DEB" w:rsidP="006C3DEB">
      <w:pPr>
        <w:pStyle w:val="Heading2NotNumbered"/>
      </w:pPr>
      <w:r w:rsidRPr="00CC2926">
        <w:lastRenderedPageBreak/>
        <w:t>Household</w:t>
      </w:r>
    </w:p>
    <w:p w14:paraId="627D5C37" w14:textId="77777777" w:rsidR="006C3DEB" w:rsidRDefault="006C3DEB" w:rsidP="006C3DEB">
      <w:pPr>
        <w:pStyle w:val="Heading3"/>
      </w:pPr>
      <w:r>
        <w:t>Demographic structure</w:t>
      </w:r>
    </w:p>
    <w:p w14:paraId="7E47A4A2" w14:textId="77777777" w:rsidR="006C3DEB" w:rsidRPr="00CC2926" w:rsidRDefault="006C3DEB" w:rsidP="006C3DEB">
      <w:pPr>
        <w:pStyle w:val="Heading4"/>
        <w:rPr>
          <w:rStyle w:val="IntenseEmphasis"/>
          <w:b w:val="0"/>
          <w:bCs w:val="0"/>
          <w:i w:val="0"/>
          <w:iCs w:val="0"/>
          <w:color w:val="4D7861" w:themeColor="accent2"/>
        </w:rPr>
      </w:pPr>
      <w:r w:rsidRPr="00CC2926">
        <w:rPr>
          <w:rStyle w:val="IntenseEmphasis"/>
          <w:b w:val="0"/>
          <w:bCs w:val="0"/>
          <w:i w:val="0"/>
          <w:iCs w:val="0"/>
          <w:color w:val="4D7861" w:themeColor="accent2"/>
        </w:rPr>
        <w:t>Population growth</w:t>
      </w:r>
    </w:p>
    <w:p w14:paraId="1D83E852" w14:textId="77777777" w:rsidR="006C3DEB" w:rsidRDefault="006C3DEB" w:rsidP="006C3DEB">
      <w:r w:rsidRPr="00734664">
        <w:t xml:space="preserve">Version 1.0 of OLGA assumes a stationary age distribution of the population and a constant population growth rate. </w:t>
      </w:r>
      <w:r w:rsidRPr="005950D0">
        <w:t>This reflects a constant growth rate of the population of 21-year-olds and time-invariant survival probabilit</w:t>
      </w:r>
      <w:r>
        <w:t>ies</w:t>
      </w:r>
      <w:r w:rsidRPr="005950D0">
        <w:t>.</w:t>
      </w:r>
    </w:p>
    <w:p w14:paraId="687442DD" w14:textId="00F0A9DB" w:rsidR="006C3DEB" w:rsidRDefault="006C3DEB" w:rsidP="006C3DEB">
      <w:r w:rsidRPr="005B3B02">
        <w:t>The growth rate</w:t>
      </w:r>
      <w:r>
        <w:t xml:space="preserve"> of the population of 21-year-olds</w:t>
      </w:r>
      <w:r w:rsidRPr="00E670A7">
        <w:rPr>
          <w:position w:val="-12"/>
        </w:rPr>
        <w:object w:dxaOrig="460" w:dyaOrig="380" w14:anchorId="7EA7AC45">
          <v:shape id="_x0000_i1448" type="#_x0000_t75" style="width:24pt;height:18pt" o:ole="">
            <v:imagedata r:id="rId861" o:title=""/>
          </v:shape>
          <o:OLEObject Type="Embed" ProgID="Equation.DSMT4" ShapeID="_x0000_i1448" DrawAspect="Content" ObjectID="_1754918999" r:id="rId862"/>
        </w:object>
      </w:r>
      <w:r w:rsidRPr="005B3B02">
        <w:t>is assumed to be 1.5 per cent</w:t>
      </w:r>
      <w:r>
        <w:t xml:space="preserve"> per annum</w:t>
      </w:r>
      <w:r w:rsidRPr="005B3B02">
        <w:t>.</w:t>
      </w:r>
      <w:r>
        <w:t xml:space="preserve"> </w:t>
      </w:r>
      <w:r w:rsidR="00E00A52" w:rsidRPr="00E00A52">
        <w:t>Chart 1</w:t>
      </w:r>
      <w:r>
        <w:t xml:space="preserve"> plots the model’s conditional </w:t>
      </w:r>
      <w:r w:rsidRPr="00E670A7">
        <w:rPr>
          <w:position w:val="-12"/>
        </w:rPr>
        <w:object w:dxaOrig="340" w:dyaOrig="380" w14:anchorId="0188C6E9">
          <v:shape id="_x0000_i1449" type="#_x0000_t75" style="width:18pt;height:18pt" o:ole="">
            <v:imagedata r:id="rId863" o:title=""/>
          </v:shape>
          <o:OLEObject Type="Embed" ProgID="Equation.DSMT4" ShapeID="_x0000_i1449" DrawAspect="Content" ObjectID="_1754919000" r:id="rId864"/>
        </w:object>
      </w:r>
      <w:r>
        <w:t xml:space="preserve">and cumulative </w:t>
      </w:r>
      <w:r w:rsidRPr="00E670A7">
        <w:rPr>
          <w:position w:val="-12"/>
        </w:rPr>
        <w:object w:dxaOrig="360" w:dyaOrig="380" w14:anchorId="77438539">
          <v:shape id="_x0000_i1450" type="#_x0000_t75" style="width:18pt;height:18pt" o:ole="">
            <v:imagedata r:id="rId865" o:title=""/>
          </v:shape>
          <o:OLEObject Type="Embed" ProgID="Equation.DSMT4" ShapeID="_x0000_i1450" DrawAspect="Content" ObjectID="_1754919001" r:id="rId866"/>
        </w:object>
      </w:r>
      <w:r>
        <w:t xml:space="preserve">survival probability by age. Survival probabilities are </w:t>
      </w:r>
      <w:r w:rsidRPr="000B3F32">
        <w:t xml:space="preserve">calculated using </w:t>
      </w:r>
      <w:r w:rsidRPr="0040654C">
        <w:t>ABS Life Tables for Australia (2019a).</w:t>
      </w:r>
      <w:r>
        <w:t xml:space="preserve"> The conditional survival probability is calculated as one minus the proportion of people dying between age</w:t>
      </w:r>
      <w:r w:rsidRPr="00DE6396">
        <w:t xml:space="preserve"> </w:t>
      </w:r>
      <w:r w:rsidRPr="00E670A7">
        <w:rPr>
          <w:position w:val="-6"/>
        </w:rPr>
        <w:object w:dxaOrig="200" w:dyaOrig="220" w14:anchorId="745ADED4">
          <v:shape id="_x0000_i1451" type="#_x0000_t75" style="width:10.8pt;height:10.8pt" o:ole="">
            <v:imagedata r:id="rId867" o:title=""/>
          </v:shape>
          <o:OLEObject Type="Embed" ProgID="Equation.DSMT4" ShapeID="_x0000_i1451" DrawAspect="Content" ObjectID="_1754919002" r:id="rId868"/>
        </w:object>
      </w:r>
      <w:r>
        <w:t>and</w:t>
      </w:r>
      <w:r w:rsidRPr="00DE6396">
        <w:t xml:space="preserve"> </w:t>
      </w:r>
      <w:r w:rsidRPr="00E670A7">
        <w:rPr>
          <w:position w:val="-6"/>
        </w:rPr>
        <w:object w:dxaOrig="499" w:dyaOrig="279" w14:anchorId="5D2371CF">
          <v:shape id="_x0000_i1452" type="#_x0000_t75" style="width:25.2pt;height:15pt" o:ole="">
            <v:imagedata r:id="rId869" o:title=""/>
          </v:shape>
          <o:OLEObject Type="Embed" ProgID="Equation.DSMT4" ShapeID="_x0000_i1452" DrawAspect="Content" ObjectID="_1754919003" r:id="rId870"/>
        </w:object>
      </w:r>
      <w:r>
        <w:t>.</w:t>
      </w:r>
    </w:p>
    <w:p w14:paraId="4F361783" w14:textId="59AB7890" w:rsidR="006C3DEB" w:rsidRPr="0092562B" w:rsidRDefault="006C3DEB" w:rsidP="006C3DEB">
      <w:pPr>
        <w:pStyle w:val="ChartMainHeading"/>
        <w:rPr>
          <w:b/>
          <w:bCs/>
          <w:lang w:val="en-US"/>
        </w:rPr>
      </w:pPr>
      <w:bookmarkStart w:id="16" w:name="_Ref101948173"/>
      <w:r w:rsidRPr="0092562B">
        <w:rPr>
          <w:rStyle w:val="Caption1Char"/>
          <w:rFonts w:asciiTheme="minorHAnsi" w:eastAsiaTheme="minorHAnsi" w:hAnsiTheme="minorHAnsi" w:cstheme="minorHAnsi"/>
          <w:color w:val="4D7861" w:themeColor="accent2"/>
          <w:sz w:val="26"/>
          <w:szCs w:val="26"/>
        </w:rPr>
        <w:t xml:space="preserve">Chart </w:t>
      </w:r>
      <w:r w:rsidRPr="0092562B">
        <w:rPr>
          <w:rStyle w:val="Caption1Char"/>
          <w:rFonts w:asciiTheme="minorHAnsi" w:eastAsiaTheme="minorHAnsi" w:hAnsiTheme="minorHAnsi" w:cstheme="minorHAnsi"/>
          <w:b/>
          <w:color w:val="4D7861" w:themeColor="accent2"/>
          <w:sz w:val="26"/>
          <w:szCs w:val="26"/>
        </w:rPr>
        <w:fldChar w:fldCharType="begin"/>
      </w:r>
      <w:r w:rsidRPr="0092562B">
        <w:rPr>
          <w:rStyle w:val="Caption1Char"/>
          <w:rFonts w:asciiTheme="minorHAnsi" w:eastAsiaTheme="minorHAnsi" w:hAnsiTheme="minorHAnsi" w:cstheme="minorHAnsi"/>
          <w:color w:val="4D7861" w:themeColor="accent2"/>
          <w:sz w:val="26"/>
          <w:szCs w:val="26"/>
        </w:rPr>
        <w:instrText xml:space="preserve"> SEQ Chart \* ARABIC </w:instrText>
      </w:r>
      <w:r w:rsidRPr="0092562B">
        <w:rPr>
          <w:rStyle w:val="Caption1Char"/>
          <w:rFonts w:asciiTheme="minorHAnsi" w:eastAsiaTheme="minorHAnsi" w:hAnsiTheme="minorHAnsi" w:cstheme="minorHAnsi"/>
          <w:b/>
          <w:color w:val="4D7861" w:themeColor="accent2"/>
          <w:sz w:val="26"/>
          <w:szCs w:val="26"/>
        </w:rPr>
        <w:fldChar w:fldCharType="separate"/>
      </w:r>
      <w:r w:rsidR="00E00A52">
        <w:rPr>
          <w:rStyle w:val="Caption1Char"/>
          <w:rFonts w:asciiTheme="minorHAnsi" w:eastAsiaTheme="minorHAnsi" w:hAnsiTheme="minorHAnsi" w:cstheme="minorHAnsi"/>
          <w:noProof/>
          <w:color w:val="4D7861" w:themeColor="accent2"/>
          <w:sz w:val="26"/>
          <w:szCs w:val="26"/>
        </w:rPr>
        <w:t>1</w:t>
      </w:r>
      <w:r w:rsidRPr="0092562B">
        <w:rPr>
          <w:rStyle w:val="Caption1Char"/>
          <w:rFonts w:asciiTheme="minorHAnsi" w:eastAsiaTheme="minorHAnsi" w:hAnsiTheme="minorHAnsi" w:cstheme="minorHAnsi"/>
          <w:b/>
          <w:color w:val="4D7861" w:themeColor="accent2"/>
          <w:sz w:val="26"/>
          <w:szCs w:val="26"/>
        </w:rPr>
        <w:fldChar w:fldCharType="end"/>
      </w:r>
      <w:bookmarkEnd w:id="16"/>
      <w:r w:rsidRPr="0092562B">
        <w:rPr>
          <w:rStyle w:val="Caption1Char"/>
          <w:rFonts w:asciiTheme="minorHAnsi" w:eastAsiaTheme="minorHAnsi" w:hAnsiTheme="minorHAnsi" w:cstheme="minorHAnsi"/>
          <w:color w:val="4D7861" w:themeColor="accent2"/>
          <w:sz w:val="26"/>
          <w:szCs w:val="26"/>
        </w:rPr>
        <w:t>: Survival probability by age</w:t>
      </w:r>
    </w:p>
    <w:p w14:paraId="6930E6C3" w14:textId="77777777" w:rsidR="006C3DEB" w:rsidRPr="00DE7667" w:rsidRDefault="006C3DEB" w:rsidP="006C3DEB">
      <w:pPr>
        <w:jc w:val="center"/>
        <w:rPr>
          <w:lang w:val="en-US"/>
        </w:rPr>
      </w:pPr>
      <w:r w:rsidRPr="00D85E50">
        <w:rPr>
          <w:noProof/>
        </w:rPr>
        <w:drawing>
          <wp:inline distT="0" distB="0" distL="0" distR="0" wp14:anchorId="022F2568" wp14:editId="65BAACD8">
            <wp:extent cx="5580000" cy="3240000"/>
            <wp:effectExtent l="0" t="0" r="1905" b="0"/>
            <wp:docPr id="8" name="Picture 8" descr="This chart shows the model's implied cumulative and conditional survival probability of households by age over their lifetime. Both the conditional and cumulative survival probabilities decreases with age, with significantly more rapid decreases later in li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This chart shows the model's implied cumulative and conditional survival probability of households by age over their lifetime. Both the conditional and cumulative survival probabilities decreases with age, with significantly more rapid decreases later in life."/>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580000" cy="3240000"/>
                    </a:xfrm>
                    <a:prstGeom prst="rect">
                      <a:avLst/>
                    </a:prstGeom>
                    <a:noFill/>
                    <a:ln>
                      <a:noFill/>
                    </a:ln>
                  </pic:spPr>
                </pic:pic>
              </a:graphicData>
            </a:graphic>
          </wp:inline>
        </w:drawing>
      </w:r>
    </w:p>
    <w:p w14:paraId="1411AF71" w14:textId="77777777" w:rsidR="006C3DEB" w:rsidRPr="00F27C5A" w:rsidRDefault="006C3DEB" w:rsidP="006C3DEB">
      <w:pPr>
        <w:pStyle w:val="Note"/>
        <w:spacing w:after="120"/>
      </w:pPr>
      <w:r w:rsidRPr="00F27C5A">
        <w:t xml:space="preserve">Source: Authors’ calculation based on </w:t>
      </w:r>
      <w:r w:rsidRPr="0040654C">
        <w:t>ABS (2019a)</w:t>
      </w:r>
      <w:r w:rsidRPr="00F27C5A">
        <w:t xml:space="preserve"> data.</w:t>
      </w:r>
    </w:p>
    <w:p w14:paraId="05844B69" w14:textId="77777777" w:rsidR="006C3DEB" w:rsidRDefault="006C3DEB" w:rsidP="006C3DEB">
      <w:r>
        <w:t>Given that the survival probabilities are time-invariant, it follows that the age distribution is also time</w:t>
      </w:r>
      <w:r>
        <w:noBreakHyphen/>
        <w:t xml:space="preserve">invariant and that the total population </w:t>
      </w:r>
      <w:r w:rsidRPr="007B6BEC">
        <w:t>grow</w:t>
      </w:r>
      <w:r>
        <w:t>s</w:t>
      </w:r>
      <w:r w:rsidRPr="007B6BEC">
        <w:t xml:space="preserve"> at </w:t>
      </w:r>
      <w:r>
        <w:t xml:space="preserve">the same rate as the population of 21-year-olds (that is, </w:t>
      </w:r>
      <w:r w:rsidRPr="00E670A7">
        <w:rPr>
          <w:position w:val="-12"/>
        </w:rPr>
        <w:object w:dxaOrig="940" w:dyaOrig="380" w14:anchorId="33D209B6">
          <v:shape id="_x0000_i1453" type="#_x0000_t75" style="width:46.2pt;height:18pt" o:ole="">
            <v:imagedata r:id="rId872" o:title=""/>
          </v:shape>
          <o:OLEObject Type="Embed" ProgID="Equation.DSMT4" ShapeID="_x0000_i1453" DrawAspect="Content" ObjectID="_1754919004" r:id="rId873"/>
        </w:object>
      </w:r>
      <w:r>
        <w:t>):</w:t>
      </w:r>
    </w:p>
    <w:p w14:paraId="3F4DA7F4" w14:textId="77777777" w:rsidR="006C3DEB" w:rsidRDefault="006C3DEB" w:rsidP="006C3DEB">
      <w:pPr>
        <w:jc w:val="center"/>
      </w:pPr>
      <w:r w:rsidRPr="00E670A7">
        <w:rPr>
          <w:position w:val="-28"/>
        </w:rPr>
        <w:object w:dxaOrig="5960" w:dyaOrig="680" w14:anchorId="1BCB5A18">
          <v:shape id="_x0000_i1454" type="#_x0000_t75" style="width:299.4pt;height:33pt" o:ole="">
            <v:imagedata r:id="rId874" o:title=""/>
          </v:shape>
          <o:OLEObject Type="Embed" ProgID="Equation.DSMT4" ShapeID="_x0000_i1454" DrawAspect="Content" ObjectID="_1754919005" r:id="rId875"/>
        </w:object>
      </w:r>
    </w:p>
    <w:p w14:paraId="213106F2" w14:textId="44004A95" w:rsidR="006C3DEB" w:rsidRPr="000D34CE" w:rsidRDefault="00E00A52" w:rsidP="006C3DEB">
      <w:r w:rsidRPr="00E00A52">
        <w:t>Chart 2</w:t>
      </w:r>
      <w:r w:rsidR="006C3DEB" w:rsidRPr="00734664">
        <w:t xml:space="preserve"> plots the actual and model implied age distribution of the population for the base year. The stationary distribution generated by the model overstates the share of the population under 30, while </w:t>
      </w:r>
      <w:r w:rsidR="006C3DEB" w:rsidRPr="00734664">
        <w:lastRenderedPageBreak/>
        <w:t xml:space="preserve">understating the share of the population between 40 and 70. This reflects the fact that the model does not incorporate immigration and assumes a </w:t>
      </w:r>
      <w:r w:rsidR="006C3DEB">
        <w:t>time-</w:t>
      </w:r>
      <w:r w:rsidR="006C3DEB" w:rsidRPr="00734664">
        <w:t>invariant survival rate.</w:t>
      </w:r>
    </w:p>
    <w:p w14:paraId="70E43A71" w14:textId="62D2B91C" w:rsidR="006C3DEB" w:rsidRPr="00B34AB0" w:rsidRDefault="006C3DEB" w:rsidP="006C3DEB">
      <w:pPr>
        <w:pStyle w:val="ChartMainHeading"/>
        <w:rPr>
          <w:rStyle w:val="Caption1Char"/>
          <w:rFonts w:asciiTheme="minorHAnsi" w:eastAsiaTheme="minorHAnsi" w:hAnsiTheme="minorHAnsi" w:cstheme="minorHAnsi"/>
          <w:color w:val="4D7861" w:themeColor="accent2"/>
          <w:sz w:val="26"/>
          <w:szCs w:val="26"/>
        </w:rPr>
      </w:pPr>
      <w:bookmarkStart w:id="17" w:name="_Ref101948213"/>
      <w:r w:rsidRPr="00B34AB0">
        <w:rPr>
          <w:rStyle w:val="Caption1Char"/>
          <w:rFonts w:asciiTheme="minorHAnsi" w:eastAsiaTheme="minorHAnsi" w:hAnsiTheme="minorHAnsi" w:cstheme="minorHAnsi"/>
          <w:color w:val="4D7861" w:themeColor="accent2"/>
          <w:sz w:val="26"/>
          <w:szCs w:val="26"/>
        </w:rPr>
        <w:t xml:space="preserve">Chart </w:t>
      </w:r>
      <w:r w:rsidRPr="00B34AB0">
        <w:rPr>
          <w:rStyle w:val="Caption1Char"/>
          <w:rFonts w:asciiTheme="minorHAnsi" w:eastAsiaTheme="minorHAnsi" w:hAnsiTheme="minorHAnsi" w:cstheme="minorHAnsi"/>
          <w:b/>
          <w:color w:val="4D7861" w:themeColor="accent2"/>
          <w:sz w:val="26"/>
          <w:szCs w:val="26"/>
        </w:rPr>
        <w:fldChar w:fldCharType="begin"/>
      </w:r>
      <w:r w:rsidRPr="00B34AB0">
        <w:rPr>
          <w:rStyle w:val="Caption1Char"/>
          <w:rFonts w:asciiTheme="minorHAnsi" w:eastAsiaTheme="minorHAnsi" w:hAnsiTheme="minorHAnsi" w:cstheme="minorHAnsi"/>
          <w:color w:val="4D7861" w:themeColor="accent2"/>
          <w:sz w:val="26"/>
          <w:szCs w:val="26"/>
        </w:rPr>
        <w:instrText xml:space="preserve"> SEQ Chart \* ARABIC </w:instrText>
      </w:r>
      <w:r w:rsidRPr="00B34AB0">
        <w:rPr>
          <w:rStyle w:val="Caption1Char"/>
          <w:rFonts w:asciiTheme="minorHAnsi" w:eastAsiaTheme="minorHAnsi" w:hAnsiTheme="minorHAnsi" w:cstheme="minorHAnsi"/>
          <w:b/>
          <w:color w:val="4D7861" w:themeColor="accent2"/>
          <w:sz w:val="26"/>
          <w:szCs w:val="26"/>
        </w:rPr>
        <w:fldChar w:fldCharType="separate"/>
      </w:r>
      <w:r w:rsidR="00E00A52">
        <w:rPr>
          <w:rStyle w:val="Caption1Char"/>
          <w:rFonts w:asciiTheme="minorHAnsi" w:eastAsiaTheme="minorHAnsi" w:hAnsiTheme="minorHAnsi" w:cstheme="minorHAnsi"/>
          <w:noProof/>
          <w:color w:val="4D7861" w:themeColor="accent2"/>
          <w:sz w:val="26"/>
          <w:szCs w:val="26"/>
        </w:rPr>
        <w:t>2</w:t>
      </w:r>
      <w:r w:rsidRPr="00B34AB0">
        <w:rPr>
          <w:rStyle w:val="Caption1Char"/>
          <w:rFonts w:asciiTheme="minorHAnsi" w:eastAsiaTheme="minorHAnsi" w:hAnsiTheme="minorHAnsi" w:cstheme="minorHAnsi"/>
          <w:b/>
          <w:color w:val="4D7861" w:themeColor="accent2"/>
          <w:sz w:val="26"/>
          <w:szCs w:val="26"/>
        </w:rPr>
        <w:fldChar w:fldCharType="end"/>
      </w:r>
      <w:bookmarkEnd w:id="17"/>
      <w:r w:rsidRPr="00B34AB0">
        <w:rPr>
          <w:rStyle w:val="Caption1Char"/>
          <w:rFonts w:asciiTheme="minorHAnsi" w:eastAsiaTheme="minorHAnsi" w:hAnsiTheme="minorHAnsi" w:cstheme="minorHAnsi"/>
          <w:color w:val="4D7861" w:themeColor="accent2"/>
          <w:sz w:val="26"/>
          <w:szCs w:val="26"/>
        </w:rPr>
        <w:t>: Age distribution of the population</w:t>
      </w:r>
    </w:p>
    <w:p w14:paraId="7EA2FAA8" w14:textId="77777777" w:rsidR="006C3DEB" w:rsidRPr="0088277E" w:rsidRDefault="006C3DEB" w:rsidP="006C3DEB">
      <w:pPr>
        <w:pStyle w:val="Caption1"/>
        <w:rPr>
          <w:rStyle w:val="Caption1Char"/>
          <w:bCs/>
        </w:rPr>
      </w:pPr>
      <w:r w:rsidRPr="00E616E6">
        <w:rPr>
          <w:rStyle w:val="Caption1Char"/>
          <w:bCs/>
        </w:rPr>
        <w:t xml:space="preserve"> </w:t>
      </w:r>
      <w:r w:rsidRPr="002F5CEC">
        <w:rPr>
          <w:rStyle w:val="Caption1Char"/>
          <w:noProof/>
        </w:rPr>
        <w:drawing>
          <wp:inline distT="0" distB="0" distL="0" distR="0" wp14:anchorId="4585BECD" wp14:editId="36F59145">
            <wp:extent cx="5580000" cy="3240000"/>
            <wp:effectExtent l="0" t="0" r="1905" b="0"/>
            <wp:docPr id="11" name="Picture 11" descr="This chart shows the age distribution in the data and compares it with the steady-state distribution implied by the model, using the assumed population growth rate and the survival probabilities depicted in chart 1. The chart shows that the share of the population is smaller for older 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This chart shows the age distribution in the data and compares it with the steady-state distribution implied by the model, using the assumed population growth rate and the survival probabilities depicted in chart 1. The chart shows that the share of the population is smaller for older ages."/>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5580000" cy="3240000"/>
                    </a:xfrm>
                    <a:prstGeom prst="rect">
                      <a:avLst/>
                    </a:prstGeom>
                    <a:noFill/>
                    <a:ln>
                      <a:noFill/>
                    </a:ln>
                  </pic:spPr>
                </pic:pic>
              </a:graphicData>
            </a:graphic>
          </wp:inline>
        </w:drawing>
      </w:r>
    </w:p>
    <w:p w14:paraId="4D76F7BE" w14:textId="77777777" w:rsidR="006C3DEB" w:rsidRPr="00055910" w:rsidRDefault="006C3DEB" w:rsidP="006C3DEB">
      <w:pPr>
        <w:pStyle w:val="Note"/>
      </w:pPr>
      <w:r w:rsidRPr="00055910">
        <w:t>Source: Authors’ calculation based on ABS (2019a) and ABS (2020a).</w:t>
      </w:r>
    </w:p>
    <w:p w14:paraId="680AFF79" w14:textId="77777777" w:rsidR="006C3DEB" w:rsidRPr="00CC2926" w:rsidRDefault="006C3DEB" w:rsidP="006C3DEB">
      <w:pPr>
        <w:pStyle w:val="Heading4"/>
        <w:rPr>
          <w:rStyle w:val="IntenseEmphasis"/>
          <w:b w:val="0"/>
          <w:bCs w:val="0"/>
          <w:i w:val="0"/>
          <w:iCs w:val="0"/>
          <w:color w:val="4D7861" w:themeColor="accent2"/>
        </w:rPr>
      </w:pPr>
      <w:r w:rsidRPr="00CC2926">
        <w:rPr>
          <w:rStyle w:val="IntenseEmphasis"/>
          <w:b w:val="0"/>
          <w:bCs w:val="0"/>
          <w:i w:val="0"/>
          <w:iCs w:val="0"/>
          <w:color w:val="4D7861" w:themeColor="accent2"/>
        </w:rPr>
        <w:t>Skill and technical progress</w:t>
      </w:r>
    </w:p>
    <w:p w14:paraId="08F7C1CB" w14:textId="77777777" w:rsidR="006C3DEB" w:rsidRDefault="006C3DEB" w:rsidP="006C3DEB">
      <w:r w:rsidRPr="000B3F32">
        <w:t>The households</w:t>
      </w:r>
      <w:r>
        <w:t>’</w:t>
      </w:r>
      <w:r w:rsidRPr="000B3F32">
        <w:t xml:space="preserve"> </w:t>
      </w:r>
      <w:r>
        <w:t xml:space="preserve">earning ability and implied relative labour efficiency </w:t>
      </w:r>
      <w:r w:rsidRPr="00E670A7">
        <w:rPr>
          <w:position w:val="-10"/>
        </w:rPr>
        <w:object w:dxaOrig="400" w:dyaOrig="360" w14:anchorId="634C0F6D">
          <v:shape id="_x0000_i1455" type="#_x0000_t75" style="width:20.4pt;height:18pt" o:ole="">
            <v:imagedata r:id="rId877" o:title=""/>
          </v:shape>
          <o:OLEObject Type="Embed" ProgID="Equation.DSMT4" ShapeID="_x0000_i1455" DrawAspect="Content" ObjectID="_1754919006" r:id="rId878"/>
        </w:object>
      </w:r>
      <w:r>
        <w:t>are</w:t>
      </w:r>
      <w:r w:rsidRPr="000B3F32">
        <w:t xml:space="preserve"> calibrated u</w:t>
      </w:r>
      <w:r>
        <w:t xml:space="preserve">sing cross-sectional earnings data from </w:t>
      </w:r>
      <w:r w:rsidRPr="00C03EB4">
        <w:t>SIH (ABS, 2017)</w:t>
      </w:r>
      <w:r w:rsidRPr="008A7B9E">
        <w:t>.</w:t>
      </w:r>
      <w:r w:rsidRPr="000B3F32">
        <w:t xml:space="preserve"> </w:t>
      </w:r>
      <w:r>
        <w:t>For each income quintile, earning ability</w:t>
      </w:r>
      <w:r w:rsidRPr="000B3F32">
        <w:t xml:space="preserve"> is </w:t>
      </w:r>
      <w:r>
        <w:t>estimated</w:t>
      </w:r>
      <w:r w:rsidRPr="000B3F32">
        <w:t xml:space="preserve"> </w:t>
      </w:r>
      <w:r>
        <w:t>using</w:t>
      </w:r>
      <w:r w:rsidRPr="000B3F32">
        <w:t xml:space="preserve"> the </w:t>
      </w:r>
      <w:r>
        <w:t>hourly wage rate, defined as gross labour income divided by total hours worked. To eliminate the effect of extreme outliers, we use the median of data from SIH to estimate the lifecycle profiles. These profiles are then rescaled, so that the population-</w:t>
      </w:r>
      <w:r w:rsidRPr="004A32FE">
        <w:t>weight</w:t>
      </w:r>
      <w:r>
        <w:t xml:space="preserve">ed mean of each lifecycle profile </w:t>
      </w:r>
      <w:r w:rsidRPr="004A32FE">
        <w:t>match</w:t>
      </w:r>
      <w:r>
        <w:t>es</w:t>
      </w:r>
      <w:r w:rsidRPr="004A32FE">
        <w:t xml:space="preserve"> the </w:t>
      </w:r>
      <w:r>
        <w:t>population-</w:t>
      </w:r>
      <w:r w:rsidRPr="004A32FE">
        <w:t>weight</w:t>
      </w:r>
      <w:r>
        <w:t xml:space="preserve">ed </w:t>
      </w:r>
      <w:r w:rsidRPr="004A32FE">
        <w:t xml:space="preserve">mean </w:t>
      </w:r>
      <w:r>
        <w:t xml:space="preserve">of </w:t>
      </w:r>
      <w:r w:rsidRPr="004A32FE">
        <w:t>data</w:t>
      </w:r>
      <w:r>
        <w:t xml:space="preserve"> from the SIH for each skill type</w:t>
      </w:r>
      <w:r w:rsidRPr="004A32FE">
        <w:t>.</w:t>
      </w:r>
    </w:p>
    <w:p w14:paraId="23D22D63" w14:textId="3FFF2CB0" w:rsidR="006C3DEB" w:rsidRPr="002333C2" w:rsidRDefault="006C3DEB" w:rsidP="006C3DEB">
      <w:r>
        <w:t>Because cross-sectional data suggests that the earning ability of the lowest quintile is effectively zero, we have assumed it is half that of the second lowest quintile (lower middle). A</w:t>
      </w:r>
      <w:r w:rsidRPr="008F4B53">
        <w:t xml:space="preserve"> robust spline smoothing function is</w:t>
      </w:r>
      <w:r>
        <w:t xml:space="preserve"> then</w:t>
      </w:r>
      <w:r w:rsidRPr="008F4B53">
        <w:t xml:space="preserve"> used to </w:t>
      </w:r>
      <w:r>
        <w:t xml:space="preserve">provide the </w:t>
      </w:r>
      <w:r w:rsidRPr="008F4B53">
        <w:t>smooth</w:t>
      </w:r>
      <w:r>
        <w:t>ed</w:t>
      </w:r>
      <w:r w:rsidRPr="008F4B53">
        <w:t xml:space="preserve"> profiles</w:t>
      </w:r>
      <w:r>
        <w:t xml:space="preserve"> used in the model</w:t>
      </w:r>
      <w:r w:rsidRPr="008F4B53">
        <w:t xml:space="preserve">. </w:t>
      </w:r>
      <w:r w:rsidR="00E00A52" w:rsidRPr="00E00A52">
        <w:t>Chart 3</w:t>
      </w:r>
      <w:r>
        <w:t xml:space="preserve"> shows the fit of the estimated profiles to the actual cross</w:t>
      </w:r>
      <w:r>
        <w:noBreakHyphen/>
        <w:t>sectional earnings data.</w:t>
      </w:r>
    </w:p>
    <w:p w14:paraId="512401FC" w14:textId="77777777" w:rsidR="006C3DEB" w:rsidRDefault="006C3DEB" w:rsidP="006C3DEB">
      <w:r w:rsidRPr="008F4B53">
        <w:t xml:space="preserve">The </w:t>
      </w:r>
      <w:r>
        <w:t>efficiency</w:t>
      </w:r>
      <w:r w:rsidRPr="008F4B53">
        <w:t xml:space="preserve"> profiles are normalised, such that </w:t>
      </w:r>
      <w:r>
        <w:t>the sum of</w:t>
      </w:r>
      <w:r w:rsidRPr="008F4B53">
        <w:t xml:space="preserve"> </w:t>
      </w:r>
      <w:r>
        <w:t>efficiency</w:t>
      </w:r>
      <w:r w:rsidRPr="008F4B53">
        <w:t xml:space="preserve"> </w:t>
      </w:r>
      <w:r>
        <w:t>by</w:t>
      </w:r>
      <w:r w:rsidRPr="008F4B53">
        <w:t xml:space="preserve"> age and </w:t>
      </w:r>
      <w:r>
        <w:t xml:space="preserve">skill type, weighted by respective </w:t>
      </w:r>
      <w:r w:rsidRPr="008F4B53">
        <w:t>population</w:t>
      </w:r>
      <w:r>
        <w:t xml:space="preserve"> share</w:t>
      </w:r>
      <w:r w:rsidRPr="008F4B53">
        <w:t>, equals</w:t>
      </w:r>
      <w:r>
        <w:t xml:space="preserve"> the level of labour augmenting technical progress:</w:t>
      </w:r>
    </w:p>
    <w:p w14:paraId="6D6D0446" w14:textId="77777777" w:rsidR="006C3DEB" w:rsidRDefault="006C3DEB" w:rsidP="006C3DEB">
      <w:pPr>
        <w:jc w:val="center"/>
      </w:pPr>
      <w:r w:rsidRPr="00E670A7">
        <w:rPr>
          <w:position w:val="-28"/>
        </w:rPr>
        <w:object w:dxaOrig="2840" w:dyaOrig="540" w14:anchorId="77F8B816">
          <v:shape id="_x0000_i1456" type="#_x0000_t75" style="width:141.6pt;height:27pt" o:ole="">
            <v:imagedata r:id="rId879" o:title=""/>
          </v:shape>
          <o:OLEObject Type="Embed" ProgID="Equation.DSMT4" ShapeID="_x0000_i1456" DrawAspect="Content" ObjectID="_1754919007" r:id="rId880"/>
        </w:object>
      </w:r>
    </w:p>
    <w:p w14:paraId="0A49E892" w14:textId="77777777" w:rsidR="006C3DEB" w:rsidRDefault="006C3DEB" w:rsidP="006C3DEB">
      <w:r>
        <w:t>Consistent with the methodology used in the 2021 Intergenerational Report (</w:t>
      </w:r>
      <w:r w:rsidRPr="00C03EB4">
        <w:t>Commonwealth of Australia</w:t>
      </w:r>
      <w:r>
        <w:t>,</w:t>
      </w:r>
      <w:r w:rsidRPr="00C03EB4">
        <w:t xml:space="preserve"> 2021</w:t>
      </w:r>
      <w:r>
        <w:t>b</w:t>
      </w:r>
      <w:r w:rsidRPr="00C03EB4">
        <w:t>),</w:t>
      </w:r>
      <w:r>
        <w:t xml:space="preserve"> the growth rate </w:t>
      </w:r>
      <w:r w:rsidRPr="007E424E">
        <w:t>of labou</w:t>
      </w:r>
      <w:r>
        <w:t>r</w:t>
      </w:r>
      <w:r>
        <w:noBreakHyphen/>
        <w:t>augmenting technical progress</w:t>
      </w:r>
      <w:r w:rsidRPr="00E670A7">
        <w:rPr>
          <w:position w:val="-12"/>
        </w:rPr>
        <w:object w:dxaOrig="300" w:dyaOrig="380" w14:anchorId="1BBB2EFD">
          <v:shape id="_x0000_i1457" type="#_x0000_t75" style="width:15pt;height:18pt" o:ole="">
            <v:imagedata r:id="rId881" o:title=""/>
          </v:shape>
          <o:OLEObject Type="Embed" ProgID="Equation.DSMT4" ShapeID="_x0000_i1457" DrawAspect="Content" ObjectID="_1754919008" r:id="rId882"/>
        </w:object>
      </w:r>
      <w:r>
        <w:t xml:space="preserve">is assumed to be 1.5 per cent per annum. This implies a trend GDP growth rate </w:t>
      </w:r>
      <w:r w:rsidRPr="00E670A7">
        <w:rPr>
          <w:position w:val="-10"/>
        </w:rPr>
        <w:object w:dxaOrig="200" w:dyaOrig="260" w14:anchorId="77065149">
          <v:shape id="_x0000_i1458" type="#_x0000_t75" style="width:10.8pt;height:14.4pt" o:ole="">
            <v:imagedata r:id="rId883" o:title=""/>
          </v:shape>
          <o:OLEObject Type="Embed" ProgID="Equation.DSMT4" ShapeID="_x0000_i1458" DrawAspect="Content" ObjectID="_1754919009" r:id="rId884"/>
        </w:object>
      </w:r>
      <w:r>
        <w:t>of around 3 per cent per annum.</w:t>
      </w:r>
    </w:p>
    <w:p w14:paraId="506BD552" w14:textId="65F90FE1" w:rsidR="006C3DEB" w:rsidRDefault="006C3DEB" w:rsidP="006C3DEB">
      <w:pPr>
        <w:pStyle w:val="ChartMainHeading"/>
      </w:pPr>
      <w:bookmarkStart w:id="18" w:name="_Ref101948325"/>
      <w:r w:rsidRPr="00B34AB0">
        <w:rPr>
          <w:rStyle w:val="Caption1Char"/>
          <w:rFonts w:asciiTheme="minorHAnsi" w:eastAsiaTheme="minorHAnsi" w:hAnsiTheme="minorHAnsi" w:cstheme="minorHAnsi"/>
          <w:color w:val="4D7861" w:themeColor="accent2"/>
          <w:sz w:val="26"/>
          <w:szCs w:val="26"/>
        </w:rPr>
        <w:lastRenderedPageBreak/>
        <w:t xml:space="preserve">Chart </w:t>
      </w:r>
      <w:r w:rsidRPr="00B34AB0">
        <w:rPr>
          <w:rStyle w:val="Caption1Char"/>
          <w:rFonts w:asciiTheme="minorHAnsi" w:eastAsiaTheme="minorHAnsi" w:hAnsiTheme="minorHAnsi" w:cstheme="minorHAnsi"/>
          <w:bCs/>
          <w:color w:val="4D7861" w:themeColor="accent2"/>
          <w:sz w:val="26"/>
          <w:szCs w:val="26"/>
        </w:rPr>
        <w:fldChar w:fldCharType="begin"/>
      </w:r>
      <w:r w:rsidRPr="00B34AB0">
        <w:rPr>
          <w:rStyle w:val="Caption1Char"/>
          <w:rFonts w:asciiTheme="minorHAnsi" w:eastAsiaTheme="minorHAnsi" w:hAnsiTheme="minorHAnsi" w:cstheme="minorHAnsi"/>
          <w:color w:val="4D7861" w:themeColor="accent2"/>
          <w:sz w:val="26"/>
          <w:szCs w:val="26"/>
        </w:rPr>
        <w:instrText xml:space="preserve"> SEQ Chart \* ARABIC </w:instrText>
      </w:r>
      <w:r w:rsidRPr="00B34AB0">
        <w:rPr>
          <w:rStyle w:val="Caption1Char"/>
          <w:rFonts w:asciiTheme="minorHAnsi" w:eastAsiaTheme="minorHAnsi" w:hAnsiTheme="minorHAnsi" w:cstheme="minorHAnsi"/>
          <w:bCs/>
          <w:color w:val="4D7861" w:themeColor="accent2"/>
          <w:sz w:val="26"/>
          <w:szCs w:val="26"/>
        </w:rPr>
        <w:fldChar w:fldCharType="separate"/>
      </w:r>
      <w:r w:rsidR="00E00A52">
        <w:rPr>
          <w:rStyle w:val="Caption1Char"/>
          <w:rFonts w:asciiTheme="minorHAnsi" w:eastAsiaTheme="minorHAnsi" w:hAnsiTheme="minorHAnsi" w:cstheme="minorHAnsi"/>
          <w:noProof/>
          <w:color w:val="4D7861" w:themeColor="accent2"/>
          <w:sz w:val="26"/>
          <w:szCs w:val="26"/>
        </w:rPr>
        <w:t>3</w:t>
      </w:r>
      <w:r w:rsidRPr="00B34AB0">
        <w:rPr>
          <w:rStyle w:val="Caption1Char"/>
          <w:rFonts w:asciiTheme="minorHAnsi" w:eastAsiaTheme="minorHAnsi" w:hAnsiTheme="minorHAnsi" w:cstheme="minorHAnsi"/>
          <w:bCs/>
          <w:color w:val="4D7861" w:themeColor="accent2"/>
          <w:sz w:val="26"/>
          <w:szCs w:val="26"/>
        </w:rPr>
        <w:fldChar w:fldCharType="end"/>
      </w:r>
      <w:bookmarkEnd w:id="18"/>
      <w:r w:rsidRPr="00B34AB0">
        <w:rPr>
          <w:rStyle w:val="Caption1Char"/>
          <w:rFonts w:asciiTheme="minorHAnsi" w:eastAsiaTheme="minorHAnsi" w:hAnsiTheme="minorHAnsi" w:cstheme="minorHAnsi"/>
          <w:color w:val="4D7861" w:themeColor="accent2"/>
          <w:sz w:val="26"/>
          <w:szCs w:val="26"/>
        </w:rPr>
        <w:t>: Relative labour efficiency by age and skill</w:t>
      </w:r>
      <w:r w:rsidRPr="003B4A03">
        <w:t xml:space="preserve"> </w:t>
      </w:r>
      <w:r w:rsidR="00770B08" w:rsidRPr="00770B08">
        <w:rPr>
          <w:noProof/>
        </w:rPr>
        <w:drawing>
          <wp:inline distT="0" distB="0" distL="0" distR="0" wp14:anchorId="79EC5B9B" wp14:editId="02F884D5">
            <wp:extent cx="5581015" cy="3232150"/>
            <wp:effectExtent l="0" t="0" r="635" b="6350"/>
            <wp:docPr id="12" name="Picture 12" descr="This chart shows the distribution of efficiency of labour by age and skill in the data and also that of implied by the model. It shows that individuals' efficiency of  labour peaks in the early 40s and decreases afterward. This chart also depicts differences in the efficiency of labour across different skill levels for each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shows the distribution of efficiency of labour by age and skill in the data and also that of implied by the model. It shows that individuals' efficiency of  labour peaks in the early 40s and decreases afterward. This chart also depicts differences in the efficiency of labour across different skill levels for each age. "/>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581015" cy="3232150"/>
                    </a:xfrm>
                    <a:prstGeom prst="rect">
                      <a:avLst/>
                    </a:prstGeom>
                    <a:noFill/>
                    <a:ln>
                      <a:noFill/>
                    </a:ln>
                  </pic:spPr>
                </pic:pic>
              </a:graphicData>
            </a:graphic>
          </wp:inline>
        </w:drawing>
      </w:r>
    </w:p>
    <w:p w14:paraId="53E3920A" w14:textId="392AC24A" w:rsidR="006C3DEB" w:rsidRPr="000C5322" w:rsidRDefault="006C3DEB" w:rsidP="006C3DEB">
      <w:pPr>
        <w:pStyle w:val="Note"/>
      </w:pPr>
      <w:r w:rsidRPr="0087710C">
        <w:t>Source: Authors’ calculation</w:t>
      </w:r>
      <w:r>
        <w:t>s</w:t>
      </w:r>
      <w:r w:rsidRPr="0087710C">
        <w:t xml:space="preserve"> </w:t>
      </w:r>
      <w:r>
        <w:t>based on</w:t>
      </w:r>
      <w:r w:rsidRPr="0087710C">
        <w:t xml:space="preserve"> data </w:t>
      </w:r>
      <w:r w:rsidRPr="003A29AA">
        <w:t>from SIH (ABS, 2017) and ABS Life Tables (2019a). No</w:t>
      </w:r>
      <w:r w:rsidRPr="0087710C">
        <w:t>te: Broken</w:t>
      </w:r>
      <w:r>
        <w:t xml:space="preserve"> </w:t>
      </w:r>
      <w:r w:rsidRPr="0087710C">
        <w:t>line</w:t>
      </w:r>
      <w:r w:rsidR="009F7E21">
        <w:t>s</w:t>
      </w:r>
      <w:r>
        <w:t xml:space="preserve"> </w:t>
      </w:r>
      <w:r w:rsidR="004640A7" w:rsidRPr="004640A7">
        <w:t>are medians</w:t>
      </w:r>
      <w:r>
        <w:t xml:space="preserve"> of</w:t>
      </w:r>
      <w:r w:rsidRPr="000C5322">
        <w:t xml:space="preserve"> cross-sectional data </w:t>
      </w:r>
      <w:r>
        <w:t xml:space="preserve">relative to the population-weighted mean </w:t>
      </w:r>
      <w:r w:rsidR="004640A7" w:rsidRPr="004640A7">
        <w:t>from</w:t>
      </w:r>
      <w:r>
        <w:t xml:space="preserve"> the SIH (using the </w:t>
      </w:r>
      <w:r w:rsidR="004640A7" w:rsidRPr="004640A7">
        <w:t xml:space="preserve">model </w:t>
      </w:r>
      <w:r>
        <w:t>age distribution)</w:t>
      </w:r>
      <w:r w:rsidRPr="000C5322">
        <w:t xml:space="preserve">, and solid </w:t>
      </w:r>
      <w:r w:rsidR="004640A7" w:rsidRPr="004640A7">
        <w:t>lines are</w:t>
      </w:r>
      <w:r w:rsidRPr="000C5322">
        <w:t xml:space="preserve"> the calibrated profiles</w:t>
      </w:r>
      <w:r>
        <w:t xml:space="preserve"> relative to the population-weighted mean</w:t>
      </w:r>
      <w:r w:rsidRPr="000C5322">
        <w:t xml:space="preserve">. </w:t>
      </w:r>
    </w:p>
    <w:p w14:paraId="5C666F02" w14:textId="77777777" w:rsidR="006C3DEB" w:rsidRPr="00D345CB" w:rsidRDefault="006C3DEB" w:rsidP="006C3DEB">
      <w:pPr>
        <w:pStyle w:val="Heading4"/>
        <w:rPr>
          <w:rStyle w:val="IntenseEmphasis"/>
          <w:b w:val="0"/>
          <w:bCs w:val="0"/>
          <w:i w:val="0"/>
          <w:iCs w:val="0"/>
          <w:color w:val="4D7861" w:themeColor="accent2"/>
        </w:rPr>
      </w:pPr>
      <w:r w:rsidRPr="00D345CB">
        <w:rPr>
          <w:rStyle w:val="IntenseEmphasis"/>
          <w:b w:val="0"/>
          <w:bCs w:val="0"/>
          <w:i w:val="0"/>
          <w:iCs w:val="0"/>
          <w:color w:val="4D7861" w:themeColor="accent2"/>
        </w:rPr>
        <w:t>Preferences</w:t>
      </w:r>
    </w:p>
    <w:p w14:paraId="60BD96B6" w14:textId="77777777" w:rsidR="006C3DEB" w:rsidRPr="00CC2926" w:rsidRDefault="006C3DEB" w:rsidP="006C3DEB">
      <w:pPr>
        <w:pStyle w:val="Heading5"/>
        <w:rPr>
          <w:rStyle w:val="IntenseEmphasis"/>
          <w:b/>
          <w:bCs w:val="0"/>
          <w:i w:val="0"/>
          <w:iCs/>
          <w:color w:val="000000" w:themeColor="text1"/>
        </w:rPr>
      </w:pPr>
      <w:r w:rsidRPr="00CC2926">
        <w:rPr>
          <w:rStyle w:val="IntenseEmphasis"/>
          <w:b/>
          <w:bCs w:val="0"/>
          <w:i w:val="0"/>
          <w:iCs/>
          <w:color w:val="000000" w:themeColor="text1"/>
        </w:rPr>
        <w:t>Instantaneous utility</w:t>
      </w:r>
    </w:p>
    <w:p w14:paraId="644BAF0A" w14:textId="676D8F32" w:rsidR="006C3DEB" w:rsidRPr="008C20D8" w:rsidRDefault="006C3DEB" w:rsidP="006C3DEB">
      <w:pPr>
        <w:rPr>
          <w:rFonts w:eastAsia="Calibri"/>
        </w:rPr>
      </w:pPr>
      <w:r>
        <w:t xml:space="preserve">Following the Dynamic Stochastic General Equilibrium (DSGE) literature </w:t>
      </w:r>
      <w:r w:rsidRPr="003A29AA">
        <w:t>(for example, King, Plosser and Rebelo</w:t>
      </w:r>
      <w:r w:rsidRPr="008A7B9E">
        <w:t xml:space="preserve"> (1988)),</w:t>
      </w:r>
      <w:r>
        <w:t xml:space="preserve"> we set the coefficient of </w:t>
      </w:r>
      <w:r w:rsidRPr="00E464F5">
        <w:t>relative risk aversion</w:t>
      </w:r>
      <w:r w:rsidRPr="00E670A7">
        <w:rPr>
          <w:position w:val="-6"/>
        </w:rPr>
        <w:object w:dxaOrig="600" w:dyaOrig="279" w14:anchorId="48695242">
          <v:shape id="_x0000_i1459" type="#_x0000_t75" style="width:30pt;height:15pt" o:ole="">
            <v:imagedata r:id="rId886" o:title=""/>
          </v:shape>
          <o:OLEObject Type="Embed" ProgID="Equation.DSMT4" ShapeID="_x0000_i1459" DrawAspect="Content" ObjectID="_1754919010" r:id="rId887"/>
        </w:object>
      </w:r>
      <w:r>
        <w:t xml:space="preserve"> for all households</w:t>
      </w:r>
      <w:r>
        <w:rPr>
          <w:rFonts w:eastAsia="Calibri"/>
        </w:rPr>
        <w:t xml:space="preserve">. This implies an intertemporal elasticity of substitution that is equal to 1/2. Similar to </w:t>
      </w:r>
      <w:r w:rsidRPr="003A29AA">
        <w:rPr>
          <w:rFonts w:eastAsia="Calibri"/>
        </w:rPr>
        <w:t>Fehr (2000)</w:t>
      </w:r>
      <w:r w:rsidRPr="00E876DF">
        <w:rPr>
          <w:rFonts w:eastAsia="Calibri"/>
        </w:rPr>
        <w:t xml:space="preserve"> and Kudrna et al. (2015</w:t>
      </w:r>
      <w:r w:rsidRPr="008A7B9E">
        <w:rPr>
          <w:rFonts w:eastAsia="Calibri"/>
        </w:rPr>
        <w:t>),</w:t>
      </w:r>
      <w:r>
        <w:rPr>
          <w:rFonts w:eastAsia="Calibri"/>
        </w:rPr>
        <w:t xml:space="preserve"> we have calibrated</w:t>
      </w:r>
      <w:r w:rsidRPr="00E670A7">
        <w:rPr>
          <w:position w:val="-6"/>
        </w:rPr>
        <w:object w:dxaOrig="240" w:dyaOrig="220" w14:anchorId="0B8587D2">
          <v:shape id="_x0000_i1460" type="#_x0000_t75" style="width:14.4pt;height:10.8pt" o:ole="">
            <v:imagedata r:id="rId888" o:title=""/>
          </v:shape>
          <o:OLEObject Type="Embed" ProgID="Equation.DSMT4" ShapeID="_x0000_i1460" DrawAspect="Content" ObjectID="_1754919011" r:id="rId889"/>
        </w:object>
      </w:r>
      <w:r>
        <w:rPr>
          <w:rFonts w:eastAsia="Calibri"/>
        </w:rPr>
        <w:t>f</w:t>
      </w:r>
      <w:r w:rsidRPr="0026386E">
        <w:rPr>
          <w:rFonts w:eastAsia="Calibri"/>
        </w:rPr>
        <w:t>or each skill type</w:t>
      </w:r>
      <w:r>
        <w:rPr>
          <w:rFonts w:eastAsia="Calibri"/>
        </w:rPr>
        <w:t xml:space="preserve"> </w:t>
      </w:r>
      <w:r w:rsidRPr="0026386E">
        <w:rPr>
          <w:rFonts w:eastAsia="Calibri"/>
        </w:rPr>
        <w:t xml:space="preserve">to match data on lifetime labour supply reported in </w:t>
      </w:r>
      <w:r>
        <w:rPr>
          <w:rFonts w:eastAsia="Calibri"/>
        </w:rPr>
        <w:t>SIH (ABS, 2017)</w:t>
      </w:r>
      <w:r w:rsidRPr="0026386E">
        <w:rPr>
          <w:rFonts w:eastAsia="Calibri"/>
        </w:rPr>
        <w:t>.</w:t>
      </w:r>
      <w:r w:rsidRPr="0026386E">
        <w:t xml:space="preserve"> </w:t>
      </w:r>
      <w:r>
        <w:t xml:space="preserve">All these parameters are reported in </w:t>
      </w:r>
      <w:r w:rsidR="00E00A52" w:rsidRPr="00EA1E94">
        <w:t xml:space="preserve">Table </w:t>
      </w:r>
      <w:r w:rsidR="00E00A52">
        <w:rPr>
          <w:noProof/>
        </w:rPr>
        <w:t>2</w:t>
      </w:r>
      <w:r>
        <w:t xml:space="preserve"> below.</w:t>
      </w:r>
    </w:p>
    <w:p w14:paraId="4686F430" w14:textId="2CB61349" w:rsidR="006C3DEB" w:rsidRPr="00EA1E94" w:rsidRDefault="006C3DEB" w:rsidP="006C3DEB">
      <w:pPr>
        <w:pStyle w:val="TableMainHeading"/>
      </w:pPr>
      <w:bookmarkStart w:id="19" w:name="_Ref101946866"/>
      <w:r w:rsidRPr="00EA1E94">
        <w:t xml:space="preserve">Table </w:t>
      </w:r>
      <w:r w:rsidR="009B2CE5">
        <w:fldChar w:fldCharType="begin"/>
      </w:r>
      <w:r w:rsidR="009B2CE5">
        <w:instrText xml:space="preserve"> SEQ Table \* ARABIC </w:instrText>
      </w:r>
      <w:r w:rsidR="009B2CE5">
        <w:fldChar w:fldCharType="separate"/>
      </w:r>
      <w:r w:rsidR="00E00A52">
        <w:rPr>
          <w:noProof/>
        </w:rPr>
        <w:t>2</w:t>
      </w:r>
      <w:r w:rsidR="009B2CE5">
        <w:rPr>
          <w:noProof/>
        </w:rPr>
        <w:fldChar w:fldCharType="end"/>
      </w:r>
      <w:bookmarkEnd w:id="19"/>
      <w:r w:rsidRPr="00EA1E94">
        <w:t>: Parameter values for the utility function</w:t>
      </w:r>
    </w:p>
    <w:tbl>
      <w:tblPr>
        <w:tblW w:w="5000" w:type="pct"/>
        <w:jc w:val="center"/>
        <w:shd w:val="clear" w:color="auto" w:fill="EEEEEE" w:themeFill="background2"/>
        <w:tblCellMar>
          <w:left w:w="0" w:type="dxa"/>
          <w:right w:w="28" w:type="dxa"/>
        </w:tblCellMar>
        <w:tblLook w:val="04A0" w:firstRow="1" w:lastRow="0" w:firstColumn="1" w:lastColumn="0" w:noHBand="0" w:noVBand="1"/>
      </w:tblPr>
      <w:tblGrid>
        <w:gridCol w:w="1169"/>
        <w:gridCol w:w="925"/>
        <w:gridCol w:w="1714"/>
        <w:gridCol w:w="1188"/>
        <w:gridCol w:w="1582"/>
        <w:gridCol w:w="1248"/>
        <w:gridCol w:w="1244"/>
      </w:tblGrid>
      <w:tr w:rsidR="006C3DEB" w:rsidRPr="008E1A63" w14:paraId="517DE111" w14:textId="77777777" w:rsidTr="00017ACD">
        <w:trPr>
          <w:trHeight w:val="488"/>
          <w:jc w:val="center"/>
        </w:trPr>
        <w:tc>
          <w:tcPr>
            <w:tcW w:w="644" w:type="pct"/>
            <w:tcBorders>
              <w:top w:val="single" w:sz="4" w:space="0" w:color="auto"/>
              <w:left w:val="nil"/>
              <w:bottom w:val="single" w:sz="4" w:space="0" w:color="auto"/>
              <w:right w:val="nil"/>
            </w:tcBorders>
            <w:shd w:val="clear" w:color="auto" w:fill="EEEEEE" w:themeFill="background2"/>
            <w:noWrap/>
            <w:vAlign w:val="center"/>
            <w:hideMark/>
          </w:tcPr>
          <w:p w14:paraId="4252C24F" w14:textId="77777777" w:rsidR="006C3DEB" w:rsidRPr="00EA1E94" w:rsidRDefault="006C3DEB" w:rsidP="005A7549">
            <w:pPr>
              <w:pStyle w:val="TableColumnHeadingCentred"/>
            </w:pPr>
            <w:r w:rsidRPr="00EA1E94">
              <w:t>Parameter</w:t>
            </w:r>
          </w:p>
        </w:tc>
        <w:tc>
          <w:tcPr>
            <w:tcW w:w="510" w:type="pct"/>
            <w:tcBorders>
              <w:top w:val="single" w:sz="4" w:space="0" w:color="auto"/>
              <w:left w:val="nil"/>
              <w:bottom w:val="single" w:sz="4" w:space="0" w:color="auto"/>
              <w:right w:val="nil"/>
            </w:tcBorders>
            <w:shd w:val="clear" w:color="auto" w:fill="EEEEEE" w:themeFill="background2"/>
            <w:noWrap/>
            <w:vAlign w:val="center"/>
            <w:hideMark/>
          </w:tcPr>
          <w:p w14:paraId="7BF5279D" w14:textId="77777777" w:rsidR="006C3DEB" w:rsidRPr="00EA1E94" w:rsidRDefault="006C3DEB" w:rsidP="005A7549">
            <w:pPr>
              <w:pStyle w:val="TableColumnHeadingCentred"/>
            </w:pPr>
            <w:r w:rsidRPr="00EA1E94">
              <w:t>Low</w:t>
            </w:r>
          </w:p>
        </w:tc>
        <w:tc>
          <w:tcPr>
            <w:tcW w:w="945" w:type="pct"/>
            <w:tcBorders>
              <w:top w:val="single" w:sz="4" w:space="0" w:color="auto"/>
              <w:left w:val="nil"/>
              <w:bottom w:val="single" w:sz="4" w:space="0" w:color="auto"/>
              <w:right w:val="nil"/>
            </w:tcBorders>
            <w:shd w:val="clear" w:color="auto" w:fill="EEEEEE" w:themeFill="background2"/>
            <w:noWrap/>
            <w:vAlign w:val="center"/>
            <w:hideMark/>
          </w:tcPr>
          <w:p w14:paraId="06FDA6DA" w14:textId="77777777" w:rsidR="006C3DEB" w:rsidRPr="00EA1E94" w:rsidRDefault="006C3DEB" w:rsidP="005A7549">
            <w:pPr>
              <w:pStyle w:val="TableColumnHeadingCentred"/>
            </w:pPr>
            <w:r w:rsidRPr="00EA1E94">
              <w:t>Lower-middle</w:t>
            </w:r>
          </w:p>
        </w:tc>
        <w:tc>
          <w:tcPr>
            <w:tcW w:w="655" w:type="pct"/>
            <w:tcBorders>
              <w:top w:val="single" w:sz="4" w:space="0" w:color="auto"/>
              <w:left w:val="nil"/>
              <w:bottom w:val="single" w:sz="4" w:space="0" w:color="auto"/>
              <w:right w:val="nil"/>
            </w:tcBorders>
            <w:shd w:val="clear" w:color="auto" w:fill="EEEEEE" w:themeFill="background2"/>
            <w:noWrap/>
            <w:vAlign w:val="center"/>
            <w:hideMark/>
          </w:tcPr>
          <w:p w14:paraId="4BF6B390" w14:textId="77777777" w:rsidR="006C3DEB" w:rsidRPr="00EA1E94" w:rsidRDefault="006C3DEB" w:rsidP="005A7549">
            <w:pPr>
              <w:pStyle w:val="TableColumnHeadingCentred"/>
            </w:pPr>
            <w:r w:rsidRPr="00EA1E94">
              <w:t>Middle</w:t>
            </w:r>
          </w:p>
        </w:tc>
        <w:tc>
          <w:tcPr>
            <w:tcW w:w="872" w:type="pct"/>
            <w:tcBorders>
              <w:top w:val="single" w:sz="4" w:space="0" w:color="auto"/>
              <w:left w:val="nil"/>
              <w:bottom w:val="single" w:sz="4" w:space="0" w:color="auto"/>
              <w:right w:val="nil"/>
            </w:tcBorders>
            <w:shd w:val="clear" w:color="auto" w:fill="EEEEEE" w:themeFill="background2"/>
            <w:noWrap/>
            <w:vAlign w:val="center"/>
            <w:hideMark/>
          </w:tcPr>
          <w:p w14:paraId="52538842" w14:textId="77777777" w:rsidR="006C3DEB" w:rsidRPr="00EA1E94" w:rsidRDefault="006C3DEB" w:rsidP="005A7549">
            <w:pPr>
              <w:pStyle w:val="TableColumnHeadingCentred"/>
            </w:pPr>
            <w:r w:rsidRPr="00EA1E94">
              <w:t>Upper-middle</w:t>
            </w:r>
          </w:p>
        </w:tc>
        <w:tc>
          <w:tcPr>
            <w:tcW w:w="688" w:type="pct"/>
            <w:tcBorders>
              <w:top w:val="single" w:sz="4" w:space="0" w:color="auto"/>
              <w:left w:val="nil"/>
              <w:bottom w:val="single" w:sz="4" w:space="0" w:color="auto"/>
              <w:right w:val="nil"/>
            </w:tcBorders>
            <w:shd w:val="clear" w:color="auto" w:fill="EEEEEE" w:themeFill="background2"/>
            <w:noWrap/>
            <w:vAlign w:val="center"/>
            <w:hideMark/>
          </w:tcPr>
          <w:p w14:paraId="699F29DC" w14:textId="77777777" w:rsidR="006C3DEB" w:rsidRPr="00EA1E94" w:rsidRDefault="006C3DEB" w:rsidP="005A7549">
            <w:pPr>
              <w:pStyle w:val="TableColumnHeadingCentred"/>
            </w:pPr>
            <w:r w:rsidRPr="00EA1E94">
              <w:t>High</w:t>
            </w:r>
          </w:p>
        </w:tc>
        <w:tc>
          <w:tcPr>
            <w:tcW w:w="686" w:type="pct"/>
            <w:tcBorders>
              <w:top w:val="single" w:sz="4" w:space="0" w:color="auto"/>
              <w:left w:val="nil"/>
              <w:bottom w:val="single" w:sz="4" w:space="0" w:color="auto"/>
              <w:right w:val="nil"/>
            </w:tcBorders>
            <w:shd w:val="clear" w:color="auto" w:fill="EEEEEE" w:themeFill="background2"/>
            <w:vAlign w:val="center"/>
          </w:tcPr>
          <w:p w14:paraId="1A15CD9E" w14:textId="77777777" w:rsidR="006C3DEB" w:rsidRPr="00EA1E94" w:rsidRDefault="006C3DEB" w:rsidP="005A7549">
            <w:pPr>
              <w:pStyle w:val="TableColumnHeadingCentred"/>
            </w:pPr>
            <w:r w:rsidRPr="00EA1E94">
              <w:t>All</w:t>
            </w:r>
          </w:p>
        </w:tc>
      </w:tr>
      <w:tr w:rsidR="006C3DEB" w:rsidRPr="0004154E" w14:paraId="3C48CAAC" w14:textId="77777777" w:rsidTr="00017ACD">
        <w:trPr>
          <w:trHeight w:val="488"/>
          <w:jc w:val="center"/>
        </w:trPr>
        <w:tc>
          <w:tcPr>
            <w:tcW w:w="644" w:type="pct"/>
            <w:tcBorders>
              <w:top w:val="single" w:sz="4" w:space="0" w:color="auto"/>
              <w:left w:val="nil"/>
              <w:right w:val="single" w:sz="4" w:space="0" w:color="auto"/>
            </w:tcBorders>
            <w:shd w:val="clear" w:color="auto" w:fill="EEEEEE" w:themeFill="background2"/>
            <w:noWrap/>
            <w:vAlign w:val="center"/>
          </w:tcPr>
          <w:p w14:paraId="65302BA1" w14:textId="77777777" w:rsidR="006C3DEB" w:rsidRPr="0004154E" w:rsidRDefault="006C3DEB" w:rsidP="005A7549">
            <w:pPr>
              <w:spacing w:after="0"/>
              <w:jc w:val="center"/>
              <w:rPr>
                <w:sz w:val="20"/>
              </w:rPr>
            </w:pPr>
            <w:r w:rsidRPr="00E670A7">
              <w:rPr>
                <w:position w:val="-10"/>
              </w:rPr>
              <w:object w:dxaOrig="240" w:dyaOrig="320" w14:anchorId="1CB82E9A">
                <v:shape id="_x0000_i1461" type="#_x0000_t75" style="width:14.4pt;height:14.4pt" o:ole="">
                  <v:imagedata r:id="rId890" o:title=""/>
                </v:shape>
                <o:OLEObject Type="Embed" ProgID="Equation.DSMT4" ShapeID="_x0000_i1461" DrawAspect="Content" ObjectID="_1754919012" r:id="rId891"/>
              </w:object>
            </w:r>
          </w:p>
        </w:tc>
        <w:tc>
          <w:tcPr>
            <w:tcW w:w="510" w:type="pct"/>
            <w:tcBorders>
              <w:top w:val="single" w:sz="4" w:space="0" w:color="auto"/>
              <w:left w:val="single" w:sz="4" w:space="0" w:color="auto"/>
              <w:right w:val="nil"/>
            </w:tcBorders>
            <w:shd w:val="clear" w:color="auto" w:fill="auto"/>
            <w:noWrap/>
            <w:vAlign w:val="center"/>
          </w:tcPr>
          <w:p w14:paraId="0406B342" w14:textId="77777777" w:rsidR="006C3DEB" w:rsidRPr="0004154E" w:rsidRDefault="006C3DEB" w:rsidP="005A7549">
            <w:pPr>
              <w:pStyle w:val="TableTextCentered"/>
            </w:pPr>
          </w:p>
        </w:tc>
        <w:tc>
          <w:tcPr>
            <w:tcW w:w="945" w:type="pct"/>
            <w:tcBorders>
              <w:top w:val="single" w:sz="4" w:space="0" w:color="auto"/>
              <w:left w:val="nil"/>
              <w:right w:val="nil"/>
            </w:tcBorders>
            <w:shd w:val="clear" w:color="auto" w:fill="auto"/>
            <w:noWrap/>
            <w:vAlign w:val="center"/>
          </w:tcPr>
          <w:p w14:paraId="10179072" w14:textId="77777777" w:rsidR="006C3DEB" w:rsidRPr="0004154E" w:rsidRDefault="006C3DEB" w:rsidP="005A7549">
            <w:pPr>
              <w:pStyle w:val="TableTextCentered"/>
            </w:pPr>
          </w:p>
        </w:tc>
        <w:tc>
          <w:tcPr>
            <w:tcW w:w="655" w:type="pct"/>
            <w:tcBorders>
              <w:top w:val="single" w:sz="4" w:space="0" w:color="auto"/>
              <w:left w:val="nil"/>
              <w:right w:val="nil"/>
            </w:tcBorders>
            <w:shd w:val="clear" w:color="auto" w:fill="auto"/>
            <w:noWrap/>
            <w:vAlign w:val="center"/>
          </w:tcPr>
          <w:p w14:paraId="730D11FE" w14:textId="77777777" w:rsidR="006C3DEB" w:rsidRPr="0004154E" w:rsidRDefault="006C3DEB" w:rsidP="005A7549">
            <w:pPr>
              <w:pStyle w:val="TableTextCentered"/>
            </w:pPr>
          </w:p>
        </w:tc>
        <w:tc>
          <w:tcPr>
            <w:tcW w:w="872" w:type="pct"/>
            <w:tcBorders>
              <w:top w:val="single" w:sz="4" w:space="0" w:color="auto"/>
              <w:left w:val="nil"/>
              <w:right w:val="nil"/>
            </w:tcBorders>
            <w:shd w:val="clear" w:color="auto" w:fill="auto"/>
            <w:noWrap/>
            <w:vAlign w:val="center"/>
          </w:tcPr>
          <w:p w14:paraId="57784066" w14:textId="77777777" w:rsidR="006C3DEB" w:rsidRPr="0004154E" w:rsidRDefault="006C3DEB" w:rsidP="005A7549">
            <w:pPr>
              <w:pStyle w:val="TableTextCentered"/>
            </w:pPr>
          </w:p>
        </w:tc>
        <w:tc>
          <w:tcPr>
            <w:tcW w:w="688" w:type="pct"/>
            <w:tcBorders>
              <w:top w:val="single" w:sz="4" w:space="0" w:color="auto"/>
              <w:left w:val="nil"/>
              <w:right w:val="nil"/>
            </w:tcBorders>
            <w:shd w:val="clear" w:color="auto" w:fill="auto"/>
            <w:noWrap/>
            <w:vAlign w:val="center"/>
          </w:tcPr>
          <w:p w14:paraId="3B4B5E19" w14:textId="77777777" w:rsidR="006C3DEB" w:rsidRPr="0004154E" w:rsidRDefault="006C3DEB" w:rsidP="005A7549">
            <w:pPr>
              <w:pStyle w:val="TableTextCentered"/>
            </w:pPr>
          </w:p>
        </w:tc>
        <w:tc>
          <w:tcPr>
            <w:tcW w:w="686" w:type="pct"/>
            <w:tcBorders>
              <w:top w:val="single" w:sz="4" w:space="0" w:color="auto"/>
              <w:left w:val="nil"/>
              <w:right w:val="nil"/>
            </w:tcBorders>
            <w:shd w:val="clear" w:color="auto" w:fill="auto"/>
            <w:vAlign w:val="center"/>
          </w:tcPr>
          <w:p w14:paraId="5565C524" w14:textId="77777777" w:rsidR="006C3DEB" w:rsidRPr="0004154E" w:rsidRDefault="006C3DEB" w:rsidP="005A7549">
            <w:pPr>
              <w:pStyle w:val="TableTextCentered"/>
            </w:pPr>
            <w:r>
              <w:t>0.99</w:t>
            </w:r>
          </w:p>
        </w:tc>
      </w:tr>
      <w:tr w:rsidR="006C3DEB" w:rsidRPr="0004154E" w14:paraId="68D1A81B" w14:textId="77777777" w:rsidTr="00017ACD">
        <w:trPr>
          <w:trHeight w:val="488"/>
          <w:jc w:val="center"/>
        </w:trPr>
        <w:tc>
          <w:tcPr>
            <w:tcW w:w="644" w:type="pct"/>
            <w:tcBorders>
              <w:top w:val="nil"/>
              <w:left w:val="nil"/>
              <w:right w:val="single" w:sz="4" w:space="0" w:color="auto"/>
            </w:tcBorders>
            <w:shd w:val="clear" w:color="auto" w:fill="EEEEEE" w:themeFill="background2"/>
            <w:noWrap/>
            <w:vAlign w:val="center"/>
            <w:hideMark/>
          </w:tcPr>
          <w:p w14:paraId="4F940518" w14:textId="77777777" w:rsidR="006C3DEB" w:rsidRPr="0004154E" w:rsidRDefault="006C3DEB" w:rsidP="005A7549">
            <w:pPr>
              <w:spacing w:after="0"/>
              <w:jc w:val="center"/>
              <w:rPr>
                <w:color w:val="000000"/>
                <w:sz w:val="20"/>
              </w:rPr>
            </w:pPr>
            <w:r w:rsidRPr="00E670A7">
              <w:rPr>
                <w:position w:val="-6"/>
              </w:rPr>
              <w:object w:dxaOrig="240" w:dyaOrig="220" w14:anchorId="60E07CF8">
                <v:shape id="_x0000_i1462" type="#_x0000_t75" style="width:14.4pt;height:7.8pt" o:ole="">
                  <v:imagedata r:id="rId892" o:title=""/>
                </v:shape>
                <o:OLEObject Type="Embed" ProgID="Equation.DSMT4" ShapeID="_x0000_i1462" DrawAspect="Content" ObjectID="_1754919013" r:id="rId893"/>
              </w:object>
            </w:r>
          </w:p>
        </w:tc>
        <w:tc>
          <w:tcPr>
            <w:tcW w:w="510" w:type="pct"/>
            <w:tcBorders>
              <w:top w:val="nil"/>
              <w:left w:val="single" w:sz="4" w:space="0" w:color="auto"/>
              <w:right w:val="nil"/>
            </w:tcBorders>
            <w:shd w:val="clear" w:color="auto" w:fill="auto"/>
            <w:noWrap/>
            <w:vAlign w:val="center"/>
            <w:hideMark/>
          </w:tcPr>
          <w:p w14:paraId="7C945709" w14:textId="77777777" w:rsidR="006C3DEB" w:rsidRPr="0004154E" w:rsidRDefault="006C3DEB" w:rsidP="005A7549">
            <w:pPr>
              <w:pStyle w:val="TableTextCentered"/>
            </w:pPr>
          </w:p>
        </w:tc>
        <w:tc>
          <w:tcPr>
            <w:tcW w:w="945" w:type="pct"/>
            <w:tcBorders>
              <w:top w:val="nil"/>
              <w:left w:val="nil"/>
              <w:right w:val="nil"/>
            </w:tcBorders>
            <w:shd w:val="clear" w:color="auto" w:fill="auto"/>
            <w:noWrap/>
            <w:vAlign w:val="center"/>
            <w:hideMark/>
          </w:tcPr>
          <w:p w14:paraId="61DBF4FF" w14:textId="77777777" w:rsidR="006C3DEB" w:rsidRPr="0004154E" w:rsidRDefault="006C3DEB" w:rsidP="005A7549">
            <w:pPr>
              <w:pStyle w:val="TableTextCentered"/>
            </w:pPr>
          </w:p>
        </w:tc>
        <w:tc>
          <w:tcPr>
            <w:tcW w:w="655" w:type="pct"/>
            <w:tcBorders>
              <w:top w:val="nil"/>
              <w:left w:val="nil"/>
              <w:right w:val="nil"/>
            </w:tcBorders>
            <w:shd w:val="clear" w:color="auto" w:fill="auto"/>
            <w:noWrap/>
            <w:vAlign w:val="center"/>
            <w:hideMark/>
          </w:tcPr>
          <w:p w14:paraId="4E52B6DF" w14:textId="77777777" w:rsidR="006C3DEB" w:rsidRPr="0004154E" w:rsidRDefault="006C3DEB" w:rsidP="005A7549">
            <w:pPr>
              <w:pStyle w:val="TableTextCentered"/>
            </w:pPr>
          </w:p>
        </w:tc>
        <w:tc>
          <w:tcPr>
            <w:tcW w:w="872" w:type="pct"/>
            <w:tcBorders>
              <w:top w:val="nil"/>
              <w:left w:val="nil"/>
              <w:right w:val="nil"/>
            </w:tcBorders>
            <w:shd w:val="clear" w:color="auto" w:fill="auto"/>
            <w:noWrap/>
            <w:vAlign w:val="center"/>
            <w:hideMark/>
          </w:tcPr>
          <w:p w14:paraId="563E79DA" w14:textId="77777777" w:rsidR="006C3DEB" w:rsidRPr="0004154E" w:rsidRDefault="006C3DEB" w:rsidP="005A7549">
            <w:pPr>
              <w:pStyle w:val="TableTextCentered"/>
            </w:pPr>
          </w:p>
        </w:tc>
        <w:tc>
          <w:tcPr>
            <w:tcW w:w="688" w:type="pct"/>
            <w:tcBorders>
              <w:top w:val="nil"/>
              <w:left w:val="nil"/>
              <w:right w:val="nil"/>
            </w:tcBorders>
            <w:shd w:val="clear" w:color="auto" w:fill="auto"/>
            <w:noWrap/>
            <w:vAlign w:val="center"/>
            <w:hideMark/>
          </w:tcPr>
          <w:p w14:paraId="35D58F2A" w14:textId="77777777" w:rsidR="006C3DEB" w:rsidRPr="0004154E" w:rsidRDefault="006C3DEB" w:rsidP="005A7549">
            <w:pPr>
              <w:pStyle w:val="TableTextCentered"/>
            </w:pPr>
          </w:p>
        </w:tc>
        <w:tc>
          <w:tcPr>
            <w:tcW w:w="686" w:type="pct"/>
            <w:tcBorders>
              <w:top w:val="nil"/>
              <w:left w:val="nil"/>
              <w:right w:val="nil"/>
            </w:tcBorders>
            <w:shd w:val="clear" w:color="auto" w:fill="auto"/>
            <w:vAlign w:val="center"/>
          </w:tcPr>
          <w:p w14:paraId="5CE21878" w14:textId="77777777" w:rsidR="006C3DEB" w:rsidRPr="0004154E" w:rsidRDefault="006C3DEB" w:rsidP="005A7549">
            <w:pPr>
              <w:pStyle w:val="TableTextCentered"/>
            </w:pPr>
            <w:r w:rsidRPr="0004154E">
              <w:t>2</w:t>
            </w:r>
          </w:p>
        </w:tc>
      </w:tr>
      <w:tr w:rsidR="006C3DEB" w:rsidRPr="0004154E" w14:paraId="2A3D3F77" w14:textId="77777777" w:rsidTr="00017ACD">
        <w:trPr>
          <w:trHeight w:val="488"/>
          <w:jc w:val="center"/>
        </w:trPr>
        <w:tc>
          <w:tcPr>
            <w:tcW w:w="644" w:type="pct"/>
            <w:tcBorders>
              <w:top w:val="nil"/>
              <w:left w:val="nil"/>
              <w:right w:val="single" w:sz="4" w:space="0" w:color="auto"/>
            </w:tcBorders>
            <w:shd w:val="clear" w:color="auto" w:fill="EEEEEE" w:themeFill="background2"/>
            <w:noWrap/>
            <w:vAlign w:val="center"/>
          </w:tcPr>
          <w:p w14:paraId="4E2AFEF5" w14:textId="77777777" w:rsidR="006C3DEB" w:rsidRPr="0004154E" w:rsidRDefault="006C3DEB" w:rsidP="005A7549">
            <w:pPr>
              <w:spacing w:after="0"/>
              <w:jc w:val="center"/>
              <w:rPr>
                <w:sz w:val="20"/>
              </w:rPr>
            </w:pPr>
            <w:r w:rsidRPr="00E670A7">
              <w:rPr>
                <w:position w:val="-6"/>
              </w:rPr>
              <w:object w:dxaOrig="240" w:dyaOrig="220" w14:anchorId="1F272AAF">
                <v:shape id="_x0000_i1463" type="#_x0000_t75" style="width:14.4pt;height:7.8pt" o:ole="">
                  <v:imagedata r:id="rId894" o:title=""/>
                </v:shape>
                <o:OLEObject Type="Embed" ProgID="Equation.DSMT4" ShapeID="_x0000_i1463" DrawAspect="Content" ObjectID="_1754919014" r:id="rId895"/>
              </w:object>
            </w:r>
          </w:p>
        </w:tc>
        <w:tc>
          <w:tcPr>
            <w:tcW w:w="510" w:type="pct"/>
            <w:tcBorders>
              <w:top w:val="nil"/>
              <w:left w:val="single" w:sz="4" w:space="0" w:color="auto"/>
              <w:right w:val="nil"/>
            </w:tcBorders>
            <w:shd w:val="clear" w:color="auto" w:fill="auto"/>
            <w:noWrap/>
            <w:vAlign w:val="center"/>
          </w:tcPr>
          <w:p w14:paraId="6283CD1A" w14:textId="77777777" w:rsidR="006C3DEB" w:rsidRPr="0004154E" w:rsidRDefault="006C3DEB" w:rsidP="005A7549">
            <w:pPr>
              <w:pStyle w:val="TableTextCentered"/>
            </w:pPr>
            <w:r w:rsidRPr="0004154E">
              <w:t>0.5</w:t>
            </w:r>
          </w:p>
        </w:tc>
        <w:tc>
          <w:tcPr>
            <w:tcW w:w="945" w:type="pct"/>
            <w:tcBorders>
              <w:top w:val="nil"/>
              <w:left w:val="nil"/>
              <w:right w:val="nil"/>
            </w:tcBorders>
            <w:shd w:val="clear" w:color="auto" w:fill="auto"/>
            <w:noWrap/>
            <w:vAlign w:val="center"/>
          </w:tcPr>
          <w:p w14:paraId="75603EF3" w14:textId="77777777" w:rsidR="006C3DEB" w:rsidRPr="0004154E" w:rsidRDefault="006C3DEB" w:rsidP="005A7549">
            <w:pPr>
              <w:pStyle w:val="TableTextCentered"/>
            </w:pPr>
            <w:r w:rsidRPr="0004154E">
              <w:t>0.6</w:t>
            </w:r>
          </w:p>
        </w:tc>
        <w:tc>
          <w:tcPr>
            <w:tcW w:w="655" w:type="pct"/>
            <w:tcBorders>
              <w:top w:val="nil"/>
              <w:left w:val="nil"/>
              <w:right w:val="nil"/>
            </w:tcBorders>
            <w:shd w:val="clear" w:color="auto" w:fill="auto"/>
            <w:noWrap/>
            <w:vAlign w:val="center"/>
          </w:tcPr>
          <w:p w14:paraId="085BEEAF" w14:textId="77777777" w:rsidR="006C3DEB" w:rsidRPr="0004154E" w:rsidRDefault="006C3DEB" w:rsidP="005A7549">
            <w:pPr>
              <w:pStyle w:val="TableTextCentered"/>
            </w:pPr>
            <w:r w:rsidRPr="0004154E">
              <w:t>0.65</w:t>
            </w:r>
          </w:p>
        </w:tc>
        <w:tc>
          <w:tcPr>
            <w:tcW w:w="872" w:type="pct"/>
            <w:tcBorders>
              <w:top w:val="nil"/>
              <w:left w:val="nil"/>
              <w:right w:val="nil"/>
            </w:tcBorders>
            <w:shd w:val="clear" w:color="auto" w:fill="auto"/>
            <w:noWrap/>
            <w:vAlign w:val="center"/>
          </w:tcPr>
          <w:p w14:paraId="49E07389" w14:textId="77777777" w:rsidR="006C3DEB" w:rsidRPr="0004154E" w:rsidRDefault="006C3DEB" w:rsidP="005A7549">
            <w:pPr>
              <w:pStyle w:val="TableTextCentered"/>
            </w:pPr>
            <w:r w:rsidRPr="0004154E">
              <w:t>0.7</w:t>
            </w:r>
          </w:p>
        </w:tc>
        <w:tc>
          <w:tcPr>
            <w:tcW w:w="688" w:type="pct"/>
            <w:tcBorders>
              <w:top w:val="nil"/>
              <w:left w:val="nil"/>
              <w:right w:val="nil"/>
            </w:tcBorders>
            <w:shd w:val="clear" w:color="auto" w:fill="auto"/>
            <w:noWrap/>
            <w:vAlign w:val="center"/>
          </w:tcPr>
          <w:p w14:paraId="42BD1EF1" w14:textId="77777777" w:rsidR="006C3DEB" w:rsidRPr="0004154E" w:rsidRDefault="006C3DEB" w:rsidP="005A7549">
            <w:pPr>
              <w:pStyle w:val="TableTextCentered"/>
            </w:pPr>
            <w:r w:rsidRPr="0004154E">
              <w:t>0.75</w:t>
            </w:r>
          </w:p>
        </w:tc>
        <w:tc>
          <w:tcPr>
            <w:tcW w:w="686" w:type="pct"/>
            <w:tcBorders>
              <w:top w:val="nil"/>
              <w:left w:val="nil"/>
              <w:right w:val="nil"/>
            </w:tcBorders>
            <w:shd w:val="clear" w:color="auto" w:fill="auto"/>
            <w:vAlign w:val="center"/>
          </w:tcPr>
          <w:p w14:paraId="6C58EB06" w14:textId="77777777" w:rsidR="006C3DEB" w:rsidRPr="0004154E" w:rsidRDefault="006C3DEB" w:rsidP="005A7549">
            <w:pPr>
              <w:pStyle w:val="TableTextCentered"/>
            </w:pPr>
          </w:p>
        </w:tc>
      </w:tr>
      <w:tr w:rsidR="006C3DEB" w:rsidRPr="0004154E" w14:paraId="29852D08" w14:textId="77777777" w:rsidTr="00017ACD">
        <w:trPr>
          <w:trHeight w:val="488"/>
          <w:jc w:val="center"/>
        </w:trPr>
        <w:tc>
          <w:tcPr>
            <w:tcW w:w="644" w:type="pct"/>
            <w:tcBorders>
              <w:top w:val="nil"/>
              <w:left w:val="nil"/>
              <w:bottom w:val="nil"/>
              <w:right w:val="single" w:sz="4" w:space="0" w:color="auto"/>
            </w:tcBorders>
            <w:shd w:val="clear" w:color="auto" w:fill="EEEEEE" w:themeFill="background2"/>
            <w:noWrap/>
            <w:vAlign w:val="center"/>
          </w:tcPr>
          <w:p w14:paraId="0AB87C7E" w14:textId="77777777" w:rsidR="006C3DEB" w:rsidRPr="0004154E" w:rsidRDefault="006C3DEB" w:rsidP="005A7549">
            <w:pPr>
              <w:spacing w:after="0"/>
              <w:jc w:val="center"/>
              <w:rPr>
                <w:color w:val="000000"/>
                <w:sz w:val="20"/>
              </w:rPr>
            </w:pPr>
            <w:r w:rsidRPr="00E670A7">
              <w:rPr>
                <w:position w:val="-12"/>
              </w:rPr>
              <w:object w:dxaOrig="220" w:dyaOrig="360" w14:anchorId="3C9D4754">
                <v:shape id="_x0000_i1464" type="#_x0000_t75" style="width:7.8pt;height:14.4pt" o:ole="">
                  <v:imagedata r:id="rId896" o:title=""/>
                </v:shape>
                <o:OLEObject Type="Embed" ProgID="Equation.DSMT4" ShapeID="_x0000_i1464" DrawAspect="Content" ObjectID="_1754919015" r:id="rId897"/>
              </w:object>
            </w:r>
          </w:p>
        </w:tc>
        <w:tc>
          <w:tcPr>
            <w:tcW w:w="510" w:type="pct"/>
            <w:tcBorders>
              <w:top w:val="nil"/>
              <w:left w:val="single" w:sz="4" w:space="0" w:color="auto"/>
              <w:bottom w:val="nil"/>
              <w:right w:val="nil"/>
            </w:tcBorders>
            <w:shd w:val="clear" w:color="auto" w:fill="auto"/>
            <w:noWrap/>
            <w:vAlign w:val="center"/>
          </w:tcPr>
          <w:p w14:paraId="628CB374" w14:textId="77777777" w:rsidR="006C3DEB" w:rsidRPr="0004154E" w:rsidRDefault="006C3DEB" w:rsidP="005A7549">
            <w:pPr>
              <w:pStyle w:val="TableTextCentered"/>
            </w:pPr>
          </w:p>
        </w:tc>
        <w:tc>
          <w:tcPr>
            <w:tcW w:w="945" w:type="pct"/>
            <w:tcBorders>
              <w:top w:val="nil"/>
              <w:left w:val="nil"/>
              <w:bottom w:val="nil"/>
              <w:right w:val="nil"/>
            </w:tcBorders>
            <w:shd w:val="clear" w:color="auto" w:fill="auto"/>
            <w:noWrap/>
            <w:vAlign w:val="center"/>
          </w:tcPr>
          <w:p w14:paraId="4ACD667F" w14:textId="77777777" w:rsidR="006C3DEB" w:rsidRPr="0004154E" w:rsidRDefault="006C3DEB" w:rsidP="005A7549">
            <w:pPr>
              <w:pStyle w:val="TableTextCentered"/>
            </w:pPr>
          </w:p>
        </w:tc>
        <w:tc>
          <w:tcPr>
            <w:tcW w:w="655" w:type="pct"/>
            <w:tcBorders>
              <w:top w:val="nil"/>
              <w:left w:val="nil"/>
              <w:bottom w:val="nil"/>
              <w:right w:val="nil"/>
            </w:tcBorders>
            <w:shd w:val="clear" w:color="auto" w:fill="auto"/>
            <w:noWrap/>
            <w:vAlign w:val="center"/>
          </w:tcPr>
          <w:p w14:paraId="44E1EB8E" w14:textId="77777777" w:rsidR="006C3DEB" w:rsidRPr="0004154E" w:rsidRDefault="006C3DEB" w:rsidP="005A7549">
            <w:pPr>
              <w:pStyle w:val="TableTextCentered"/>
            </w:pPr>
            <w:r>
              <w:t>5</w:t>
            </w:r>
          </w:p>
        </w:tc>
        <w:tc>
          <w:tcPr>
            <w:tcW w:w="872" w:type="pct"/>
            <w:tcBorders>
              <w:top w:val="nil"/>
              <w:left w:val="nil"/>
              <w:bottom w:val="nil"/>
              <w:right w:val="nil"/>
            </w:tcBorders>
            <w:shd w:val="clear" w:color="auto" w:fill="auto"/>
            <w:noWrap/>
            <w:vAlign w:val="center"/>
          </w:tcPr>
          <w:p w14:paraId="2A168320" w14:textId="77777777" w:rsidR="006C3DEB" w:rsidRPr="0004154E" w:rsidRDefault="006C3DEB" w:rsidP="005A7549">
            <w:pPr>
              <w:pStyle w:val="TableTextCentered"/>
            </w:pPr>
            <w:r>
              <w:t>10</w:t>
            </w:r>
          </w:p>
        </w:tc>
        <w:tc>
          <w:tcPr>
            <w:tcW w:w="688" w:type="pct"/>
            <w:tcBorders>
              <w:top w:val="nil"/>
              <w:left w:val="nil"/>
              <w:bottom w:val="nil"/>
              <w:right w:val="nil"/>
            </w:tcBorders>
            <w:shd w:val="clear" w:color="auto" w:fill="auto"/>
            <w:noWrap/>
            <w:vAlign w:val="center"/>
          </w:tcPr>
          <w:p w14:paraId="3CB1229D" w14:textId="77777777" w:rsidR="006C3DEB" w:rsidRPr="0004154E" w:rsidRDefault="006C3DEB" w:rsidP="005A7549">
            <w:pPr>
              <w:pStyle w:val="TableTextCentered"/>
            </w:pPr>
            <w:r>
              <w:t>20</w:t>
            </w:r>
          </w:p>
        </w:tc>
        <w:tc>
          <w:tcPr>
            <w:tcW w:w="686" w:type="pct"/>
            <w:tcBorders>
              <w:top w:val="nil"/>
              <w:left w:val="nil"/>
              <w:bottom w:val="nil"/>
              <w:right w:val="nil"/>
            </w:tcBorders>
            <w:shd w:val="clear" w:color="auto" w:fill="auto"/>
            <w:vAlign w:val="center"/>
          </w:tcPr>
          <w:p w14:paraId="7289BF84" w14:textId="77777777" w:rsidR="006C3DEB" w:rsidRPr="0004154E" w:rsidRDefault="006C3DEB" w:rsidP="005A7549">
            <w:pPr>
              <w:pStyle w:val="TableTextCentered"/>
            </w:pPr>
          </w:p>
        </w:tc>
      </w:tr>
      <w:tr w:rsidR="006C3DEB" w:rsidRPr="0004154E" w14:paraId="2A2F30CE" w14:textId="77777777" w:rsidTr="00017ACD">
        <w:trPr>
          <w:trHeight w:val="488"/>
          <w:jc w:val="center"/>
        </w:trPr>
        <w:tc>
          <w:tcPr>
            <w:tcW w:w="644" w:type="pct"/>
            <w:tcBorders>
              <w:top w:val="nil"/>
              <w:left w:val="nil"/>
              <w:bottom w:val="single" w:sz="4" w:space="0" w:color="auto"/>
              <w:right w:val="single" w:sz="4" w:space="0" w:color="auto"/>
            </w:tcBorders>
            <w:shd w:val="clear" w:color="auto" w:fill="EEEEEE" w:themeFill="background2"/>
            <w:noWrap/>
            <w:vAlign w:val="center"/>
          </w:tcPr>
          <w:p w14:paraId="751D4BF8" w14:textId="77777777" w:rsidR="006C3DEB" w:rsidRPr="0004154E" w:rsidRDefault="006C3DEB" w:rsidP="005A7549">
            <w:pPr>
              <w:spacing w:after="0"/>
              <w:jc w:val="center"/>
              <w:rPr>
                <w:color w:val="000000"/>
                <w:sz w:val="20"/>
              </w:rPr>
            </w:pPr>
            <w:r w:rsidRPr="00E670A7">
              <w:rPr>
                <w:position w:val="-12"/>
              </w:rPr>
              <w:object w:dxaOrig="260" w:dyaOrig="360" w14:anchorId="78C62D7D">
                <v:shape id="_x0000_i1465" type="#_x0000_t75" style="width:14.4pt;height:14.4pt" o:ole="">
                  <v:imagedata r:id="rId898" o:title=""/>
                </v:shape>
                <o:OLEObject Type="Embed" ProgID="Equation.DSMT4" ShapeID="_x0000_i1465" DrawAspect="Content" ObjectID="_1754919016" r:id="rId899"/>
              </w:object>
            </w:r>
          </w:p>
        </w:tc>
        <w:tc>
          <w:tcPr>
            <w:tcW w:w="510" w:type="pct"/>
            <w:tcBorders>
              <w:top w:val="nil"/>
              <w:left w:val="single" w:sz="4" w:space="0" w:color="auto"/>
              <w:bottom w:val="single" w:sz="4" w:space="0" w:color="auto"/>
              <w:right w:val="nil"/>
            </w:tcBorders>
            <w:shd w:val="clear" w:color="auto" w:fill="auto"/>
            <w:noWrap/>
            <w:vAlign w:val="center"/>
          </w:tcPr>
          <w:p w14:paraId="7FF84E8B" w14:textId="77777777" w:rsidR="006C3DEB" w:rsidRPr="0004154E" w:rsidRDefault="006C3DEB" w:rsidP="005A7549">
            <w:pPr>
              <w:pStyle w:val="TableTextCentered"/>
            </w:pPr>
          </w:p>
        </w:tc>
        <w:tc>
          <w:tcPr>
            <w:tcW w:w="945" w:type="pct"/>
            <w:tcBorders>
              <w:top w:val="nil"/>
              <w:left w:val="nil"/>
              <w:bottom w:val="single" w:sz="4" w:space="0" w:color="auto"/>
              <w:right w:val="nil"/>
            </w:tcBorders>
            <w:shd w:val="clear" w:color="auto" w:fill="auto"/>
            <w:noWrap/>
            <w:vAlign w:val="center"/>
          </w:tcPr>
          <w:p w14:paraId="73EA2899" w14:textId="77777777" w:rsidR="006C3DEB" w:rsidRPr="0004154E" w:rsidRDefault="006C3DEB" w:rsidP="005A7549">
            <w:pPr>
              <w:pStyle w:val="TableTextCentered"/>
            </w:pPr>
          </w:p>
        </w:tc>
        <w:tc>
          <w:tcPr>
            <w:tcW w:w="655" w:type="pct"/>
            <w:tcBorders>
              <w:top w:val="nil"/>
              <w:left w:val="nil"/>
              <w:bottom w:val="single" w:sz="4" w:space="0" w:color="auto"/>
              <w:right w:val="nil"/>
            </w:tcBorders>
            <w:shd w:val="clear" w:color="auto" w:fill="auto"/>
            <w:noWrap/>
            <w:vAlign w:val="center"/>
          </w:tcPr>
          <w:p w14:paraId="79246A64" w14:textId="77777777" w:rsidR="006C3DEB" w:rsidRPr="0004154E" w:rsidRDefault="006C3DEB" w:rsidP="005A7549">
            <w:pPr>
              <w:pStyle w:val="TableTextCentered"/>
            </w:pPr>
            <w:r w:rsidRPr="0004154E">
              <w:t>0.0</w:t>
            </w:r>
            <w:r>
              <w:t>2</w:t>
            </w:r>
          </w:p>
        </w:tc>
        <w:tc>
          <w:tcPr>
            <w:tcW w:w="872" w:type="pct"/>
            <w:tcBorders>
              <w:top w:val="nil"/>
              <w:left w:val="nil"/>
              <w:bottom w:val="single" w:sz="4" w:space="0" w:color="auto"/>
              <w:right w:val="nil"/>
            </w:tcBorders>
            <w:shd w:val="clear" w:color="auto" w:fill="auto"/>
            <w:noWrap/>
            <w:vAlign w:val="center"/>
          </w:tcPr>
          <w:p w14:paraId="0512856E" w14:textId="77777777" w:rsidR="006C3DEB" w:rsidRPr="0004154E" w:rsidRDefault="006C3DEB" w:rsidP="005A7549">
            <w:pPr>
              <w:pStyle w:val="TableTextCentered"/>
            </w:pPr>
            <w:r w:rsidRPr="0004154E">
              <w:t>0.0</w:t>
            </w:r>
            <w:r>
              <w:t>2</w:t>
            </w:r>
          </w:p>
        </w:tc>
        <w:tc>
          <w:tcPr>
            <w:tcW w:w="688" w:type="pct"/>
            <w:tcBorders>
              <w:top w:val="nil"/>
              <w:left w:val="nil"/>
              <w:bottom w:val="single" w:sz="4" w:space="0" w:color="auto"/>
              <w:right w:val="nil"/>
            </w:tcBorders>
            <w:shd w:val="clear" w:color="auto" w:fill="auto"/>
            <w:noWrap/>
            <w:vAlign w:val="center"/>
          </w:tcPr>
          <w:p w14:paraId="32956D42" w14:textId="77777777" w:rsidR="006C3DEB" w:rsidRPr="0004154E" w:rsidRDefault="006C3DEB" w:rsidP="005A7549">
            <w:pPr>
              <w:pStyle w:val="TableTextCentered"/>
            </w:pPr>
            <w:r w:rsidRPr="0004154E">
              <w:t>0.0</w:t>
            </w:r>
            <w:r>
              <w:t>2</w:t>
            </w:r>
          </w:p>
        </w:tc>
        <w:tc>
          <w:tcPr>
            <w:tcW w:w="686" w:type="pct"/>
            <w:tcBorders>
              <w:top w:val="nil"/>
              <w:left w:val="nil"/>
              <w:bottom w:val="single" w:sz="4" w:space="0" w:color="auto"/>
              <w:right w:val="nil"/>
            </w:tcBorders>
            <w:shd w:val="clear" w:color="auto" w:fill="auto"/>
            <w:vAlign w:val="center"/>
          </w:tcPr>
          <w:p w14:paraId="298D3B78" w14:textId="77777777" w:rsidR="006C3DEB" w:rsidRPr="0004154E" w:rsidRDefault="006C3DEB" w:rsidP="005A7549">
            <w:pPr>
              <w:pStyle w:val="TableTextCentered"/>
            </w:pPr>
          </w:p>
        </w:tc>
      </w:tr>
    </w:tbl>
    <w:p w14:paraId="6F7009E0" w14:textId="77777777" w:rsidR="006C3DEB" w:rsidRDefault="006C3DEB" w:rsidP="006C3DEB">
      <w:r>
        <w:t>Consistent with this calibration,</w:t>
      </w:r>
      <w:r w:rsidRPr="003A6B47">
        <w:t xml:space="preserve"> we assume that a typical adult Australian</w:t>
      </w:r>
      <w:r>
        <w:t>,</w:t>
      </w:r>
      <w:r w:rsidRPr="003A6B47">
        <w:t xml:space="preserve"> after accounting for public holidays, personal and recreational leave</w:t>
      </w:r>
      <w:r>
        <w:t xml:space="preserve">, is available to work </w:t>
      </w:r>
      <w:r w:rsidRPr="003A6B47">
        <w:t>5</w:t>
      </w:r>
      <w:r>
        <w:t> </w:t>
      </w:r>
      <w:r w:rsidRPr="003A6B47">
        <w:t>day</w:t>
      </w:r>
      <w:r>
        <w:t>s</w:t>
      </w:r>
      <w:r w:rsidRPr="003A6B47">
        <w:t xml:space="preserve"> a week</w:t>
      </w:r>
      <w:r>
        <w:t>, for</w:t>
      </w:r>
      <w:r w:rsidDel="00EC03EE">
        <w:t xml:space="preserve"> </w:t>
      </w:r>
      <w:r w:rsidRPr="003A6B47">
        <w:t>45</w:t>
      </w:r>
      <w:r>
        <w:t xml:space="preserve"> </w:t>
      </w:r>
      <w:r w:rsidRPr="003A6B47">
        <w:t xml:space="preserve">weeks </w:t>
      </w:r>
      <w:r>
        <w:t>per</w:t>
      </w:r>
      <w:r w:rsidRPr="003A6B47">
        <w:t xml:space="preserve"> year. </w:t>
      </w:r>
      <w:r>
        <w:lastRenderedPageBreak/>
        <w:t xml:space="preserve">Per workday, </w:t>
      </w:r>
      <w:r w:rsidRPr="003A6B47">
        <w:t xml:space="preserve">the household </w:t>
      </w:r>
      <w:r>
        <w:t xml:space="preserve">is assumed to have </w:t>
      </w:r>
      <w:r w:rsidRPr="003A6B47">
        <w:t xml:space="preserve">12 hours </w:t>
      </w:r>
      <w:r>
        <w:t xml:space="preserve">available </w:t>
      </w:r>
      <w:r w:rsidRPr="003A6B47">
        <w:t xml:space="preserve">for work and leisure. </w:t>
      </w:r>
      <w:r>
        <w:t>When combined</w:t>
      </w:r>
      <w:r w:rsidRPr="003A6B47">
        <w:t xml:space="preserve"> this implies an annual time endowment of 45</w:t>
      </w:r>
      <w:r>
        <w:t xml:space="preserve"> </w:t>
      </w:r>
      <w:r w:rsidRPr="003A6B47">
        <w:t>x</w:t>
      </w:r>
      <w:r>
        <w:t xml:space="preserve"> </w:t>
      </w:r>
      <w:r w:rsidRPr="003A6B47">
        <w:t>5</w:t>
      </w:r>
      <w:r>
        <w:t xml:space="preserve"> </w:t>
      </w:r>
      <w:r w:rsidRPr="003A6B47">
        <w:t>x</w:t>
      </w:r>
      <w:r>
        <w:t xml:space="preserve"> </w:t>
      </w:r>
      <w:r w:rsidRPr="003A6B47">
        <w:t>12</w:t>
      </w:r>
      <w:r>
        <w:t xml:space="preserve"> </w:t>
      </w:r>
      <w:r w:rsidRPr="003A6B47">
        <w:t>= 2700 hours</w:t>
      </w:r>
      <w:r>
        <w:t>.</w:t>
      </w:r>
    </w:p>
    <w:p w14:paraId="3837DBAC" w14:textId="77777777" w:rsidR="006C3DEB" w:rsidRDefault="006C3DEB" w:rsidP="006C3DEB">
      <w:pPr>
        <w:rPr>
          <w:rStyle w:val="Caption1Char"/>
          <w:rFonts w:asciiTheme="minorHAnsi" w:eastAsiaTheme="minorHAnsi" w:hAnsiTheme="minorHAnsi" w:cstheme="minorHAnsi"/>
          <w:bCs/>
          <w:color w:val="4D7861" w:themeColor="accent2"/>
          <w:sz w:val="26"/>
          <w:szCs w:val="26"/>
        </w:rPr>
      </w:pPr>
      <w:r>
        <w:t>Charts 4 and 5</w:t>
      </w:r>
      <w:r w:rsidRPr="00FF7553">
        <w:t xml:space="preserve"> su</w:t>
      </w:r>
      <w:r>
        <w:t>ggest</w:t>
      </w:r>
      <w:r w:rsidRPr="003A6B47">
        <w:t xml:space="preserve"> our calibration captures labour supply profiles of workers 30 years and older</w:t>
      </w:r>
      <w:r>
        <w:t xml:space="preserve"> well</w:t>
      </w:r>
      <w:r w:rsidRPr="003A6B47">
        <w:t xml:space="preserve">, </w:t>
      </w:r>
      <w:r>
        <w:t>while it</w:t>
      </w:r>
      <w:r w:rsidRPr="003A6B47">
        <w:t xml:space="preserve"> tends to overstate the </w:t>
      </w:r>
      <w:r>
        <w:t>labour supply</w:t>
      </w:r>
      <w:r w:rsidRPr="003A6B47">
        <w:t xml:space="preserve"> o</w:t>
      </w:r>
      <w:r>
        <w:t xml:space="preserve">f workers below 30 years of age. There are </w:t>
      </w:r>
      <w:r w:rsidRPr="00EB6D6A">
        <w:t xml:space="preserve">kinks in the </w:t>
      </w:r>
      <w:r>
        <w:t xml:space="preserve">modelled </w:t>
      </w:r>
      <w:r w:rsidRPr="00EB6D6A">
        <w:t>labour supply profiles</w:t>
      </w:r>
      <w:r>
        <w:t xml:space="preserve"> which are not apparent in the data. These kinks reflect discrete changes in marginal tax rates induced by the </w:t>
      </w:r>
      <w:r w:rsidRPr="00EB6D6A">
        <w:t>p</w:t>
      </w:r>
      <w:r>
        <w:t xml:space="preserve">rogressive personal income tax schedule. Other researchers </w:t>
      </w:r>
      <w:r w:rsidRPr="00E876DF">
        <w:t xml:space="preserve">(see </w:t>
      </w:r>
      <w:r>
        <w:t>for example,</w:t>
      </w:r>
      <w:r w:rsidRPr="00E876DF">
        <w:t xml:space="preserve"> </w:t>
      </w:r>
      <w:r w:rsidRPr="005709F1">
        <w:t>Kudrna and Tran</w:t>
      </w:r>
      <w:r>
        <w:t xml:space="preserve"> (</w:t>
      </w:r>
      <w:r w:rsidRPr="005709F1">
        <w:t>2018</w:t>
      </w:r>
      <w:r>
        <w:t>)</w:t>
      </w:r>
      <w:r w:rsidRPr="005709F1">
        <w:t>)</w:t>
      </w:r>
      <w:r>
        <w:t xml:space="preserve"> avoid this issue by approximating the tax schedule</w:t>
      </w:r>
      <w:r w:rsidRPr="00EB6D6A">
        <w:t xml:space="preserve"> using a smooth income tax function</w:t>
      </w:r>
      <w:r>
        <w:t xml:space="preserve">. This approach has not been adopted here because it potentially understates the effects of changes in the progressive tax schedule. </w:t>
      </w:r>
      <w:bookmarkStart w:id="20" w:name="_Ref101948365"/>
    </w:p>
    <w:p w14:paraId="51F334B8" w14:textId="3AD68D3B" w:rsidR="006C3DEB" w:rsidRPr="00B34AB0" w:rsidRDefault="006C3DEB" w:rsidP="006C3DEB">
      <w:pPr>
        <w:pStyle w:val="ChartMainHeading"/>
        <w:rPr>
          <w:rStyle w:val="Caption1Char"/>
          <w:rFonts w:asciiTheme="minorHAnsi" w:eastAsiaTheme="minorHAnsi" w:hAnsiTheme="minorHAnsi" w:cstheme="minorHAnsi"/>
          <w:color w:val="4D7861" w:themeColor="accent2"/>
          <w:sz w:val="26"/>
          <w:szCs w:val="26"/>
        </w:rPr>
      </w:pPr>
      <w:r w:rsidRPr="00B34AB0">
        <w:rPr>
          <w:rStyle w:val="Caption1Char"/>
          <w:rFonts w:asciiTheme="minorHAnsi" w:eastAsiaTheme="minorHAnsi" w:hAnsiTheme="minorHAnsi" w:cstheme="minorHAnsi"/>
          <w:color w:val="4D7861" w:themeColor="accent2"/>
          <w:sz w:val="26"/>
          <w:szCs w:val="26"/>
        </w:rPr>
        <w:t xml:space="preserve">Chart </w:t>
      </w:r>
      <w:r w:rsidRPr="00B34AB0">
        <w:rPr>
          <w:rStyle w:val="Caption1Char"/>
          <w:rFonts w:asciiTheme="minorHAnsi" w:eastAsiaTheme="minorHAnsi" w:hAnsiTheme="minorHAnsi" w:cstheme="minorHAnsi"/>
          <w:b/>
          <w:color w:val="4D7861" w:themeColor="accent2"/>
          <w:sz w:val="26"/>
          <w:szCs w:val="26"/>
        </w:rPr>
        <w:fldChar w:fldCharType="begin"/>
      </w:r>
      <w:r w:rsidRPr="00B34AB0">
        <w:rPr>
          <w:rStyle w:val="Caption1Char"/>
          <w:rFonts w:asciiTheme="minorHAnsi" w:eastAsiaTheme="minorHAnsi" w:hAnsiTheme="minorHAnsi" w:cstheme="minorHAnsi"/>
          <w:color w:val="4D7861" w:themeColor="accent2"/>
          <w:sz w:val="26"/>
          <w:szCs w:val="26"/>
        </w:rPr>
        <w:instrText xml:space="preserve"> SEQ Chart \* ARABIC </w:instrText>
      </w:r>
      <w:r w:rsidRPr="00B34AB0">
        <w:rPr>
          <w:rStyle w:val="Caption1Char"/>
          <w:rFonts w:asciiTheme="minorHAnsi" w:eastAsiaTheme="minorHAnsi" w:hAnsiTheme="minorHAnsi" w:cstheme="minorHAnsi"/>
          <w:b/>
          <w:color w:val="4D7861" w:themeColor="accent2"/>
          <w:sz w:val="26"/>
          <w:szCs w:val="26"/>
        </w:rPr>
        <w:fldChar w:fldCharType="separate"/>
      </w:r>
      <w:r w:rsidR="00E00A52">
        <w:rPr>
          <w:rStyle w:val="Caption1Char"/>
          <w:rFonts w:asciiTheme="minorHAnsi" w:eastAsiaTheme="minorHAnsi" w:hAnsiTheme="minorHAnsi" w:cstheme="minorHAnsi"/>
          <w:noProof/>
          <w:color w:val="4D7861" w:themeColor="accent2"/>
          <w:sz w:val="26"/>
          <w:szCs w:val="26"/>
        </w:rPr>
        <w:t>4</w:t>
      </w:r>
      <w:r w:rsidRPr="00B34AB0">
        <w:rPr>
          <w:rStyle w:val="Caption1Char"/>
          <w:rFonts w:asciiTheme="minorHAnsi" w:eastAsiaTheme="minorHAnsi" w:hAnsiTheme="minorHAnsi" w:cstheme="minorHAnsi"/>
          <w:b/>
          <w:color w:val="4D7861" w:themeColor="accent2"/>
          <w:sz w:val="26"/>
          <w:szCs w:val="26"/>
        </w:rPr>
        <w:fldChar w:fldCharType="end"/>
      </w:r>
      <w:bookmarkEnd w:id="20"/>
      <w:r w:rsidRPr="00B34AB0">
        <w:rPr>
          <w:rStyle w:val="Caption1Char"/>
          <w:rFonts w:asciiTheme="minorHAnsi" w:eastAsiaTheme="minorHAnsi" w:hAnsiTheme="minorHAnsi" w:cstheme="minorHAnsi"/>
          <w:color w:val="4D7861" w:themeColor="accent2"/>
          <w:sz w:val="26"/>
          <w:szCs w:val="26"/>
        </w:rPr>
        <w:t>: Household labour supply by age and skill</w:t>
      </w:r>
    </w:p>
    <w:p w14:paraId="7A3A4B82" w14:textId="40850110" w:rsidR="006C3DEB" w:rsidRPr="000C5322" w:rsidRDefault="006C3DEB" w:rsidP="006C3DEB">
      <w:pPr>
        <w:pStyle w:val="Caption1"/>
      </w:pPr>
      <w:r w:rsidRPr="00067696">
        <w:t xml:space="preserve"> </w:t>
      </w:r>
      <w:r w:rsidRPr="0040257E">
        <w:t xml:space="preserve"> </w:t>
      </w:r>
      <w:r w:rsidR="00C17923" w:rsidRPr="00C17923">
        <w:rPr>
          <w:noProof/>
        </w:rPr>
        <w:drawing>
          <wp:inline distT="0" distB="0" distL="0" distR="0" wp14:anchorId="443BDCC5" wp14:editId="19F4884F">
            <wp:extent cx="5581015" cy="3232150"/>
            <wp:effectExtent l="0" t="0" r="635" b="6350"/>
            <wp:docPr id="14" name="Picture 14" descr="This chart shows the distribution of labour supply in the model and compares it with data. Labour supply of households is shown to peak at around the age of 40 which is then followed by a decline until the retirement. The chart also depicts significant differences in the lifetime labour supply across different skill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shows the distribution of labour supply in the model and compares it with data. Labour supply of households is shown to peak at around the age of 40 which is then followed by a decline until the retirement. The chart also depicts significant differences in the lifetime labour supply across different skill types."/>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5581015" cy="3232150"/>
                    </a:xfrm>
                    <a:prstGeom prst="rect">
                      <a:avLst/>
                    </a:prstGeom>
                    <a:noFill/>
                    <a:ln>
                      <a:noFill/>
                    </a:ln>
                  </pic:spPr>
                </pic:pic>
              </a:graphicData>
            </a:graphic>
          </wp:inline>
        </w:drawing>
      </w:r>
    </w:p>
    <w:p w14:paraId="296FC42C" w14:textId="36FAA910" w:rsidR="006C3DEB" w:rsidRDefault="006C3DEB" w:rsidP="006C3DEB">
      <w:pPr>
        <w:pStyle w:val="Note"/>
      </w:pPr>
      <w:r w:rsidRPr="0087710C">
        <w:t>Source: Authors’ calculation</w:t>
      </w:r>
      <w:r>
        <w:t>s</w:t>
      </w:r>
      <w:r w:rsidRPr="0087710C">
        <w:t xml:space="preserve"> </w:t>
      </w:r>
      <w:r>
        <w:t>based on</w:t>
      </w:r>
      <w:r w:rsidRPr="0087710C">
        <w:t xml:space="preserve"> data </w:t>
      </w:r>
      <w:r w:rsidRPr="00E876DF">
        <w:t>from SIH (ABS, 2017) and ABS Life Tables (2019a).</w:t>
      </w:r>
      <w:r w:rsidRPr="0087710C">
        <w:t xml:space="preserve"> Note: Broken</w:t>
      </w:r>
      <w:r>
        <w:t xml:space="preserve"> </w:t>
      </w:r>
      <w:r w:rsidR="004640A7" w:rsidRPr="004640A7">
        <w:t>lines are medians</w:t>
      </w:r>
      <w:r>
        <w:t xml:space="preserve"> of</w:t>
      </w:r>
      <w:r w:rsidRPr="000C5322">
        <w:t xml:space="preserve"> cross-sectional data </w:t>
      </w:r>
      <w:r>
        <w:t xml:space="preserve">relative to the population-weighted mean </w:t>
      </w:r>
      <w:r w:rsidR="004640A7" w:rsidRPr="004640A7">
        <w:t>from</w:t>
      </w:r>
      <w:r>
        <w:t xml:space="preserve"> the SIH (using the </w:t>
      </w:r>
      <w:r w:rsidR="004640A7" w:rsidRPr="004640A7">
        <w:t xml:space="preserve">model </w:t>
      </w:r>
      <w:r>
        <w:t>age distribution)</w:t>
      </w:r>
      <w:r w:rsidRPr="000C5322">
        <w:t xml:space="preserve">, and solid </w:t>
      </w:r>
      <w:r w:rsidR="004640A7" w:rsidRPr="004640A7">
        <w:t xml:space="preserve">lines are the </w:t>
      </w:r>
      <w:r w:rsidRPr="000C5322">
        <w:t>calibrated profiles</w:t>
      </w:r>
      <w:r>
        <w:t xml:space="preserve"> relative to the population-weighted mean</w:t>
      </w:r>
      <w:r w:rsidRPr="000C5322">
        <w:t>.</w:t>
      </w:r>
    </w:p>
    <w:p w14:paraId="3FC58EE5" w14:textId="77777777" w:rsidR="006C3DEB" w:rsidRPr="001F30FA" w:rsidRDefault="006C3DEB" w:rsidP="006C3DEB"/>
    <w:p w14:paraId="1907C8E7" w14:textId="20C03375" w:rsidR="006C3DEB" w:rsidRDefault="006C3DEB" w:rsidP="006C3DEB">
      <w:pPr>
        <w:pStyle w:val="ChartMainHeading"/>
      </w:pPr>
      <w:bookmarkStart w:id="21" w:name="_Ref101948376"/>
      <w:r w:rsidRPr="00B34AB0">
        <w:rPr>
          <w:rStyle w:val="Caption1Char"/>
          <w:rFonts w:asciiTheme="minorHAnsi" w:eastAsiaTheme="minorHAnsi" w:hAnsiTheme="minorHAnsi" w:cstheme="minorHAnsi"/>
          <w:bCs/>
          <w:color w:val="4D7861" w:themeColor="accent2"/>
          <w:sz w:val="26"/>
          <w:szCs w:val="26"/>
        </w:rPr>
        <w:lastRenderedPageBreak/>
        <w:t xml:space="preserve">Chart </w:t>
      </w:r>
      <w:r w:rsidRPr="00B34AB0">
        <w:rPr>
          <w:rStyle w:val="Caption1Char"/>
          <w:rFonts w:asciiTheme="minorHAnsi" w:eastAsiaTheme="minorHAnsi" w:hAnsiTheme="minorHAnsi" w:cstheme="minorHAnsi"/>
          <w:bCs/>
          <w:color w:val="4D7861" w:themeColor="accent2"/>
          <w:sz w:val="26"/>
          <w:szCs w:val="26"/>
        </w:rPr>
        <w:fldChar w:fldCharType="begin"/>
      </w:r>
      <w:r w:rsidRPr="00B34AB0">
        <w:rPr>
          <w:rStyle w:val="Caption1Char"/>
          <w:rFonts w:asciiTheme="minorHAnsi" w:eastAsiaTheme="minorHAnsi" w:hAnsiTheme="minorHAnsi" w:cstheme="minorHAnsi"/>
          <w:bCs/>
          <w:color w:val="4D7861" w:themeColor="accent2"/>
          <w:sz w:val="26"/>
          <w:szCs w:val="26"/>
        </w:rPr>
        <w:instrText xml:space="preserve"> SEQ Chart \* ARABIC </w:instrText>
      </w:r>
      <w:r w:rsidRPr="00B34AB0">
        <w:rPr>
          <w:rStyle w:val="Caption1Char"/>
          <w:rFonts w:asciiTheme="minorHAnsi" w:eastAsiaTheme="minorHAnsi" w:hAnsiTheme="minorHAnsi" w:cstheme="minorHAnsi"/>
          <w:bCs/>
          <w:color w:val="4D7861" w:themeColor="accent2"/>
          <w:sz w:val="26"/>
          <w:szCs w:val="26"/>
        </w:rPr>
        <w:fldChar w:fldCharType="separate"/>
      </w:r>
      <w:r w:rsidR="00E00A52">
        <w:rPr>
          <w:rStyle w:val="Caption1Char"/>
          <w:rFonts w:asciiTheme="minorHAnsi" w:eastAsiaTheme="minorHAnsi" w:hAnsiTheme="minorHAnsi" w:cstheme="minorHAnsi"/>
          <w:bCs/>
          <w:noProof/>
          <w:color w:val="4D7861" w:themeColor="accent2"/>
          <w:sz w:val="26"/>
          <w:szCs w:val="26"/>
        </w:rPr>
        <w:t>5</w:t>
      </w:r>
      <w:r w:rsidRPr="00B34AB0">
        <w:rPr>
          <w:rStyle w:val="Caption1Char"/>
          <w:rFonts w:asciiTheme="minorHAnsi" w:eastAsiaTheme="minorHAnsi" w:hAnsiTheme="minorHAnsi" w:cstheme="minorHAnsi"/>
          <w:bCs/>
          <w:color w:val="4D7861" w:themeColor="accent2"/>
          <w:sz w:val="26"/>
          <w:szCs w:val="26"/>
        </w:rPr>
        <w:fldChar w:fldCharType="end"/>
      </w:r>
      <w:bookmarkEnd w:id="21"/>
      <w:r w:rsidRPr="00B34AB0">
        <w:rPr>
          <w:rStyle w:val="Caption1Char"/>
          <w:rFonts w:asciiTheme="minorHAnsi" w:eastAsiaTheme="minorHAnsi" w:hAnsiTheme="minorHAnsi" w:cstheme="minorHAnsi"/>
          <w:bCs/>
          <w:color w:val="4D7861" w:themeColor="accent2"/>
          <w:sz w:val="26"/>
          <w:szCs w:val="26"/>
        </w:rPr>
        <w:t xml:space="preserve">: Household labour earnings by age and skill </w:t>
      </w:r>
      <w:r w:rsidRPr="0040257E">
        <w:t xml:space="preserve"> </w:t>
      </w:r>
      <w:r w:rsidR="00C17923" w:rsidRPr="00C17923">
        <w:rPr>
          <w:noProof/>
        </w:rPr>
        <w:drawing>
          <wp:inline distT="0" distB="0" distL="0" distR="0" wp14:anchorId="74D59020" wp14:editId="5B93312A">
            <wp:extent cx="5581015" cy="3232150"/>
            <wp:effectExtent l="0" t="0" r="635" b="6350"/>
            <wp:docPr id="17" name="Picture 17" descr="This chart shows the distribution of households' labour earnings by age and skill in both data and the model. As explained in the text, labour earnings depend on household labour efficiency, labour supplied and the wage rate. The implication of this is that the profile of labour earnings across ages and skills mimic the profile of labour efficiency and labour supplied. As shown in the chart, and similar to Chart 3 and Chart 4, labour earnings also peaks at around the age of 40 and then gradually decreases until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chart shows the distribution of households' labour earnings by age and skill in both data and the model. As explained in the text, labour earnings depend on household labour efficiency, labour supplied and the wage rate. The implication of this is that the profile of labour earnings across ages and skills mimic the profile of labour efficiency and labour supplied. As shown in the chart, and similar to Chart 3 and Chart 4, labour earnings also peaks at around the age of 40 and then gradually decreases until retirement."/>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5581015" cy="3232150"/>
                    </a:xfrm>
                    <a:prstGeom prst="rect">
                      <a:avLst/>
                    </a:prstGeom>
                    <a:noFill/>
                    <a:ln>
                      <a:noFill/>
                    </a:ln>
                  </pic:spPr>
                </pic:pic>
              </a:graphicData>
            </a:graphic>
          </wp:inline>
        </w:drawing>
      </w:r>
    </w:p>
    <w:p w14:paraId="5AB2F3FF" w14:textId="492343C2" w:rsidR="006C3DEB" w:rsidRDefault="006C3DEB" w:rsidP="006C3DEB">
      <w:pPr>
        <w:pStyle w:val="Note"/>
      </w:pPr>
      <w:r w:rsidRPr="0087710C">
        <w:t>Source: Authors’ calculation</w:t>
      </w:r>
      <w:r>
        <w:t>s</w:t>
      </w:r>
      <w:r w:rsidRPr="0087710C">
        <w:t xml:space="preserve"> </w:t>
      </w:r>
      <w:r>
        <w:t>based on</w:t>
      </w:r>
      <w:r w:rsidRPr="0087710C">
        <w:t xml:space="preserve"> data from SIH (ABS, 2017)</w:t>
      </w:r>
      <w:r>
        <w:t xml:space="preserve"> and </w:t>
      </w:r>
      <w:r w:rsidRPr="00E876DF">
        <w:t>ABS Life Tables (</w:t>
      </w:r>
      <w:r w:rsidRPr="00DF2A02">
        <w:t>2019a).</w:t>
      </w:r>
      <w:r w:rsidRPr="0087710C">
        <w:t xml:space="preserve"> Note: Broken</w:t>
      </w:r>
      <w:r>
        <w:t xml:space="preserve"> </w:t>
      </w:r>
      <w:r w:rsidR="004640A7" w:rsidRPr="004640A7">
        <w:t>lines are medians</w:t>
      </w:r>
      <w:r>
        <w:t xml:space="preserve"> of</w:t>
      </w:r>
      <w:r w:rsidRPr="000C5322">
        <w:t xml:space="preserve"> cross-sectional data </w:t>
      </w:r>
      <w:r>
        <w:t xml:space="preserve">relative to the population-weighted mean </w:t>
      </w:r>
      <w:r w:rsidR="004640A7" w:rsidRPr="004640A7">
        <w:t>from</w:t>
      </w:r>
      <w:r>
        <w:t xml:space="preserve"> the SIH (using the </w:t>
      </w:r>
      <w:r w:rsidR="004640A7" w:rsidRPr="004640A7">
        <w:t xml:space="preserve">model </w:t>
      </w:r>
      <w:r>
        <w:t>age distribution)</w:t>
      </w:r>
      <w:r w:rsidRPr="000C5322">
        <w:t xml:space="preserve">, and solid </w:t>
      </w:r>
      <w:r w:rsidR="004640A7" w:rsidRPr="004640A7">
        <w:t xml:space="preserve">lines are the </w:t>
      </w:r>
      <w:r w:rsidRPr="000C5322">
        <w:t>calibrated profiles</w:t>
      </w:r>
      <w:r>
        <w:t xml:space="preserve"> relative to the population-weighted mean</w:t>
      </w:r>
      <w:r w:rsidRPr="000C5322">
        <w:t>.</w:t>
      </w:r>
    </w:p>
    <w:p w14:paraId="1E4772AD" w14:textId="77777777" w:rsidR="006C3DEB" w:rsidRDefault="006C3DEB" w:rsidP="006C3DEB"/>
    <w:p w14:paraId="3607260C" w14:textId="77777777" w:rsidR="006C3DEB" w:rsidRPr="0088277E" w:rsidRDefault="006C3DEB" w:rsidP="006C3DEB">
      <w:r w:rsidRPr="0026386E">
        <w:t>Given</w:t>
      </w:r>
      <w:r w:rsidRPr="00E670A7">
        <w:rPr>
          <w:position w:val="-6"/>
        </w:rPr>
        <w:object w:dxaOrig="300" w:dyaOrig="320" w14:anchorId="65CC1BA7">
          <v:shape id="_x0000_i1466" type="#_x0000_t75" style="width:14.4pt;height:14.4pt" o:ole="">
            <v:imagedata r:id="rId902" o:title=""/>
          </v:shape>
          <o:OLEObject Type="Embed" ProgID="Equation.DSMT4" ShapeID="_x0000_i1466" DrawAspect="Content" ObjectID="_1754919017" r:id="rId903"/>
        </w:object>
      </w:r>
      <w:r>
        <w:t xml:space="preserve">, </w:t>
      </w:r>
      <w:r w:rsidRPr="0069190F">
        <w:rPr>
          <w:position w:val="-12"/>
        </w:rPr>
        <w:object w:dxaOrig="460" w:dyaOrig="380" w14:anchorId="624DD0A0">
          <v:shape id="_x0000_i1467" type="#_x0000_t75" style="width:21.6pt;height:21.6pt" o:ole="">
            <v:imagedata r:id="rId904" o:title=""/>
          </v:shape>
          <o:OLEObject Type="Embed" ProgID="Equation.DSMT4" ShapeID="_x0000_i1467" DrawAspect="Content" ObjectID="_1754919018" r:id="rId905"/>
        </w:object>
      </w:r>
      <w:r>
        <w:t xml:space="preserve">and </w:t>
      </w:r>
      <w:r w:rsidRPr="0069190F">
        <w:rPr>
          <w:position w:val="-6"/>
        </w:rPr>
        <w:object w:dxaOrig="240" w:dyaOrig="220" w14:anchorId="5E4966BC">
          <v:shape id="_x0000_i1468" type="#_x0000_t75" style="width:14.4pt;height:14.4pt" o:ole="">
            <v:imagedata r:id="rId906" o:title=""/>
          </v:shape>
          <o:OLEObject Type="Embed" ProgID="Equation.DSMT4" ShapeID="_x0000_i1468" DrawAspect="Content" ObjectID="_1754919019" r:id="rId907"/>
        </w:object>
      </w:r>
      <w:r w:rsidRPr="0026386E">
        <w:rPr>
          <w:rFonts w:eastAsia="Calibri"/>
        </w:rPr>
        <w:t xml:space="preserve">, there is an implied </w:t>
      </w:r>
      <w:r w:rsidRPr="0026386E">
        <w:t>Frisch elasticity of labour supply:</w:t>
      </w:r>
    </w:p>
    <w:p w14:paraId="4B4B73F9" w14:textId="77777777" w:rsidR="006C3DEB" w:rsidRDefault="006C3DEB" w:rsidP="006C3DEB">
      <w:pPr>
        <w:jc w:val="center"/>
      </w:pPr>
      <w:r w:rsidRPr="00E670A7">
        <w:rPr>
          <w:position w:val="-32"/>
        </w:rPr>
        <w:object w:dxaOrig="2880" w:dyaOrig="760" w14:anchorId="40F7279E">
          <v:shape id="_x0000_i1469" type="#_x0000_t75" style="width:2in;height:35.4pt" o:ole="">
            <v:imagedata r:id="rId908" o:title=""/>
          </v:shape>
          <o:OLEObject Type="Embed" ProgID="Equation.DSMT4" ShapeID="_x0000_i1469" DrawAspect="Content" ObjectID="_1754919020" r:id="rId909"/>
        </w:object>
      </w:r>
    </w:p>
    <w:p w14:paraId="28ACFA97" w14:textId="3D2C8C4B" w:rsidR="006C3DEB" w:rsidRDefault="006C3DEB" w:rsidP="006C3DEB">
      <w:pPr>
        <w:rPr>
          <w:highlight w:val="green"/>
        </w:rPr>
      </w:pPr>
      <w:r>
        <w:t>T</w:t>
      </w:r>
      <w:r w:rsidRPr="00D00ADB">
        <w:t xml:space="preserve">he relatively low Frisch elasticities </w:t>
      </w:r>
      <w:r>
        <w:t xml:space="preserve">generated by the calibration methodology </w:t>
      </w:r>
      <w:r w:rsidRPr="00D00ADB">
        <w:t xml:space="preserve">are consistent with the micro-econometric literature surveyed </w:t>
      </w:r>
      <w:r w:rsidRPr="005709F1">
        <w:t xml:space="preserve">by </w:t>
      </w:r>
      <w:r w:rsidRPr="00F403B4">
        <w:t>Keane (2011),</w:t>
      </w:r>
      <w:r w:rsidRPr="00D00ADB">
        <w:t xml:space="preserve"> which suggest</w:t>
      </w:r>
      <w:r>
        <w:t>s</w:t>
      </w:r>
      <w:r w:rsidRPr="00D00ADB">
        <w:t xml:space="preserve"> </w:t>
      </w:r>
      <w:r>
        <w:t xml:space="preserve">that workers have </w:t>
      </w:r>
      <w:r w:rsidRPr="00D00ADB">
        <w:t xml:space="preserve">relatively low elasticities during </w:t>
      </w:r>
      <w:r>
        <w:t xml:space="preserve">their </w:t>
      </w:r>
      <w:r w:rsidRPr="00D00ADB">
        <w:t>prime earning years</w:t>
      </w:r>
      <w:r>
        <w:t xml:space="preserve"> (see </w:t>
      </w:r>
      <w:r w:rsidR="00E00A52" w:rsidRPr="00E00A52">
        <w:t>Chart 6</w:t>
      </w:r>
      <w:r>
        <w:t>)</w:t>
      </w:r>
      <w:r w:rsidRPr="00D00ADB">
        <w:t>.</w:t>
      </w:r>
    </w:p>
    <w:p w14:paraId="0F163240" w14:textId="2B226579" w:rsidR="006C3DEB" w:rsidRPr="00681915" w:rsidRDefault="006C3DEB" w:rsidP="006C3DEB">
      <w:pPr>
        <w:pStyle w:val="ChartMainHeading"/>
        <w:rPr>
          <w:rStyle w:val="Caption1Char"/>
          <w:rFonts w:ascii="Calibri" w:eastAsiaTheme="minorHAnsi" w:hAnsi="Calibri" w:cs="Arial"/>
          <w:color w:val="4D7861" w:themeColor="accent2"/>
          <w:sz w:val="26"/>
          <w:szCs w:val="26"/>
        </w:rPr>
      </w:pPr>
      <w:bookmarkStart w:id="22" w:name="_Ref101948407"/>
      <w:r w:rsidRPr="00681915">
        <w:rPr>
          <w:rStyle w:val="Caption1Char"/>
          <w:rFonts w:ascii="Calibri" w:eastAsiaTheme="minorHAnsi" w:hAnsi="Calibri" w:cs="Arial"/>
          <w:color w:val="4D7861" w:themeColor="accent2"/>
          <w:sz w:val="26"/>
          <w:szCs w:val="26"/>
        </w:rPr>
        <w:lastRenderedPageBreak/>
        <w:t xml:space="preserve">Chart </w:t>
      </w:r>
      <w:r w:rsidRPr="00681915">
        <w:rPr>
          <w:rStyle w:val="Caption1Char"/>
          <w:rFonts w:ascii="Calibri" w:eastAsiaTheme="minorHAnsi" w:hAnsi="Calibri" w:cs="Arial"/>
          <w:color w:val="4D7861" w:themeColor="accent2"/>
          <w:sz w:val="26"/>
          <w:szCs w:val="26"/>
        </w:rPr>
        <w:fldChar w:fldCharType="begin"/>
      </w:r>
      <w:r w:rsidRPr="00681915">
        <w:rPr>
          <w:rStyle w:val="Caption1Char"/>
          <w:rFonts w:ascii="Calibri" w:eastAsiaTheme="minorHAnsi" w:hAnsi="Calibri" w:cs="Arial"/>
          <w:color w:val="4D7861" w:themeColor="accent2"/>
          <w:sz w:val="26"/>
          <w:szCs w:val="26"/>
        </w:rPr>
        <w:instrText xml:space="preserve"> SEQ Chart \* ARABIC </w:instrText>
      </w:r>
      <w:r w:rsidRPr="00681915">
        <w:rPr>
          <w:rStyle w:val="Caption1Char"/>
          <w:rFonts w:ascii="Calibri" w:eastAsiaTheme="minorHAnsi" w:hAnsi="Calibri" w:cs="Arial"/>
          <w:color w:val="4D7861" w:themeColor="accent2"/>
          <w:sz w:val="26"/>
          <w:szCs w:val="26"/>
        </w:rPr>
        <w:fldChar w:fldCharType="separate"/>
      </w:r>
      <w:r w:rsidR="00E00A52">
        <w:rPr>
          <w:rStyle w:val="Caption1Char"/>
          <w:rFonts w:ascii="Calibri" w:eastAsiaTheme="minorHAnsi" w:hAnsi="Calibri" w:cs="Arial"/>
          <w:noProof/>
          <w:color w:val="4D7861" w:themeColor="accent2"/>
          <w:sz w:val="26"/>
          <w:szCs w:val="26"/>
        </w:rPr>
        <w:t>6</w:t>
      </w:r>
      <w:r w:rsidRPr="00681915">
        <w:rPr>
          <w:rStyle w:val="Caption1Char"/>
          <w:rFonts w:ascii="Calibri" w:eastAsiaTheme="minorHAnsi" w:hAnsi="Calibri" w:cs="Arial"/>
          <w:color w:val="4D7861" w:themeColor="accent2"/>
          <w:sz w:val="26"/>
          <w:szCs w:val="26"/>
        </w:rPr>
        <w:fldChar w:fldCharType="end"/>
      </w:r>
      <w:bookmarkEnd w:id="22"/>
      <w:r w:rsidRPr="00681915">
        <w:rPr>
          <w:rStyle w:val="Caption1Char"/>
          <w:rFonts w:ascii="Calibri" w:eastAsiaTheme="minorHAnsi" w:hAnsi="Calibri" w:cs="Arial"/>
          <w:color w:val="4D7861" w:themeColor="accent2"/>
          <w:sz w:val="26"/>
          <w:szCs w:val="26"/>
        </w:rPr>
        <w:t>: Implied Frisch elasticities by age and skill</w:t>
      </w:r>
    </w:p>
    <w:p w14:paraId="619267FC" w14:textId="77777777" w:rsidR="006C3DEB" w:rsidRPr="00B8426E" w:rsidRDefault="006C3DEB" w:rsidP="006C3DEB">
      <w:pPr>
        <w:pStyle w:val="Caption1"/>
      </w:pPr>
      <w:r w:rsidRPr="00225966">
        <w:t xml:space="preserve"> </w:t>
      </w:r>
      <w:r w:rsidRPr="0060521A">
        <w:t xml:space="preserve"> </w:t>
      </w:r>
      <w:r w:rsidRPr="00E83879">
        <w:rPr>
          <w:noProof/>
        </w:rPr>
        <w:drawing>
          <wp:inline distT="0" distB="0" distL="0" distR="0" wp14:anchorId="0E54DD33" wp14:editId="68B6ADBD">
            <wp:extent cx="5580000" cy="3240000"/>
            <wp:effectExtent l="0" t="0" r="1905" b="0"/>
            <wp:docPr id="7" name="Picture 7" descr="This chart shows the implied (Frisch) elasticity of labour supply implied by the model by age and skill level. The chart shows that the labour supply elasticity troughs at around the age of 35-45 depending on the skill level of households, followed by increase until around the time of retirement. The chart shows that households of higher skill levels generally has lower labour supply elasticities at all 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This chart shows the implied (Frisch) elasticity of labour supply implied by the model by age and skill level. The chart shows that the labour supply elasticity troughs at around the age of 35-45 depending on the skill level of households, followed by increase until around the time of retirement. The chart shows that households of higher skill levels generally has lower labour supply elasticities at all ages."/>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5580000" cy="3240000"/>
                    </a:xfrm>
                    <a:prstGeom prst="rect">
                      <a:avLst/>
                    </a:prstGeom>
                    <a:noFill/>
                    <a:ln>
                      <a:noFill/>
                    </a:ln>
                  </pic:spPr>
                </pic:pic>
              </a:graphicData>
            </a:graphic>
          </wp:inline>
        </w:drawing>
      </w:r>
    </w:p>
    <w:p w14:paraId="48AC2B3A" w14:textId="77777777" w:rsidR="006C3DEB" w:rsidRPr="00436C71" w:rsidRDefault="006C3DEB" w:rsidP="006C3DEB">
      <w:pPr>
        <w:pStyle w:val="Note"/>
        <w:rPr>
          <w:rStyle w:val="IntenseEmphasis"/>
          <w:rFonts w:eastAsia="Calibri"/>
          <w:b w:val="0"/>
          <w:bCs w:val="0"/>
          <w:i w:val="0"/>
          <w:iCs w:val="0"/>
        </w:rPr>
      </w:pPr>
      <w:r w:rsidRPr="00BA7CF3">
        <w:rPr>
          <w:rFonts w:eastAsia="Calibri"/>
        </w:rPr>
        <w:t xml:space="preserve">Source: </w:t>
      </w:r>
      <w:r w:rsidRPr="00BA7CF3">
        <w:t>Authors’ calculation.</w:t>
      </w:r>
    </w:p>
    <w:p w14:paraId="10033381" w14:textId="77777777" w:rsidR="006C3DEB" w:rsidRPr="00CC2926" w:rsidRDefault="006C3DEB" w:rsidP="006C3DEB">
      <w:pPr>
        <w:pStyle w:val="Heading5"/>
        <w:rPr>
          <w:rStyle w:val="IntenseEmphasis"/>
          <w:b/>
          <w:bCs w:val="0"/>
          <w:i w:val="0"/>
          <w:iCs/>
          <w:color w:val="000000" w:themeColor="text1"/>
        </w:rPr>
      </w:pPr>
      <w:r w:rsidRPr="00CC2926">
        <w:rPr>
          <w:rStyle w:val="IntenseEmphasis"/>
          <w:b/>
          <w:bCs w:val="0"/>
          <w:i w:val="0"/>
          <w:iCs/>
          <w:color w:val="000000" w:themeColor="text1"/>
        </w:rPr>
        <w:t>Household savings and bequests</w:t>
      </w:r>
    </w:p>
    <w:p w14:paraId="65DB90C3" w14:textId="77777777" w:rsidR="006C3DEB" w:rsidRPr="007F045B" w:rsidRDefault="006C3DEB" w:rsidP="006C3DEB">
      <w:pPr>
        <w:rPr>
          <w:rFonts w:eastAsia="Calibri"/>
        </w:rPr>
      </w:pPr>
      <w:r w:rsidRPr="007F045B">
        <w:t>The aggregation of individual lifecycle profiles of household savings determine</w:t>
      </w:r>
      <w:r>
        <w:t>s</w:t>
      </w:r>
      <w:r w:rsidRPr="007F045B">
        <w:t xml:space="preserve"> t</w:t>
      </w:r>
      <w:r w:rsidRPr="007F045B">
        <w:rPr>
          <w:rFonts w:eastAsia="Calibri"/>
        </w:rPr>
        <w:t xml:space="preserve">he steady state rate of national saving. </w:t>
      </w:r>
      <w:r w:rsidRPr="007F045B">
        <w:t xml:space="preserve">The accumulation of household savings is jointly determined by the </w:t>
      </w:r>
      <w:r w:rsidRPr="007F045B">
        <w:rPr>
          <w:rFonts w:eastAsia="Calibri"/>
        </w:rPr>
        <w:t xml:space="preserve">discount factor and </w:t>
      </w:r>
      <w:r w:rsidRPr="007F045B">
        <w:t xml:space="preserve">the ‘warm glow’ motive to leave intended bequests. </w:t>
      </w:r>
    </w:p>
    <w:p w14:paraId="334D6BD2" w14:textId="2AC0BED5" w:rsidR="006C3DEB" w:rsidRPr="007F045B" w:rsidRDefault="006C3DEB" w:rsidP="006C3DEB">
      <w:pPr>
        <w:rPr>
          <w:rFonts w:eastAsia="Calibri"/>
        </w:rPr>
      </w:pPr>
      <w:r w:rsidRPr="007F045B">
        <w:rPr>
          <w:rFonts w:eastAsia="Calibri"/>
        </w:rPr>
        <w:t>Following the literature households have a common discount factor assumed to be</w:t>
      </w:r>
      <w:r w:rsidRPr="00E670A7">
        <w:rPr>
          <w:position w:val="-10"/>
        </w:rPr>
        <w:object w:dxaOrig="900" w:dyaOrig="320" w14:anchorId="64B7B2C3">
          <v:shape id="_x0000_i1470" type="#_x0000_t75" style="width:42.6pt;height:14.4pt" o:ole="">
            <v:imagedata r:id="rId911" o:title=""/>
          </v:shape>
          <o:OLEObject Type="Embed" ProgID="Equation.DSMT4" ShapeID="_x0000_i1470" DrawAspect="Content" ObjectID="_1754919021" r:id="rId912"/>
        </w:object>
      </w:r>
      <w:r w:rsidRPr="007F045B">
        <w:rPr>
          <w:rFonts w:eastAsia="Calibri"/>
        </w:rPr>
        <w:t xml:space="preserve">. Given the calibrated consumption to GDP ratio this ensures the economy’s initial net foreign liability position is consistent with the data at roughly 50 per cent of GDP (see </w:t>
      </w:r>
      <w:r w:rsidR="00E00A52">
        <w:t xml:space="preserve">Table </w:t>
      </w:r>
      <w:r w:rsidR="00E00A52">
        <w:rPr>
          <w:noProof/>
        </w:rPr>
        <w:t>18</w:t>
      </w:r>
      <w:r w:rsidRPr="007F045B">
        <w:rPr>
          <w:rFonts w:eastAsia="Calibri"/>
        </w:rPr>
        <w:t xml:space="preserve"> below for details).</w:t>
      </w:r>
    </w:p>
    <w:p w14:paraId="3C2E2F1B" w14:textId="05DAA842" w:rsidR="006C3DEB" w:rsidRDefault="006C3DEB" w:rsidP="006C3DEB">
      <w:r w:rsidRPr="007F045B">
        <w:t xml:space="preserve">Following the empirical study of Fink and Redaelli (2005), we have assumed that only households of the high, upper middle and middle skills accumulate assets over their lifetime with the intention of leaving a bequest. For those household types, </w:t>
      </w:r>
      <w:r w:rsidRPr="00E670A7">
        <w:rPr>
          <w:position w:val="-12"/>
        </w:rPr>
        <w:object w:dxaOrig="220" w:dyaOrig="360" w14:anchorId="7651BEEC">
          <v:shape id="_x0000_i1471" type="#_x0000_t75" style="width:7.8pt;height:14.4pt" o:ole="">
            <v:imagedata r:id="rId913" o:title=""/>
          </v:shape>
          <o:OLEObject Type="Embed" ProgID="Equation.DSMT4" ShapeID="_x0000_i1471" DrawAspect="Content" ObjectID="_1754919022" r:id="rId914"/>
        </w:object>
      </w:r>
      <w:r>
        <w:t xml:space="preserve"> </w:t>
      </w:r>
      <w:r w:rsidRPr="007F045B">
        <w:t>is calibrated to match their end-of-life savings in actual data, and</w:t>
      </w:r>
      <w:r>
        <w:t xml:space="preserve"> </w:t>
      </w:r>
      <w:r w:rsidRPr="00E670A7">
        <w:rPr>
          <w:position w:val="-12"/>
        </w:rPr>
        <w:object w:dxaOrig="260" w:dyaOrig="360" w14:anchorId="39166D01">
          <v:shape id="_x0000_i1472" type="#_x0000_t75" style="width:14.4pt;height:14.4pt" o:ole="">
            <v:imagedata r:id="rId915" o:title=""/>
          </v:shape>
          <o:OLEObject Type="Embed" ProgID="Equation.DSMT4" ShapeID="_x0000_i1472" DrawAspect="Content" ObjectID="_1754919023" r:id="rId916"/>
        </w:object>
      </w:r>
      <w:r w:rsidRPr="007F045B">
        <w:t xml:space="preserve">is calibrated to have a total bequest-to-GDP ratio of around 3 per cent. While this is only around half the level found by the Productivity Commission (2021), the model currently ignores the value of land used for dwellings which accounts around half of the wealth held by households. </w:t>
      </w:r>
      <w:r>
        <w:t xml:space="preserve">This means </w:t>
      </w:r>
      <w:r w:rsidRPr="007F045B">
        <w:t xml:space="preserve">calibrated annual bequests are consistent with the findings of the Productivity Commission </w:t>
      </w:r>
      <w:r>
        <w:t>of</w:t>
      </w:r>
      <w:r w:rsidRPr="007F045B">
        <w:t xml:space="preserve"> around 1 per cent of total household wealth. These parameters are reported in </w:t>
      </w:r>
      <w:r w:rsidR="00E00A52" w:rsidRPr="00EA1E94">
        <w:t xml:space="preserve">Table </w:t>
      </w:r>
      <w:r w:rsidR="00E00A52">
        <w:rPr>
          <w:noProof/>
        </w:rPr>
        <w:t>2</w:t>
      </w:r>
      <w:r w:rsidRPr="007F045B">
        <w:t>.</w:t>
      </w:r>
    </w:p>
    <w:p w14:paraId="242A7312" w14:textId="46C13357" w:rsidR="00064AD9" w:rsidRDefault="00064AD9" w:rsidP="00064AD9">
      <w:r w:rsidRPr="00FF7553">
        <w:t xml:space="preserve">As </w:t>
      </w:r>
      <w:r w:rsidR="00E00A52" w:rsidRPr="00E00A52">
        <w:rPr>
          <w:rFonts w:eastAsiaTheme="minorHAnsi"/>
        </w:rPr>
        <w:t>Chart 7</w:t>
      </w:r>
      <w:r w:rsidRPr="00FF7553">
        <w:t xml:space="preserve"> shows, the model’s implied distribution of household wealth does a reasonably good job in tracking the cross-sectional distribution of wealth. Given this the model also matches well the cross-sectional distribution of gross household income (see </w:t>
      </w:r>
      <w:r w:rsidR="00E00A52" w:rsidRPr="00E00A52">
        <w:t>Chart</w:t>
      </w:r>
      <w:r w:rsidR="00E00A52" w:rsidRPr="00E00A52">
        <w:rPr>
          <w:rFonts w:eastAsiaTheme="minorHAnsi"/>
        </w:rPr>
        <w:t xml:space="preserve"> 8</w:t>
      </w:r>
      <w:r w:rsidRPr="00FF7553">
        <w:t>).</w:t>
      </w:r>
    </w:p>
    <w:p w14:paraId="5B9051BC" w14:textId="3337BEF3" w:rsidR="006C3DEB" w:rsidRPr="00673FA3" w:rsidRDefault="006C3DEB" w:rsidP="00673FA3">
      <w:pPr>
        <w:pStyle w:val="ChartMainHeading"/>
        <w:rPr>
          <w:rFonts w:eastAsiaTheme="minorHAnsi"/>
        </w:rPr>
      </w:pPr>
      <w:bookmarkStart w:id="23" w:name="_Ref101948445"/>
      <w:r w:rsidRPr="00681915">
        <w:rPr>
          <w:rStyle w:val="Caption1Char"/>
          <w:rFonts w:ascii="Calibri" w:eastAsiaTheme="minorHAnsi" w:hAnsi="Calibri" w:cs="Arial"/>
          <w:color w:val="4D7861" w:themeColor="accent2"/>
          <w:sz w:val="26"/>
          <w:szCs w:val="26"/>
        </w:rPr>
        <w:lastRenderedPageBreak/>
        <w:t xml:space="preserve">Chart </w:t>
      </w:r>
      <w:r w:rsidRPr="00681915">
        <w:rPr>
          <w:rStyle w:val="Caption1Char"/>
          <w:rFonts w:ascii="Calibri" w:eastAsiaTheme="minorHAnsi" w:hAnsi="Calibri" w:cs="Arial"/>
          <w:color w:val="4D7861" w:themeColor="accent2"/>
          <w:sz w:val="26"/>
          <w:szCs w:val="26"/>
        </w:rPr>
        <w:fldChar w:fldCharType="begin"/>
      </w:r>
      <w:r w:rsidRPr="00681915">
        <w:rPr>
          <w:rStyle w:val="Caption1Char"/>
          <w:rFonts w:ascii="Calibri" w:eastAsiaTheme="minorHAnsi" w:hAnsi="Calibri" w:cs="Arial"/>
          <w:color w:val="4D7861" w:themeColor="accent2"/>
          <w:sz w:val="26"/>
          <w:szCs w:val="26"/>
        </w:rPr>
        <w:instrText xml:space="preserve"> SEQ Chart \* ARABIC </w:instrText>
      </w:r>
      <w:r w:rsidRPr="00681915">
        <w:rPr>
          <w:rStyle w:val="Caption1Char"/>
          <w:rFonts w:ascii="Calibri" w:eastAsiaTheme="minorHAnsi" w:hAnsi="Calibri" w:cs="Arial"/>
          <w:color w:val="4D7861" w:themeColor="accent2"/>
          <w:sz w:val="26"/>
          <w:szCs w:val="26"/>
        </w:rPr>
        <w:fldChar w:fldCharType="separate"/>
      </w:r>
      <w:r w:rsidR="00E00A52">
        <w:rPr>
          <w:rStyle w:val="Caption1Char"/>
          <w:rFonts w:ascii="Calibri" w:eastAsiaTheme="minorHAnsi" w:hAnsi="Calibri" w:cs="Arial"/>
          <w:noProof/>
          <w:color w:val="4D7861" w:themeColor="accent2"/>
          <w:sz w:val="26"/>
          <w:szCs w:val="26"/>
        </w:rPr>
        <w:t>7</w:t>
      </w:r>
      <w:r w:rsidRPr="00681915">
        <w:rPr>
          <w:rStyle w:val="Caption1Char"/>
          <w:rFonts w:ascii="Calibri" w:eastAsiaTheme="minorHAnsi" w:hAnsi="Calibri" w:cs="Arial"/>
          <w:color w:val="4D7861" w:themeColor="accent2"/>
          <w:sz w:val="26"/>
          <w:szCs w:val="26"/>
        </w:rPr>
        <w:fldChar w:fldCharType="end"/>
      </w:r>
      <w:bookmarkEnd w:id="23"/>
      <w:r w:rsidRPr="00681915">
        <w:rPr>
          <w:rStyle w:val="Caption1Char"/>
          <w:rFonts w:ascii="Calibri" w:eastAsiaTheme="minorHAnsi" w:hAnsi="Calibri" w:cs="Arial"/>
          <w:color w:val="4D7861" w:themeColor="accent2"/>
          <w:sz w:val="26"/>
          <w:szCs w:val="26"/>
        </w:rPr>
        <w:t>: Household wealth by age and skill</w:t>
      </w:r>
      <w:r w:rsidR="006D25BE" w:rsidRPr="006D25BE">
        <w:rPr>
          <w:noProof/>
        </w:rPr>
        <w:drawing>
          <wp:inline distT="0" distB="0" distL="0" distR="0" wp14:anchorId="2D8CEBA7" wp14:editId="1B5D4F6A">
            <wp:extent cx="5581015" cy="3232150"/>
            <wp:effectExtent l="0" t="0" r="635" b="6350"/>
            <wp:docPr id="18" name="Picture 18" descr="This chart shows the distribution of wealth by age and skill in the data and also that implied by the model. This chart shows that households wealth increases gradually with age, until it begins to decline as households draw down their savings. Households of higher skill types accumulate wealth for longer, consistent with them working until a later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chart shows the distribution of wealth by age and skill in the data and also that implied by the model. This chart shows that households wealth increases gradually with age, until it begins to decline as households draw down their savings. Households of higher skill types accumulate wealth for longer, consistent with them working until a later age. "/>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5581015" cy="3232150"/>
                    </a:xfrm>
                    <a:prstGeom prst="rect">
                      <a:avLst/>
                    </a:prstGeom>
                    <a:noFill/>
                    <a:ln>
                      <a:noFill/>
                    </a:ln>
                  </pic:spPr>
                </pic:pic>
              </a:graphicData>
            </a:graphic>
          </wp:inline>
        </w:drawing>
      </w:r>
    </w:p>
    <w:p w14:paraId="7177FAAC" w14:textId="605D8A1B" w:rsidR="006C3DEB" w:rsidRPr="00170C60" w:rsidRDefault="006C3DEB" w:rsidP="00064AD9">
      <w:pPr>
        <w:pStyle w:val="Note"/>
      </w:pPr>
      <w:r w:rsidRPr="0087710C">
        <w:t>Source:  Authors’ calculation</w:t>
      </w:r>
      <w:r>
        <w:t>s</w:t>
      </w:r>
      <w:r w:rsidRPr="0087710C">
        <w:t xml:space="preserve"> </w:t>
      </w:r>
      <w:r>
        <w:t>based on</w:t>
      </w:r>
      <w:r w:rsidRPr="0087710C">
        <w:t xml:space="preserve"> </w:t>
      </w:r>
      <w:r w:rsidRPr="008A7B9E">
        <w:t xml:space="preserve">SIH (ABS, 2017) and </w:t>
      </w:r>
      <w:r w:rsidRPr="00F84104">
        <w:t>ABS Life Tables (</w:t>
      </w:r>
      <w:r w:rsidRPr="008A7B9E">
        <w:t>2019a). Note:</w:t>
      </w:r>
      <w:r w:rsidRPr="0087710C">
        <w:t xml:space="preserve"> Broken</w:t>
      </w:r>
      <w:r>
        <w:t xml:space="preserve"> </w:t>
      </w:r>
      <w:r w:rsidRPr="0087710C">
        <w:t>line</w:t>
      </w:r>
      <w:r w:rsidR="008B3DBF">
        <w:t>s</w:t>
      </w:r>
      <w:r>
        <w:t xml:space="preserve"> </w:t>
      </w:r>
      <w:r w:rsidR="00E40A03">
        <w:t>are</w:t>
      </w:r>
      <w:r>
        <w:t xml:space="preserve"> median</w:t>
      </w:r>
      <w:r w:rsidR="00BF64A3">
        <w:t>s</w:t>
      </w:r>
      <w:r>
        <w:t xml:space="preserve"> of</w:t>
      </w:r>
      <w:r w:rsidRPr="000C5322">
        <w:t xml:space="preserve"> cross-sectional data </w:t>
      </w:r>
      <w:r>
        <w:t xml:space="preserve">relative to the population-weighted mean </w:t>
      </w:r>
      <w:r w:rsidR="00467FEB">
        <w:t>from</w:t>
      </w:r>
      <w:r>
        <w:t xml:space="preserve"> the SIH (using the </w:t>
      </w:r>
      <w:r w:rsidR="00E40A03">
        <w:t>model</w:t>
      </w:r>
      <w:r>
        <w:t xml:space="preserve"> age distribution)</w:t>
      </w:r>
      <w:r w:rsidRPr="000C5322">
        <w:t>, and solid line</w:t>
      </w:r>
      <w:r w:rsidR="00E40A03">
        <w:t>s</w:t>
      </w:r>
      <w:r w:rsidRPr="000C5322">
        <w:t xml:space="preserve"> </w:t>
      </w:r>
      <w:r w:rsidR="00E40A03">
        <w:t>are</w:t>
      </w:r>
      <w:r w:rsidRPr="000C5322">
        <w:t xml:space="preserve"> the calibrated profiles</w:t>
      </w:r>
      <w:r>
        <w:t xml:space="preserve"> relative to the population-weighted mean</w:t>
      </w:r>
      <w:r w:rsidRPr="000C5322">
        <w:t>.</w:t>
      </w:r>
    </w:p>
    <w:p w14:paraId="22D89E15" w14:textId="339CE47C" w:rsidR="006C3DEB" w:rsidRPr="005A7549" w:rsidRDefault="006C3DEB" w:rsidP="006C3DEB">
      <w:pPr>
        <w:pStyle w:val="ChartMainHeading"/>
        <w:rPr>
          <w:rStyle w:val="Caption1Char"/>
          <w:rFonts w:ascii="Calibri" w:eastAsiaTheme="minorHAnsi" w:hAnsi="Calibri" w:cs="Arial"/>
          <w:color w:val="4D7861" w:themeColor="accent2"/>
          <w:sz w:val="26"/>
          <w:szCs w:val="26"/>
        </w:rPr>
      </w:pPr>
      <w:bookmarkStart w:id="24" w:name="_Ref101948471"/>
      <w:r w:rsidRPr="005A7549">
        <w:rPr>
          <w:rStyle w:val="Caption1Char"/>
          <w:rFonts w:ascii="Calibri" w:eastAsiaTheme="minorHAnsi" w:hAnsi="Calibri" w:cs="Arial"/>
          <w:color w:val="4D7861" w:themeColor="accent2"/>
          <w:sz w:val="26"/>
          <w:szCs w:val="26"/>
        </w:rPr>
        <w:t xml:space="preserve">Chart </w:t>
      </w:r>
      <w:r w:rsidRPr="005A7549">
        <w:rPr>
          <w:rStyle w:val="Caption1Char"/>
          <w:rFonts w:ascii="Calibri" w:eastAsiaTheme="minorHAnsi" w:hAnsi="Calibri" w:cs="Arial"/>
          <w:color w:val="4D7861" w:themeColor="accent2"/>
          <w:sz w:val="26"/>
          <w:szCs w:val="26"/>
        </w:rPr>
        <w:fldChar w:fldCharType="begin"/>
      </w:r>
      <w:r w:rsidRPr="005A7549">
        <w:rPr>
          <w:rStyle w:val="Caption1Char"/>
          <w:rFonts w:ascii="Calibri" w:eastAsiaTheme="minorHAnsi" w:hAnsi="Calibri" w:cs="Arial"/>
          <w:color w:val="4D7861" w:themeColor="accent2"/>
          <w:sz w:val="26"/>
          <w:szCs w:val="26"/>
        </w:rPr>
        <w:instrText xml:space="preserve"> SEQ Chart \* ARABIC </w:instrText>
      </w:r>
      <w:r w:rsidRPr="005A7549">
        <w:rPr>
          <w:rStyle w:val="Caption1Char"/>
          <w:rFonts w:ascii="Calibri" w:eastAsiaTheme="minorHAnsi" w:hAnsi="Calibri" w:cs="Arial"/>
          <w:color w:val="4D7861" w:themeColor="accent2"/>
          <w:sz w:val="26"/>
          <w:szCs w:val="26"/>
        </w:rPr>
        <w:fldChar w:fldCharType="separate"/>
      </w:r>
      <w:r w:rsidR="00E00A52">
        <w:rPr>
          <w:rStyle w:val="Caption1Char"/>
          <w:rFonts w:ascii="Calibri" w:eastAsiaTheme="minorHAnsi" w:hAnsi="Calibri" w:cs="Arial"/>
          <w:noProof/>
          <w:color w:val="4D7861" w:themeColor="accent2"/>
          <w:sz w:val="26"/>
          <w:szCs w:val="26"/>
        </w:rPr>
        <w:t>8</w:t>
      </w:r>
      <w:r w:rsidRPr="005A7549">
        <w:rPr>
          <w:rStyle w:val="Caption1Char"/>
          <w:rFonts w:ascii="Calibri" w:eastAsiaTheme="minorHAnsi" w:hAnsi="Calibri" w:cs="Arial"/>
          <w:color w:val="4D7861" w:themeColor="accent2"/>
          <w:sz w:val="26"/>
          <w:szCs w:val="26"/>
        </w:rPr>
        <w:fldChar w:fldCharType="end"/>
      </w:r>
      <w:bookmarkEnd w:id="24"/>
      <w:r w:rsidRPr="005A7549">
        <w:rPr>
          <w:rStyle w:val="Caption1Char"/>
          <w:rFonts w:ascii="Calibri" w:eastAsiaTheme="minorHAnsi" w:hAnsi="Calibri" w:cs="Arial"/>
          <w:color w:val="4D7861" w:themeColor="accent2"/>
          <w:sz w:val="26"/>
          <w:szCs w:val="26"/>
        </w:rPr>
        <w:t>: Gross household income by age and skill</w:t>
      </w:r>
    </w:p>
    <w:p w14:paraId="307EAFAE" w14:textId="0316C607" w:rsidR="006C3DEB" w:rsidRDefault="006C3DEB" w:rsidP="00135EB8">
      <w:r w:rsidRPr="006B6FBB">
        <w:t xml:space="preserve"> </w:t>
      </w:r>
      <w:r w:rsidRPr="00727B2E">
        <w:t xml:space="preserve"> </w:t>
      </w:r>
      <w:r w:rsidR="009F5BBF" w:rsidRPr="009F5BBF">
        <w:rPr>
          <w:noProof/>
        </w:rPr>
        <w:drawing>
          <wp:inline distT="0" distB="0" distL="0" distR="0" wp14:anchorId="58E2A501" wp14:editId="586A20D9">
            <wp:extent cx="5581015" cy="3232150"/>
            <wp:effectExtent l="0" t="0" r="635" b="6350"/>
            <wp:docPr id="19" name="Picture 19" descr="This chart shows the distribution of gross household income by age and skill in the data and also that implied by the model. As explained in the text, household income depends on labour earnins and capital income which is influenced by the saving motives of households in the model. The implication of this is that the gross income of households mimic the behaviour of labour earnings and wealth across ages and skil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hart shows the distribution of gross household income by age and skill in the data and also that implied by the model. As explained in the text, household income depends on labour earnins and capital income which is influenced by the saving motives of households in the model. The implication of this is that the gross income of households mimic the behaviour of labour earnings and wealth across ages and skill levels."/>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5581015" cy="3232150"/>
                    </a:xfrm>
                    <a:prstGeom prst="rect">
                      <a:avLst/>
                    </a:prstGeom>
                    <a:noFill/>
                    <a:ln>
                      <a:noFill/>
                    </a:ln>
                  </pic:spPr>
                </pic:pic>
              </a:graphicData>
            </a:graphic>
          </wp:inline>
        </w:drawing>
      </w:r>
      <w:r w:rsidRPr="00135EB8">
        <w:rPr>
          <w:rFonts w:asciiTheme="minorHAnsi" w:hAnsiTheme="minorHAnsi"/>
          <w:color w:val="000000"/>
          <w:sz w:val="20"/>
        </w:rPr>
        <w:t>Source:  Authors’ calculations based on SIH (ABS, 2017) and ABS Life Tables (2019a). Note: Broken line</w:t>
      </w:r>
      <w:r w:rsidR="00BF64A3" w:rsidRPr="00135EB8">
        <w:rPr>
          <w:rFonts w:asciiTheme="minorHAnsi" w:hAnsiTheme="minorHAnsi"/>
          <w:color w:val="000000"/>
          <w:sz w:val="20"/>
        </w:rPr>
        <w:t>s</w:t>
      </w:r>
      <w:r w:rsidRPr="00135EB8">
        <w:rPr>
          <w:rFonts w:asciiTheme="minorHAnsi" w:hAnsiTheme="minorHAnsi"/>
          <w:color w:val="000000"/>
          <w:sz w:val="20"/>
        </w:rPr>
        <w:t xml:space="preserve"> </w:t>
      </w:r>
      <w:r w:rsidR="00BF64A3" w:rsidRPr="00135EB8">
        <w:rPr>
          <w:rFonts w:asciiTheme="minorHAnsi" w:hAnsiTheme="minorHAnsi"/>
          <w:color w:val="000000"/>
          <w:sz w:val="20"/>
        </w:rPr>
        <w:t>are</w:t>
      </w:r>
      <w:r w:rsidRPr="00135EB8">
        <w:rPr>
          <w:rFonts w:asciiTheme="minorHAnsi" w:hAnsiTheme="minorHAnsi"/>
          <w:color w:val="000000"/>
          <w:sz w:val="20"/>
        </w:rPr>
        <w:t xml:space="preserve"> median</w:t>
      </w:r>
      <w:r w:rsidR="00BF64A3" w:rsidRPr="00135EB8">
        <w:rPr>
          <w:rFonts w:asciiTheme="minorHAnsi" w:hAnsiTheme="minorHAnsi"/>
          <w:color w:val="000000"/>
          <w:sz w:val="20"/>
        </w:rPr>
        <w:t>s</w:t>
      </w:r>
      <w:r w:rsidRPr="00135EB8">
        <w:rPr>
          <w:rFonts w:asciiTheme="minorHAnsi" w:hAnsiTheme="minorHAnsi"/>
          <w:color w:val="000000"/>
          <w:sz w:val="20"/>
        </w:rPr>
        <w:t xml:space="preserve"> of cross-sectional data relative to the population-weighted mean </w:t>
      </w:r>
      <w:r w:rsidR="004640A7" w:rsidRPr="004640A7">
        <w:rPr>
          <w:rFonts w:asciiTheme="minorHAnsi" w:hAnsiTheme="minorHAnsi"/>
          <w:color w:val="000000"/>
          <w:sz w:val="20"/>
        </w:rPr>
        <w:t>from</w:t>
      </w:r>
      <w:r w:rsidRPr="00135EB8">
        <w:rPr>
          <w:rFonts w:asciiTheme="minorHAnsi" w:hAnsiTheme="minorHAnsi"/>
          <w:color w:val="000000"/>
          <w:sz w:val="20"/>
        </w:rPr>
        <w:t xml:space="preserve"> the SIH (using the </w:t>
      </w:r>
      <w:r w:rsidR="00BF64A3" w:rsidRPr="00135EB8">
        <w:rPr>
          <w:rFonts w:asciiTheme="minorHAnsi" w:hAnsiTheme="minorHAnsi"/>
          <w:color w:val="000000"/>
          <w:sz w:val="20"/>
        </w:rPr>
        <w:t xml:space="preserve">model </w:t>
      </w:r>
      <w:r w:rsidRPr="00135EB8">
        <w:rPr>
          <w:rFonts w:asciiTheme="minorHAnsi" w:hAnsiTheme="minorHAnsi"/>
          <w:color w:val="000000"/>
          <w:sz w:val="20"/>
        </w:rPr>
        <w:t>age distribution), and solid line</w:t>
      </w:r>
      <w:r w:rsidR="00BF64A3" w:rsidRPr="00135EB8">
        <w:rPr>
          <w:rFonts w:asciiTheme="minorHAnsi" w:hAnsiTheme="minorHAnsi"/>
          <w:color w:val="000000"/>
          <w:sz w:val="20"/>
        </w:rPr>
        <w:t>s</w:t>
      </w:r>
      <w:r w:rsidRPr="00135EB8">
        <w:rPr>
          <w:rFonts w:asciiTheme="minorHAnsi" w:hAnsiTheme="minorHAnsi"/>
          <w:color w:val="000000"/>
          <w:sz w:val="20"/>
        </w:rPr>
        <w:t xml:space="preserve"> </w:t>
      </w:r>
      <w:r w:rsidR="00BF64A3" w:rsidRPr="00135EB8">
        <w:rPr>
          <w:rFonts w:asciiTheme="minorHAnsi" w:hAnsiTheme="minorHAnsi"/>
          <w:color w:val="000000"/>
          <w:sz w:val="20"/>
        </w:rPr>
        <w:t>are</w:t>
      </w:r>
      <w:r w:rsidRPr="00135EB8">
        <w:rPr>
          <w:rFonts w:asciiTheme="minorHAnsi" w:hAnsiTheme="minorHAnsi"/>
          <w:color w:val="000000"/>
          <w:sz w:val="20"/>
        </w:rPr>
        <w:t xml:space="preserve"> the calibrated profiles relative to the population-weighted mean.</w:t>
      </w:r>
    </w:p>
    <w:p w14:paraId="6795EC3A" w14:textId="77777777" w:rsidR="006C3DEB" w:rsidRDefault="006C3DEB" w:rsidP="006C3DEB">
      <w:pPr>
        <w:pStyle w:val="Heading3"/>
      </w:pPr>
      <w:r>
        <w:lastRenderedPageBreak/>
        <w:t>Production sector</w:t>
      </w:r>
    </w:p>
    <w:p w14:paraId="7D9449C1" w14:textId="50055992" w:rsidR="006C3DEB" w:rsidRDefault="006C3DEB" w:rsidP="006C3DEB">
      <w:pPr>
        <w:rPr>
          <w:lang w:val="en-US"/>
        </w:rPr>
      </w:pPr>
      <w:r>
        <w:rPr>
          <w:lang w:val="en-US"/>
        </w:rPr>
        <w:t>V</w:t>
      </w:r>
      <w:r w:rsidRPr="005F3967">
        <w:rPr>
          <w:lang w:val="en-US"/>
        </w:rPr>
        <w:t xml:space="preserve">ersion </w:t>
      </w:r>
      <w:r>
        <w:rPr>
          <w:lang w:val="en-US"/>
        </w:rPr>
        <w:t xml:space="preserve">1.0 </w:t>
      </w:r>
      <w:r w:rsidRPr="005F3967">
        <w:rPr>
          <w:lang w:val="en-US"/>
        </w:rPr>
        <w:t xml:space="preserve">of OLGA </w:t>
      </w:r>
      <w:r w:rsidR="005849AB">
        <w:rPr>
          <w:lang w:val="en-US"/>
        </w:rPr>
        <w:t>includes</w:t>
      </w:r>
      <w:r>
        <w:rPr>
          <w:lang w:val="en-US"/>
        </w:rPr>
        <w:t xml:space="preserve"> three goods sectors: Agriculture (AGR), Mining (MIN), and Manufacturing (MAN); and four services sectors: Utilities (UTL), Construction (CST), Services (SRV), and Dwellings (DWE). All sectors produce output that is exported and all sectors except for dwellings faces competing imports. </w:t>
      </w:r>
      <w:r w:rsidRPr="00922CF1">
        <w:rPr>
          <w:lang w:val="en-US"/>
        </w:rPr>
        <w:t>Appendix</w:t>
      </w:r>
      <w:r w:rsidRPr="002D6C24">
        <w:rPr>
          <w:lang w:val="en-US"/>
        </w:rPr>
        <w:t xml:space="preserve"> </w:t>
      </w:r>
      <w:r>
        <w:rPr>
          <w:lang w:val="en-US"/>
        </w:rPr>
        <w:t>G</w:t>
      </w:r>
      <w:r w:rsidRPr="002D6C24">
        <w:rPr>
          <w:lang w:val="en-US"/>
        </w:rPr>
        <w:t xml:space="preserve"> shows the concordance </w:t>
      </w:r>
      <w:r w:rsidR="00751BCE">
        <w:rPr>
          <w:lang w:val="en-US"/>
        </w:rPr>
        <w:t>with</w:t>
      </w:r>
      <w:r w:rsidRPr="002D6C24">
        <w:rPr>
          <w:lang w:val="en-US"/>
        </w:rPr>
        <w:t xml:space="preserve"> the ABS Input-Output Industry Group.</w:t>
      </w:r>
      <w:r>
        <w:rPr>
          <w:lang w:val="en-US"/>
        </w:rPr>
        <w:t xml:space="preserve"> </w:t>
      </w:r>
    </w:p>
    <w:p w14:paraId="3CDE6567" w14:textId="77777777" w:rsidR="006C3DEB" w:rsidRPr="0002593A" w:rsidRDefault="006C3DEB" w:rsidP="006C3DEB">
      <w:pPr>
        <w:pStyle w:val="Heading4"/>
      </w:pPr>
      <w:r>
        <w:t>Production technology</w:t>
      </w:r>
    </w:p>
    <w:p w14:paraId="3AE4F6A9" w14:textId="77777777" w:rsidR="006C3DEB" w:rsidRPr="00681915" w:rsidRDefault="006C3DEB" w:rsidP="006C3DEB">
      <w:pPr>
        <w:pStyle w:val="Heading5"/>
        <w:rPr>
          <w:rStyle w:val="IntenseEmphasis"/>
          <w:b/>
          <w:bCs w:val="0"/>
          <w:i w:val="0"/>
          <w:iCs/>
          <w:color w:val="000000" w:themeColor="text1"/>
        </w:rPr>
      </w:pPr>
      <w:r w:rsidRPr="00681915">
        <w:rPr>
          <w:rStyle w:val="IntenseEmphasis"/>
          <w:b/>
          <w:bCs w:val="0"/>
          <w:i w:val="0"/>
          <w:iCs/>
          <w:color w:val="000000" w:themeColor="text1"/>
        </w:rPr>
        <w:t>Primary factor and intermediate shares</w:t>
      </w:r>
    </w:p>
    <w:p w14:paraId="7CD78DDA" w14:textId="64FF4A82" w:rsidR="006C3DEB" w:rsidRDefault="006C3DEB" w:rsidP="006C3DEB">
      <w:r>
        <w:t xml:space="preserve">We use the </w:t>
      </w:r>
      <w:r w:rsidRPr="00922CF1">
        <w:t>ABS (2018</w:t>
      </w:r>
      <w:r w:rsidRPr="008573BB">
        <w:t>a</w:t>
      </w:r>
      <w:r w:rsidRPr="00922CF1">
        <w:t>) Input</w:t>
      </w:r>
      <w:r>
        <w:t xml:space="preserve">-Output (IO) table to calibrate the CES weights for the production and distribution sectors. The Input-Output table </w:t>
      </w:r>
      <w:r w:rsidRPr="000F1B7C">
        <w:t>provide</w:t>
      </w:r>
      <w:r>
        <w:t>s</w:t>
      </w:r>
      <w:r w:rsidRPr="000F1B7C">
        <w:t xml:space="preserve"> information about the su</w:t>
      </w:r>
      <w:r>
        <w:t>pply and use of factors and products, and the</w:t>
      </w:r>
      <w:r w:rsidRPr="00E540ED">
        <w:t xml:space="preserve"> inter</w:t>
      </w:r>
      <w:r>
        <w:t>-</w:t>
      </w:r>
      <w:r w:rsidRPr="00E540ED">
        <w:t xml:space="preserve">relationships between </w:t>
      </w:r>
      <w:r>
        <w:t xml:space="preserve">sectors. </w:t>
      </w:r>
      <w:r w:rsidR="00E00A52" w:rsidRPr="0088277E">
        <w:t xml:space="preserve">Table </w:t>
      </w:r>
      <w:r w:rsidR="00E00A52">
        <w:rPr>
          <w:noProof/>
        </w:rPr>
        <w:t>3</w:t>
      </w:r>
      <w:r>
        <w:t xml:space="preserve"> recasts the broader 114 sector IO table reported by the ABS into a seven sector version consistent with the sectoral aggregation above.</w:t>
      </w:r>
    </w:p>
    <w:p w14:paraId="47BCB952" w14:textId="33867BAE" w:rsidR="00135EB8" w:rsidRDefault="00135EB8" w:rsidP="00135EB8">
      <w:pPr>
        <w:pStyle w:val="TableMainHeading"/>
      </w:pPr>
      <w:bookmarkStart w:id="25" w:name="_Ref101946982"/>
      <w:r w:rsidRPr="0088277E">
        <w:t xml:space="preserve">Table </w:t>
      </w:r>
      <w:r>
        <w:rPr>
          <w:noProof/>
        </w:rPr>
        <w:fldChar w:fldCharType="begin"/>
      </w:r>
      <w:r>
        <w:rPr>
          <w:noProof/>
        </w:rPr>
        <w:instrText xml:space="preserve"> SEQ Table \* ARABIC </w:instrText>
      </w:r>
      <w:r>
        <w:rPr>
          <w:noProof/>
        </w:rPr>
        <w:fldChar w:fldCharType="separate"/>
      </w:r>
      <w:r w:rsidR="00E00A52">
        <w:rPr>
          <w:noProof/>
        </w:rPr>
        <w:t>3</w:t>
      </w:r>
      <w:r>
        <w:rPr>
          <w:noProof/>
        </w:rPr>
        <w:fldChar w:fldCharType="end"/>
      </w:r>
      <w:bookmarkEnd w:id="25"/>
      <w:r w:rsidRPr="0088277E">
        <w:t>: Australian Input-Output table (2014-15)</w:t>
      </w:r>
      <w:r>
        <w:t xml:space="preserve"> per cent GDP</w:t>
      </w:r>
      <w:r w:rsidRPr="00EB6130">
        <w:t xml:space="preserve"> </w:t>
      </w:r>
    </w:p>
    <w:p w14:paraId="5E999A61" w14:textId="743797E2" w:rsidR="00135EB8" w:rsidRDefault="00135EB8" w:rsidP="00135EB8">
      <w:r w:rsidRPr="00EB6130">
        <w:rPr>
          <w:noProof/>
        </w:rPr>
        <w:drawing>
          <wp:inline distT="0" distB="0" distL="0" distR="0" wp14:anchorId="45C476F2" wp14:editId="1D13F77C">
            <wp:extent cx="5904230" cy="528129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5904230" cy="5281295"/>
                    </a:xfrm>
                    <a:prstGeom prst="rect">
                      <a:avLst/>
                    </a:prstGeom>
                    <a:noFill/>
                    <a:ln>
                      <a:noFill/>
                    </a:ln>
                  </pic:spPr>
                </pic:pic>
              </a:graphicData>
            </a:graphic>
          </wp:inline>
        </w:drawing>
      </w:r>
      <w:r w:rsidRPr="00F27C5A">
        <w:t xml:space="preserve">Source: Authors’ calculation based </w:t>
      </w:r>
      <w:r w:rsidRPr="00922CF1">
        <w:t>on ABS (2018</w:t>
      </w:r>
      <w:r w:rsidRPr="008573BB">
        <w:t>a</w:t>
      </w:r>
      <w:r w:rsidRPr="00922CF1">
        <w:t>) data.</w:t>
      </w:r>
    </w:p>
    <w:p w14:paraId="7469E9F0" w14:textId="63E9A44E" w:rsidR="006C3DEB" w:rsidRPr="007B6BEC" w:rsidRDefault="006C3DEB" w:rsidP="006C3DEB">
      <w:pPr>
        <w:rPr>
          <w:lang w:val="en-US"/>
        </w:rPr>
      </w:pPr>
      <w:r>
        <w:rPr>
          <w:rFonts w:eastAsia="Calibri"/>
        </w:rPr>
        <w:lastRenderedPageBreak/>
        <w:t>Producer and import prices are normalised to unity in the initial steady state,</w:t>
      </w:r>
      <w:r w:rsidRPr="00E670A7">
        <w:rPr>
          <w:position w:val="-14"/>
        </w:rPr>
        <w:object w:dxaOrig="1520" w:dyaOrig="400" w14:anchorId="2C609036">
          <v:shape id="_x0000_i1473" type="#_x0000_t75" style="width:79.2pt;height:21.6pt" o:ole="">
            <v:imagedata r:id="rId920" o:title=""/>
          </v:shape>
          <o:OLEObject Type="Embed" ProgID="Equation.DSMT4" ShapeID="_x0000_i1473" DrawAspect="Content" ObjectID="_1754919024" r:id="rId921"/>
        </w:object>
      </w:r>
      <w:r>
        <w:rPr>
          <w:rFonts w:eastAsia="Calibri"/>
        </w:rPr>
        <w:t>for all</w:t>
      </w:r>
      <w:r w:rsidRPr="00E670A7">
        <w:rPr>
          <w:position w:val="-10"/>
        </w:rPr>
        <w:object w:dxaOrig="200" w:dyaOrig="300" w14:anchorId="0F894116">
          <v:shape id="_x0000_i1474" type="#_x0000_t75" style="width:7.8pt;height:14.4pt" o:ole="">
            <v:imagedata r:id="rId922" o:title=""/>
          </v:shape>
          <o:OLEObject Type="Embed" ProgID="Equation.DSMT4" ShapeID="_x0000_i1474" DrawAspect="Content" ObjectID="_1754919025" r:id="rId923"/>
        </w:object>
      </w:r>
      <w:r>
        <w:rPr>
          <w:rFonts w:eastAsia="Calibri"/>
        </w:rPr>
        <w:t>T</w:t>
      </w:r>
      <w:r w:rsidRPr="000B3F32">
        <w:rPr>
          <w:rFonts w:eastAsia="Calibri"/>
        </w:rPr>
        <w:t xml:space="preserve">he scaling </w:t>
      </w:r>
      <w:r>
        <w:rPr>
          <w:rFonts w:eastAsia="Calibri"/>
        </w:rPr>
        <w:t>term</w:t>
      </w:r>
      <w:r w:rsidRPr="000B3F32">
        <w:rPr>
          <w:rFonts w:eastAsia="Calibri"/>
        </w:rPr>
        <w:t xml:space="preserve"> in the production function</w:t>
      </w:r>
      <w:r w:rsidRPr="00E670A7">
        <w:rPr>
          <w:position w:val="-14"/>
        </w:rPr>
        <w:object w:dxaOrig="400" w:dyaOrig="380" w14:anchorId="1F9297D3">
          <v:shape id="_x0000_i1475" type="#_x0000_t75" style="width:21.6pt;height:14.4pt" o:ole="">
            <v:imagedata r:id="rId924" o:title=""/>
          </v:shape>
          <o:OLEObject Type="Embed" ProgID="Equation.DSMT4" ShapeID="_x0000_i1475" DrawAspect="Content" ObjectID="_1754919026" r:id="rId925"/>
        </w:object>
      </w:r>
      <w:r>
        <w:rPr>
          <w:rFonts w:eastAsia="Calibri"/>
        </w:rPr>
        <w:t>is calibrated to ensure the gross domestic output (GDP) per worker is one in the initial steady state</w:t>
      </w:r>
      <w:r w:rsidRPr="000B3F32">
        <w:rPr>
          <w:rFonts w:eastAsia="Calibri"/>
        </w:rPr>
        <w:t xml:space="preserve">. Given </w:t>
      </w:r>
      <w:r>
        <w:rPr>
          <w:rFonts w:eastAsia="Calibri"/>
        </w:rPr>
        <w:t>these assumptions the initial steady state prices of intermediate goods and services</w:t>
      </w:r>
      <w:r w:rsidRPr="00E670A7">
        <w:rPr>
          <w:position w:val="-14"/>
        </w:rPr>
        <w:object w:dxaOrig="420" w:dyaOrig="400" w14:anchorId="55D74148">
          <v:shape id="_x0000_i1476" type="#_x0000_t75" style="width:21.6pt;height:21.6pt" o:ole="">
            <v:imagedata r:id="rId926" o:title=""/>
          </v:shape>
          <o:OLEObject Type="Embed" ProgID="Equation.DSMT4" ShapeID="_x0000_i1476" DrawAspect="Content" ObjectID="_1754919027" r:id="rId927"/>
        </w:object>
      </w:r>
      <w:r>
        <w:rPr>
          <w:rFonts w:eastAsia="Calibri"/>
        </w:rPr>
        <w:t xml:space="preserve">, the CES weights in the production sector are estimated using the factor input and expenditure cost shares reported in </w:t>
      </w:r>
      <w:r w:rsidR="00E00A52" w:rsidRPr="0088277E">
        <w:t xml:space="preserve">Table </w:t>
      </w:r>
      <w:r w:rsidR="00E00A52">
        <w:rPr>
          <w:noProof/>
        </w:rPr>
        <w:t>3</w:t>
      </w:r>
      <w:r>
        <w:rPr>
          <w:rFonts w:eastAsia="Calibri"/>
        </w:rPr>
        <w:t xml:space="preserve">. </w:t>
      </w:r>
      <w:r w:rsidRPr="001A03D8">
        <w:rPr>
          <w:lang w:val="en-US"/>
        </w:rPr>
        <w:t>Further detail</w:t>
      </w:r>
      <w:r>
        <w:rPr>
          <w:lang w:val="en-US"/>
        </w:rPr>
        <w:t>s</w:t>
      </w:r>
      <w:r w:rsidRPr="001A03D8">
        <w:rPr>
          <w:lang w:val="en-US"/>
        </w:rPr>
        <w:t xml:space="preserve"> on</w:t>
      </w:r>
      <w:r>
        <w:rPr>
          <w:lang w:val="en-US"/>
        </w:rPr>
        <w:t xml:space="preserve"> estimation are provided at the end of</w:t>
      </w:r>
      <w:r w:rsidRPr="001A03D8">
        <w:rPr>
          <w:lang w:val="en-US"/>
        </w:rPr>
        <w:t xml:space="preserve"> Appendix </w:t>
      </w:r>
      <w:r>
        <w:rPr>
          <w:lang w:val="en-US"/>
        </w:rPr>
        <w:t>C</w:t>
      </w:r>
      <w:r w:rsidRPr="001A03D8">
        <w:rPr>
          <w:lang w:val="en-US"/>
        </w:rPr>
        <w:t>.</w:t>
      </w:r>
    </w:p>
    <w:p w14:paraId="1E40A53C" w14:textId="3BA04FB0" w:rsidR="006C3DEB" w:rsidRPr="00FF0459" w:rsidRDefault="00E00A52" w:rsidP="006C3DEB">
      <w:pPr>
        <w:rPr>
          <w:rFonts w:eastAsia="Calibri"/>
        </w:rPr>
      </w:pPr>
      <w:r>
        <w:t xml:space="preserve">Table </w:t>
      </w:r>
      <w:r>
        <w:rPr>
          <w:noProof/>
        </w:rPr>
        <w:t>4</w:t>
      </w:r>
      <w:r w:rsidR="006C3DEB">
        <w:rPr>
          <w:rFonts w:eastAsia="Calibri"/>
        </w:rPr>
        <w:t xml:space="preserve"> reports the CES weights for the primary factor and intermediate inputs implied </w:t>
      </w:r>
      <w:r w:rsidR="006C3DEB" w:rsidRPr="00576B4C">
        <w:rPr>
          <w:rFonts w:eastAsia="Calibri"/>
        </w:rPr>
        <w:t xml:space="preserve">by the purple and red blocks </w:t>
      </w:r>
      <w:r w:rsidR="006C3DEB">
        <w:rPr>
          <w:rFonts w:eastAsia="Calibri"/>
        </w:rPr>
        <w:t xml:space="preserve">of </w:t>
      </w:r>
      <w:r w:rsidRPr="0088277E">
        <w:t xml:space="preserve">Table </w:t>
      </w:r>
      <w:r>
        <w:rPr>
          <w:noProof/>
        </w:rPr>
        <w:t>3</w:t>
      </w:r>
      <w:r w:rsidR="006C3DEB">
        <w:rPr>
          <w:rFonts w:eastAsia="Calibri"/>
        </w:rPr>
        <w:t>.</w:t>
      </w:r>
    </w:p>
    <w:p w14:paraId="67C1DC0F" w14:textId="6858F0E3" w:rsidR="006C3DEB" w:rsidRDefault="006C3DEB" w:rsidP="006C3DEB">
      <w:pPr>
        <w:pStyle w:val="TableMainHeading"/>
      </w:pPr>
      <w:bookmarkStart w:id="26" w:name="_Ref101947033"/>
      <w:r>
        <w:t xml:space="preserve">Table </w:t>
      </w:r>
      <w:r>
        <w:rPr>
          <w:noProof/>
        </w:rPr>
        <w:fldChar w:fldCharType="begin"/>
      </w:r>
      <w:r>
        <w:rPr>
          <w:noProof/>
        </w:rPr>
        <w:instrText xml:space="preserve"> SEQ Table \* ARABIC </w:instrText>
      </w:r>
      <w:r>
        <w:rPr>
          <w:noProof/>
        </w:rPr>
        <w:fldChar w:fldCharType="separate"/>
      </w:r>
      <w:r w:rsidR="00E00A52">
        <w:rPr>
          <w:noProof/>
        </w:rPr>
        <w:t>4</w:t>
      </w:r>
      <w:r>
        <w:rPr>
          <w:noProof/>
        </w:rPr>
        <w:fldChar w:fldCharType="end"/>
      </w:r>
      <w:bookmarkEnd w:id="26"/>
      <w:r>
        <w:t>: Production weights</w:t>
      </w:r>
    </w:p>
    <w:tbl>
      <w:tblPr>
        <w:tblStyle w:val="TableGrid"/>
        <w:tblW w:w="5000" w:type="pct"/>
        <w:jc w:val="center"/>
        <w:shd w:val="clear" w:color="auto" w:fill="EEEEEE" w:themeFill="background2"/>
        <w:tblLayout w:type="fixed"/>
        <w:tblLook w:val="04A0" w:firstRow="1" w:lastRow="0" w:firstColumn="1" w:lastColumn="0" w:noHBand="0" w:noVBand="1"/>
      </w:tblPr>
      <w:tblGrid>
        <w:gridCol w:w="1418"/>
        <w:gridCol w:w="1092"/>
        <w:gridCol w:w="1092"/>
        <w:gridCol w:w="1094"/>
        <w:gridCol w:w="1093"/>
        <w:gridCol w:w="1094"/>
        <w:gridCol w:w="1093"/>
        <w:gridCol w:w="1094"/>
      </w:tblGrid>
      <w:tr w:rsidR="006C3DEB" w14:paraId="03523117" w14:textId="77777777" w:rsidTr="00017ACD">
        <w:trPr>
          <w:jc w:val="center"/>
        </w:trPr>
        <w:tc>
          <w:tcPr>
            <w:tcW w:w="1418" w:type="dxa"/>
            <w:vMerge w:val="restart"/>
            <w:tcBorders>
              <w:top w:val="single" w:sz="4" w:space="0" w:color="auto"/>
            </w:tcBorders>
            <w:shd w:val="clear" w:color="auto" w:fill="EEEEEE" w:themeFill="background2"/>
            <w:vAlign w:val="center"/>
          </w:tcPr>
          <w:p w14:paraId="132422E4" w14:textId="77777777" w:rsidR="006C3DEB" w:rsidRPr="0088277E" w:rsidRDefault="006C3DEB" w:rsidP="005A7549">
            <w:pPr>
              <w:pStyle w:val="TableColumnHeadingLeft"/>
              <w:rPr>
                <w:rFonts w:eastAsia="Calibri"/>
              </w:rPr>
            </w:pPr>
            <w:r w:rsidRPr="0088277E">
              <w:rPr>
                <w:rFonts w:eastAsia="Calibri"/>
              </w:rPr>
              <w:t>Parameter</w:t>
            </w:r>
          </w:p>
        </w:tc>
        <w:tc>
          <w:tcPr>
            <w:tcW w:w="7647" w:type="dxa"/>
            <w:gridSpan w:val="7"/>
            <w:tcBorders>
              <w:top w:val="single" w:sz="4" w:space="0" w:color="auto"/>
              <w:bottom w:val="nil"/>
            </w:tcBorders>
            <w:shd w:val="clear" w:color="auto" w:fill="EEEEEE" w:themeFill="background2"/>
            <w:vAlign w:val="center"/>
          </w:tcPr>
          <w:p w14:paraId="6C5B3D79" w14:textId="77777777" w:rsidR="006C3DEB" w:rsidRDefault="006C3DEB" w:rsidP="005A7549">
            <w:pPr>
              <w:pStyle w:val="TableColumnHeadingCentred"/>
              <w:rPr>
                <w:rFonts w:eastAsia="Calibri"/>
              </w:rPr>
            </w:pPr>
            <w:r w:rsidRPr="0088277E">
              <w:rPr>
                <w:rFonts w:eastAsia="Calibri"/>
              </w:rPr>
              <w:t>Consistent with cost share:</w:t>
            </w:r>
            <w:r>
              <w:rPr>
                <w:rFonts w:eastAsia="Calibri"/>
              </w:rPr>
              <w:t xml:space="preserve"> </w:t>
            </w:r>
            <w:r w:rsidRPr="00141826">
              <w:rPr>
                <w:rFonts w:eastAsia="Calibri"/>
                <w:i/>
              </w:rPr>
              <w:t xml:space="preserve">j </w:t>
            </w:r>
            <w:r>
              <w:rPr>
                <w:rFonts w:eastAsia="Calibri"/>
              </w:rPr>
              <w:t>=</w:t>
            </w:r>
          </w:p>
        </w:tc>
      </w:tr>
      <w:tr w:rsidR="006C3DEB" w14:paraId="2725752A" w14:textId="77777777" w:rsidTr="00017ACD">
        <w:trPr>
          <w:jc w:val="center"/>
        </w:trPr>
        <w:tc>
          <w:tcPr>
            <w:tcW w:w="1418" w:type="dxa"/>
            <w:vMerge/>
            <w:tcBorders>
              <w:bottom w:val="single" w:sz="4" w:space="0" w:color="auto"/>
            </w:tcBorders>
            <w:shd w:val="clear" w:color="auto" w:fill="EEEEEE" w:themeFill="background2"/>
          </w:tcPr>
          <w:p w14:paraId="0331E2A7" w14:textId="77777777" w:rsidR="006C3DEB" w:rsidRPr="0088277E" w:rsidRDefault="006C3DEB" w:rsidP="005A7549">
            <w:pPr>
              <w:pStyle w:val="TableColumnHeadingCentred"/>
              <w:rPr>
                <w:rFonts w:eastAsia="Calibri"/>
              </w:rPr>
            </w:pPr>
          </w:p>
        </w:tc>
        <w:tc>
          <w:tcPr>
            <w:tcW w:w="1092" w:type="dxa"/>
            <w:tcBorders>
              <w:top w:val="nil"/>
              <w:bottom w:val="single" w:sz="4" w:space="0" w:color="auto"/>
            </w:tcBorders>
            <w:shd w:val="clear" w:color="auto" w:fill="EEEEEE" w:themeFill="background2"/>
            <w:vAlign w:val="center"/>
          </w:tcPr>
          <w:p w14:paraId="2BD0C2FD" w14:textId="77777777" w:rsidR="006C3DEB" w:rsidRPr="0088277E" w:rsidRDefault="006C3DEB" w:rsidP="005A7549">
            <w:pPr>
              <w:pStyle w:val="TableColumnHeadingCentred"/>
              <w:rPr>
                <w:rFonts w:eastAsia="Calibri"/>
              </w:rPr>
            </w:pPr>
            <w:r>
              <w:rPr>
                <w:rFonts w:eastAsia="Calibri"/>
              </w:rPr>
              <w:t>AGR</w:t>
            </w:r>
          </w:p>
        </w:tc>
        <w:tc>
          <w:tcPr>
            <w:tcW w:w="1092" w:type="dxa"/>
            <w:tcBorders>
              <w:top w:val="nil"/>
              <w:bottom w:val="single" w:sz="4" w:space="0" w:color="auto"/>
            </w:tcBorders>
            <w:shd w:val="clear" w:color="auto" w:fill="EEEEEE" w:themeFill="background2"/>
            <w:vAlign w:val="center"/>
          </w:tcPr>
          <w:p w14:paraId="02D535BB" w14:textId="77777777" w:rsidR="006C3DEB" w:rsidRPr="0088277E" w:rsidRDefault="006C3DEB" w:rsidP="005A7549">
            <w:pPr>
              <w:pStyle w:val="TableColumnHeadingCentred"/>
              <w:rPr>
                <w:rFonts w:eastAsia="Calibri"/>
              </w:rPr>
            </w:pPr>
            <w:r>
              <w:rPr>
                <w:rFonts w:eastAsia="Calibri"/>
              </w:rPr>
              <w:t>MIN</w:t>
            </w:r>
          </w:p>
        </w:tc>
        <w:tc>
          <w:tcPr>
            <w:tcW w:w="1093" w:type="dxa"/>
            <w:tcBorders>
              <w:top w:val="nil"/>
              <w:bottom w:val="single" w:sz="4" w:space="0" w:color="auto"/>
            </w:tcBorders>
            <w:shd w:val="clear" w:color="auto" w:fill="EEEEEE" w:themeFill="background2"/>
            <w:vAlign w:val="center"/>
          </w:tcPr>
          <w:p w14:paraId="487B0041" w14:textId="77777777" w:rsidR="006C3DEB" w:rsidRDefault="006C3DEB" w:rsidP="005A7549">
            <w:pPr>
              <w:pStyle w:val="TableColumnHeadingCentred"/>
              <w:rPr>
                <w:rFonts w:eastAsia="Calibri"/>
              </w:rPr>
            </w:pPr>
            <w:r>
              <w:rPr>
                <w:rFonts w:eastAsia="Calibri"/>
              </w:rPr>
              <w:t>MAN</w:t>
            </w:r>
          </w:p>
        </w:tc>
        <w:tc>
          <w:tcPr>
            <w:tcW w:w="1092" w:type="dxa"/>
            <w:tcBorders>
              <w:top w:val="nil"/>
              <w:bottom w:val="single" w:sz="4" w:space="0" w:color="auto"/>
            </w:tcBorders>
            <w:shd w:val="clear" w:color="auto" w:fill="EEEEEE" w:themeFill="background2"/>
            <w:vAlign w:val="center"/>
          </w:tcPr>
          <w:p w14:paraId="31C595BC" w14:textId="77777777" w:rsidR="006C3DEB" w:rsidRDefault="006C3DEB" w:rsidP="005A7549">
            <w:pPr>
              <w:pStyle w:val="TableColumnHeadingCentred"/>
              <w:rPr>
                <w:rFonts w:eastAsia="Calibri"/>
              </w:rPr>
            </w:pPr>
            <w:r>
              <w:rPr>
                <w:rFonts w:eastAsia="Calibri"/>
              </w:rPr>
              <w:t>UTL</w:t>
            </w:r>
          </w:p>
        </w:tc>
        <w:tc>
          <w:tcPr>
            <w:tcW w:w="1093" w:type="dxa"/>
            <w:tcBorders>
              <w:top w:val="nil"/>
              <w:bottom w:val="single" w:sz="4" w:space="0" w:color="auto"/>
            </w:tcBorders>
            <w:shd w:val="clear" w:color="auto" w:fill="EEEEEE" w:themeFill="background2"/>
            <w:vAlign w:val="center"/>
          </w:tcPr>
          <w:p w14:paraId="040E08CB" w14:textId="77777777" w:rsidR="006C3DEB" w:rsidRDefault="006C3DEB" w:rsidP="005A7549">
            <w:pPr>
              <w:pStyle w:val="TableColumnHeadingCentred"/>
              <w:rPr>
                <w:rFonts w:eastAsia="Calibri"/>
              </w:rPr>
            </w:pPr>
            <w:r>
              <w:rPr>
                <w:rFonts w:eastAsia="Calibri"/>
              </w:rPr>
              <w:t>CST</w:t>
            </w:r>
          </w:p>
        </w:tc>
        <w:tc>
          <w:tcPr>
            <w:tcW w:w="1092" w:type="dxa"/>
            <w:tcBorders>
              <w:top w:val="nil"/>
              <w:bottom w:val="single" w:sz="4" w:space="0" w:color="auto"/>
            </w:tcBorders>
            <w:shd w:val="clear" w:color="auto" w:fill="EEEEEE" w:themeFill="background2"/>
            <w:vAlign w:val="center"/>
          </w:tcPr>
          <w:p w14:paraId="29740FC4" w14:textId="77777777" w:rsidR="006C3DEB" w:rsidRDefault="006C3DEB" w:rsidP="005A7549">
            <w:pPr>
              <w:pStyle w:val="TableColumnHeadingCentred"/>
              <w:rPr>
                <w:rFonts w:eastAsia="Calibri"/>
              </w:rPr>
            </w:pPr>
            <w:r>
              <w:rPr>
                <w:rFonts w:eastAsia="Calibri"/>
              </w:rPr>
              <w:t>SRV</w:t>
            </w:r>
          </w:p>
        </w:tc>
        <w:tc>
          <w:tcPr>
            <w:tcW w:w="1093" w:type="dxa"/>
            <w:tcBorders>
              <w:top w:val="nil"/>
              <w:bottom w:val="single" w:sz="4" w:space="0" w:color="auto"/>
            </w:tcBorders>
            <w:shd w:val="clear" w:color="auto" w:fill="EEEEEE" w:themeFill="background2"/>
            <w:vAlign w:val="center"/>
          </w:tcPr>
          <w:p w14:paraId="648D98A2" w14:textId="77777777" w:rsidR="006C3DEB" w:rsidRDefault="006C3DEB" w:rsidP="005A7549">
            <w:pPr>
              <w:pStyle w:val="TableColumnHeadingCentred"/>
              <w:rPr>
                <w:rFonts w:eastAsia="Calibri"/>
              </w:rPr>
            </w:pPr>
            <w:r>
              <w:rPr>
                <w:rFonts w:eastAsia="Calibri"/>
              </w:rPr>
              <w:t>DWE</w:t>
            </w:r>
          </w:p>
        </w:tc>
      </w:tr>
      <w:tr w:rsidR="006C3DEB" w14:paraId="763AE029" w14:textId="77777777" w:rsidTr="00017ACD">
        <w:trPr>
          <w:jc w:val="center"/>
        </w:trPr>
        <w:tc>
          <w:tcPr>
            <w:tcW w:w="1418" w:type="dxa"/>
            <w:tcBorders>
              <w:top w:val="single" w:sz="4" w:space="0" w:color="auto"/>
              <w:right w:val="single" w:sz="4" w:space="0" w:color="auto"/>
            </w:tcBorders>
            <w:shd w:val="clear" w:color="auto" w:fill="EEEEEE" w:themeFill="background2"/>
          </w:tcPr>
          <w:p w14:paraId="630C9ED4" w14:textId="77777777" w:rsidR="006C3DEB" w:rsidRDefault="006C3DEB" w:rsidP="005A7549">
            <w:pPr>
              <w:pStyle w:val="TableTextLeft"/>
              <w:rPr>
                <w:rFonts w:eastAsia="Calibri"/>
              </w:rPr>
            </w:pPr>
            <w:r w:rsidRPr="00E670A7">
              <w:rPr>
                <w:rFonts w:eastAsiaTheme="minorHAnsi"/>
                <w:lang w:eastAsia="en-US"/>
              </w:rPr>
              <w:object w:dxaOrig="360" w:dyaOrig="400" w14:anchorId="3DF059DF">
                <v:shape id="_x0000_i1477" type="#_x0000_t75" style="width:14.4pt;height:21.6pt" o:ole="">
                  <v:imagedata r:id="rId928" o:title=""/>
                </v:shape>
                <o:OLEObject Type="Embed" ProgID="Equation.DSMT4" ShapeID="_x0000_i1477" DrawAspect="Content" ObjectID="_1754919028" r:id="rId929"/>
              </w:object>
            </w:r>
          </w:p>
        </w:tc>
        <w:tc>
          <w:tcPr>
            <w:tcW w:w="1092" w:type="dxa"/>
            <w:tcBorders>
              <w:top w:val="single" w:sz="4" w:space="0" w:color="auto"/>
              <w:left w:val="single" w:sz="4" w:space="0" w:color="auto"/>
            </w:tcBorders>
            <w:shd w:val="clear" w:color="auto" w:fill="auto"/>
            <w:vAlign w:val="center"/>
          </w:tcPr>
          <w:p w14:paraId="76360B4C" w14:textId="77777777" w:rsidR="006C3DEB" w:rsidRPr="000A3C16" w:rsidRDefault="006C3DEB" w:rsidP="005A7549">
            <w:pPr>
              <w:pStyle w:val="TableTextCentered"/>
              <w:rPr>
                <w:rFonts w:eastAsia="Calibri"/>
              </w:rPr>
            </w:pPr>
            <w:r w:rsidRPr="000A3C16">
              <w:rPr>
                <w:rFonts w:eastAsia="Calibri"/>
              </w:rPr>
              <w:t>0.1590</w:t>
            </w:r>
          </w:p>
        </w:tc>
        <w:tc>
          <w:tcPr>
            <w:tcW w:w="1092" w:type="dxa"/>
            <w:tcBorders>
              <w:top w:val="single" w:sz="4" w:space="0" w:color="auto"/>
            </w:tcBorders>
            <w:shd w:val="clear" w:color="auto" w:fill="auto"/>
            <w:vAlign w:val="center"/>
          </w:tcPr>
          <w:p w14:paraId="125C4C1D" w14:textId="77777777" w:rsidR="006C3DEB" w:rsidRPr="000A3C16" w:rsidRDefault="006C3DEB" w:rsidP="005A7549">
            <w:pPr>
              <w:pStyle w:val="TableTextCentered"/>
              <w:rPr>
                <w:rFonts w:eastAsia="Calibri"/>
              </w:rPr>
            </w:pPr>
            <w:r w:rsidRPr="000A3C16">
              <w:rPr>
                <w:rFonts w:eastAsia="Calibri"/>
              </w:rPr>
              <w:t>0.1489</w:t>
            </w:r>
          </w:p>
        </w:tc>
        <w:tc>
          <w:tcPr>
            <w:tcW w:w="1093" w:type="dxa"/>
            <w:tcBorders>
              <w:top w:val="single" w:sz="4" w:space="0" w:color="auto"/>
            </w:tcBorders>
            <w:shd w:val="clear" w:color="auto" w:fill="auto"/>
            <w:vAlign w:val="center"/>
          </w:tcPr>
          <w:p w14:paraId="79E09E6B" w14:textId="77777777" w:rsidR="006C3DEB" w:rsidRPr="000A3C16" w:rsidRDefault="006C3DEB" w:rsidP="005A7549">
            <w:pPr>
              <w:pStyle w:val="TableTextCentered"/>
              <w:rPr>
                <w:rFonts w:eastAsia="Calibri"/>
              </w:rPr>
            </w:pPr>
            <w:r w:rsidRPr="000A3C16">
              <w:rPr>
                <w:rFonts w:eastAsia="Calibri"/>
              </w:rPr>
              <w:t>0.1934</w:t>
            </w:r>
          </w:p>
        </w:tc>
        <w:tc>
          <w:tcPr>
            <w:tcW w:w="1092" w:type="dxa"/>
            <w:tcBorders>
              <w:top w:val="single" w:sz="4" w:space="0" w:color="auto"/>
            </w:tcBorders>
            <w:shd w:val="clear" w:color="auto" w:fill="auto"/>
            <w:vAlign w:val="center"/>
          </w:tcPr>
          <w:p w14:paraId="392A5D51" w14:textId="77777777" w:rsidR="006C3DEB" w:rsidRPr="000A3C16" w:rsidRDefault="006C3DEB" w:rsidP="005A7549">
            <w:pPr>
              <w:pStyle w:val="TableTextCentered"/>
              <w:rPr>
                <w:rFonts w:eastAsia="Calibri"/>
              </w:rPr>
            </w:pPr>
            <w:r w:rsidRPr="000A3C16">
              <w:rPr>
                <w:rFonts w:eastAsia="Calibri"/>
              </w:rPr>
              <w:t>0.1502</w:t>
            </w:r>
          </w:p>
        </w:tc>
        <w:tc>
          <w:tcPr>
            <w:tcW w:w="1093" w:type="dxa"/>
            <w:tcBorders>
              <w:top w:val="single" w:sz="4" w:space="0" w:color="auto"/>
            </w:tcBorders>
            <w:shd w:val="clear" w:color="auto" w:fill="auto"/>
            <w:vAlign w:val="center"/>
          </w:tcPr>
          <w:p w14:paraId="294ABC60" w14:textId="77777777" w:rsidR="006C3DEB" w:rsidRPr="000A3C16" w:rsidRDefault="006C3DEB" w:rsidP="005A7549">
            <w:pPr>
              <w:pStyle w:val="TableTextCentered"/>
              <w:rPr>
                <w:rFonts w:eastAsia="Calibri"/>
              </w:rPr>
            </w:pPr>
            <w:r w:rsidRPr="000A3C16">
              <w:rPr>
                <w:rFonts w:eastAsia="Calibri"/>
              </w:rPr>
              <w:t>0.2062</w:t>
            </w:r>
          </w:p>
        </w:tc>
        <w:tc>
          <w:tcPr>
            <w:tcW w:w="1092" w:type="dxa"/>
            <w:tcBorders>
              <w:top w:val="single" w:sz="4" w:space="0" w:color="auto"/>
            </w:tcBorders>
            <w:shd w:val="clear" w:color="auto" w:fill="auto"/>
            <w:vAlign w:val="center"/>
          </w:tcPr>
          <w:p w14:paraId="33298172" w14:textId="77777777" w:rsidR="006C3DEB" w:rsidRPr="000A3C16" w:rsidRDefault="006C3DEB" w:rsidP="005A7549">
            <w:pPr>
              <w:pStyle w:val="TableTextCentered"/>
              <w:rPr>
                <w:rFonts w:eastAsia="Calibri"/>
              </w:rPr>
            </w:pPr>
            <w:r w:rsidRPr="000A3C16">
              <w:rPr>
                <w:rFonts w:eastAsia="Calibri"/>
              </w:rPr>
              <w:t>0.3900</w:t>
            </w:r>
          </w:p>
        </w:tc>
        <w:tc>
          <w:tcPr>
            <w:tcW w:w="1093" w:type="dxa"/>
            <w:tcBorders>
              <w:top w:val="single" w:sz="4" w:space="0" w:color="auto"/>
            </w:tcBorders>
            <w:shd w:val="clear" w:color="auto" w:fill="auto"/>
            <w:vAlign w:val="center"/>
          </w:tcPr>
          <w:p w14:paraId="5A57D2B2" w14:textId="77777777" w:rsidR="006C3DEB" w:rsidRPr="000A3C16" w:rsidRDefault="006C3DEB" w:rsidP="005A7549">
            <w:pPr>
              <w:pStyle w:val="TableTextCentered"/>
              <w:rPr>
                <w:rFonts w:eastAsia="Calibri"/>
              </w:rPr>
            </w:pPr>
            <w:r w:rsidRPr="000A3C16">
              <w:rPr>
                <w:rFonts w:eastAsia="Calibri"/>
              </w:rPr>
              <w:t>0.0000</w:t>
            </w:r>
          </w:p>
        </w:tc>
      </w:tr>
      <w:tr w:rsidR="006C3DEB" w:rsidRPr="00D86E31" w14:paraId="756F57F2" w14:textId="77777777" w:rsidTr="00017ACD">
        <w:trPr>
          <w:jc w:val="center"/>
        </w:trPr>
        <w:tc>
          <w:tcPr>
            <w:tcW w:w="1418" w:type="dxa"/>
            <w:tcBorders>
              <w:right w:val="single" w:sz="4" w:space="0" w:color="auto"/>
            </w:tcBorders>
            <w:shd w:val="clear" w:color="auto" w:fill="EEEEEE" w:themeFill="background2"/>
          </w:tcPr>
          <w:p w14:paraId="4BB67B81" w14:textId="77777777" w:rsidR="006C3DEB" w:rsidRDefault="006C3DEB" w:rsidP="005A7549">
            <w:pPr>
              <w:pStyle w:val="TableTextLeft"/>
              <w:rPr>
                <w:rFonts w:eastAsia="Calibri"/>
              </w:rPr>
            </w:pPr>
            <w:r w:rsidRPr="00E670A7">
              <w:rPr>
                <w:rFonts w:eastAsiaTheme="minorHAnsi"/>
                <w:lang w:eastAsia="en-US"/>
              </w:rPr>
              <w:object w:dxaOrig="360" w:dyaOrig="400" w14:anchorId="48B49D5F">
                <v:shape id="_x0000_i1478" type="#_x0000_t75" style="width:14.4pt;height:21.6pt" o:ole="">
                  <v:imagedata r:id="rId930" o:title=""/>
                </v:shape>
                <o:OLEObject Type="Embed" ProgID="Equation.DSMT4" ShapeID="_x0000_i1478" DrawAspect="Content" ObjectID="_1754919029" r:id="rId931"/>
              </w:object>
            </w:r>
          </w:p>
        </w:tc>
        <w:tc>
          <w:tcPr>
            <w:tcW w:w="1092" w:type="dxa"/>
            <w:tcBorders>
              <w:left w:val="single" w:sz="4" w:space="0" w:color="auto"/>
            </w:tcBorders>
            <w:shd w:val="clear" w:color="auto" w:fill="auto"/>
            <w:vAlign w:val="center"/>
          </w:tcPr>
          <w:p w14:paraId="32ACF262" w14:textId="77777777" w:rsidR="006C3DEB" w:rsidRPr="000A3C16" w:rsidRDefault="006C3DEB" w:rsidP="005A7549">
            <w:pPr>
              <w:pStyle w:val="TableTextCentered"/>
              <w:rPr>
                <w:rFonts w:eastAsia="Calibri"/>
              </w:rPr>
            </w:pPr>
            <w:r w:rsidRPr="000A3C16">
              <w:rPr>
                <w:rFonts w:eastAsia="Calibri"/>
              </w:rPr>
              <w:t>0.2873</w:t>
            </w:r>
          </w:p>
        </w:tc>
        <w:tc>
          <w:tcPr>
            <w:tcW w:w="1092" w:type="dxa"/>
            <w:shd w:val="clear" w:color="auto" w:fill="auto"/>
            <w:vAlign w:val="center"/>
          </w:tcPr>
          <w:p w14:paraId="2FDB705F" w14:textId="77777777" w:rsidR="006C3DEB" w:rsidRPr="000A3C16" w:rsidRDefault="006C3DEB" w:rsidP="005A7549">
            <w:pPr>
              <w:pStyle w:val="TableTextCentered"/>
              <w:rPr>
                <w:rFonts w:eastAsia="Calibri"/>
              </w:rPr>
            </w:pPr>
            <w:r w:rsidRPr="000A3C16">
              <w:rPr>
                <w:rFonts w:eastAsia="Calibri"/>
              </w:rPr>
              <w:t>0.3951</w:t>
            </w:r>
          </w:p>
        </w:tc>
        <w:tc>
          <w:tcPr>
            <w:tcW w:w="1093" w:type="dxa"/>
            <w:shd w:val="clear" w:color="auto" w:fill="auto"/>
            <w:vAlign w:val="center"/>
          </w:tcPr>
          <w:p w14:paraId="1072AD07" w14:textId="77777777" w:rsidR="006C3DEB" w:rsidRPr="000A3C16" w:rsidRDefault="006C3DEB" w:rsidP="005A7549">
            <w:pPr>
              <w:pStyle w:val="TableTextCentered"/>
              <w:rPr>
                <w:rFonts w:eastAsia="Calibri"/>
              </w:rPr>
            </w:pPr>
            <w:r w:rsidRPr="000A3C16">
              <w:rPr>
                <w:rFonts w:eastAsia="Calibri"/>
              </w:rPr>
              <w:t>0.1006</w:t>
            </w:r>
          </w:p>
        </w:tc>
        <w:tc>
          <w:tcPr>
            <w:tcW w:w="1092" w:type="dxa"/>
            <w:shd w:val="clear" w:color="auto" w:fill="auto"/>
            <w:vAlign w:val="center"/>
          </w:tcPr>
          <w:p w14:paraId="1A64A815" w14:textId="77777777" w:rsidR="006C3DEB" w:rsidRPr="000A3C16" w:rsidRDefault="006C3DEB" w:rsidP="005A7549">
            <w:pPr>
              <w:pStyle w:val="TableTextCentered"/>
              <w:rPr>
                <w:rFonts w:eastAsia="Calibri"/>
              </w:rPr>
            </w:pPr>
            <w:r w:rsidRPr="000A3C16">
              <w:rPr>
                <w:rFonts w:eastAsia="Calibri"/>
              </w:rPr>
              <w:t>0.2895</w:t>
            </w:r>
          </w:p>
        </w:tc>
        <w:tc>
          <w:tcPr>
            <w:tcW w:w="1093" w:type="dxa"/>
            <w:shd w:val="clear" w:color="auto" w:fill="auto"/>
            <w:vAlign w:val="center"/>
          </w:tcPr>
          <w:p w14:paraId="2290EC7F" w14:textId="77777777" w:rsidR="006C3DEB" w:rsidRPr="000A3C16" w:rsidRDefault="006C3DEB" w:rsidP="005A7549">
            <w:pPr>
              <w:pStyle w:val="TableTextCentered"/>
              <w:rPr>
                <w:rFonts w:eastAsia="Calibri"/>
              </w:rPr>
            </w:pPr>
            <w:r w:rsidRPr="000A3C16">
              <w:rPr>
                <w:rFonts w:eastAsia="Calibri"/>
              </w:rPr>
              <w:t>0.0977</w:t>
            </w:r>
          </w:p>
        </w:tc>
        <w:tc>
          <w:tcPr>
            <w:tcW w:w="1092" w:type="dxa"/>
            <w:shd w:val="clear" w:color="auto" w:fill="auto"/>
            <w:vAlign w:val="center"/>
          </w:tcPr>
          <w:p w14:paraId="2CCD86D3" w14:textId="77777777" w:rsidR="006C3DEB" w:rsidRPr="000A3C16" w:rsidRDefault="006C3DEB" w:rsidP="005A7549">
            <w:pPr>
              <w:pStyle w:val="TableTextCentered"/>
              <w:rPr>
                <w:rFonts w:eastAsia="Calibri"/>
              </w:rPr>
            </w:pPr>
            <w:r w:rsidRPr="000A3C16">
              <w:rPr>
                <w:rFonts w:eastAsia="Calibri"/>
              </w:rPr>
              <w:t>0.1620</w:t>
            </w:r>
          </w:p>
        </w:tc>
        <w:tc>
          <w:tcPr>
            <w:tcW w:w="1093" w:type="dxa"/>
            <w:shd w:val="clear" w:color="auto" w:fill="auto"/>
            <w:vAlign w:val="center"/>
          </w:tcPr>
          <w:p w14:paraId="63BA1974" w14:textId="77777777" w:rsidR="006C3DEB" w:rsidRPr="000A3C16" w:rsidRDefault="006C3DEB" w:rsidP="005A7549">
            <w:pPr>
              <w:pStyle w:val="TableTextCentered"/>
              <w:rPr>
                <w:rFonts w:eastAsia="Calibri"/>
              </w:rPr>
            </w:pPr>
            <w:r w:rsidRPr="000A3C16">
              <w:rPr>
                <w:rFonts w:eastAsia="Calibri"/>
              </w:rPr>
              <w:t>0.7559</w:t>
            </w:r>
          </w:p>
        </w:tc>
      </w:tr>
      <w:tr w:rsidR="006C3DEB" w14:paraId="77C64642" w14:textId="77777777" w:rsidTr="00017ACD">
        <w:trPr>
          <w:jc w:val="center"/>
        </w:trPr>
        <w:tc>
          <w:tcPr>
            <w:tcW w:w="1418" w:type="dxa"/>
            <w:tcBorders>
              <w:bottom w:val="single" w:sz="4" w:space="0" w:color="auto"/>
              <w:right w:val="single" w:sz="4" w:space="0" w:color="auto"/>
            </w:tcBorders>
            <w:shd w:val="clear" w:color="auto" w:fill="EEEEEE" w:themeFill="background2"/>
          </w:tcPr>
          <w:p w14:paraId="4B8DD2D4" w14:textId="77777777" w:rsidR="006C3DEB" w:rsidRDefault="006C3DEB" w:rsidP="005A7549">
            <w:pPr>
              <w:pStyle w:val="TableTextLeft"/>
              <w:rPr>
                <w:rFonts w:eastAsia="Calibri"/>
              </w:rPr>
            </w:pPr>
            <w:r w:rsidRPr="00E670A7">
              <w:rPr>
                <w:rFonts w:eastAsiaTheme="minorHAnsi"/>
                <w:lang w:eastAsia="en-US"/>
              </w:rPr>
              <w:object w:dxaOrig="360" w:dyaOrig="400" w14:anchorId="54062BCA">
                <v:shape id="_x0000_i1479" type="#_x0000_t75" style="width:14.4pt;height:21.6pt" o:ole="">
                  <v:imagedata r:id="rId932" o:title=""/>
                </v:shape>
                <o:OLEObject Type="Embed" ProgID="Equation.DSMT4" ShapeID="_x0000_i1479" DrawAspect="Content" ObjectID="_1754919030" r:id="rId933"/>
              </w:object>
            </w:r>
          </w:p>
        </w:tc>
        <w:tc>
          <w:tcPr>
            <w:tcW w:w="1092" w:type="dxa"/>
            <w:tcBorders>
              <w:left w:val="single" w:sz="4" w:space="0" w:color="auto"/>
              <w:bottom w:val="single" w:sz="4" w:space="0" w:color="auto"/>
            </w:tcBorders>
            <w:shd w:val="clear" w:color="auto" w:fill="auto"/>
            <w:vAlign w:val="center"/>
          </w:tcPr>
          <w:p w14:paraId="1ADDE8DB" w14:textId="77777777" w:rsidR="006C3DEB" w:rsidRPr="000A3C16" w:rsidRDefault="006C3DEB" w:rsidP="005A7549">
            <w:pPr>
              <w:pStyle w:val="TableTextCentered"/>
              <w:rPr>
                <w:rFonts w:eastAsia="Calibri"/>
              </w:rPr>
            </w:pPr>
            <w:r w:rsidRPr="000A3C16">
              <w:rPr>
                <w:rFonts w:eastAsia="Calibri"/>
              </w:rPr>
              <w:t>0.5537</w:t>
            </w:r>
          </w:p>
        </w:tc>
        <w:tc>
          <w:tcPr>
            <w:tcW w:w="1092" w:type="dxa"/>
            <w:tcBorders>
              <w:bottom w:val="single" w:sz="4" w:space="0" w:color="auto"/>
            </w:tcBorders>
            <w:shd w:val="clear" w:color="auto" w:fill="auto"/>
            <w:vAlign w:val="center"/>
          </w:tcPr>
          <w:p w14:paraId="4E3AEB3B" w14:textId="77777777" w:rsidR="006C3DEB" w:rsidRPr="000A3C16" w:rsidRDefault="006C3DEB" w:rsidP="005A7549">
            <w:pPr>
              <w:pStyle w:val="TableTextCentered"/>
              <w:rPr>
                <w:rFonts w:eastAsia="Calibri"/>
              </w:rPr>
            </w:pPr>
            <w:r w:rsidRPr="000A3C16">
              <w:rPr>
                <w:rFonts w:eastAsia="Calibri"/>
              </w:rPr>
              <w:t>0.4560</w:t>
            </w:r>
          </w:p>
        </w:tc>
        <w:tc>
          <w:tcPr>
            <w:tcW w:w="1093" w:type="dxa"/>
            <w:tcBorders>
              <w:bottom w:val="single" w:sz="4" w:space="0" w:color="auto"/>
            </w:tcBorders>
            <w:shd w:val="clear" w:color="auto" w:fill="auto"/>
            <w:vAlign w:val="center"/>
          </w:tcPr>
          <w:p w14:paraId="455F0FD3" w14:textId="77777777" w:rsidR="006C3DEB" w:rsidRPr="000A3C16" w:rsidRDefault="006C3DEB" w:rsidP="005A7549">
            <w:pPr>
              <w:pStyle w:val="TableTextCentered"/>
              <w:rPr>
                <w:rFonts w:eastAsia="Calibri"/>
              </w:rPr>
            </w:pPr>
            <w:r w:rsidRPr="000A3C16">
              <w:rPr>
                <w:rFonts w:eastAsia="Calibri"/>
              </w:rPr>
              <w:t>0.7060</w:t>
            </w:r>
          </w:p>
        </w:tc>
        <w:tc>
          <w:tcPr>
            <w:tcW w:w="1092" w:type="dxa"/>
            <w:tcBorders>
              <w:bottom w:val="single" w:sz="4" w:space="0" w:color="auto"/>
            </w:tcBorders>
            <w:shd w:val="clear" w:color="auto" w:fill="auto"/>
            <w:vAlign w:val="center"/>
          </w:tcPr>
          <w:p w14:paraId="6AEEDFE0" w14:textId="77777777" w:rsidR="006C3DEB" w:rsidRPr="000A3C16" w:rsidRDefault="006C3DEB" w:rsidP="005A7549">
            <w:pPr>
              <w:pStyle w:val="TableTextCentered"/>
              <w:rPr>
                <w:rFonts w:eastAsia="Calibri"/>
              </w:rPr>
            </w:pPr>
            <w:r w:rsidRPr="000A3C16">
              <w:rPr>
                <w:rFonts w:eastAsia="Calibri"/>
              </w:rPr>
              <w:t>0.5604</w:t>
            </w:r>
          </w:p>
        </w:tc>
        <w:tc>
          <w:tcPr>
            <w:tcW w:w="1093" w:type="dxa"/>
            <w:tcBorders>
              <w:bottom w:val="single" w:sz="4" w:space="0" w:color="auto"/>
            </w:tcBorders>
            <w:shd w:val="clear" w:color="auto" w:fill="auto"/>
            <w:vAlign w:val="center"/>
          </w:tcPr>
          <w:p w14:paraId="690F867D" w14:textId="77777777" w:rsidR="006C3DEB" w:rsidRPr="000A3C16" w:rsidRDefault="006C3DEB" w:rsidP="005A7549">
            <w:pPr>
              <w:pStyle w:val="TableTextCentered"/>
              <w:rPr>
                <w:rFonts w:eastAsia="Calibri"/>
              </w:rPr>
            </w:pPr>
            <w:r w:rsidRPr="000A3C16">
              <w:rPr>
                <w:rFonts w:eastAsia="Calibri"/>
              </w:rPr>
              <w:t>0.6961</w:t>
            </w:r>
          </w:p>
        </w:tc>
        <w:tc>
          <w:tcPr>
            <w:tcW w:w="1092" w:type="dxa"/>
            <w:tcBorders>
              <w:bottom w:val="single" w:sz="4" w:space="0" w:color="auto"/>
            </w:tcBorders>
            <w:shd w:val="clear" w:color="auto" w:fill="auto"/>
            <w:vAlign w:val="center"/>
          </w:tcPr>
          <w:p w14:paraId="13A75BD4" w14:textId="77777777" w:rsidR="006C3DEB" w:rsidRPr="000A3C16" w:rsidRDefault="006C3DEB" w:rsidP="005A7549">
            <w:pPr>
              <w:pStyle w:val="TableTextCentered"/>
              <w:rPr>
                <w:rFonts w:eastAsia="Calibri"/>
              </w:rPr>
            </w:pPr>
            <w:r w:rsidRPr="000A3C16">
              <w:rPr>
                <w:rFonts w:eastAsia="Calibri"/>
              </w:rPr>
              <w:t>0.4480</w:t>
            </w:r>
          </w:p>
        </w:tc>
        <w:tc>
          <w:tcPr>
            <w:tcW w:w="1093" w:type="dxa"/>
            <w:tcBorders>
              <w:bottom w:val="single" w:sz="4" w:space="0" w:color="auto"/>
            </w:tcBorders>
            <w:shd w:val="clear" w:color="auto" w:fill="auto"/>
            <w:vAlign w:val="center"/>
          </w:tcPr>
          <w:p w14:paraId="167A9581" w14:textId="77777777" w:rsidR="006C3DEB" w:rsidRPr="000A3C16" w:rsidRDefault="006C3DEB" w:rsidP="005A7549">
            <w:pPr>
              <w:pStyle w:val="TableTextCentered"/>
              <w:rPr>
                <w:rFonts w:eastAsia="Calibri"/>
              </w:rPr>
            </w:pPr>
            <w:r w:rsidRPr="000A3C16">
              <w:rPr>
                <w:rFonts w:eastAsia="Calibri"/>
              </w:rPr>
              <w:t>0.2421</w:t>
            </w:r>
          </w:p>
        </w:tc>
      </w:tr>
    </w:tbl>
    <w:p w14:paraId="0C824E5C" w14:textId="77777777" w:rsidR="006C3DEB" w:rsidRPr="0032767F" w:rsidRDefault="006C3DEB" w:rsidP="006C3DEB">
      <w:pPr>
        <w:ind w:left="851" w:right="651"/>
        <w:rPr>
          <w:sz w:val="20"/>
        </w:rPr>
      </w:pPr>
      <w:r w:rsidRPr="0032767F">
        <w:rPr>
          <w:sz w:val="20"/>
        </w:rPr>
        <w:t xml:space="preserve">Source: Authors’ calculation based </w:t>
      </w:r>
      <w:r w:rsidRPr="00922CF1">
        <w:rPr>
          <w:sz w:val="20"/>
        </w:rPr>
        <w:t>on ABS (2018a) data.</w:t>
      </w:r>
    </w:p>
    <w:p w14:paraId="7E04E6FA" w14:textId="77777777" w:rsidR="006C3DEB" w:rsidRPr="001967BF" w:rsidRDefault="006C3DEB" w:rsidP="006C3DEB">
      <w:pPr>
        <w:pStyle w:val="Heading5"/>
        <w:rPr>
          <w:rStyle w:val="IntenseEmphasis"/>
          <w:bCs w:val="0"/>
          <w:i w:val="0"/>
          <w:color w:val="000000" w:themeColor="text1"/>
        </w:rPr>
      </w:pPr>
      <w:r w:rsidRPr="00B34AB0">
        <w:rPr>
          <w:rStyle w:val="IntenseEmphasis"/>
          <w:b/>
          <w:bCs w:val="0"/>
          <w:i w:val="0"/>
          <w:iCs/>
          <w:color w:val="000000" w:themeColor="text1"/>
        </w:rPr>
        <w:t>Factor substitution</w:t>
      </w:r>
    </w:p>
    <w:p w14:paraId="1D1DF092" w14:textId="77777777" w:rsidR="006C3DEB" w:rsidRPr="0075212E" w:rsidRDefault="006C3DEB" w:rsidP="006C3DEB">
      <w:pPr>
        <w:rPr>
          <w:rFonts w:eastAsia="Calibri"/>
        </w:rPr>
      </w:pPr>
      <w:r>
        <w:t>The e</w:t>
      </w:r>
      <w:r w:rsidRPr="00F1670F">
        <w:rPr>
          <w:rFonts w:eastAsia="Calibri"/>
        </w:rPr>
        <w:t>lasticity of substitution between capital, labour and intermediate</w:t>
      </w:r>
      <w:r>
        <w:rPr>
          <w:rFonts w:eastAsia="Calibri"/>
        </w:rPr>
        <w:t xml:space="preserve"> inputs</w:t>
      </w:r>
      <w:r w:rsidRPr="00E670A7">
        <w:rPr>
          <w:position w:val="-14"/>
        </w:rPr>
        <w:object w:dxaOrig="300" w:dyaOrig="400" w14:anchorId="0BCABBE7">
          <v:shape id="_x0000_i1480" type="#_x0000_t75" style="width:14.4pt;height:21.6pt" o:ole="">
            <v:imagedata r:id="rId934" o:title=""/>
          </v:shape>
          <o:OLEObject Type="Embed" ProgID="Equation.DSMT4" ShapeID="_x0000_i1480" DrawAspect="Content" ObjectID="_1754919031" r:id="rId935"/>
        </w:object>
      </w:r>
      <w:r>
        <w:rPr>
          <w:rFonts w:eastAsia="Calibri"/>
        </w:rPr>
        <w:t>is assumed to be 0.5 for all</w:t>
      </w:r>
      <w:r w:rsidRPr="00E670A7">
        <w:rPr>
          <w:position w:val="-10"/>
        </w:rPr>
        <w:object w:dxaOrig="200" w:dyaOrig="300" w14:anchorId="7B974662">
          <v:shape id="_x0000_i1481" type="#_x0000_t75" style="width:7.8pt;height:14.4pt" o:ole="">
            <v:imagedata r:id="rId936" o:title=""/>
          </v:shape>
          <o:OLEObject Type="Embed" ProgID="Equation.DSMT4" ShapeID="_x0000_i1481" DrawAspect="Content" ObjectID="_1754919032" r:id="rId937"/>
        </w:object>
      </w:r>
      <w:r>
        <w:rPr>
          <w:rFonts w:eastAsia="Calibri"/>
        </w:rPr>
        <w:t xml:space="preserve"> consistent with estimates of the elasticity of substitution between capital and labour </w:t>
      </w:r>
      <w:r w:rsidRPr="00922CF1">
        <w:rPr>
          <w:rFonts w:eastAsia="Calibri"/>
        </w:rPr>
        <w:t xml:space="preserve">reported </w:t>
      </w:r>
      <w:r w:rsidRPr="0065168A">
        <w:rPr>
          <w:rFonts w:eastAsia="Calibri"/>
        </w:rPr>
        <w:t>by Hutchings and Kouparitsas (2012).</w:t>
      </w:r>
    </w:p>
    <w:p w14:paraId="20A2CC4F" w14:textId="77777777" w:rsidR="006C3DEB" w:rsidRPr="001967BF" w:rsidRDefault="006C3DEB" w:rsidP="006C3DEB">
      <w:pPr>
        <w:pStyle w:val="Heading5"/>
        <w:rPr>
          <w:rStyle w:val="IntenseEmphasis"/>
          <w:bCs w:val="0"/>
          <w:i w:val="0"/>
          <w:color w:val="000000" w:themeColor="text1"/>
        </w:rPr>
      </w:pPr>
      <w:r w:rsidRPr="00B34AB0">
        <w:rPr>
          <w:rStyle w:val="IntenseEmphasis"/>
          <w:b/>
          <w:bCs w:val="0"/>
          <w:i w:val="0"/>
          <w:iCs/>
          <w:color w:val="000000" w:themeColor="text1"/>
        </w:rPr>
        <w:t>Investment/adjustment cost parameters</w:t>
      </w:r>
    </w:p>
    <w:p w14:paraId="2084C02D" w14:textId="15A29E34" w:rsidR="006C3DEB" w:rsidRDefault="006C3DEB" w:rsidP="006C3DEB">
      <w:pPr>
        <w:rPr>
          <w:rFonts w:eastAsia="Calibri"/>
        </w:rPr>
      </w:pPr>
      <w:r>
        <w:rPr>
          <w:rFonts w:eastAsia="Calibri"/>
        </w:rPr>
        <w:t xml:space="preserve">The industry capital depreciation rates for the seven sectors respectively, as reported in </w:t>
      </w:r>
      <w:r w:rsidR="00E00A52">
        <w:t xml:space="preserve">Table </w:t>
      </w:r>
      <w:r w:rsidR="00E00A52">
        <w:rPr>
          <w:noProof/>
        </w:rPr>
        <w:t>5</w:t>
      </w:r>
      <w:r>
        <w:rPr>
          <w:rFonts w:eastAsia="Calibri"/>
        </w:rPr>
        <w:t xml:space="preserve"> are calibrated </w:t>
      </w:r>
      <w:r w:rsidRPr="0065168A">
        <w:rPr>
          <w:rFonts w:eastAsia="Calibri"/>
        </w:rPr>
        <w:t>based on ABS (2021a).</w:t>
      </w:r>
    </w:p>
    <w:p w14:paraId="1FCD5125" w14:textId="4E337248" w:rsidR="006C3DEB" w:rsidRDefault="006C3DEB" w:rsidP="006C3DEB">
      <w:pPr>
        <w:pStyle w:val="TableMainHeading"/>
      </w:pPr>
      <w:bookmarkStart w:id="27" w:name="_Ref101947060"/>
      <w:r>
        <w:t xml:space="preserve">Table </w:t>
      </w:r>
      <w:r>
        <w:rPr>
          <w:noProof/>
        </w:rPr>
        <w:fldChar w:fldCharType="begin"/>
      </w:r>
      <w:r>
        <w:rPr>
          <w:noProof/>
        </w:rPr>
        <w:instrText xml:space="preserve"> SEQ Table \* ARABIC </w:instrText>
      </w:r>
      <w:r>
        <w:rPr>
          <w:noProof/>
        </w:rPr>
        <w:fldChar w:fldCharType="separate"/>
      </w:r>
      <w:r w:rsidR="00E00A52">
        <w:rPr>
          <w:noProof/>
        </w:rPr>
        <w:t>5</w:t>
      </w:r>
      <w:r>
        <w:rPr>
          <w:noProof/>
        </w:rPr>
        <w:fldChar w:fldCharType="end"/>
      </w:r>
      <w:bookmarkEnd w:id="27"/>
      <w:r>
        <w:t>: Capital depreciation rates</w:t>
      </w:r>
    </w:p>
    <w:tbl>
      <w:tblPr>
        <w:tblStyle w:val="TableGrid"/>
        <w:tblW w:w="5000" w:type="pct"/>
        <w:jc w:val="center"/>
        <w:shd w:val="clear" w:color="auto" w:fill="EEEEEE" w:themeFill="background2"/>
        <w:tblLayout w:type="fixed"/>
        <w:tblLook w:val="04A0" w:firstRow="1" w:lastRow="0" w:firstColumn="1" w:lastColumn="0" w:noHBand="0" w:noVBand="1"/>
      </w:tblPr>
      <w:tblGrid>
        <w:gridCol w:w="1371"/>
        <w:gridCol w:w="1097"/>
        <w:gridCol w:w="1097"/>
        <w:gridCol w:w="1178"/>
        <w:gridCol w:w="1017"/>
        <w:gridCol w:w="1097"/>
        <w:gridCol w:w="1097"/>
        <w:gridCol w:w="1116"/>
      </w:tblGrid>
      <w:tr w:rsidR="006C3DEB" w14:paraId="1BA0017B" w14:textId="77777777" w:rsidTr="00017ACD">
        <w:trPr>
          <w:jc w:val="center"/>
        </w:trPr>
        <w:tc>
          <w:tcPr>
            <w:tcW w:w="1425" w:type="dxa"/>
            <w:vMerge w:val="restart"/>
            <w:tcBorders>
              <w:top w:val="single" w:sz="4" w:space="0" w:color="auto"/>
            </w:tcBorders>
            <w:shd w:val="clear" w:color="auto" w:fill="EEEEEE" w:themeFill="background2"/>
            <w:vAlign w:val="center"/>
          </w:tcPr>
          <w:p w14:paraId="22AEC745" w14:textId="77777777" w:rsidR="006C3DEB" w:rsidRPr="0088277E" w:rsidRDefault="006C3DEB" w:rsidP="005A7549">
            <w:pPr>
              <w:pStyle w:val="TableColumnHeadingLeft"/>
              <w:rPr>
                <w:rFonts w:eastAsia="Calibri"/>
              </w:rPr>
            </w:pPr>
            <w:r w:rsidRPr="0088277E">
              <w:rPr>
                <w:rFonts w:eastAsia="Calibri"/>
              </w:rPr>
              <w:t>Parameter</w:t>
            </w:r>
          </w:p>
        </w:tc>
        <w:tc>
          <w:tcPr>
            <w:tcW w:w="7987" w:type="dxa"/>
            <w:gridSpan w:val="7"/>
            <w:tcBorders>
              <w:top w:val="single" w:sz="4" w:space="0" w:color="auto"/>
              <w:bottom w:val="nil"/>
            </w:tcBorders>
            <w:shd w:val="clear" w:color="auto" w:fill="EEEEEE" w:themeFill="background2"/>
            <w:vAlign w:val="center"/>
          </w:tcPr>
          <w:p w14:paraId="261F58D7" w14:textId="77777777" w:rsidR="006C3DEB" w:rsidRDefault="006C3DEB" w:rsidP="005A7549">
            <w:pPr>
              <w:pStyle w:val="TableColumnHeadingCentred"/>
              <w:rPr>
                <w:rFonts w:eastAsia="Calibri"/>
              </w:rPr>
            </w:pPr>
            <w:r w:rsidRPr="00141826">
              <w:rPr>
                <w:rFonts w:eastAsia="Calibri"/>
                <w:i/>
              </w:rPr>
              <w:t xml:space="preserve">j </w:t>
            </w:r>
            <w:r>
              <w:rPr>
                <w:rFonts w:eastAsia="Calibri"/>
              </w:rPr>
              <w:t xml:space="preserve">= </w:t>
            </w:r>
          </w:p>
        </w:tc>
      </w:tr>
      <w:tr w:rsidR="006C3DEB" w14:paraId="2F4D4CDC" w14:textId="77777777" w:rsidTr="00017ACD">
        <w:trPr>
          <w:jc w:val="center"/>
        </w:trPr>
        <w:tc>
          <w:tcPr>
            <w:tcW w:w="1425" w:type="dxa"/>
            <w:vMerge/>
            <w:tcBorders>
              <w:bottom w:val="single" w:sz="4" w:space="0" w:color="auto"/>
            </w:tcBorders>
            <w:shd w:val="clear" w:color="auto" w:fill="EEEEEE" w:themeFill="background2"/>
          </w:tcPr>
          <w:p w14:paraId="64658933" w14:textId="77777777" w:rsidR="006C3DEB" w:rsidRPr="0088277E" w:rsidRDefault="006C3DEB" w:rsidP="005A7549">
            <w:pPr>
              <w:pStyle w:val="TableColumnHeadingCentred"/>
              <w:rPr>
                <w:rFonts w:eastAsia="Calibri"/>
              </w:rPr>
            </w:pPr>
          </w:p>
        </w:tc>
        <w:tc>
          <w:tcPr>
            <w:tcW w:w="1138" w:type="dxa"/>
            <w:tcBorders>
              <w:top w:val="nil"/>
              <w:bottom w:val="single" w:sz="4" w:space="0" w:color="auto"/>
              <w:right w:val="nil"/>
            </w:tcBorders>
            <w:shd w:val="clear" w:color="auto" w:fill="EEEEEE" w:themeFill="background2"/>
            <w:vAlign w:val="center"/>
          </w:tcPr>
          <w:p w14:paraId="264D483D" w14:textId="77777777" w:rsidR="006C3DEB" w:rsidRPr="0088277E" w:rsidRDefault="006C3DEB" w:rsidP="005A7549">
            <w:pPr>
              <w:pStyle w:val="TableColumnHeadingCentred"/>
              <w:rPr>
                <w:rFonts w:eastAsia="Calibri"/>
              </w:rPr>
            </w:pPr>
            <w:r>
              <w:rPr>
                <w:rFonts w:eastAsia="Calibri"/>
              </w:rPr>
              <w:t>AGR</w:t>
            </w:r>
          </w:p>
        </w:tc>
        <w:tc>
          <w:tcPr>
            <w:tcW w:w="1138" w:type="dxa"/>
            <w:tcBorders>
              <w:top w:val="nil"/>
              <w:left w:val="nil"/>
              <w:bottom w:val="single" w:sz="4" w:space="0" w:color="auto"/>
              <w:right w:val="nil"/>
            </w:tcBorders>
            <w:shd w:val="clear" w:color="auto" w:fill="EEEEEE" w:themeFill="background2"/>
            <w:vAlign w:val="center"/>
          </w:tcPr>
          <w:p w14:paraId="7DD91669" w14:textId="77777777" w:rsidR="006C3DEB" w:rsidRPr="0088277E" w:rsidRDefault="006C3DEB" w:rsidP="005A7549">
            <w:pPr>
              <w:pStyle w:val="TableColumnHeadingCentred"/>
              <w:rPr>
                <w:rFonts w:eastAsia="Calibri"/>
              </w:rPr>
            </w:pPr>
            <w:r>
              <w:rPr>
                <w:rFonts w:eastAsia="Calibri"/>
              </w:rPr>
              <w:t>MIN</w:t>
            </w:r>
          </w:p>
        </w:tc>
        <w:tc>
          <w:tcPr>
            <w:tcW w:w="1223" w:type="dxa"/>
            <w:tcBorders>
              <w:top w:val="nil"/>
              <w:left w:val="nil"/>
              <w:bottom w:val="single" w:sz="4" w:space="0" w:color="auto"/>
              <w:right w:val="nil"/>
            </w:tcBorders>
            <w:shd w:val="clear" w:color="auto" w:fill="EEEEEE" w:themeFill="background2"/>
            <w:vAlign w:val="center"/>
          </w:tcPr>
          <w:p w14:paraId="0C3DBA93" w14:textId="77777777" w:rsidR="006C3DEB" w:rsidRDefault="006C3DEB" w:rsidP="005A7549">
            <w:pPr>
              <w:pStyle w:val="TableColumnHeadingCentred"/>
              <w:rPr>
                <w:rFonts w:eastAsia="Calibri"/>
              </w:rPr>
            </w:pPr>
            <w:r>
              <w:rPr>
                <w:rFonts w:eastAsia="Calibri"/>
              </w:rPr>
              <w:t>MAN</w:t>
            </w:r>
          </w:p>
        </w:tc>
        <w:tc>
          <w:tcPr>
            <w:tcW w:w="1054" w:type="dxa"/>
            <w:tcBorders>
              <w:top w:val="nil"/>
              <w:left w:val="nil"/>
              <w:bottom w:val="single" w:sz="4" w:space="0" w:color="auto"/>
              <w:right w:val="nil"/>
            </w:tcBorders>
            <w:shd w:val="clear" w:color="auto" w:fill="EEEEEE" w:themeFill="background2"/>
            <w:vAlign w:val="center"/>
          </w:tcPr>
          <w:p w14:paraId="372B59C4" w14:textId="77777777" w:rsidR="006C3DEB" w:rsidRDefault="006C3DEB" w:rsidP="005A7549">
            <w:pPr>
              <w:pStyle w:val="TableColumnHeadingCentred"/>
              <w:rPr>
                <w:rFonts w:eastAsia="Calibri"/>
              </w:rPr>
            </w:pPr>
            <w:r>
              <w:rPr>
                <w:rFonts w:eastAsia="Calibri"/>
              </w:rPr>
              <w:t>UTL</w:t>
            </w:r>
          </w:p>
        </w:tc>
        <w:tc>
          <w:tcPr>
            <w:tcW w:w="1138" w:type="dxa"/>
            <w:tcBorders>
              <w:top w:val="nil"/>
              <w:left w:val="nil"/>
              <w:bottom w:val="single" w:sz="4" w:space="0" w:color="auto"/>
              <w:right w:val="nil"/>
            </w:tcBorders>
            <w:shd w:val="clear" w:color="auto" w:fill="EEEEEE" w:themeFill="background2"/>
            <w:vAlign w:val="center"/>
          </w:tcPr>
          <w:p w14:paraId="151F8F2B" w14:textId="77777777" w:rsidR="006C3DEB" w:rsidRDefault="006C3DEB" w:rsidP="005A7549">
            <w:pPr>
              <w:pStyle w:val="TableColumnHeadingCentred"/>
              <w:rPr>
                <w:rFonts w:eastAsia="Calibri"/>
              </w:rPr>
            </w:pPr>
            <w:r>
              <w:rPr>
                <w:rFonts w:eastAsia="Calibri"/>
              </w:rPr>
              <w:t>CST</w:t>
            </w:r>
          </w:p>
        </w:tc>
        <w:tc>
          <w:tcPr>
            <w:tcW w:w="1138" w:type="dxa"/>
            <w:tcBorders>
              <w:top w:val="nil"/>
              <w:left w:val="nil"/>
              <w:bottom w:val="single" w:sz="4" w:space="0" w:color="auto"/>
              <w:right w:val="nil"/>
            </w:tcBorders>
            <w:shd w:val="clear" w:color="auto" w:fill="EEEEEE" w:themeFill="background2"/>
            <w:vAlign w:val="center"/>
          </w:tcPr>
          <w:p w14:paraId="76C42BBA" w14:textId="77777777" w:rsidR="006C3DEB" w:rsidRDefault="006C3DEB" w:rsidP="005A7549">
            <w:pPr>
              <w:pStyle w:val="TableColumnHeadingCentred"/>
              <w:rPr>
                <w:rFonts w:eastAsia="Calibri"/>
              </w:rPr>
            </w:pPr>
            <w:r>
              <w:rPr>
                <w:rFonts w:eastAsia="Calibri"/>
              </w:rPr>
              <w:t>SRV</w:t>
            </w:r>
          </w:p>
        </w:tc>
        <w:tc>
          <w:tcPr>
            <w:tcW w:w="1158" w:type="dxa"/>
            <w:tcBorders>
              <w:top w:val="nil"/>
              <w:left w:val="nil"/>
              <w:bottom w:val="single" w:sz="4" w:space="0" w:color="auto"/>
            </w:tcBorders>
            <w:shd w:val="clear" w:color="auto" w:fill="EEEEEE" w:themeFill="background2"/>
            <w:vAlign w:val="center"/>
          </w:tcPr>
          <w:p w14:paraId="5ECE66DE" w14:textId="77777777" w:rsidR="006C3DEB" w:rsidRDefault="006C3DEB" w:rsidP="005A7549">
            <w:pPr>
              <w:pStyle w:val="TableColumnHeadingCentred"/>
              <w:rPr>
                <w:rFonts w:eastAsia="Calibri"/>
              </w:rPr>
            </w:pPr>
            <w:r>
              <w:rPr>
                <w:rFonts w:eastAsia="Calibri"/>
              </w:rPr>
              <w:t>DWE</w:t>
            </w:r>
          </w:p>
        </w:tc>
      </w:tr>
      <w:tr w:rsidR="006C3DEB" w14:paraId="7CE1704A" w14:textId="77777777" w:rsidTr="00017ACD">
        <w:trPr>
          <w:jc w:val="center"/>
        </w:trPr>
        <w:tc>
          <w:tcPr>
            <w:tcW w:w="1425" w:type="dxa"/>
            <w:tcBorders>
              <w:top w:val="single" w:sz="4" w:space="0" w:color="auto"/>
              <w:bottom w:val="single" w:sz="4" w:space="0" w:color="auto"/>
              <w:right w:val="single" w:sz="4" w:space="0" w:color="auto"/>
            </w:tcBorders>
            <w:shd w:val="clear" w:color="auto" w:fill="EEEEEE" w:themeFill="background2"/>
          </w:tcPr>
          <w:p w14:paraId="438A5137" w14:textId="77777777" w:rsidR="006C3DEB" w:rsidRDefault="006C3DEB" w:rsidP="005A7549">
            <w:pPr>
              <w:pStyle w:val="TableColumnHeadingLeft"/>
              <w:rPr>
                <w:rFonts w:eastAsia="Calibri"/>
              </w:rPr>
            </w:pPr>
            <w:r w:rsidRPr="00E670A7">
              <w:rPr>
                <w:rFonts w:eastAsiaTheme="minorHAnsi"/>
                <w:lang w:eastAsia="en-US"/>
              </w:rPr>
              <w:object w:dxaOrig="400" w:dyaOrig="380" w14:anchorId="75742A04">
                <v:shape id="_x0000_i1482" type="#_x0000_t75" style="width:21.6pt;height:14.4pt" o:ole="">
                  <v:imagedata r:id="rId938" o:title=""/>
                </v:shape>
                <o:OLEObject Type="Embed" ProgID="Equation.DSMT4" ShapeID="_x0000_i1482" DrawAspect="Content" ObjectID="_1754919033" r:id="rId939"/>
              </w:object>
            </w:r>
          </w:p>
        </w:tc>
        <w:tc>
          <w:tcPr>
            <w:tcW w:w="1138" w:type="dxa"/>
            <w:tcBorders>
              <w:top w:val="single" w:sz="4" w:space="0" w:color="auto"/>
              <w:left w:val="single" w:sz="4" w:space="0" w:color="auto"/>
              <w:bottom w:val="single" w:sz="4" w:space="0" w:color="auto"/>
            </w:tcBorders>
            <w:shd w:val="clear" w:color="auto" w:fill="auto"/>
            <w:vAlign w:val="center"/>
          </w:tcPr>
          <w:p w14:paraId="2C5A74C9" w14:textId="77777777" w:rsidR="006C3DEB" w:rsidRPr="00503196" w:rsidRDefault="006C3DEB" w:rsidP="005A7549">
            <w:pPr>
              <w:pStyle w:val="TableTextCentered"/>
            </w:pPr>
            <w:r w:rsidRPr="00503196">
              <w:t>0.093</w:t>
            </w:r>
          </w:p>
        </w:tc>
        <w:tc>
          <w:tcPr>
            <w:tcW w:w="1138" w:type="dxa"/>
            <w:tcBorders>
              <w:top w:val="single" w:sz="4" w:space="0" w:color="auto"/>
              <w:bottom w:val="single" w:sz="4" w:space="0" w:color="auto"/>
            </w:tcBorders>
            <w:shd w:val="clear" w:color="auto" w:fill="auto"/>
            <w:vAlign w:val="center"/>
          </w:tcPr>
          <w:p w14:paraId="253F19A3" w14:textId="77777777" w:rsidR="006C3DEB" w:rsidRPr="00503196" w:rsidRDefault="006C3DEB" w:rsidP="005A7549">
            <w:pPr>
              <w:pStyle w:val="TableTextCentered"/>
            </w:pPr>
            <w:r w:rsidRPr="00503196">
              <w:t>0.066</w:t>
            </w:r>
          </w:p>
        </w:tc>
        <w:tc>
          <w:tcPr>
            <w:tcW w:w="1223" w:type="dxa"/>
            <w:tcBorders>
              <w:top w:val="single" w:sz="4" w:space="0" w:color="auto"/>
              <w:bottom w:val="single" w:sz="4" w:space="0" w:color="auto"/>
            </w:tcBorders>
            <w:shd w:val="clear" w:color="auto" w:fill="auto"/>
            <w:vAlign w:val="center"/>
          </w:tcPr>
          <w:p w14:paraId="00C75B29" w14:textId="77777777" w:rsidR="006C3DEB" w:rsidRPr="00503196" w:rsidRDefault="006C3DEB" w:rsidP="005A7549">
            <w:pPr>
              <w:pStyle w:val="TableTextCentered"/>
            </w:pPr>
            <w:r w:rsidRPr="00503196">
              <w:t>0.107</w:t>
            </w:r>
          </w:p>
        </w:tc>
        <w:tc>
          <w:tcPr>
            <w:tcW w:w="1054" w:type="dxa"/>
            <w:tcBorders>
              <w:top w:val="single" w:sz="4" w:space="0" w:color="auto"/>
              <w:bottom w:val="single" w:sz="4" w:space="0" w:color="auto"/>
            </w:tcBorders>
            <w:shd w:val="clear" w:color="auto" w:fill="auto"/>
            <w:vAlign w:val="center"/>
          </w:tcPr>
          <w:p w14:paraId="7B00D84E" w14:textId="77777777" w:rsidR="006C3DEB" w:rsidRPr="00503196" w:rsidRDefault="006C3DEB" w:rsidP="005A7549">
            <w:pPr>
              <w:pStyle w:val="TableTextCentered"/>
            </w:pPr>
            <w:r w:rsidRPr="00503196">
              <w:t>0.040</w:t>
            </w:r>
          </w:p>
        </w:tc>
        <w:tc>
          <w:tcPr>
            <w:tcW w:w="1138" w:type="dxa"/>
            <w:tcBorders>
              <w:top w:val="single" w:sz="4" w:space="0" w:color="auto"/>
              <w:bottom w:val="single" w:sz="4" w:space="0" w:color="auto"/>
            </w:tcBorders>
            <w:shd w:val="clear" w:color="auto" w:fill="auto"/>
            <w:vAlign w:val="center"/>
          </w:tcPr>
          <w:p w14:paraId="6A77332D" w14:textId="77777777" w:rsidR="006C3DEB" w:rsidRPr="00503196" w:rsidRDefault="006C3DEB" w:rsidP="005A7549">
            <w:pPr>
              <w:pStyle w:val="TableTextCentered"/>
            </w:pPr>
            <w:r w:rsidRPr="00503196">
              <w:t>0.109</w:t>
            </w:r>
          </w:p>
        </w:tc>
        <w:tc>
          <w:tcPr>
            <w:tcW w:w="1138" w:type="dxa"/>
            <w:tcBorders>
              <w:top w:val="single" w:sz="4" w:space="0" w:color="auto"/>
              <w:bottom w:val="single" w:sz="4" w:space="0" w:color="auto"/>
            </w:tcBorders>
            <w:shd w:val="clear" w:color="auto" w:fill="auto"/>
            <w:vAlign w:val="center"/>
          </w:tcPr>
          <w:p w14:paraId="79F3410D" w14:textId="77777777" w:rsidR="006C3DEB" w:rsidRPr="00503196" w:rsidRDefault="006C3DEB" w:rsidP="005A7549">
            <w:pPr>
              <w:pStyle w:val="TableTextCentered"/>
            </w:pPr>
            <w:r w:rsidRPr="00503196">
              <w:t>0.065</w:t>
            </w:r>
          </w:p>
        </w:tc>
        <w:tc>
          <w:tcPr>
            <w:tcW w:w="1158" w:type="dxa"/>
            <w:tcBorders>
              <w:top w:val="single" w:sz="4" w:space="0" w:color="auto"/>
              <w:bottom w:val="single" w:sz="4" w:space="0" w:color="auto"/>
            </w:tcBorders>
            <w:shd w:val="clear" w:color="auto" w:fill="auto"/>
            <w:vAlign w:val="center"/>
          </w:tcPr>
          <w:p w14:paraId="04138BA8" w14:textId="77777777" w:rsidR="006C3DEB" w:rsidRPr="00503196" w:rsidRDefault="006C3DEB" w:rsidP="005A7549">
            <w:pPr>
              <w:pStyle w:val="TableTextCentered"/>
            </w:pPr>
            <w:r w:rsidRPr="00503196">
              <w:t>0.030</w:t>
            </w:r>
          </w:p>
        </w:tc>
      </w:tr>
    </w:tbl>
    <w:p w14:paraId="6F9DB2ED" w14:textId="77777777" w:rsidR="006C3DEB" w:rsidRPr="0032767F" w:rsidRDefault="006C3DEB" w:rsidP="006C3DEB">
      <w:pPr>
        <w:ind w:right="651"/>
        <w:rPr>
          <w:sz w:val="20"/>
        </w:rPr>
      </w:pPr>
      <w:r w:rsidRPr="0032767F">
        <w:rPr>
          <w:sz w:val="20"/>
        </w:rPr>
        <w:t>Source: Authors’ calculation based on ABS (20</w:t>
      </w:r>
      <w:r>
        <w:rPr>
          <w:sz w:val="20"/>
        </w:rPr>
        <w:t>21a</w:t>
      </w:r>
      <w:r w:rsidRPr="0032767F">
        <w:rPr>
          <w:sz w:val="20"/>
        </w:rPr>
        <w:t>) data.</w:t>
      </w:r>
    </w:p>
    <w:p w14:paraId="0FE62B9B" w14:textId="77777777" w:rsidR="006C3DEB" w:rsidRPr="0004701B" w:rsidRDefault="006C3DEB" w:rsidP="006C3DEB">
      <w:pPr>
        <w:rPr>
          <w:rFonts w:eastAsia="Calibri"/>
        </w:rPr>
      </w:pPr>
      <w:r w:rsidRPr="0075212E">
        <w:rPr>
          <w:rFonts w:eastAsia="Calibri"/>
        </w:rPr>
        <w:t xml:space="preserve">Following the broader </w:t>
      </w:r>
      <w:r>
        <w:rPr>
          <w:rFonts w:eastAsia="Calibri"/>
        </w:rPr>
        <w:t>DSGE</w:t>
      </w:r>
      <w:r w:rsidRPr="0075212E">
        <w:rPr>
          <w:rFonts w:eastAsia="Calibri"/>
        </w:rPr>
        <w:t xml:space="preserve"> literature</w:t>
      </w:r>
      <w:r>
        <w:rPr>
          <w:rFonts w:eastAsia="Calibri"/>
        </w:rPr>
        <w:t xml:space="preserve"> the parameters for</w:t>
      </w:r>
      <w:r w:rsidRPr="0075212E">
        <w:rPr>
          <w:rFonts w:eastAsia="Calibri"/>
        </w:rPr>
        <w:t xml:space="preserve"> capital adjustment cost</w:t>
      </w:r>
      <w:r>
        <w:rPr>
          <w:rFonts w:eastAsia="Calibri"/>
        </w:rPr>
        <w:t>s</w:t>
      </w:r>
      <w:r w:rsidRPr="00E670A7">
        <w:rPr>
          <w:position w:val="-14"/>
        </w:rPr>
        <w:object w:dxaOrig="320" w:dyaOrig="400" w14:anchorId="047CC495">
          <v:shape id="_x0000_i1483" type="#_x0000_t75" style="width:14.4pt;height:21.6pt" o:ole="">
            <v:imagedata r:id="rId940" o:title=""/>
          </v:shape>
          <o:OLEObject Type="Embed" ProgID="Equation.DSMT4" ShapeID="_x0000_i1483" DrawAspect="Content" ObjectID="_1754919034" r:id="rId941"/>
        </w:object>
      </w:r>
      <w:r>
        <w:t>are</w:t>
      </w:r>
      <w:r w:rsidRPr="0075212E">
        <w:t xml:space="preserve"> set to </w:t>
      </w:r>
      <w:r>
        <w:t>2.5 for all sectors</w:t>
      </w:r>
      <w:r w:rsidRPr="0075212E">
        <w:t xml:space="preserve">. </w:t>
      </w:r>
      <w:r w:rsidRPr="00872E08">
        <w:t>Mendoza and Tesar (1998 and 2005)</w:t>
      </w:r>
      <w:r w:rsidRPr="0075212E">
        <w:t xml:space="preserve"> argue that this value is consistent with </w:t>
      </w:r>
      <w:r w:rsidRPr="00872E08">
        <w:t>the average rate of convergence to the long-run balanced growth</w:t>
      </w:r>
      <w:r w:rsidRPr="0075212E">
        <w:t xml:space="preserve"> path </w:t>
      </w:r>
      <w:r w:rsidRPr="00872E08">
        <w:t>estimated by Barro and Sala-i-Martin (2004).</w:t>
      </w:r>
    </w:p>
    <w:p w14:paraId="0C239661" w14:textId="77777777" w:rsidR="006C3DEB" w:rsidRDefault="006C3DEB" w:rsidP="006C3DEB">
      <w:pPr>
        <w:pStyle w:val="Heading3"/>
      </w:pPr>
      <w:r>
        <w:lastRenderedPageBreak/>
        <w:t>Rest of the world</w:t>
      </w:r>
    </w:p>
    <w:p w14:paraId="4C4CBC23" w14:textId="77777777" w:rsidR="006C3DEB" w:rsidRPr="00B34AB0" w:rsidRDefault="006C3DEB" w:rsidP="006C3DEB">
      <w:pPr>
        <w:pStyle w:val="Heading5"/>
        <w:rPr>
          <w:rStyle w:val="IntenseEmphasis"/>
          <w:b/>
          <w:bCs w:val="0"/>
          <w:i w:val="0"/>
          <w:color w:val="000000" w:themeColor="text1"/>
        </w:rPr>
      </w:pPr>
      <w:r w:rsidRPr="00B34AB0">
        <w:rPr>
          <w:rStyle w:val="IntenseEmphasis"/>
          <w:b/>
          <w:bCs w:val="0"/>
          <w:i w:val="0"/>
          <w:iCs/>
          <w:color w:val="000000" w:themeColor="text1"/>
        </w:rPr>
        <w:t>Foreign demand shares and elasticity</w:t>
      </w:r>
    </w:p>
    <w:p w14:paraId="36DA6DB2" w14:textId="6B75FF9B" w:rsidR="006C3DEB" w:rsidRDefault="006C3DEB" w:rsidP="006C3DEB">
      <w:r w:rsidRPr="007F045B">
        <w:t>The level of foreign aggregate demand is normalised to be 1 for all sectors. The CES weights for Australian varieties in foreign demand</w:t>
      </w:r>
      <w:r w:rsidRPr="00E670A7">
        <w:rPr>
          <w:position w:val="-14"/>
        </w:rPr>
        <w:object w:dxaOrig="440" w:dyaOrig="400" w14:anchorId="418E359C">
          <v:shape id="_x0000_i1484" type="#_x0000_t75" style="width:21.6pt;height:21.6pt" o:ole="">
            <v:imagedata r:id="rId942" o:title=""/>
          </v:shape>
          <o:OLEObject Type="Embed" ProgID="Equation.DSMT4" ShapeID="_x0000_i1484" DrawAspect="Content" ObjectID="_1754919035" r:id="rId943"/>
        </w:object>
      </w:r>
      <w:r w:rsidRPr="007F045B">
        <w:t xml:space="preserve">for all sectors are calibrated using data on global exports from the GTAP Data Base (Aguiar et al. </w:t>
      </w:r>
      <w:r>
        <w:t>(</w:t>
      </w:r>
      <w:r w:rsidRPr="007F045B">
        <w:t>2019</w:t>
      </w:r>
      <w:r>
        <w:t>)</w:t>
      </w:r>
      <w:r w:rsidRPr="007F045B">
        <w:t>). This is consistent with the methodology used in multi-country models (</w:t>
      </w:r>
      <w:r>
        <w:t>for example,</w:t>
      </w:r>
      <w:r w:rsidRPr="007F045B">
        <w:t xml:space="preserve"> Hertel</w:t>
      </w:r>
      <w:r>
        <w:t xml:space="preserve"> (</w:t>
      </w:r>
      <w:r w:rsidRPr="007F045B">
        <w:t>1997</w:t>
      </w:r>
      <w:r>
        <w:t>)</w:t>
      </w:r>
      <w:r w:rsidRPr="007F045B">
        <w:t>; McKibbin and Wilcoxen</w:t>
      </w:r>
      <w:r>
        <w:t xml:space="preserve"> (</w:t>
      </w:r>
      <w:r w:rsidRPr="007F045B">
        <w:t>1998</w:t>
      </w:r>
      <w:r>
        <w:t>)</w:t>
      </w:r>
      <w:r w:rsidRPr="007F045B">
        <w:t>). Taking into account required net export to GDP ratio to stabilise net foreign assets as a ratio to GDP and</w:t>
      </w:r>
      <w:r w:rsidRPr="00E670A7">
        <w:rPr>
          <w:position w:val="-14"/>
        </w:rPr>
        <w:object w:dxaOrig="440" w:dyaOrig="400" w14:anchorId="07AB8555">
          <v:shape id="_x0000_i1485" type="#_x0000_t75" style="width:21.6pt;height:21.6pt" o:ole="">
            <v:imagedata r:id="rId944" o:title=""/>
          </v:shape>
          <o:OLEObject Type="Embed" ProgID="Equation.DSMT4" ShapeID="_x0000_i1485" DrawAspect="Content" ObjectID="_1754919036" r:id="rId945"/>
        </w:object>
      </w:r>
      <w:r w:rsidRPr="007F045B">
        <w:t>, the CES weights for all goods in foreign aggregate demand</w:t>
      </w:r>
      <w:r w:rsidRPr="00E670A7">
        <w:rPr>
          <w:position w:val="-14"/>
        </w:rPr>
        <w:object w:dxaOrig="340" w:dyaOrig="400" w14:anchorId="5A26B152">
          <v:shape id="_x0000_i1486" type="#_x0000_t75" style="width:14.4pt;height:21.6pt" o:ole="">
            <v:imagedata r:id="rId946" o:title=""/>
          </v:shape>
          <o:OLEObject Type="Embed" ProgID="Equation.DSMT4" ShapeID="_x0000_i1486" DrawAspect="Content" ObjectID="_1754919037" r:id="rId947"/>
        </w:object>
      </w:r>
      <w:r w:rsidRPr="007F045B">
        <w:t xml:space="preserve">are calibrated to match the distribution of exports reported in blue block of </w:t>
      </w:r>
      <w:r w:rsidR="00E00A52" w:rsidRPr="0088277E">
        <w:t xml:space="preserve">Table </w:t>
      </w:r>
      <w:r w:rsidR="00E00A52">
        <w:rPr>
          <w:noProof/>
        </w:rPr>
        <w:t>3</w:t>
      </w:r>
      <w:r w:rsidRPr="007F045B">
        <w:t xml:space="preserve">. </w:t>
      </w:r>
      <w:r w:rsidR="00E00A52">
        <w:t xml:space="preserve">Table </w:t>
      </w:r>
      <w:r w:rsidR="00E00A52">
        <w:rPr>
          <w:noProof/>
        </w:rPr>
        <w:t>6</w:t>
      </w:r>
      <w:r w:rsidRPr="007F045B">
        <w:t xml:space="preserve"> shows the final calibrated values of </w:t>
      </w:r>
      <w:r w:rsidRPr="00E670A7">
        <w:rPr>
          <w:position w:val="-14"/>
        </w:rPr>
        <w:object w:dxaOrig="380" w:dyaOrig="380" w14:anchorId="196D6D69">
          <v:shape id="_x0000_i1487" type="#_x0000_t75" style="width:14.4pt;height:14.4pt" o:ole="">
            <v:imagedata r:id="rId948" o:title=""/>
          </v:shape>
          <o:OLEObject Type="Embed" ProgID="Equation.DSMT4" ShapeID="_x0000_i1487" DrawAspect="Content" ObjectID="_1754919038" r:id="rId949"/>
        </w:object>
      </w:r>
      <w:r w:rsidRPr="007F045B">
        <w:t xml:space="preserve"> as a per cent of GDP.</w:t>
      </w:r>
      <w:r>
        <w:t xml:space="preserve"> </w:t>
      </w:r>
    </w:p>
    <w:p w14:paraId="74AF1D7A" w14:textId="7053BE9E" w:rsidR="006C3DEB" w:rsidRPr="00101E72" w:rsidRDefault="006C3DEB" w:rsidP="006C3DEB">
      <w:pPr>
        <w:rPr>
          <w:highlight w:val="yellow"/>
        </w:rPr>
      </w:pPr>
      <w:r w:rsidRPr="004B4879">
        <w:t xml:space="preserve">Consistent with the elasticity of substitution between different commodities </w:t>
      </w:r>
      <w:r>
        <w:t>for</w:t>
      </w:r>
      <w:r w:rsidRPr="004B4879">
        <w:t xml:space="preserve"> domestic households and firms, the elasticity of substitution between different types of goods</w:t>
      </w:r>
      <w:r w:rsidRPr="00E670A7">
        <w:rPr>
          <w:position w:val="-10"/>
        </w:rPr>
        <w:object w:dxaOrig="340" w:dyaOrig="360" w14:anchorId="160B07B9">
          <v:shape id="_x0000_i1488" type="#_x0000_t75" style="width:14.4pt;height:14.4pt" o:ole="">
            <v:imagedata r:id="rId950" o:title=""/>
          </v:shape>
          <o:OLEObject Type="Embed" ProgID="Equation.DSMT4" ShapeID="_x0000_i1488" DrawAspect="Content" ObjectID="_1754919039" r:id="rId951"/>
        </w:object>
      </w:r>
      <w:r w:rsidRPr="004B4879">
        <w:t xml:space="preserve">is set to 0.5. This reflects that consumers are relatively reluctant to substitute between commodities. The elasticities of substitution between varieties of the same good from different exporters </w:t>
      </w:r>
      <w:r w:rsidRPr="00E670A7">
        <w:rPr>
          <w:position w:val="-14"/>
        </w:rPr>
        <w:object w:dxaOrig="440" w:dyaOrig="400" w14:anchorId="40340EFC">
          <v:shape id="_x0000_i1489" type="#_x0000_t75" style="width:21.6pt;height:21.6pt" o:ole="">
            <v:imagedata r:id="rId952" o:title=""/>
          </v:shape>
          <o:OLEObject Type="Embed" ProgID="Equation.DSMT4" ShapeID="_x0000_i1489" DrawAspect="Content" ObjectID="_1754919040" r:id="rId953"/>
        </w:object>
      </w:r>
      <w:r w:rsidRPr="004B4879">
        <w:t xml:space="preserve">are based on those from the GTAP Data Base. These are also presented in </w:t>
      </w:r>
      <w:r w:rsidR="00E00A52">
        <w:t xml:space="preserve">Table </w:t>
      </w:r>
      <w:r w:rsidR="00E00A52">
        <w:rPr>
          <w:noProof/>
        </w:rPr>
        <w:t>6</w:t>
      </w:r>
      <w:r w:rsidRPr="004B4879">
        <w:t>.</w:t>
      </w:r>
    </w:p>
    <w:p w14:paraId="22685B30" w14:textId="4BED8DF6" w:rsidR="006C3DEB" w:rsidRPr="00CE4CE9" w:rsidRDefault="006C3DEB" w:rsidP="006C3DEB">
      <w:pPr>
        <w:pStyle w:val="TableMainHeading"/>
      </w:pPr>
      <w:bookmarkStart w:id="28" w:name="_Ref101947084"/>
      <w:r>
        <w:t xml:space="preserve">Table </w:t>
      </w:r>
      <w:r>
        <w:rPr>
          <w:noProof/>
        </w:rPr>
        <w:fldChar w:fldCharType="begin"/>
      </w:r>
      <w:r>
        <w:rPr>
          <w:noProof/>
        </w:rPr>
        <w:instrText xml:space="preserve"> SEQ Table \* ARABIC </w:instrText>
      </w:r>
      <w:r>
        <w:rPr>
          <w:noProof/>
        </w:rPr>
        <w:fldChar w:fldCharType="separate"/>
      </w:r>
      <w:r w:rsidR="00E00A52">
        <w:rPr>
          <w:noProof/>
        </w:rPr>
        <w:t>6</w:t>
      </w:r>
      <w:r>
        <w:rPr>
          <w:noProof/>
        </w:rPr>
        <w:fldChar w:fldCharType="end"/>
      </w:r>
      <w:bookmarkEnd w:id="28"/>
      <w:r w:rsidRPr="00CE4CE9">
        <w:t xml:space="preserve">: </w:t>
      </w:r>
      <w:r>
        <w:t>Export demand parameters</w:t>
      </w:r>
    </w:p>
    <w:tbl>
      <w:tblPr>
        <w:tblStyle w:val="TableGrid"/>
        <w:tblW w:w="5000" w:type="pct"/>
        <w:jc w:val="center"/>
        <w:shd w:val="clear" w:color="auto" w:fill="EEEEEE" w:themeFill="background2"/>
        <w:tblLayout w:type="fixed"/>
        <w:tblLook w:val="04A0" w:firstRow="1" w:lastRow="0" w:firstColumn="1" w:lastColumn="0" w:noHBand="0" w:noVBand="1"/>
      </w:tblPr>
      <w:tblGrid>
        <w:gridCol w:w="1371"/>
        <w:gridCol w:w="1097"/>
        <w:gridCol w:w="1097"/>
        <w:gridCol w:w="1178"/>
        <w:gridCol w:w="1017"/>
        <w:gridCol w:w="1097"/>
        <w:gridCol w:w="1097"/>
        <w:gridCol w:w="1116"/>
      </w:tblGrid>
      <w:tr w:rsidR="006C3DEB" w:rsidRPr="00CE4CE9" w14:paraId="7816870C" w14:textId="77777777" w:rsidTr="00017ACD">
        <w:trPr>
          <w:jc w:val="center"/>
        </w:trPr>
        <w:tc>
          <w:tcPr>
            <w:tcW w:w="1425" w:type="dxa"/>
            <w:vMerge w:val="restart"/>
            <w:tcBorders>
              <w:top w:val="single" w:sz="4" w:space="0" w:color="auto"/>
            </w:tcBorders>
            <w:shd w:val="clear" w:color="auto" w:fill="EEEEEE" w:themeFill="background2"/>
            <w:vAlign w:val="center"/>
          </w:tcPr>
          <w:p w14:paraId="187F0B98" w14:textId="77777777" w:rsidR="006C3DEB" w:rsidRPr="00CE4CE9" w:rsidRDefault="006C3DEB" w:rsidP="005A7549">
            <w:pPr>
              <w:pStyle w:val="TableColumnHeadingLeft"/>
              <w:rPr>
                <w:rFonts w:eastAsia="Calibri"/>
              </w:rPr>
            </w:pPr>
            <w:r w:rsidRPr="00CE4CE9">
              <w:rPr>
                <w:rFonts w:eastAsia="Calibri"/>
              </w:rPr>
              <w:t>Parameter</w:t>
            </w:r>
          </w:p>
        </w:tc>
        <w:tc>
          <w:tcPr>
            <w:tcW w:w="7987" w:type="dxa"/>
            <w:gridSpan w:val="7"/>
            <w:tcBorders>
              <w:top w:val="single" w:sz="4" w:space="0" w:color="auto"/>
              <w:bottom w:val="nil"/>
            </w:tcBorders>
            <w:shd w:val="clear" w:color="auto" w:fill="EEEEEE" w:themeFill="background2"/>
            <w:vAlign w:val="center"/>
          </w:tcPr>
          <w:p w14:paraId="5CEC80D0" w14:textId="77777777" w:rsidR="006C3DEB" w:rsidRPr="00CE4CE9" w:rsidRDefault="006C3DEB" w:rsidP="005A7549">
            <w:pPr>
              <w:pStyle w:val="TableColumnHeadingCentred"/>
              <w:rPr>
                <w:rFonts w:eastAsia="Calibri"/>
              </w:rPr>
            </w:pPr>
            <w:r w:rsidRPr="00CE4CE9">
              <w:rPr>
                <w:rFonts w:eastAsia="Calibri"/>
                <w:i/>
              </w:rPr>
              <w:t>j</w:t>
            </w:r>
            <w:r w:rsidRPr="00CE4CE9">
              <w:rPr>
                <w:rFonts w:eastAsia="Calibri"/>
              </w:rPr>
              <w:t xml:space="preserve"> = </w:t>
            </w:r>
          </w:p>
        </w:tc>
      </w:tr>
      <w:tr w:rsidR="006C3DEB" w:rsidRPr="00CE4CE9" w14:paraId="7CE3326D" w14:textId="77777777" w:rsidTr="00017ACD">
        <w:trPr>
          <w:jc w:val="center"/>
        </w:trPr>
        <w:tc>
          <w:tcPr>
            <w:tcW w:w="1425" w:type="dxa"/>
            <w:vMerge/>
            <w:tcBorders>
              <w:bottom w:val="single" w:sz="4" w:space="0" w:color="auto"/>
            </w:tcBorders>
            <w:shd w:val="clear" w:color="auto" w:fill="EEEEEE" w:themeFill="background2"/>
          </w:tcPr>
          <w:p w14:paraId="1347CF3F" w14:textId="77777777" w:rsidR="006C3DEB" w:rsidRPr="00CE4CE9" w:rsidRDefault="006C3DEB" w:rsidP="005A7549">
            <w:pPr>
              <w:pStyle w:val="TableColumnHeadingCentred"/>
              <w:rPr>
                <w:rFonts w:eastAsia="Calibri"/>
              </w:rPr>
            </w:pPr>
          </w:p>
        </w:tc>
        <w:tc>
          <w:tcPr>
            <w:tcW w:w="1138" w:type="dxa"/>
            <w:tcBorders>
              <w:top w:val="nil"/>
              <w:bottom w:val="single" w:sz="4" w:space="0" w:color="auto"/>
              <w:right w:val="nil"/>
            </w:tcBorders>
            <w:shd w:val="clear" w:color="auto" w:fill="EEEEEE" w:themeFill="background2"/>
            <w:vAlign w:val="center"/>
          </w:tcPr>
          <w:p w14:paraId="44E66F57" w14:textId="77777777" w:rsidR="006C3DEB" w:rsidRPr="00CE4CE9" w:rsidRDefault="006C3DEB" w:rsidP="005A7549">
            <w:pPr>
              <w:pStyle w:val="TableColumnHeadingCentred"/>
              <w:rPr>
                <w:rFonts w:eastAsia="Calibri"/>
              </w:rPr>
            </w:pPr>
            <w:r w:rsidRPr="00CE4CE9">
              <w:rPr>
                <w:rFonts w:eastAsia="Calibri"/>
              </w:rPr>
              <w:t>AGR</w:t>
            </w:r>
          </w:p>
        </w:tc>
        <w:tc>
          <w:tcPr>
            <w:tcW w:w="1138" w:type="dxa"/>
            <w:tcBorders>
              <w:top w:val="nil"/>
              <w:left w:val="nil"/>
              <w:bottom w:val="single" w:sz="4" w:space="0" w:color="auto"/>
              <w:right w:val="nil"/>
            </w:tcBorders>
            <w:shd w:val="clear" w:color="auto" w:fill="EEEEEE" w:themeFill="background2"/>
            <w:vAlign w:val="center"/>
          </w:tcPr>
          <w:p w14:paraId="574A3312" w14:textId="77777777" w:rsidR="006C3DEB" w:rsidRPr="00CE4CE9" w:rsidRDefault="006C3DEB" w:rsidP="005A7549">
            <w:pPr>
              <w:pStyle w:val="TableColumnHeadingCentred"/>
              <w:rPr>
                <w:rFonts w:eastAsia="Calibri"/>
              </w:rPr>
            </w:pPr>
            <w:r w:rsidRPr="00CE4CE9">
              <w:rPr>
                <w:rFonts w:eastAsia="Calibri"/>
              </w:rPr>
              <w:t>MIN</w:t>
            </w:r>
          </w:p>
        </w:tc>
        <w:tc>
          <w:tcPr>
            <w:tcW w:w="1223" w:type="dxa"/>
            <w:tcBorders>
              <w:top w:val="nil"/>
              <w:left w:val="nil"/>
              <w:bottom w:val="single" w:sz="4" w:space="0" w:color="auto"/>
              <w:right w:val="nil"/>
            </w:tcBorders>
            <w:shd w:val="clear" w:color="auto" w:fill="EEEEEE" w:themeFill="background2"/>
            <w:vAlign w:val="center"/>
          </w:tcPr>
          <w:p w14:paraId="54962AE8" w14:textId="77777777" w:rsidR="006C3DEB" w:rsidRPr="00CE4CE9" w:rsidRDefault="006C3DEB" w:rsidP="005A7549">
            <w:pPr>
              <w:pStyle w:val="TableColumnHeadingCentred"/>
              <w:rPr>
                <w:rFonts w:eastAsia="Calibri"/>
              </w:rPr>
            </w:pPr>
            <w:r w:rsidRPr="00CE4CE9">
              <w:rPr>
                <w:rFonts w:eastAsia="Calibri"/>
              </w:rPr>
              <w:t>MAN</w:t>
            </w:r>
          </w:p>
        </w:tc>
        <w:tc>
          <w:tcPr>
            <w:tcW w:w="1054" w:type="dxa"/>
            <w:tcBorders>
              <w:top w:val="nil"/>
              <w:left w:val="nil"/>
              <w:bottom w:val="single" w:sz="4" w:space="0" w:color="auto"/>
              <w:right w:val="nil"/>
            </w:tcBorders>
            <w:shd w:val="clear" w:color="auto" w:fill="EEEEEE" w:themeFill="background2"/>
            <w:vAlign w:val="center"/>
          </w:tcPr>
          <w:p w14:paraId="1FF8D94E" w14:textId="77777777" w:rsidR="006C3DEB" w:rsidRPr="00CE4CE9" w:rsidRDefault="006C3DEB" w:rsidP="005A7549">
            <w:pPr>
              <w:pStyle w:val="TableColumnHeadingCentred"/>
              <w:rPr>
                <w:rFonts w:eastAsia="Calibri"/>
              </w:rPr>
            </w:pPr>
            <w:r w:rsidRPr="00CE4CE9">
              <w:rPr>
                <w:rFonts w:eastAsia="Calibri"/>
              </w:rPr>
              <w:t>UTL</w:t>
            </w:r>
          </w:p>
        </w:tc>
        <w:tc>
          <w:tcPr>
            <w:tcW w:w="1138" w:type="dxa"/>
            <w:tcBorders>
              <w:top w:val="nil"/>
              <w:left w:val="nil"/>
              <w:bottom w:val="single" w:sz="4" w:space="0" w:color="auto"/>
              <w:right w:val="nil"/>
            </w:tcBorders>
            <w:shd w:val="clear" w:color="auto" w:fill="EEEEEE" w:themeFill="background2"/>
            <w:vAlign w:val="center"/>
          </w:tcPr>
          <w:p w14:paraId="28B542B4" w14:textId="77777777" w:rsidR="006C3DEB" w:rsidRPr="00CE4CE9" w:rsidRDefault="006C3DEB" w:rsidP="005A7549">
            <w:pPr>
              <w:pStyle w:val="TableColumnHeadingCentred"/>
              <w:rPr>
                <w:rFonts w:eastAsia="Calibri"/>
              </w:rPr>
            </w:pPr>
            <w:r w:rsidRPr="00CE4CE9">
              <w:rPr>
                <w:rFonts w:eastAsia="Calibri"/>
              </w:rPr>
              <w:t>CST</w:t>
            </w:r>
          </w:p>
        </w:tc>
        <w:tc>
          <w:tcPr>
            <w:tcW w:w="1138" w:type="dxa"/>
            <w:tcBorders>
              <w:top w:val="nil"/>
              <w:left w:val="nil"/>
              <w:bottom w:val="single" w:sz="4" w:space="0" w:color="auto"/>
              <w:right w:val="nil"/>
            </w:tcBorders>
            <w:shd w:val="clear" w:color="auto" w:fill="EEEEEE" w:themeFill="background2"/>
            <w:vAlign w:val="center"/>
          </w:tcPr>
          <w:p w14:paraId="4CCCC42A" w14:textId="77777777" w:rsidR="006C3DEB" w:rsidRPr="00CE4CE9" w:rsidRDefault="006C3DEB" w:rsidP="005A7549">
            <w:pPr>
              <w:pStyle w:val="TableColumnHeadingCentred"/>
              <w:rPr>
                <w:rFonts w:eastAsia="Calibri"/>
              </w:rPr>
            </w:pPr>
            <w:r w:rsidRPr="00CE4CE9">
              <w:rPr>
                <w:rFonts w:eastAsia="Calibri"/>
              </w:rPr>
              <w:t>SRV</w:t>
            </w:r>
          </w:p>
        </w:tc>
        <w:tc>
          <w:tcPr>
            <w:tcW w:w="1158" w:type="dxa"/>
            <w:tcBorders>
              <w:top w:val="nil"/>
              <w:left w:val="nil"/>
              <w:bottom w:val="single" w:sz="4" w:space="0" w:color="auto"/>
            </w:tcBorders>
            <w:shd w:val="clear" w:color="auto" w:fill="EEEEEE" w:themeFill="background2"/>
            <w:vAlign w:val="center"/>
          </w:tcPr>
          <w:p w14:paraId="668E51C0" w14:textId="77777777" w:rsidR="006C3DEB" w:rsidRPr="00CE4CE9" w:rsidRDefault="006C3DEB" w:rsidP="005A7549">
            <w:pPr>
              <w:pStyle w:val="TableColumnHeadingCentred"/>
              <w:rPr>
                <w:rFonts w:eastAsia="Calibri"/>
              </w:rPr>
            </w:pPr>
            <w:r w:rsidRPr="00CE4CE9">
              <w:rPr>
                <w:rFonts w:eastAsia="Calibri"/>
              </w:rPr>
              <w:t>DWE</w:t>
            </w:r>
          </w:p>
        </w:tc>
      </w:tr>
      <w:tr w:rsidR="006C3DEB" w:rsidRPr="00CE4CE9" w14:paraId="091E9575" w14:textId="77777777" w:rsidTr="00017ACD">
        <w:trPr>
          <w:jc w:val="center"/>
        </w:trPr>
        <w:tc>
          <w:tcPr>
            <w:tcW w:w="1425" w:type="dxa"/>
            <w:tcBorders>
              <w:top w:val="single" w:sz="4" w:space="0" w:color="auto"/>
              <w:right w:val="single" w:sz="4" w:space="0" w:color="auto"/>
            </w:tcBorders>
            <w:shd w:val="clear" w:color="auto" w:fill="EEEEEE" w:themeFill="background2"/>
          </w:tcPr>
          <w:p w14:paraId="33126D38" w14:textId="77777777" w:rsidR="006C3DEB" w:rsidRPr="00CE4CE9" w:rsidRDefault="006C3DEB" w:rsidP="005A7549">
            <w:pPr>
              <w:pStyle w:val="TableTextLeft"/>
              <w:rPr>
                <w:rFonts w:eastAsia="Calibri"/>
              </w:rPr>
            </w:pPr>
            <w:r w:rsidRPr="00E670A7">
              <w:rPr>
                <w:rFonts w:eastAsiaTheme="minorHAnsi"/>
                <w:lang w:eastAsia="en-US"/>
              </w:rPr>
              <w:object w:dxaOrig="440" w:dyaOrig="400" w14:anchorId="282FBE07">
                <v:shape id="_x0000_i1490" type="#_x0000_t75" style="width:21.6pt;height:21.6pt" o:ole="">
                  <v:imagedata r:id="rId954" o:title=""/>
                </v:shape>
                <o:OLEObject Type="Embed" ProgID="Equation.DSMT4" ShapeID="_x0000_i1490" DrawAspect="Content" ObjectID="_1754919041" r:id="rId955"/>
              </w:object>
            </w:r>
          </w:p>
        </w:tc>
        <w:tc>
          <w:tcPr>
            <w:tcW w:w="1138" w:type="dxa"/>
            <w:tcBorders>
              <w:top w:val="single" w:sz="4" w:space="0" w:color="auto"/>
              <w:left w:val="single" w:sz="4" w:space="0" w:color="auto"/>
            </w:tcBorders>
            <w:shd w:val="clear" w:color="auto" w:fill="auto"/>
            <w:vAlign w:val="center"/>
          </w:tcPr>
          <w:p w14:paraId="64F4CD4A" w14:textId="77777777" w:rsidR="006C3DEB" w:rsidRPr="002333C2" w:rsidRDefault="006C3DEB" w:rsidP="005A7549">
            <w:pPr>
              <w:pStyle w:val="TableTextCentered"/>
              <w:rPr>
                <w:rFonts w:eastAsia="Calibri"/>
                <w:highlight w:val="yellow"/>
              </w:rPr>
            </w:pPr>
            <w:r w:rsidRPr="0059335C">
              <w:t>0.082</w:t>
            </w:r>
          </w:p>
        </w:tc>
        <w:tc>
          <w:tcPr>
            <w:tcW w:w="1138" w:type="dxa"/>
            <w:tcBorders>
              <w:top w:val="single" w:sz="4" w:space="0" w:color="auto"/>
            </w:tcBorders>
            <w:shd w:val="clear" w:color="auto" w:fill="auto"/>
            <w:vAlign w:val="center"/>
          </w:tcPr>
          <w:p w14:paraId="1E7488D2" w14:textId="77777777" w:rsidR="006C3DEB" w:rsidRPr="002333C2" w:rsidRDefault="006C3DEB" w:rsidP="005A7549">
            <w:pPr>
              <w:pStyle w:val="TableTextCentered"/>
              <w:rPr>
                <w:rFonts w:eastAsia="Calibri"/>
                <w:highlight w:val="yellow"/>
              </w:rPr>
            </w:pPr>
            <w:r w:rsidRPr="0059335C">
              <w:t>0.265</w:t>
            </w:r>
          </w:p>
        </w:tc>
        <w:tc>
          <w:tcPr>
            <w:tcW w:w="1223" w:type="dxa"/>
            <w:tcBorders>
              <w:top w:val="single" w:sz="4" w:space="0" w:color="auto"/>
            </w:tcBorders>
            <w:shd w:val="clear" w:color="auto" w:fill="auto"/>
            <w:vAlign w:val="center"/>
          </w:tcPr>
          <w:p w14:paraId="77B19A35" w14:textId="77777777" w:rsidR="006C3DEB" w:rsidRPr="002333C2" w:rsidRDefault="006C3DEB" w:rsidP="005A7549">
            <w:pPr>
              <w:pStyle w:val="TableTextCentered"/>
              <w:rPr>
                <w:rFonts w:eastAsia="Calibri"/>
                <w:highlight w:val="yellow"/>
              </w:rPr>
            </w:pPr>
            <w:r w:rsidRPr="0059335C">
              <w:t>0.038</w:t>
            </w:r>
          </w:p>
        </w:tc>
        <w:tc>
          <w:tcPr>
            <w:tcW w:w="1054" w:type="dxa"/>
            <w:tcBorders>
              <w:top w:val="single" w:sz="4" w:space="0" w:color="auto"/>
            </w:tcBorders>
            <w:shd w:val="clear" w:color="auto" w:fill="auto"/>
            <w:vAlign w:val="center"/>
          </w:tcPr>
          <w:p w14:paraId="7375CCC0" w14:textId="77777777" w:rsidR="006C3DEB" w:rsidRPr="002333C2" w:rsidRDefault="006C3DEB" w:rsidP="005A7549">
            <w:pPr>
              <w:pStyle w:val="TableTextCentered"/>
              <w:rPr>
                <w:rFonts w:eastAsia="Calibri"/>
                <w:highlight w:val="yellow"/>
              </w:rPr>
            </w:pPr>
            <w:r w:rsidRPr="0059335C">
              <w:t>0.028</w:t>
            </w:r>
          </w:p>
        </w:tc>
        <w:tc>
          <w:tcPr>
            <w:tcW w:w="1138" w:type="dxa"/>
            <w:tcBorders>
              <w:top w:val="single" w:sz="4" w:space="0" w:color="auto"/>
            </w:tcBorders>
            <w:shd w:val="clear" w:color="auto" w:fill="auto"/>
            <w:vAlign w:val="center"/>
          </w:tcPr>
          <w:p w14:paraId="093CD85D" w14:textId="77777777" w:rsidR="006C3DEB" w:rsidRPr="002333C2" w:rsidRDefault="006C3DEB" w:rsidP="005A7549">
            <w:pPr>
              <w:pStyle w:val="TableTextCentered"/>
              <w:rPr>
                <w:rFonts w:eastAsia="Calibri"/>
                <w:highlight w:val="yellow"/>
              </w:rPr>
            </w:pPr>
            <w:r w:rsidRPr="0059335C">
              <w:t>0.001</w:t>
            </w:r>
          </w:p>
        </w:tc>
        <w:tc>
          <w:tcPr>
            <w:tcW w:w="1138" w:type="dxa"/>
            <w:tcBorders>
              <w:top w:val="single" w:sz="4" w:space="0" w:color="auto"/>
            </w:tcBorders>
            <w:shd w:val="clear" w:color="auto" w:fill="auto"/>
            <w:vAlign w:val="center"/>
          </w:tcPr>
          <w:p w14:paraId="7E452FF0" w14:textId="77777777" w:rsidR="006C3DEB" w:rsidRPr="002333C2" w:rsidRDefault="006C3DEB" w:rsidP="005A7549">
            <w:pPr>
              <w:pStyle w:val="TableTextCentered"/>
              <w:rPr>
                <w:rFonts w:eastAsia="Calibri"/>
                <w:highlight w:val="yellow"/>
              </w:rPr>
            </w:pPr>
            <w:r w:rsidRPr="0059335C">
              <w:t>0.017</w:t>
            </w:r>
          </w:p>
        </w:tc>
        <w:tc>
          <w:tcPr>
            <w:tcW w:w="1158" w:type="dxa"/>
            <w:tcBorders>
              <w:top w:val="single" w:sz="4" w:space="0" w:color="auto"/>
            </w:tcBorders>
            <w:shd w:val="clear" w:color="auto" w:fill="auto"/>
            <w:vAlign w:val="center"/>
          </w:tcPr>
          <w:p w14:paraId="3F4D0751" w14:textId="77777777" w:rsidR="006C3DEB" w:rsidRPr="002333C2" w:rsidRDefault="006C3DEB" w:rsidP="005A7549">
            <w:pPr>
              <w:pStyle w:val="TableTextCentered"/>
              <w:rPr>
                <w:rFonts w:eastAsia="Calibri"/>
                <w:highlight w:val="yellow"/>
              </w:rPr>
            </w:pPr>
            <w:r w:rsidRPr="0059335C">
              <w:t>0.001</w:t>
            </w:r>
          </w:p>
        </w:tc>
      </w:tr>
      <w:tr w:rsidR="006C3DEB" w:rsidRPr="00CE4CE9" w14:paraId="1A5EA1A7" w14:textId="77777777" w:rsidTr="00017ACD">
        <w:trPr>
          <w:jc w:val="center"/>
        </w:trPr>
        <w:tc>
          <w:tcPr>
            <w:tcW w:w="1425" w:type="dxa"/>
            <w:tcBorders>
              <w:right w:val="single" w:sz="4" w:space="0" w:color="auto"/>
            </w:tcBorders>
            <w:shd w:val="clear" w:color="auto" w:fill="EEEEEE" w:themeFill="background2"/>
          </w:tcPr>
          <w:p w14:paraId="7558539C" w14:textId="77777777" w:rsidR="006C3DEB" w:rsidRPr="00BA1C72" w:rsidRDefault="006C3DEB" w:rsidP="005A7549">
            <w:pPr>
              <w:pStyle w:val="TableTextLeft"/>
            </w:pPr>
            <w:r w:rsidRPr="00E670A7">
              <w:rPr>
                <w:rFonts w:eastAsiaTheme="minorHAnsi"/>
                <w:lang w:eastAsia="en-US"/>
              </w:rPr>
              <w:object w:dxaOrig="440" w:dyaOrig="400" w14:anchorId="4A99DC46">
                <v:shape id="_x0000_i1491" type="#_x0000_t75" style="width:21.6pt;height:21.6pt" o:ole="">
                  <v:imagedata r:id="rId956" o:title=""/>
                </v:shape>
                <o:OLEObject Type="Embed" ProgID="Equation.DSMT4" ShapeID="_x0000_i1491" DrawAspect="Content" ObjectID="_1754919042" r:id="rId957"/>
              </w:object>
            </w:r>
          </w:p>
        </w:tc>
        <w:tc>
          <w:tcPr>
            <w:tcW w:w="1138" w:type="dxa"/>
            <w:tcBorders>
              <w:left w:val="single" w:sz="4" w:space="0" w:color="auto"/>
            </w:tcBorders>
            <w:shd w:val="clear" w:color="auto" w:fill="auto"/>
            <w:vAlign w:val="center"/>
          </w:tcPr>
          <w:p w14:paraId="588C8B05" w14:textId="77777777" w:rsidR="006C3DEB" w:rsidRPr="004B4879" w:rsidRDefault="006C3DEB" w:rsidP="005A7549">
            <w:pPr>
              <w:pStyle w:val="TableTextCentered"/>
            </w:pPr>
            <w:r w:rsidRPr="00503196">
              <w:t>6.4</w:t>
            </w:r>
          </w:p>
        </w:tc>
        <w:tc>
          <w:tcPr>
            <w:tcW w:w="1138" w:type="dxa"/>
            <w:shd w:val="clear" w:color="auto" w:fill="auto"/>
            <w:vAlign w:val="center"/>
          </w:tcPr>
          <w:p w14:paraId="22BE28B1" w14:textId="77777777" w:rsidR="006C3DEB" w:rsidRPr="004B4879" w:rsidRDefault="006C3DEB" w:rsidP="005A7549">
            <w:pPr>
              <w:pStyle w:val="TableTextCentered"/>
            </w:pPr>
            <w:r w:rsidRPr="004B4879">
              <w:t>6.3</w:t>
            </w:r>
          </w:p>
        </w:tc>
        <w:tc>
          <w:tcPr>
            <w:tcW w:w="1223" w:type="dxa"/>
            <w:shd w:val="clear" w:color="auto" w:fill="auto"/>
            <w:vAlign w:val="center"/>
          </w:tcPr>
          <w:p w14:paraId="742BDB06" w14:textId="77777777" w:rsidR="006C3DEB" w:rsidRPr="004B4879" w:rsidRDefault="006C3DEB" w:rsidP="005A7549">
            <w:pPr>
              <w:pStyle w:val="TableTextCentered"/>
            </w:pPr>
            <w:r w:rsidRPr="00503196">
              <w:t>7.3</w:t>
            </w:r>
          </w:p>
        </w:tc>
        <w:tc>
          <w:tcPr>
            <w:tcW w:w="1054" w:type="dxa"/>
            <w:shd w:val="clear" w:color="auto" w:fill="auto"/>
            <w:vAlign w:val="center"/>
          </w:tcPr>
          <w:p w14:paraId="517E7562" w14:textId="77777777" w:rsidR="006C3DEB" w:rsidRPr="004B4879" w:rsidRDefault="006C3DEB" w:rsidP="005A7549">
            <w:pPr>
              <w:pStyle w:val="TableTextCentered"/>
            </w:pPr>
            <w:r w:rsidRPr="00503196">
              <w:t>5.6</w:t>
            </w:r>
          </w:p>
        </w:tc>
        <w:tc>
          <w:tcPr>
            <w:tcW w:w="1138" w:type="dxa"/>
            <w:shd w:val="clear" w:color="auto" w:fill="auto"/>
            <w:vAlign w:val="center"/>
          </w:tcPr>
          <w:p w14:paraId="7B6A0258" w14:textId="77777777" w:rsidR="006C3DEB" w:rsidRPr="004B4879" w:rsidRDefault="006C3DEB" w:rsidP="005A7549">
            <w:pPr>
              <w:pStyle w:val="TableTextCentered"/>
            </w:pPr>
            <w:r w:rsidRPr="00503196">
              <w:t>3.8</w:t>
            </w:r>
          </w:p>
        </w:tc>
        <w:tc>
          <w:tcPr>
            <w:tcW w:w="1138" w:type="dxa"/>
            <w:shd w:val="clear" w:color="auto" w:fill="auto"/>
            <w:vAlign w:val="center"/>
          </w:tcPr>
          <w:p w14:paraId="2CE8F0B1" w14:textId="77777777" w:rsidR="006C3DEB" w:rsidRPr="004B4879" w:rsidRDefault="006C3DEB" w:rsidP="005A7549">
            <w:pPr>
              <w:pStyle w:val="TableTextCentered"/>
            </w:pPr>
            <w:r w:rsidRPr="00503196">
              <w:t>3.8</w:t>
            </w:r>
          </w:p>
        </w:tc>
        <w:tc>
          <w:tcPr>
            <w:tcW w:w="1158" w:type="dxa"/>
            <w:shd w:val="clear" w:color="auto" w:fill="auto"/>
            <w:vAlign w:val="center"/>
          </w:tcPr>
          <w:p w14:paraId="7F66808D" w14:textId="77777777" w:rsidR="006C3DEB" w:rsidRPr="004B4879" w:rsidRDefault="006C3DEB" w:rsidP="005A7549">
            <w:pPr>
              <w:pStyle w:val="TableTextCentered"/>
            </w:pPr>
            <w:r w:rsidRPr="00503196">
              <w:t>3.8</w:t>
            </w:r>
          </w:p>
        </w:tc>
      </w:tr>
      <w:tr w:rsidR="006C3DEB" w:rsidRPr="00CE4CE9" w14:paraId="24346020" w14:textId="77777777" w:rsidTr="00017ACD">
        <w:trPr>
          <w:jc w:val="center"/>
        </w:trPr>
        <w:tc>
          <w:tcPr>
            <w:tcW w:w="1425" w:type="dxa"/>
            <w:tcBorders>
              <w:bottom w:val="single" w:sz="4" w:space="0" w:color="auto"/>
              <w:right w:val="single" w:sz="4" w:space="0" w:color="auto"/>
            </w:tcBorders>
            <w:shd w:val="clear" w:color="auto" w:fill="EEEEEE" w:themeFill="background2"/>
          </w:tcPr>
          <w:p w14:paraId="3B6C4408" w14:textId="77777777" w:rsidR="006C3DEB" w:rsidRPr="00CE4CE9" w:rsidRDefault="006C3DEB" w:rsidP="005A7549">
            <w:pPr>
              <w:pStyle w:val="TableTextLeft"/>
            </w:pPr>
            <w:r w:rsidRPr="00E670A7">
              <w:rPr>
                <w:rFonts w:eastAsiaTheme="minorHAnsi"/>
                <w:lang w:eastAsia="en-US"/>
              </w:rPr>
              <w:object w:dxaOrig="380" w:dyaOrig="380" w14:anchorId="0BA43915">
                <v:shape id="_x0000_i1492" type="#_x0000_t75" style="width:14.4pt;height:14.4pt" o:ole="">
                  <v:imagedata r:id="rId958" o:title=""/>
                </v:shape>
                <o:OLEObject Type="Embed" ProgID="Equation.DSMT4" ShapeID="_x0000_i1492" DrawAspect="Content" ObjectID="_1754919043" r:id="rId959"/>
              </w:object>
            </w:r>
            <w:r>
              <w:tab/>
            </w:r>
          </w:p>
        </w:tc>
        <w:tc>
          <w:tcPr>
            <w:tcW w:w="1138" w:type="dxa"/>
            <w:tcBorders>
              <w:left w:val="single" w:sz="4" w:space="0" w:color="auto"/>
              <w:bottom w:val="single" w:sz="4" w:space="0" w:color="auto"/>
            </w:tcBorders>
            <w:shd w:val="clear" w:color="auto" w:fill="auto"/>
            <w:vAlign w:val="center"/>
          </w:tcPr>
          <w:p w14:paraId="437AC1DF" w14:textId="77777777" w:rsidR="006C3DEB" w:rsidRPr="004B4879" w:rsidRDefault="006C3DEB" w:rsidP="005A7549">
            <w:pPr>
              <w:pStyle w:val="TableTextCentered"/>
            </w:pPr>
            <w:r w:rsidRPr="004B4879">
              <w:t>2.24%</w:t>
            </w:r>
          </w:p>
        </w:tc>
        <w:tc>
          <w:tcPr>
            <w:tcW w:w="1138" w:type="dxa"/>
            <w:tcBorders>
              <w:bottom w:val="single" w:sz="4" w:space="0" w:color="auto"/>
            </w:tcBorders>
            <w:shd w:val="clear" w:color="auto" w:fill="auto"/>
            <w:vAlign w:val="center"/>
          </w:tcPr>
          <w:p w14:paraId="576C4F1E" w14:textId="77777777" w:rsidR="006C3DEB" w:rsidRPr="004B4879" w:rsidRDefault="006C3DEB" w:rsidP="005A7549">
            <w:pPr>
              <w:pStyle w:val="TableTextCentered"/>
            </w:pPr>
            <w:r w:rsidRPr="004B4879">
              <w:t>8.61%</w:t>
            </w:r>
          </w:p>
        </w:tc>
        <w:tc>
          <w:tcPr>
            <w:tcW w:w="1223" w:type="dxa"/>
            <w:tcBorders>
              <w:bottom w:val="single" w:sz="4" w:space="0" w:color="auto"/>
            </w:tcBorders>
            <w:shd w:val="clear" w:color="auto" w:fill="auto"/>
            <w:vAlign w:val="center"/>
          </w:tcPr>
          <w:p w14:paraId="71241A32" w14:textId="77777777" w:rsidR="006C3DEB" w:rsidRPr="004B4879" w:rsidRDefault="006C3DEB" w:rsidP="005A7549">
            <w:pPr>
              <w:pStyle w:val="TableTextCentered"/>
            </w:pPr>
            <w:r w:rsidRPr="004B4879">
              <w:t>6.13%</w:t>
            </w:r>
          </w:p>
        </w:tc>
        <w:tc>
          <w:tcPr>
            <w:tcW w:w="1054" w:type="dxa"/>
            <w:tcBorders>
              <w:bottom w:val="single" w:sz="4" w:space="0" w:color="auto"/>
            </w:tcBorders>
            <w:shd w:val="clear" w:color="auto" w:fill="auto"/>
            <w:vAlign w:val="center"/>
          </w:tcPr>
          <w:p w14:paraId="110DEA60" w14:textId="77777777" w:rsidR="006C3DEB" w:rsidRPr="004B4879" w:rsidRDefault="006C3DEB" w:rsidP="005A7549">
            <w:pPr>
              <w:pStyle w:val="TableTextCentered"/>
            </w:pPr>
            <w:r w:rsidRPr="004B4879">
              <w:t>0.03%</w:t>
            </w:r>
          </w:p>
        </w:tc>
        <w:tc>
          <w:tcPr>
            <w:tcW w:w="1138" w:type="dxa"/>
            <w:tcBorders>
              <w:bottom w:val="single" w:sz="4" w:space="0" w:color="auto"/>
            </w:tcBorders>
            <w:shd w:val="clear" w:color="auto" w:fill="auto"/>
            <w:vAlign w:val="center"/>
          </w:tcPr>
          <w:p w14:paraId="5DE5223D" w14:textId="77777777" w:rsidR="006C3DEB" w:rsidRPr="004B4879" w:rsidRDefault="006C3DEB" w:rsidP="005A7549">
            <w:pPr>
              <w:pStyle w:val="TableTextCentered"/>
            </w:pPr>
            <w:r w:rsidRPr="004B4879">
              <w:t>0.07%</w:t>
            </w:r>
          </w:p>
        </w:tc>
        <w:tc>
          <w:tcPr>
            <w:tcW w:w="1138" w:type="dxa"/>
            <w:tcBorders>
              <w:bottom w:val="single" w:sz="4" w:space="0" w:color="auto"/>
            </w:tcBorders>
            <w:shd w:val="clear" w:color="auto" w:fill="auto"/>
            <w:vAlign w:val="center"/>
          </w:tcPr>
          <w:p w14:paraId="3A5F754C" w14:textId="77777777" w:rsidR="006C3DEB" w:rsidRPr="004B4879" w:rsidRDefault="006C3DEB" w:rsidP="005A7549">
            <w:pPr>
              <w:pStyle w:val="TableTextCentered"/>
            </w:pPr>
            <w:r w:rsidRPr="004B4879">
              <w:t>5.92%</w:t>
            </w:r>
          </w:p>
        </w:tc>
        <w:tc>
          <w:tcPr>
            <w:tcW w:w="1158" w:type="dxa"/>
            <w:tcBorders>
              <w:bottom w:val="single" w:sz="4" w:space="0" w:color="auto"/>
            </w:tcBorders>
            <w:shd w:val="clear" w:color="auto" w:fill="auto"/>
            <w:vAlign w:val="center"/>
          </w:tcPr>
          <w:p w14:paraId="7B23B71A" w14:textId="77777777" w:rsidR="006C3DEB" w:rsidRPr="004B4879" w:rsidRDefault="006C3DEB" w:rsidP="005A7549">
            <w:pPr>
              <w:pStyle w:val="TableTextCentered"/>
            </w:pPr>
            <w:r w:rsidRPr="004B4879">
              <w:t>0.14%</w:t>
            </w:r>
          </w:p>
        </w:tc>
      </w:tr>
    </w:tbl>
    <w:p w14:paraId="085872E3" w14:textId="77777777" w:rsidR="006C3DEB" w:rsidRPr="00E83879" w:rsidRDefault="006C3DEB" w:rsidP="006C3DEB">
      <w:pPr>
        <w:pStyle w:val="Note"/>
      </w:pPr>
      <w:r w:rsidRPr="00CE4CE9">
        <w:t>Source: Authors’ calculation</w:t>
      </w:r>
      <w:r>
        <w:t>s based on Aguiar et al. (2019) and ABS (2018a)</w:t>
      </w:r>
      <w:r w:rsidRPr="00CE4CE9">
        <w:t>.</w:t>
      </w:r>
      <w:r>
        <w:t xml:space="preserve"> The unit of</w:t>
      </w:r>
      <w:r w:rsidRPr="00E670A7">
        <w:rPr>
          <w:position w:val="-14"/>
        </w:rPr>
        <w:object w:dxaOrig="380" w:dyaOrig="380" w14:anchorId="362E9154">
          <v:shape id="_x0000_i1493" type="#_x0000_t75" style="width:14.4pt;height:14.4pt" o:ole="">
            <v:imagedata r:id="rId960" o:title=""/>
          </v:shape>
          <o:OLEObject Type="Embed" ProgID="Equation.DSMT4" ShapeID="_x0000_i1493" DrawAspect="Content" ObjectID="_1754919044" r:id="rId961"/>
        </w:object>
      </w:r>
      <w:r w:rsidRPr="00E83879">
        <w:t>is % of GDP.</w:t>
      </w:r>
    </w:p>
    <w:p w14:paraId="443C17FA" w14:textId="77777777" w:rsidR="006C3DEB" w:rsidRPr="00752397" w:rsidRDefault="006C3DEB" w:rsidP="006C3DEB">
      <w:pPr>
        <w:pStyle w:val="Heading3"/>
      </w:pPr>
      <w:r>
        <w:t>Distribution sector</w:t>
      </w:r>
    </w:p>
    <w:p w14:paraId="50709D6C" w14:textId="77777777" w:rsidR="006C3DEB" w:rsidRDefault="006C3DEB" w:rsidP="006C3DEB">
      <w:pPr>
        <w:pStyle w:val="Heading4"/>
      </w:pPr>
      <w:r>
        <w:t>Composite goods</w:t>
      </w:r>
    </w:p>
    <w:p w14:paraId="0B541CA4" w14:textId="77777777" w:rsidR="006C3DEB" w:rsidRPr="004765B5" w:rsidRDefault="006C3DEB" w:rsidP="006C3DEB">
      <w:pPr>
        <w:pStyle w:val="Heading5"/>
        <w:rPr>
          <w:rStyle w:val="IntenseEmphasis"/>
          <w:b/>
          <w:bCs w:val="0"/>
          <w:i w:val="0"/>
          <w:iCs/>
          <w:color w:val="000000" w:themeColor="text1"/>
        </w:rPr>
      </w:pPr>
      <w:r w:rsidRPr="004765B5">
        <w:rPr>
          <w:rStyle w:val="IntenseEmphasis"/>
          <w:b/>
          <w:bCs w:val="0"/>
          <w:i w:val="0"/>
          <w:iCs/>
          <w:color w:val="000000" w:themeColor="text1"/>
        </w:rPr>
        <w:t>Expenditure shares</w:t>
      </w:r>
    </w:p>
    <w:p w14:paraId="34DB8257" w14:textId="62355856" w:rsidR="006C3DEB" w:rsidRDefault="006C3DEB" w:rsidP="006C3DEB">
      <w:r>
        <w:t xml:space="preserve">The CES weights in the distribution sector composite goods and services functions are calibrated to match final expenditure shares reported in </w:t>
      </w:r>
      <w:r w:rsidRPr="00920A2E">
        <w:t>the ABS (2018</w:t>
      </w:r>
      <w:r>
        <w:t xml:space="preserve">a) IO table. In particular, the weights for intermediate, consumption, investment, and government consumption are calibrated to match the expenditure shares implied by the purple (intermediate only), green, grey, and orange blocks of </w:t>
      </w:r>
      <w:r w:rsidR="00E00A52" w:rsidRPr="0088277E">
        <w:t xml:space="preserve">Table </w:t>
      </w:r>
      <w:r w:rsidR="00E00A52">
        <w:rPr>
          <w:noProof/>
        </w:rPr>
        <w:t>3</w:t>
      </w:r>
      <w:r>
        <w:t xml:space="preserve">. Further </w:t>
      </w:r>
      <w:r w:rsidRPr="001A03D8">
        <w:rPr>
          <w:lang w:val="en-US"/>
        </w:rPr>
        <w:t>detail</w:t>
      </w:r>
      <w:r>
        <w:rPr>
          <w:lang w:val="en-US"/>
        </w:rPr>
        <w:t>s</w:t>
      </w:r>
      <w:r w:rsidRPr="001A03D8">
        <w:rPr>
          <w:lang w:val="en-US"/>
        </w:rPr>
        <w:t xml:space="preserve"> on</w:t>
      </w:r>
      <w:r>
        <w:rPr>
          <w:lang w:val="en-US"/>
        </w:rPr>
        <w:t xml:space="preserve"> calibration are provided at the end of</w:t>
      </w:r>
      <w:r w:rsidRPr="001A03D8">
        <w:rPr>
          <w:lang w:val="en-US"/>
        </w:rPr>
        <w:t xml:space="preserve"> Appendix </w:t>
      </w:r>
      <w:r>
        <w:rPr>
          <w:lang w:val="en-US"/>
        </w:rPr>
        <w:t>E</w:t>
      </w:r>
      <w:r w:rsidRPr="001A03D8">
        <w:rPr>
          <w:lang w:val="en-US"/>
        </w:rPr>
        <w:t>.</w:t>
      </w:r>
      <w:r>
        <w:rPr>
          <w:lang w:val="en-US"/>
        </w:rPr>
        <w:t xml:space="preserve"> </w:t>
      </w:r>
      <w:r>
        <w:t>The expenditure shares implied by these data are summarised in Table 7.</w:t>
      </w:r>
    </w:p>
    <w:p w14:paraId="64241760" w14:textId="77777777" w:rsidR="006C3DEB" w:rsidRDefault="006C3DEB" w:rsidP="006C3DEB">
      <w:r>
        <w:t xml:space="preserve">The ABS Input-Output tables do not provide investment expenditure by purchasing industry (this means there is only one private investment column in the Input-Output table). To better capture the investment goods purchased by different sectors the investment goods sold by each industry have been allocated across the purchasing industries by also using additional data on </w:t>
      </w:r>
      <w:r w:rsidRPr="00A20333">
        <w:t xml:space="preserve">private investment by </w:t>
      </w:r>
      <w:r w:rsidRPr="00A20333">
        <w:lastRenderedPageBreak/>
        <w:t>capital type and two-digit industry</w:t>
      </w:r>
      <w:r>
        <w:t xml:space="preserve"> from the </w:t>
      </w:r>
      <w:r w:rsidRPr="000A564E">
        <w:t>ABS National Accounts 5204.0</w:t>
      </w:r>
      <w:r>
        <w:t>. This allocation has also been used to allocate the GST paid on investment goods and services to different purchasing industries.</w:t>
      </w:r>
    </w:p>
    <w:p w14:paraId="6DB3543C" w14:textId="424655CA" w:rsidR="006C3DEB" w:rsidRDefault="006C3DEB" w:rsidP="006C3DEB">
      <w:pPr>
        <w:pStyle w:val="TableMainHeading"/>
      </w:pPr>
      <w:bookmarkStart w:id="29" w:name="_Ref101947146"/>
      <w:r>
        <w:t xml:space="preserve">Table </w:t>
      </w:r>
      <w:r>
        <w:rPr>
          <w:noProof/>
        </w:rPr>
        <w:fldChar w:fldCharType="begin"/>
      </w:r>
      <w:r>
        <w:rPr>
          <w:noProof/>
        </w:rPr>
        <w:instrText xml:space="preserve"> SEQ Table \* ARABIC </w:instrText>
      </w:r>
      <w:r>
        <w:rPr>
          <w:noProof/>
        </w:rPr>
        <w:fldChar w:fldCharType="separate"/>
      </w:r>
      <w:r w:rsidR="00E00A52">
        <w:rPr>
          <w:noProof/>
        </w:rPr>
        <w:t>7</w:t>
      </w:r>
      <w:r>
        <w:rPr>
          <w:noProof/>
        </w:rPr>
        <w:fldChar w:fldCharType="end"/>
      </w:r>
      <w:bookmarkEnd w:id="29"/>
      <w:r>
        <w:t>: Expenditure weights</w:t>
      </w:r>
    </w:p>
    <w:tbl>
      <w:tblPr>
        <w:tblStyle w:val="TableGrid"/>
        <w:tblW w:w="5000" w:type="pct"/>
        <w:jc w:val="center"/>
        <w:shd w:val="clear" w:color="auto" w:fill="EEEEEE" w:themeFill="background2"/>
        <w:tblLayout w:type="fixed"/>
        <w:tblLook w:val="04A0" w:firstRow="1" w:lastRow="0" w:firstColumn="1" w:lastColumn="0" w:noHBand="0" w:noVBand="1"/>
      </w:tblPr>
      <w:tblGrid>
        <w:gridCol w:w="1371"/>
        <w:gridCol w:w="1097"/>
        <w:gridCol w:w="1097"/>
        <w:gridCol w:w="1178"/>
        <w:gridCol w:w="1017"/>
        <w:gridCol w:w="1097"/>
        <w:gridCol w:w="1097"/>
        <w:gridCol w:w="1116"/>
      </w:tblGrid>
      <w:tr w:rsidR="006C3DEB" w14:paraId="258EA3FF" w14:textId="77777777" w:rsidTr="00017ACD">
        <w:trPr>
          <w:jc w:val="center"/>
        </w:trPr>
        <w:tc>
          <w:tcPr>
            <w:tcW w:w="1425" w:type="dxa"/>
            <w:vMerge w:val="restart"/>
            <w:tcBorders>
              <w:top w:val="single" w:sz="4" w:space="0" w:color="auto"/>
            </w:tcBorders>
            <w:shd w:val="clear" w:color="auto" w:fill="EEEEEE" w:themeFill="background2"/>
            <w:vAlign w:val="center"/>
          </w:tcPr>
          <w:p w14:paraId="13B37E68" w14:textId="77777777" w:rsidR="006C3DEB" w:rsidRPr="0088277E" w:rsidRDefault="006C3DEB" w:rsidP="005A7549">
            <w:pPr>
              <w:pStyle w:val="TableColumnHeadingLeft"/>
              <w:rPr>
                <w:rFonts w:eastAsia="Calibri"/>
              </w:rPr>
            </w:pPr>
            <w:r w:rsidRPr="0088277E">
              <w:rPr>
                <w:rFonts w:eastAsia="Calibri"/>
              </w:rPr>
              <w:t>Parameter</w:t>
            </w:r>
          </w:p>
        </w:tc>
        <w:tc>
          <w:tcPr>
            <w:tcW w:w="7987" w:type="dxa"/>
            <w:gridSpan w:val="7"/>
            <w:tcBorders>
              <w:top w:val="single" w:sz="4" w:space="0" w:color="auto"/>
            </w:tcBorders>
            <w:shd w:val="clear" w:color="auto" w:fill="EEEEEE" w:themeFill="background2"/>
            <w:vAlign w:val="center"/>
          </w:tcPr>
          <w:p w14:paraId="680511F4" w14:textId="77777777" w:rsidR="006C3DEB" w:rsidRDefault="006C3DEB" w:rsidP="005A7549">
            <w:pPr>
              <w:pStyle w:val="TableColumnHeadingCentred"/>
              <w:rPr>
                <w:rFonts w:eastAsia="Calibri"/>
              </w:rPr>
            </w:pPr>
            <w:r w:rsidRPr="0088277E">
              <w:rPr>
                <w:rFonts w:eastAsia="Calibri"/>
              </w:rPr>
              <w:t>Consistent with cost share:</w:t>
            </w:r>
            <w:r>
              <w:rPr>
                <w:rFonts w:eastAsia="Calibri"/>
              </w:rPr>
              <w:t xml:space="preserve"> </w:t>
            </w:r>
            <w:r w:rsidRPr="00141826">
              <w:rPr>
                <w:rFonts w:eastAsia="Calibri"/>
                <w:i/>
              </w:rPr>
              <w:t>j</w:t>
            </w:r>
            <w:r>
              <w:rPr>
                <w:rFonts w:eastAsia="Calibri"/>
              </w:rPr>
              <w:t xml:space="preserve"> = </w:t>
            </w:r>
          </w:p>
        </w:tc>
      </w:tr>
      <w:tr w:rsidR="006C3DEB" w14:paraId="5D00FA08" w14:textId="77777777" w:rsidTr="00017ACD">
        <w:trPr>
          <w:jc w:val="center"/>
        </w:trPr>
        <w:tc>
          <w:tcPr>
            <w:tcW w:w="1425" w:type="dxa"/>
            <w:vMerge/>
            <w:tcBorders>
              <w:bottom w:val="single" w:sz="4" w:space="0" w:color="auto"/>
            </w:tcBorders>
            <w:shd w:val="clear" w:color="auto" w:fill="EEEEEE" w:themeFill="background2"/>
          </w:tcPr>
          <w:p w14:paraId="6C3625C1" w14:textId="77777777" w:rsidR="006C3DEB" w:rsidRPr="0088277E" w:rsidRDefault="006C3DEB" w:rsidP="005A7549">
            <w:pPr>
              <w:pStyle w:val="TableColumnHeadingCentred"/>
              <w:rPr>
                <w:rFonts w:eastAsia="Calibri"/>
              </w:rPr>
            </w:pPr>
          </w:p>
        </w:tc>
        <w:tc>
          <w:tcPr>
            <w:tcW w:w="1138" w:type="dxa"/>
            <w:tcBorders>
              <w:bottom w:val="single" w:sz="4" w:space="0" w:color="auto"/>
            </w:tcBorders>
            <w:shd w:val="clear" w:color="auto" w:fill="EEEEEE" w:themeFill="background2"/>
            <w:vAlign w:val="center"/>
          </w:tcPr>
          <w:p w14:paraId="74535F30" w14:textId="77777777" w:rsidR="006C3DEB" w:rsidRPr="0088277E" w:rsidRDefault="006C3DEB" w:rsidP="005A7549">
            <w:pPr>
              <w:pStyle w:val="TableColumnHeadingCentred"/>
              <w:rPr>
                <w:rFonts w:eastAsia="Calibri"/>
              </w:rPr>
            </w:pPr>
            <w:r>
              <w:rPr>
                <w:rFonts w:eastAsia="Calibri"/>
              </w:rPr>
              <w:t>AGR</w:t>
            </w:r>
          </w:p>
        </w:tc>
        <w:tc>
          <w:tcPr>
            <w:tcW w:w="1138" w:type="dxa"/>
            <w:tcBorders>
              <w:bottom w:val="single" w:sz="4" w:space="0" w:color="auto"/>
            </w:tcBorders>
            <w:shd w:val="clear" w:color="auto" w:fill="EEEEEE" w:themeFill="background2"/>
            <w:vAlign w:val="center"/>
          </w:tcPr>
          <w:p w14:paraId="3D779ADD" w14:textId="77777777" w:rsidR="006C3DEB" w:rsidRPr="0088277E" w:rsidRDefault="006C3DEB" w:rsidP="005A7549">
            <w:pPr>
              <w:pStyle w:val="TableColumnHeadingCentred"/>
              <w:rPr>
                <w:rFonts w:eastAsia="Calibri"/>
              </w:rPr>
            </w:pPr>
            <w:r>
              <w:rPr>
                <w:rFonts w:eastAsia="Calibri"/>
              </w:rPr>
              <w:t>MIN</w:t>
            </w:r>
          </w:p>
        </w:tc>
        <w:tc>
          <w:tcPr>
            <w:tcW w:w="1223" w:type="dxa"/>
            <w:tcBorders>
              <w:bottom w:val="single" w:sz="4" w:space="0" w:color="auto"/>
            </w:tcBorders>
            <w:shd w:val="clear" w:color="auto" w:fill="EEEEEE" w:themeFill="background2"/>
            <w:vAlign w:val="center"/>
          </w:tcPr>
          <w:p w14:paraId="307CF5D0" w14:textId="77777777" w:rsidR="006C3DEB" w:rsidRDefault="006C3DEB" w:rsidP="005A7549">
            <w:pPr>
              <w:pStyle w:val="TableColumnHeadingCentred"/>
              <w:rPr>
                <w:rFonts w:eastAsia="Calibri"/>
              </w:rPr>
            </w:pPr>
            <w:r>
              <w:rPr>
                <w:rFonts w:eastAsia="Calibri"/>
              </w:rPr>
              <w:t>MAN</w:t>
            </w:r>
          </w:p>
        </w:tc>
        <w:tc>
          <w:tcPr>
            <w:tcW w:w="1054" w:type="dxa"/>
            <w:tcBorders>
              <w:bottom w:val="single" w:sz="4" w:space="0" w:color="auto"/>
            </w:tcBorders>
            <w:shd w:val="clear" w:color="auto" w:fill="EEEEEE" w:themeFill="background2"/>
            <w:vAlign w:val="center"/>
          </w:tcPr>
          <w:p w14:paraId="44EF0B1F" w14:textId="77777777" w:rsidR="006C3DEB" w:rsidRDefault="006C3DEB" w:rsidP="005A7549">
            <w:pPr>
              <w:pStyle w:val="TableColumnHeadingCentred"/>
              <w:rPr>
                <w:rFonts w:eastAsia="Calibri"/>
              </w:rPr>
            </w:pPr>
            <w:r>
              <w:rPr>
                <w:rFonts w:eastAsia="Calibri"/>
              </w:rPr>
              <w:t>UTL</w:t>
            </w:r>
          </w:p>
        </w:tc>
        <w:tc>
          <w:tcPr>
            <w:tcW w:w="1138" w:type="dxa"/>
            <w:tcBorders>
              <w:bottom w:val="single" w:sz="4" w:space="0" w:color="auto"/>
            </w:tcBorders>
            <w:shd w:val="clear" w:color="auto" w:fill="EEEEEE" w:themeFill="background2"/>
            <w:vAlign w:val="center"/>
          </w:tcPr>
          <w:p w14:paraId="218A86F2" w14:textId="77777777" w:rsidR="006C3DEB" w:rsidRDefault="006C3DEB" w:rsidP="005A7549">
            <w:pPr>
              <w:pStyle w:val="TableColumnHeadingCentred"/>
              <w:rPr>
                <w:rFonts w:eastAsia="Calibri"/>
              </w:rPr>
            </w:pPr>
            <w:r>
              <w:rPr>
                <w:rFonts w:eastAsia="Calibri"/>
              </w:rPr>
              <w:t>CST</w:t>
            </w:r>
          </w:p>
        </w:tc>
        <w:tc>
          <w:tcPr>
            <w:tcW w:w="1138" w:type="dxa"/>
            <w:tcBorders>
              <w:bottom w:val="single" w:sz="4" w:space="0" w:color="auto"/>
            </w:tcBorders>
            <w:shd w:val="clear" w:color="auto" w:fill="EEEEEE" w:themeFill="background2"/>
            <w:vAlign w:val="center"/>
          </w:tcPr>
          <w:p w14:paraId="5A67ADDB" w14:textId="77777777" w:rsidR="006C3DEB" w:rsidRDefault="006C3DEB" w:rsidP="005A7549">
            <w:pPr>
              <w:pStyle w:val="TableColumnHeadingCentred"/>
              <w:rPr>
                <w:rFonts w:eastAsia="Calibri"/>
              </w:rPr>
            </w:pPr>
            <w:r>
              <w:rPr>
                <w:rFonts w:eastAsia="Calibri"/>
              </w:rPr>
              <w:t>SRV</w:t>
            </w:r>
          </w:p>
        </w:tc>
        <w:tc>
          <w:tcPr>
            <w:tcW w:w="1158" w:type="dxa"/>
            <w:tcBorders>
              <w:bottom w:val="single" w:sz="4" w:space="0" w:color="auto"/>
            </w:tcBorders>
            <w:shd w:val="clear" w:color="auto" w:fill="EEEEEE" w:themeFill="background2"/>
            <w:vAlign w:val="center"/>
          </w:tcPr>
          <w:p w14:paraId="56859063" w14:textId="77777777" w:rsidR="006C3DEB" w:rsidRDefault="006C3DEB" w:rsidP="005A7549">
            <w:pPr>
              <w:pStyle w:val="TableColumnHeadingCentred"/>
              <w:rPr>
                <w:rFonts w:eastAsia="Calibri"/>
              </w:rPr>
            </w:pPr>
            <w:r>
              <w:rPr>
                <w:rFonts w:eastAsia="Calibri"/>
              </w:rPr>
              <w:t>DWE</w:t>
            </w:r>
          </w:p>
        </w:tc>
      </w:tr>
      <w:tr w:rsidR="006C3DEB" w14:paraId="29FCBA65" w14:textId="77777777" w:rsidTr="00017ACD">
        <w:trPr>
          <w:jc w:val="center"/>
        </w:trPr>
        <w:tc>
          <w:tcPr>
            <w:tcW w:w="1425" w:type="dxa"/>
            <w:tcBorders>
              <w:top w:val="single" w:sz="4" w:space="0" w:color="auto"/>
              <w:right w:val="single" w:sz="4" w:space="0" w:color="auto"/>
            </w:tcBorders>
            <w:shd w:val="clear" w:color="auto" w:fill="EEEEEE" w:themeFill="background2"/>
          </w:tcPr>
          <w:p w14:paraId="0984FD78" w14:textId="77777777" w:rsidR="006C3DEB" w:rsidRDefault="006C3DEB" w:rsidP="005A7549">
            <w:pPr>
              <w:pStyle w:val="TableTextLeft"/>
              <w:rPr>
                <w:rFonts w:eastAsia="Calibri"/>
              </w:rPr>
            </w:pPr>
            <w:r w:rsidRPr="00E670A7">
              <w:rPr>
                <w:rFonts w:eastAsiaTheme="minorHAnsi"/>
                <w:lang w:eastAsia="en-US"/>
              </w:rPr>
              <w:object w:dxaOrig="279" w:dyaOrig="400" w14:anchorId="338A0DEC">
                <v:shape id="_x0000_i1494" type="#_x0000_t75" style="width:14.4pt;height:21.6pt" o:ole="">
                  <v:imagedata r:id="rId962" o:title=""/>
                </v:shape>
                <o:OLEObject Type="Embed" ProgID="Equation.DSMT4" ShapeID="_x0000_i1494" DrawAspect="Content" ObjectID="_1754919045" r:id="rId963"/>
              </w:object>
            </w:r>
          </w:p>
        </w:tc>
        <w:tc>
          <w:tcPr>
            <w:tcW w:w="1138" w:type="dxa"/>
            <w:tcBorders>
              <w:top w:val="single" w:sz="4" w:space="0" w:color="auto"/>
              <w:left w:val="single" w:sz="4" w:space="0" w:color="auto"/>
            </w:tcBorders>
            <w:shd w:val="clear" w:color="auto" w:fill="auto"/>
            <w:vAlign w:val="center"/>
          </w:tcPr>
          <w:p w14:paraId="4DFCA209" w14:textId="77777777" w:rsidR="006C3DEB" w:rsidRPr="003E1D8C" w:rsidRDefault="006C3DEB" w:rsidP="005A7549">
            <w:pPr>
              <w:pStyle w:val="TableTextCentered"/>
              <w:rPr>
                <w:rFonts w:eastAsia="Calibri"/>
              </w:rPr>
            </w:pPr>
            <w:r w:rsidRPr="003E1D8C">
              <w:rPr>
                <w:rFonts w:eastAsia="Calibri"/>
              </w:rPr>
              <w:t>0.</w:t>
            </w:r>
            <w:r>
              <w:rPr>
                <w:rFonts w:eastAsia="Calibri"/>
              </w:rPr>
              <w:t>0105</w:t>
            </w:r>
          </w:p>
        </w:tc>
        <w:tc>
          <w:tcPr>
            <w:tcW w:w="1138" w:type="dxa"/>
            <w:tcBorders>
              <w:top w:val="single" w:sz="4" w:space="0" w:color="auto"/>
            </w:tcBorders>
            <w:shd w:val="clear" w:color="auto" w:fill="auto"/>
            <w:vAlign w:val="center"/>
          </w:tcPr>
          <w:p w14:paraId="6FE10B02" w14:textId="77777777" w:rsidR="006C3DEB" w:rsidRPr="003E1D8C" w:rsidRDefault="006C3DEB" w:rsidP="005A7549">
            <w:pPr>
              <w:pStyle w:val="TableTextCentered"/>
              <w:rPr>
                <w:rFonts w:eastAsia="Calibri"/>
              </w:rPr>
            </w:pPr>
            <w:r w:rsidRPr="003E1D8C">
              <w:rPr>
                <w:rFonts w:eastAsia="Calibri"/>
              </w:rPr>
              <w:t>0.</w:t>
            </w:r>
            <w:r>
              <w:rPr>
                <w:rFonts w:eastAsia="Calibri"/>
              </w:rPr>
              <w:t>0037</w:t>
            </w:r>
          </w:p>
        </w:tc>
        <w:tc>
          <w:tcPr>
            <w:tcW w:w="1223" w:type="dxa"/>
            <w:tcBorders>
              <w:top w:val="single" w:sz="4" w:space="0" w:color="auto"/>
            </w:tcBorders>
            <w:shd w:val="clear" w:color="auto" w:fill="auto"/>
            <w:vAlign w:val="center"/>
          </w:tcPr>
          <w:p w14:paraId="27704077" w14:textId="77777777" w:rsidR="006C3DEB" w:rsidRPr="003E1D8C" w:rsidRDefault="006C3DEB" w:rsidP="005A7549">
            <w:pPr>
              <w:pStyle w:val="TableTextCentered"/>
              <w:rPr>
                <w:rFonts w:eastAsia="Calibri"/>
              </w:rPr>
            </w:pPr>
            <w:r>
              <w:rPr>
                <w:rFonts w:eastAsia="Calibri"/>
              </w:rPr>
              <w:t>0.1528</w:t>
            </w:r>
          </w:p>
        </w:tc>
        <w:tc>
          <w:tcPr>
            <w:tcW w:w="1054" w:type="dxa"/>
            <w:tcBorders>
              <w:top w:val="single" w:sz="4" w:space="0" w:color="auto"/>
            </w:tcBorders>
            <w:shd w:val="clear" w:color="auto" w:fill="auto"/>
            <w:vAlign w:val="center"/>
          </w:tcPr>
          <w:p w14:paraId="1865EF12" w14:textId="77777777" w:rsidR="006C3DEB" w:rsidRPr="003E1D8C" w:rsidRDefault="006C3DEB" w:rsidP="005A7549">
            <w:pPr>
              <w:pStyle w:val="TableTextCentered"/>
              <w:rPr>
                <w:rFonts w:eastAsia="Calibri"/>
              </w:rPr>
            </w:pPr>
            <w:r>
              <w:rPr>
                <w:rFonts w:eastAsia="Calibri"/>
              </w:rPr>
              <w:t>0.0287</w:t>
            </w:r>
          </w:p>
        </w:tc>
        <w:tc>
          <w:tcPr>
            <w:tcW w:w="1138" w:type="dxa"/>
            <w:tcBorders>
              <w:top w:val="single" w:sz="4" w:space="0" w:color="auto"/>
            </w:tcBorders>
            <w:shd w:val="clear" w:color="auto" w:fill="auto"/>
            <w:vAlign w:val="center"/>
          </w:tcPr>
          <w:p w14:paraId="19915737" w14:textId="77777777" w:rsidR="006C3DEB" w:rsidRDefault="006C3DEB" w:rsidP="005A7549">
            <w:pPr>
              <w:pStyle w:val="TableTextCentered"/>
              <w:rPr>
                <w:rFonts w:eastAsia="Calibri"/>
              </w:rPr>
            </w:pPr>
            <w:r>
              <w:rPr>
                <w:rFonts w:eastAsia="Calibri"/>
              </w:rPr>
              <w:t>0.0010</w:t>
            </w:r>
          </w:p>
        </w:tc>
        <w:tc>
          <w:tcPr>
            <w:tcW w:w="1138" w:type="dxa"/>
            <w:tcBorders>
              <w:top w:val="single" w:sz="4" w:space="0" w:color="auto"/>
            </w:tcBorders>
            <w:shd w:val="clear" w:color="auto" w:fill="auto"/>
            <w:vAlign w:val="center"/>
          </w:tcPr>
          <w:p w14:paraId="77CB8C01" w14:textId="77777777" w:rsidR="006C3DEB" w:rsidRDefault="006C3DEB" w:rsidP="005A7549">
            <w:pPr>
              <w:pStyle w:val="TableTextCentered"/>
              <w:rPr>
                <w:rFonts w:eastAsia="Calibri"/>
              </w:rPr>
            </w:pPr>
            <w:r>
              <w:rPr>
                <w:rFonts w:eastAsia="Calibri"/>
              </w:rPr>
              <w:t>0.5835</w:t>
            </w:r>
          </w:p>
        </w:tc>
        <w:tc>
          <w:tcPr>
            <w:tcW w:w="1158" w:type="dxa"/>
            <w:tcBorders>
              <w:top w:val="single" w:sz="4" w:space="0" w:color="auto"/>
            </w:tcBorders>
            <w:shd w:val="clear" w:color="auto" w:fill="auto"/>
            <w:vAlign w:val="center"/>
          </w:tcPr>
          <w:p w14:paraId="56C6F6F3" w14:textId="77777777" w:rsidR="006C3DEB" w:rsidRDefault="006C3DEB" w:rsidP="005A7549">
            <w:pPr>
              <w:pStyle w:val="TableTextCentered"/>
              <w:rPr>
                <w:rFonts w:eastAsia="Calibri"/>
              </w:rPr>
            </w:pPr>
            <w:r>
              <w:rPr>
                <w:rFonts w:eastAsia="Calibri"/>
              </w:rPr>
              <w:t>0.2198</w:t>
            </w:r>
          </w:p>
        </w:tc>
      </w:tr>
      <w:tr w:rsidR="006C3DEB" w14:paraId="4CB4175B" w14:textId="77777777" w:rsidTr="00017ACD">
        <w:trPr>
          <w:jc w:val="center"/>
        </w:trPr>
        <w:tc>
          <w:tcPr>
            <w:tcW w:w="1425" w:type="dxa"/>
            <w:tcBorders>
              <w:right w:val="single" w:sz="4" w:space="0" w:color="auto"/>
            </w:tcBorders>
            <w:shd w:val="clear" w:color="auto" w:fill="EEEEEE" w:themeFill="background2"/>
          </w:tcPr>
          <w:p w14:paraId="5F8780AB" w14:textId="77777777" w:rsidR="006C3DEB" w:rsidRPr="000F4F87" w:rsidRDefault="006C3DEB" w:rsidP="005A7549">
            <w:pPr>
              <w:pStyle w:val="TableTextLeft"/>
              <w:rPr>
                <w:rFonts w:eastAsia="Calibri"/>
              </w:rPr>
            </w:pPr>
            <w:r w:rsidRPr="00E670A7">
              <w:rPr>
                <w:rFonts w:eastAsiaTheme="minorHAnsi"/>
                <w:lang w:eastAsia="en-US"/>
              </w:rPr>
              <w:object w:dxaOrig="600" w:dyaOrig="400" w14:anchorId="5244D85F">
                <v:shape id="_x0000_i1495" type="#_x0000_t75" style="width:29.4pt;height:21.6pt" o:ole="">
                  <v:imagedata r:id="rId964" o:title=""/>
                </v:shape>
                <o:OLEObject Type="Embed" ProgID="Equation.DSMT4" ShapeID="_x0000_i1495" DrawAspect="Content" ObjectID="_1754919046" r:id="rId965"/>
              </w:object>
            </w:r>
          </w:p>
        </w:tc>
        <w:tc>
          <w:tcPr>
            <w:tcW w:w="1138" w:type="dxa"/>
            <w:tcBorders>
              <w:left w:val="single" w:sz="4" w:space="0" w:color="auto"/>
            </w:tcBorders>
            <w:shd w:val="clear" w:color="auto" w:fill="auto"/>
            <w:vAlign w:val="center"/>
          </w:tcPr>
          <w:p w14:paraId="6C600100" w14:textId="77777777" w:rsidR="006C3DEB" w:rsidRDefault="006C3DEB" w:rsidP="005A7549">
            <w:pPr>
              <w:pStyle w:val="TableTextCentered"/>
              <w:rPr>
                <w:rFonts w:eastAsia="Calibri"/>
              </w:rPr>
            </w:pPr>
            <w:r w:rsidRPr="004A1958">
              <w:t>0.2216</w:t>
            </w:r>
          </w:p>
        </w:tc>
        <w:tc>
          <w:tcPr>
            <w:tcW w:w="1138" w:type="dxa"/>
            <w:shd w:val="clear" w:color="auto" w:fill="auto"/>
            <w:vAlign w:val="center"/>
          </w:tcPr>
          <w:p w14:paraId="3A1357E2" w14:textId="77777777" w:rsidR="006C3DEB" w:rsidRDefault="006C3DEB" w:rsidP="005A7549">
            <w:pPr>
              <w:pStyle w:val="TableTextCentered"/>
              <w:rPr>
                <w:rFonts w:eastAsia="Calibri"/>
              </w:rPr>
            </w:pPr>
            <w:r w:rsidRPr="004A1958">
              <w:t>0.0000</w:t>
            </w:r>
          </w:p>
        </w:tc>
        <w:tc>
          <w:tcPr>
            <w:tcW w:w="1223" w:type="dxa"/>
            <w:shd w:val="clear" w:color="auto" w:fill="auto"/>
            <w:vAlign w:val="center"/>
          </w:tcPr>
          <w:p w14:paraId="131F4EBF" w14:textId="77777777" w:rsidR="006C3DEB" w:rsidRDefault="006C3DEB" w:rsidP="005A7549">
            <w:pPr>
              <w:pStyle w:val="TableTextCentered"/>
              <w:rPr>
                <w:rFonts w:eastAsia="Calibri"/>
              </w:rPr>
            </w:pPr>
            <w:r w:rsidRPr="004A1958">
              <w:t>0.3971</w:t>
            </w:r>
          </w:p>
        </w:tc>
        <w:tc>
          <w:tcPr>
            <w:tcW w:w="1054" w:type="dxa"/>
            <w:shd w:val="clear" w:color="auto" w:fill="auto"/>
            <w:vAlign w:val="center"/>
          </w:tcPr>
          <w:p w14:paraId="331CC077"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71106F37" w14:textId="77777777" w:rsidR="006C3DEB" w:rsidRDefault="006C3DEB" w:rsidP="005A7549">
            <w:pPr>
              <w:pStyle w:val="TableTextCentered"/>
              <w:rPr>
                <w:rFonts w:eastAsia="Calibri"/>
              </w:rPr>
            </w:pPr>
            <w:r w:rsidRPr="004A1958">
              <w:t>0.1744</w:t>
            </w:r>
          </w:p>
        </w:tc>
        <w:tc>
          <w:tcPr>
            <w:tcW w:w="1138" w:type="dxa"/>
            <w:shd w:val="clear" w:color="auto" w:fill="auto"/>
            <w:vAlign w:val="center"/>
          </w:tcPr>
          <w:p w14:paraId="1E8796F4" w14:textId="77777777" w:rsidR="006C3DEB" w:rsidRDefault="006C3DEB" w:rsidP="005A7549">
            <w:pPr>
              <w:pStyle w:val="TableTextCentered"/>
              <w:rPr>
                <w:rFonts w:eastAsia="Calibri"/>
              </w:rPr>
            </w:pPr>
            <w:r w:rsidRPr="004A1958">
              <w:t>0.2069</w:t>
            </w:r>
          </w:p>
        </w:tc>
        <w:tc>
          <w:tcPr>
            <w:tcW w:w="1158" w:type="dxa"/>
            <w:shd w:val="clear" w:color="auto" w:fill="auto"/>
            <w:vAlign w:val="center"/>
          </w:tcPr>
          <w:p w14:paraId="52B6DFCA" w14:textId="77777777" w:rsidR="006C3DEB" w:rsidRDefault="006C3DEB" w:rsidP="005A7549">
            <w:pPr>
              <w:pStyle w:val="TableTextCentered"/>
              <w:rPr>
                <w:rFonts w:eastAsia="Calibri"/>
              </w:rPr>
            </w:pPr>
            <w:r w:rsidRPr="004A1958">
              <w:t>0.0000</w:t>
            </w:r>
          </w:p>
        </w:tc>
      </w:tr>
      <w:tr w:rsidR="006C3DEB" w14:paraId="1B1928A7" w14:textId="77777777" w:rsidTr="00017ACD">
        <w:trPr>
          <w:jc w:val="center"/>
        </w:trPr>
        <w:tc>
          <w:tcPr>
            <w:tcW w:w="1425" w:type="dxa"/>
            <w:tcBorders>
              <w:right w:val="single" w:sz="4" w:space="0" w:color="auto"/>
            </w:tcBorders>
            <w:shd w:val="clear" w:color="auto" w:fill="EEEEEE" w:themeFill="background2"/>
          </w:tcPr>
          <w:p w14:paraId="33F0E922"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580" w:dyaOrig="400" w14:anchorId="362D92D9">
                <v:shape id="_x0000_i1496" type="#_x0000_t75" style="width:29.4pt;height:21.6pt" o:ole="">
                  <v:imagedata r:id="rId966" o:title=""/>
                </v:shape>
                <o:OLEObject Type="Embed" ProgID="Equation.DSMT4" ShapeID="_x0000_i1496" DrawAspect="Content" ObjectID="_1754919047" r:id="rId967"/>
              </w:object>
            </w:r>
          </w:p>
        </w:tc>
        <w:tc>
          <w:tcPr>
            <w:tcW w:w="1138" w:type="dxa"/>
            <w:tcBorders>
              <w:left w:val="single" w:sz="4" w:space="0" w:color="auto"/>
            </w:tcBorders>
            <w:shd w:val="clear" w:color="auto" w:fill="auto"/>
            <w:vAlign w:val="center"/>
          </w:tcPr>
          <w:p w14:paraId="3C2C867B"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13300151" w14:textId="77777777" w:rsidR="006C3DEB" w:rsidRDefault="006C3DEB" w:rsidP="005A7549">
            <w:pPr>
              <w:pStyle w:val="TableTextCentered"/>
              <w:rPr>
                <w:rFonts w:eastAsia="Calibri"/>
              </w:rPr>
            </w:pPr>
            <w:r w:rsidRPr="004A1958">
              <w:t>0.0506</w:t>
            </w:r>
          </w:p>
        </w:tc>
        <w:tc>
          <w:tcPr>
            <w:tcW w:w="1223" w:type="dxa"/>
            <w:shd w:val="clear" w:color="auto" w:fill="auto"/>
            <w:vAlign w:val="center"/>
          </w:tcPr>
          <w:p w14:paraId="33AF31BB" w14:textId="77777777" w:rsidR="006C3DEB" w:rsidRDefault="006C3DEB" w:rsidP="005A7549">
            <w:pPr>
              <w:pStyle w:val="TableTextCentered"/>
              <w:rPr>
                <w:rFonts w:eastAsia="Calibri"/>
              </w:rPr>
            </w:pPr>
            <w:r w:rsidRPr="004A1958">
              <w:t>0.0709</w:t>
            </w:r>
          </w:p>
        </w:tc>
        <w:tc>
          <w:tcPr>
            <w:tcW w:w="1054" w:type="dxa"/>
            <w:shd w:val="clear" w:color="auto" w:fill="auto"/>
            <w:vAlign w:val="center"/>
          </w:tcPr>
          <w:p w14:paraId="63139A57"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0214D96B" w14:textId="77777777" w:rsidR="006C3DEB" w:rsidRDefault="006C3DEB" w:rsidP="005A7549">
            <w:pPr>
              <w:pStyle w:val="TableTextCentered"/>
              <w:rPr>
                <w:rFonts w:eastAsia="Calibri"/>
              </w:rPr>
            </w:pPr>
            <w:r w:rsidRPr="004A1958">
              <w:t>0.7716</w:t>
            </w:r>
          </w:p>
        </w:tc>
        <w:tc>
          <w:tcPr>
            <w:tcW w:w="1138" w:type="dxa"/>
            <w:shd w:val="clear" w:color="auto" w:fill="auto"/>
            <w:vAlign w:val="center"/>
          </w:tcPr>
          <w:p w14:paraId="74E5A13B" w14:textId="77777777" w:rsidR="006C3DEB" w:rsidRDefault="006C3DEB" w:rsidP="005A7549">
            <w:pPr>
              <w:pStyle w:val="TableTextCentered"/>
              <w:rPr>
                <w:rFonts w:eastAsia="Calibri"/>
              </w:rPr>
            </w:pPr>
            <w:r w:rsidRPr="004A1958">
              <w:t>0.1070</w:t>
            </w:r>
          </w:p>
        </w:tc>
        <w:tc>
          <w:tcPr>
            <w:tcW w:w="1158" w:type="dxa"/>
            <w:shd w:val="clear" w:color="auto" w:fill="auto"/>
            <w:vAlign w:val="center"/>
          </w:tcPr>
          <w:p w14:paraId="28673997" w14:textId="77777777" w:rsidR="006C3DEB" w:rsidRDefault="006C3DEB" w:rsidP="005A7549">
            <w:pPr>
              <w:pStyle w:val="TableTextCentered"/>
              <w:rPr>
                <w:rFonts w:eastAsia="Calibri"/>
              </w:rPr>
            </w:pPr>
            <w:r w:rsidRPr="004A1958">
              <w:t>0.0000</w:t>
            </w:r>
          </w:p>
        </w:tc>
      </w:tr>
      <w:tr w:rsidR="006C3DEB" w14:paraId="1F60CB5E" w14:textId="77777777" w:rsidTr="00017ACD">
        <w:trPr>
          <w:jc w:val="center"/>
        </w:trPr>
        <w:tc>
          <w:tcPr>
            <w:tcW w:w="1425" w:type="dxa"/>
            <w:tcBorders>
              <w:right w:val="single" w:sz="4" w:space="0" w:color="auto"/>
            </w:tcBorders>
            <w:shd w:val="clear" w:color="auto" w:fill="EEEEEE" w:themeFill="background2"/>
          </w:tcPr>
          <w:p w14:paraId="2F395D7E"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620" w:dyaOrig="400" w14:anchorId="0D675C9C">
                <v:shape id="_x0000_i1497" type="#_x0000_t75" style="width:29.4pt;height:21.6pt" o:ole="">
                  <v:imagedata r:id="rId968" o:title=""/>
                </v:shape>
                <o:OLEObject Type="Embed" ProgID="Equation.DSMT4" ShapeID="_x0000_i1497" DrawAspect="Content" ObjectID="_1754919048" r:id="rId969"/>
              </w:object>
            </w:r>
          </w:p>
        </w:tc>
        <w:tc>
          <w:tcPr>
            <w:tcW w:w="1138" w:type="dxa"/>
            <w:tcBorders>
              <w:left w:val="single" w:sz="4" w:space="0" w:color="auto"/>
            </w:tcBorders>
            <w:shd w:val="clear" w:color="auto" w:fill="auto"/>
            <w:vAlign w:val="center"/>
          </w:tcPr>
          <w:p w14:paraId="46C487E9"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7C9EC703" w14:textId="77777777" w:rsidR="006C3DEB" w:rsidRDefault="006C3DEB" w:rsidP="005A7549">
            <w:pPr>
              <w:pStyle w:val="TableTextCentered"/>
              <w:rPr>
                <w:rFonts w:eastAsia="Calibri"/>
              </w:rPr>
            </w:pPr>
            <w:r w:rsidRPr="004A1958">
              <w:t>0.0000</w:t>
            </w:r>
          </w:p>
        </w:tc>
        <w:tc>
          <w:tcPr>
            <w:tcW w:w="1223" w:type="dxa"/>
            <w:shd w:val="clear" w:color="auto" w:fill="auto"/>
            <w:vAlign w:val="center"/>
          </w:tcPr>
          <w:p w14:paraId="7245C854" w14:textId="77777777" w:rsidR="006C3DEB" w:rsidRDefault="006C3DEB" w:rsidP="005A7549">
            <w:pPr>
              <w:pStyle w:val="TableTextCentered"/>
              <w:rPr>
                <w:rFonts w:eastAsia="Calibri"/>
              </w:rPr>
            </w:pPr>
            <w:r w:rsidRPr="004A1958">
              <w:t>0.3523</w:t>
            </w:r>
          </w:p>
        </w:tc>
        <w:tc>
          <w:tcPr>
            <w:tcW w:w="1054" w:type="dxa"/>
            <w:shd w:val="clear" w:color="auto" w:fill="auto"/>
            <w:vAlign w:val="center"/>
          </w:tcPr>
          <w:p w14:paraId="7A2343A9"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35E7A20E" w14:textId="77777777" w:rsidR="006C3DEB" w:rsidRDefault="006C3DEB" w:rsidP="005A7549">
            <w:pPr>
              <w:pStyle w:val="TableTextCentered"/>
              <w:rPr>
                <w:rFonts w:eastAsia="Calibri"/>
              </w:rPr>
            </w:pPr>
            <w:r w:rsidRPr="004A1958">
              <w:t>0.1997</w:t>
            </w:r>
          </w:p>
        </w:tc>
        <w:tc>
          <w:tcPr>
            <w:tcW w:w="1138" w:type="dxa"/>
            <w:shd w:val="clear" w:color="auto" w:fill="auto"/>
            <w:vAlign w:val="center"/>
          </w:tcPr>
          <w:p w14:paraId="1240D013" w14:textId="77777777" w:rsidR="006C3DEB" w:rsidRDefault="006C3DEB" w:rsidP="005A7549">
            <w:pPr>
              <w:pStyle w:val="TableTextCentered"/>
              <w:rPr>
                <w:rFonts w:eastAsia="Calibri"/>
              </w:rPr>
            </w:pPr>
            <w:r w:rsidRPr="004A1958">
              <w:t>0.4479</w:t>
            </w:r>
          </w:p>
        </w:tc>
        <w:tc>
          <w:tcPr>
            <w:tcW w:w="1158" w:type="dxa"/>
            <w:shd w:val="clear" w:color="auto" w:fill="auto"/>
            <w:vAlign w:val="center"/>
          </w:tcPr>
          <w:p w14:paraId="5B7B2C56" w14:textId="77777777" w:rsidR="006C3DEB" w:rsidRDefault="006C3DEB" w:rsidP="005A7549">
            <w:pPr>
              <w:pStyle w:val="TableTextCentered"/>
              <w:rPr>
                <w:rFonts w:eastAsia="Calibri"/>
              </w:rPr>
            </w:pPr>
            <w:r w:rsidRPr="004A1958">
              <w:t>0.0000</w:t>
            </w:r>
          </w:p>
        </w:tc>
      </w:tr>
      <w:tr w:rsidR="006C3DEB" w14:paraId="0C630FEF" w14:textId="77777777" w:rsidTr="00017ACD">
        <w:trPr>
          <w:jc w:val="center"/>
        </w:trPr>
        <w:tc>
          <w:tcPr>
            <w:tcW w:w="1425" w:type="dxa"/>
            <w:tcBorders>
              <w:right w:val="single" w:sz="4" w:space="0" w:color="auto"/>
            </w:tcBorders>
            <w:shd w:val="clear" w:color="auto" w:fill="EEEEEE" w:themeFill="background2"/>
          </w:tcPr>
          <w:p w14:paraId="5F668CBE"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560" w:dyaOrig="400" w14:anchorId="515894FA">
                <v:shape id="_x0000_i1498" type="#_x0000_t75" style="width:29.4pt;height:21.6pt" o:ole="">
                  <v:imagedata r:id="rId970" o:title=""/>
                </v:shape>
                <o:OLEObject Type="Embed" ProgID="Equation.DSMT4" ShapeID="_x0000_i1498" DrawAspect="Content" ObjectID="_1754919049" r:id="rId971"/>
              </w:object>
            </w:r>
          </w:p>
        </w:tc>
        <w:tc>
          <w:tcPr>
            <w:tcW w:w="1138" w:type="dxa"/>
            <w:tcBorders>
              <w:left w:val="single" w:sz="4" w:space="0" w:color="auto"/>
            </w:tcBorders>
            <w:shd w:val="clear" w:color="auto" w:fill="auto"/>
            <w:vAlign w:val="center"/>
          </w:tcPr>
          <w:p w14:paraId="7C324CAE"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30B4B27D" w14:textId="77777777" w:rsidR="006C3DEB" w:rsidRDefault="006C3DEB" w:rsidP="005A7549">
            <w:pPr>
              <w:pStyle w:val="TableTextCentered"/>
              <w:rPr>
                <w:rFonts w:eastAsia="Calibri"/>
              </w:rPr>
            </w:pPr>
            <w:r w:rsidRPr="004A1958">
              <w:t>0.0000</w:t>
            </w:r>
          </w:p>
        </w:tc>
        <w:tc>
          <w:tcPr>
            <w:tcW w:w="1223" w:type="dxa"/>
            <w:shd w:val="clear" w:color="auto" w:fill="auto"/>
            <w:vAlign w:val="center"/>
          </w:tcPr>
          <w:p w14:paraId="1F3021E1" w14:textId="77777777" w:rsidR="006C3DEB" w:rsidRDefault="006C3DEB" w:rsidP="005A7549">
            <w:pPr>
              <w:pStyle w:val="TableTextCentered"/>
              <w:rPr>
                <w:rFonts w:eastAsia="Calibri"/>
              </w:rPr>
            </w:pPr>
            <w:r w:rsidRPr="004A1958">
              <w:t>0.1678</w:t>
            </w:r>
          </w:p>
        </w:tc>
        <w:tc>
          <w:tcPr>
            <w:tcW w:w="1054" w:type="dxa"/>
            <w:shd w:val="clear" w:color="auto" w:fill="auto"/>
            <w:vAlign w:val="center"/>
          </w:tcPr>
          <w:p w14:paraId="14907E9F"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065650FD" w14:textId="77777777" w:rsidR="006C3DEB" w:rsidRDefault="006C3DEB" w:rsidP="005A7549">
            <w:pPr>
              <w:pStyle w:val="TableTextCentered"/>
              <w:rPr>
                <w:rFonts w:eastAsia="Calibri"/>
              </w:rPr>
            </w:pPr>
            <w:r w:rsidRPr="004A1958">
              <w:t>0.6821</w:t>
            </w:r>
          </w:p>
        </w:tc>
        <w:tc>
          <w:tcPr>
            <w:tcW w:w="1138" w:type="dxa"/>
            <w:shd w:val="clear" w:color="auto" w:fill="auto"/>
            <w:vAlign w:val="center"/>
          </w:tcPr>
          <w:p w14:paraId="386DA85E" w14:textId="77777777" w:rsidR="006C3DEB" w:rsidRDefault="006C3DEB" w:rsidP="005A7549">
            <w:pPr>
              <w:pStyle w:val="TableTextCentered"/>
              <w:rPr>
                <w:rFonts w:eastAsia="Calibri"/>
              </w:rPr>
            </w:pPr>
            <w:r w:rsidRPr="004A1958">
              <w:t>0.1501</w:t>
            </w:r>
          </w:p>
        </w:tc>
        <w:tc>
          <w:tcPr>
            <w:tcW w:w="1158" w:type="dxa"/>
            <w:shd w:val="clear" w:color="auto" w:fill="auto"/>
            <w:vAlign w:val="center"/>
          </w:tcPr>
          <w:p w14:paraId="61E0E94D" w14:textId="77777777" w:rsidR="006C3DEB" w:rsidRDefault="006C3DEB" w:rsidP="005A7549">
            <w:pPr>
              <w:pStyle w:val="TableTextCentered"/>
              <w:rPr>
                <w:rFonts w:eastAsia="Calibri"/>
              </w:rPr>
            </w:pPr>
            <w:r w:rsidRPr="004A1958">
              <w:t>0.0000</w:t>
            </w:r>
          </w:p>
        </w:tc>
      </w:tr>
      <w:tr w:rsidR="006C3DEB" w14:paraId="23360368" w14:textId="77777777" w:rsidTr="00017ACD">
        <w:trPr>
          <w:jc w:val="center"/>
        </w:trPr>
        <w:tc>
          <w:tcPr>
            <w:tcW w:w="1425" w:type="dxa"/>
            <w:tcBorders>
              <w:right w:val="single" w:sz="4" w:space="0" w:color="auto"/>
            </w:tcBorders>
            <w:shd w:val="clear" w:color="auto" w:fill="EEEEEE" w:themeFill="background2"/>
          </w:tcPr>
          <w:p w14:paraId="4F66F8F3"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560" w:dyaOrig="400" w14:anchorId="4E581F86">
                <v:shape id="_x0000_i1499" type="#_x0000_t75" style="width:29.4pt;height:21.6pt" o:ole="">
                  <v:imagedata r:id="rId972" o:title=""/>
                </v:shape>
                <o:OLEObject Type="Embed" ProgID="Equation.DSMT4" ShapeID="_x0000_i1499" DrawAspect="Content" ObjectID="_1754919050" r:id="rId973"/>
              </w:object>
            </w:r>
          </w:p>
        </w:tc>
        <w:tc>
          <w:tcPr>
            <w:tcW w:w="1138" w:type="dxa"/>
            <w:tcBorders>
              <w:left w:val="single" w:sz="4" w:space="0" w:color="auto"/>
            </w:tcBorders>
            <w:shd w:val="clear" w:color="auto" w:fill="auto"/>
            <w:vAlign w:val="center"/>
          </w:tcPr>
          <w:p w14:paraId="3C6953CD"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2FC0AAED" w14:textId="77777777" w:rsidR="006C3DEB" w:rsidRDefault="006C3DEB" w:rsidP="005A7549">
            <w:pPr>
              <w:pStyle w:val="TableTextCentered"/>
              <w:rPr>
                <w:rFonts w:eastAsia="Calibri"/>
              </w:rPr>
            </w:pPr>
            <w:r w:rsidRPr="004A1958">
              <w:t>0.0000</w:t>
            </w:r>
          </w:p>
        </w:tc>
        <w:tc>
          <w:tcPr>
            <w:tcW w:w="1223" w:type="dxa"/>
            <w:shd w:val="clear" w:color="auto" w:fill="auto"/>
            <w:vAlign w:val="center"/>
          </w:tcPr>
          <w:p w14:paraId="0D6A1C91" w14:textId="77777777" w:rsidR="006C3DEB" w:rsidRDefault="006C3DEB" w:rsidP="005A7549">
            <w:pPr>
              <w:pStyle w:val="TableTextCentered"/>
              <w:rPr>
                <w:rFonts w:eastAsia="Calibri"/>
              </w:rPr>
            </w:pPr>
            <w:r w:rsidRPr="004A1958">
              <w:t>0.5547</w:t>
            </w:r>
          </w:p>
        </w:tc>
        <w:tc>
          <w:tcPr>
            <w:tcW w:w="1054" w:type="dxa"/>
            <w:shd w:val="clear" w:color="auto" w:fill="auto"/>
            <w:vAlign w:val="center"/>
          </w:tcPr>
          <w:p w14:paraId="3AD6B1AE"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596B333B" w14:textId="77777777" w:rsidR="006C3DEB" w:rsidRDefault="006C3DEB" w:rsidP="005A7549">
            <w:pPr>
              <w:pStyle w:val="TableTextCentered"/>
              <w:rPr>
                <w:rFonts w:eastAsia="Calibri"/>
              </w:rPr>
            </w:pPr>
            <w:r w:rsidRPr="004A1958">
              <w:t>0.1048</w:t>
            </w:r>
          </w:p>
        </w:tc>
        <w:tc>
          <w:tcPr>
            <w:tcW w:w="1138" w:type="dxa"/>
            <w:shd w:val="clear" w:color="auto" w:fill="auto"/>
            <w:vAlign w:val="center"/>
          </w:tcPr>
          <w:p w14:paraId="0099422B" w14:textId="77777777" w:rsidR="006C3DEB" w:rsidRDefault="006C3DEB" w:rsidP="005A7549">
            <w:pPr>
              <w:pStyle w:val="TableTextCentered"/>
              <w:rPr>
                <w:rFonts w:eastAsia="Calibri"/>
              </w:rPr>
            </w:pPr>
            <w:r w:rsidRPr="004A1958">
              <w:t>0.3405</w:t>
            </w:r>
          </w:p>
        </w:tc>
        <w:tc>
          <w:tcPr>
            <w:tcW w:w="1158" w:type="dxa"/>
            <w:shd w:val="clear" w:color="auto" w:fill="auto"/>
            <w:vAlign w:val="center"/>
          </w:tcPr>
          <w:p w14:paraId="128C1609" w14:textId="77777777" w:rsidR="006C3DEB" w:rsidRDefault="006C3DEB" w:rsidP="005A7549">
            <w:pPr>
              <w:pStyle w:val="TableTextCentered"/>
              <w:rPr>
                <w:rFonts w:eastAsia="Calibri"/>
              </w:rPr>
            </w:pPr>
            <w:r w:rsidRPr="004A1958">
              <w:t>0.0000</w:t>
            </w:r>
          </w:p>
        </w:tc>
      </w:tr>
      <w:tr w:rsidR="006C3DEB" w14:paraId="1650E9D7" w14:textId="77777777" w:rsidTr="00017ACD">
        <w:trPr>
          <w:jc w:val="center"/>
        </w:trPr>
        <w:tc>
          <w:tcPr>
            <w:tcW w:w="1425" w:type="dxa"/>
            <w:tcBorders>
              <w:right w:val="single" w:sz="4" w:space="0" w:color="auto"/>
            </w:tcBorders>
            <w:shd w:val="clear" w:color="auto" w:fill="EEEEEE" w:themeFill="background2"/>
          </w:tcPr>
          <w:p w14:paraId="6A2D6B3B"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580" w:dyaOrig="400" w14:anchorId="25BE3651">
                <v:shape id="_x0000_i1500" type="#_x0000_t75" style="width:29.4pt;height:21.6pt" o:ole="">
                  <v:imagedata r:id="rId974" o:title=""/>
                </v:shape>
                <o:OLEObject Type="Embed" ProgID="Equation.DSMT4" ShapeID="_x0000_i1500" DrawAspect="Content" ObjectID="_1754919051" r:id="rId975"/>
              </w:object>
            </w:r>
          </w:p>
        </w:tc>
        <w:tc>
          <w:tcPr>
            <w:tcW w:w="1138" w:type="dxa"/>
            <w:tcBorders>
              <w:left w:val="single" w:sz="4" w:space="0" w:color="auto"/>
            </w:tcBorders>
            <w:shd w:val="clear" w:color="auto" w:fill="auto"/>
            <w:vAlign w:val="center"/>
          </w:tcPr>
          <w:p w14:paraId="6B77B2B3"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6A0F73B6" w14:textId="77777777" w:rsidR="006C3DEB" w:rsidRDefault="006C3DEB" w:rsidP="005A7549">
            <w:pPr>
              <w:pStyle w:val="TableTextCentered"/>
              <w:rPr>
                <w:rFonts w:eastAsia="Calibri"/>
              </w:rPr>
            </w:pPr>
            <w:r w:rsidRPr="004A1958">
              <w:t>0.0000</w:t>
            </w:r>
          </w:p>
        </w:tc>
        <w:tc>
          <w:tcPr>
            <w:tcW w:w="1223" w:type="dxa"/>
            <w:shd w:val="clear" w:color="auto" w:fill="auto"/>
            <w:vAlign w:val="center"/>
          </w:tcPr>
          <w:p w14:paraId="6DD70287" w14:textId="77777777" w:rsidR="006C3DEB" w:rsidRDefault="006C3DEB" w:rsidP="005A7549">
            <w:pPr>
              <w:pStyle w:val="TableTextCentered"/>
              <w:rPr>
                <w:rFonts w:eastAsia="Calibri"/>
              </w:rPr>
            </w:pPr>
            <w:r w:rsidRPr="004A1958">
              <w:t>0.3102</w:t>
            </w:r>
          </w:p>
        </w:tc>
        <w:tc>
          <w:tcPr>
            <w:tcW w:w="1054" w:type="dxa"/>
            <w:shd w:val="clear" w:color="auto" w:fill="auto"/>
            <w:vAlign w:val="center"/>
          </w:tcPr>
          <w:p w14:paraId="6C88E715"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5B15FC26" w14:textId="77777777" w:rsidR="006C3DEB" w:rsidRDefault="006C3DEB" w:rsidP="005A7549">
            <w:pPr>
              <w:pStyle w:val="TableTextCentered"/>
              <w:rPr>
                <w:rFonts w:eastAsia="Calibri"/>
              </w:rPr>
            </w:pPr>
            <w:r w:rsidRPr="004A1958">
              <w:t>0.4160</w:t>
            </w:r>
          </w:p>
        </w:tc>
        <w:tc>
          <w:tcPr>
            <w:tcW w:w="1138" w:type="dxa"/>
            <w:shd w:val="clear" w:color="auto" w:fill="auto"/>
            <w:vAlign w:val="center"/>
          </w:tcPr>
          <w:p w14:paraId="757730D1" w14:textId="77777777" w:rsidR="006C3DEB" w:rsidRDefault="006C3DEB" w:rsidP="005A7549">
            <w:pPr>
              <w:pStyle w:val="TableTextCentered"/>
              <w:rPr>
                <w:rFonts w:eastAsia="Calibri"/>
              </w:rPr>
            </w:pPr>
            <w:r w:rsidRPr="004A1958">
              <w:t>0.2738</w:t>
            </w:r>
          </w:p>
        </w:tc>
        <w:tc>
          <w:tcPr>
            <w:tcW w:w="1158" w:type="dxa"/>
            <w:shd w:val="clear" w:color="auto" w:fill="auto"/>
            <w:vAlign w:val="center"/>
          </w:tcPr>
          <w:p w14:paraId="7898BB28" w14:textId="77777777" w:rsidR="006C3DEB" w:rsidRDefault="006C3DEB" w:rsidP="005A7549">
            <w:pPr>
              <w:pStyle w:val="TableTextCentered"/>
              <w:rPr>
                <w:rFonts w:eastAsia="Calibri"/>
              </w:rPr>
            </w:pPr>
            <w:r w:rsidRPr="004A1958">
              <w:t>0.0000</w:t>
            </w:r>
          </w:p>
        </w:tc>
      </w:tr>
      <w:tr w:rsidR="006C3DEB" w14:paraId="5095668C" w14:textId="77777777" w:rsidTr="00017ACD">
        <w:trPr>
          <w:jc w:val="center"/>
        </w:trPr>
        <w:tc>
          <w:tcPr>
            <w:tcW w:w="1425" w:type="dxa"/>
            <w:tcBorders>
              <w:right w:val="single" w:sz="4" w:space="0" w:color="auto"/>
            </w:tcBorders>
            <w:shd w:val="clear" w:color="auto" w:fill="EEEEEE" w:themeFill="background2"/>
          </w:tcPr>
          <w:p w14:paraId="39279DC5"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620" w:dyaOrig="400" w14:anchorId="0D3684B7">
                <v:shape id="_x0000_i1501" type="#_x0000_t75" style="width:29.4pt;height:21.6pt" o:ole="">
                  <v:imagedata r:id="rId976" o:title=""/>
                </v:shape>
                <o:OLEObject Type="Embed" ProgID="Equation.DSMT4" ShapeID="_x0000_i1501" DrawAspect="Content" ObjectID="_1754919052" r:id="rId977"/>
              </w:object>
            </w:r>
          </w:p>
        </w:tc>
        <w:tc>
          <w:tcPr>
            <w:tcW w:w="1138" w:type="dxa"/>
            <w:tcBorders>
              <w:left w:val="single" w:sz="4" w:space="0" w:color="auto"/>
            </w:tcBorders>
            <w:shd w:val="clear" w:color="auto" w:fill="auto"/>
            <w:vAlign w:val="center"/>
          </w:tcPr>
          <w:p w14:paraId="3FDC5F0A"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0436DF9F" w14:textId="77777777" w:rsidR="006C3DEB" w:rsidRDefault="006C3DEB" w:rsidP="005A7549">
            <w:pPr>
              <w:pStyle w:val="TableTextCentered"/>
              <w:rPr>
                <w:rFonts w:eastAsia="Calibri"/>
              </w:rPr>
            </w:pPr>
            <w:r w:rsidRPr="004A1958">
              <w:t>0.0000</w:t>
            </w:r>
          </w:p>
        </w:tc>
        <w:tc>
          <w:tcPr>
            <w:tcW w:w="1223" w:type="dxa"/>
            <w:shd w:val="clear" w:color="auto" w:fill="auto"/>
            <w:vAlign w:val="center"/>
          </w:tcPr>
          <w:p w14:paraId="482D9A32" w14:textId="77777777" w:rsidR="006C3DEB" w:rsidRDefault="006C3DEB" w:rsidP="005A7549">
            <w:pPr>
              <w:pStyle w:val="TableTextCentered"/>
              <w:rPr>
                <w:rFonts w:eastAsia="Calibri"/>
              </w:rPr>
            </w:pPr>
            <w:r w:rsidRPr="004A1958">
              <w:t>0.0000</w:t>
            </w:r>
          </w:p>
        </w:tc>
        <w:tc>
          <w:tcPr>
            <w:tcW w:w="1054" w:type="dxa"/>
            <w:shd w:val="clear" w:color="auto" w:fill="auto"/>
            <w:vAlign w:val="center"/>
          </w:tcPr>
          <w:p w14:paraId="18815C4A" w14:textId="77777777" w:rsidR="006C3DEB" w:rsidRDefault="006C3DEB" w:rsidP="005A7549">
            <w:pPr>
              <w:pStyle w:val="TableTextCentered"/>
              <w:rPr>
                <w:rFonts w:eastAsia="Calibri"/>
              </w:rPr>
            </w:pPr>
            <w:r w:rsidRPr="004A1958">
              <w:t>0.0000</w:t>
            </w:r>
          </w:p>
        </w:tc>
        <w:tc>
          <w:tcPr>
            <w:tcW w:w="1138" w:type="dxa"/>
            <w:shd w:val="clear" w:color="auto" w:fill="auto"/>
            <w:vAlign w:val="center"/>
          </w:tcPr>
          <w:p w14:paraId="35BE3A7B" w14:textId="77777777" w:rsidR="006C3DEB" w:rsidRDefault="006C3DEB" w:rsidP="005A7549">
            <w:pPr>
              <w:pStyle w:val="TableTextCentered"/>
              <w:rPr>
                <w:rFonts w:eastAsia="Calibri"/>
              </w:rPr>
            </w:pPr>
            <w:r w:rsidRPr="004A1958">
              <w:t>0.9153</w:t>
            </w:r>
          </w:p>
        </w:tc>
        <w:tc>
          <w:tcPr>
            <w:tcW w:w="1138" w:type="dxa"/>
            <w:shd w:val="clear" w:color="auto" w:fill="auto"/>
            <w:vAlign w:val="center"/>
          </w:tcPr>
          <w:p w14:paraId="5DD651FB" w14:textId="77777777" w:rsidR="006C3DEB" w:rsidRDefault="006C3DEB" w:rsidP="005A7549">
            <w:pPr>
              <w:pStyle w:val="TableTextCentered"/>
              <w:rPr>
                <w:rFonts w:eastAsia="Calibri"/>
              </w:rPr>
            </w:pPr>
            <w:r w:rsidRPr="004A1958">
              <w:t>0.0847</w:t>
            </w:r>
          </w:p>
        </w:tc>
        <w:tc>
          <w:tcPr>
            <w:tcW w:w="1158" w:type="dxa"/>
            <w:shd w:val="clear" w:color="auto" w:fill="auto"/>
            <w:vAlign w:val="center"/>
          </w:tcPr>
          <w:p w14:paraId="0213E719" w14:textId="77777777" w:rsidR="006C3DEB" w:rsidRDefault="006C3DEB" w:rsidP="005A7549">
            <w:pPr>
              <w:pStyle w:val="TableTextCentered"/>
              <w:rPr>
                <w:rFonts w:eastAsia="Calibri"/>
              </w:rPr>
            </w:pPr>
            <w:r w:rsidRPr="004A1958">
              <w:t>0.0000</w:t>
            </w:r>
          </w:p>
        </w:tc>
      </w:tr>
      <w:tr w:rsidR="006C3DEB" w14:paraId="7AA1A675" w14:textId="77777777" w:rsidTr="00017ACD">
        <w:trPr>
          <w:jc w:val="center"/>
        </w:trPr>
        <w:tc>
          <w:tcPr>
            <w:tcW w:w="1425" w:type="dxa"/>
            <w:tcBorders>
              <w:right w:val="single" w:sz="4" w:space="0" w:color="auto"/>
            </w:tcBorders>
            <w:shd w:val="clear" w:color="auto" w:fill="EEEEEE" w:themeFill="background2"/>
          </w:tcPr>
          <w:p w14:paraId="0E8BF91C" w14:textId="77777777" w:rsidR="006C3DEB" w:rsidRDefault="006C3DEB" w:rsidP="005A7549">
            <w:pPr>
              <w:pStyle w:val="TableTextLeft"/>
              <w:rPr>
                <w:rFonts w:eastAsia="Calibri"/>
              </w:rPr>
            </w:pPr>
            <w:r w:rsidRPr="00E670A7">
              <w:rPr>
                <w:rFonts w:eastAsiaTheme="minorHAnsi" w:cstheme="minorBidi"/>
                <w:position w:val="-14"/>
                <w:sz w:val="22"/>
                <w:szCs w:val="22"/>
                <w:lang w:eastAsia="en-US"/>
              </w:rPr>
              <w:object w:dxaOrig="600" w:dyaOrig="400" w14:anchorId="7F8E184C">
                <v:shape id="_x0000_i1502" type="#_x0000_t75" style="width:29.4pt;height:21.6pt" o:ole="">
                  <v:imagedata r:id="rId978" o:title=""/>
                </v:shape>
                <o:OLEObject Type="Embed" ProgID="Equation.DSMT4" ShapeID="_x0000_i1502" DrawAspect="Content" ObjectID="_1754919053" r:id="rId979"/>
              </w:object>
            </w:r>
          </w:p>
        </w:tc>
        <w:tc>
          <w:tcPr>
            <w:tcW w:w="1138" w:type="dxa"/>
            <w:tcBorders>
              <w:left w:val="single" w:sz="4" w:space="0" w:color="auto"/>
            </w:tcBorders>
            <w:shd w:val="clear" w:color="auto" w:fill="auto"/>
            <w:vAlign w:val="center"/>
          </w:tcPr>
          <w:p w14:paraId="2AE04F09" w14:textId="77777777" w:rsidR="006C3DEB" w:rsidRPr="00AA7A12" w:rsidRDefault="006C3DEB" w:rsidP="005A7549">
            <w:pPr>
              <w:pStyle w:val="TableTextCentered"/>
              <w:rPr>
                <w:rFonts w:eastAsia="Calibri"/>
              </w:rPr>
            </w:pPr>
            <w:r>
              <w:rPr>
                <w:rFonts w:eastAsia="Calibri"/>
              </w:rPr>
              <w:t>0.3134</w:t>
            </w:r>
          </w:p>
        </w:tc>
        <w:tc>
          <w:tcPr>
            <w:tcW w:w="1138" w:type="dxa"/>
            <w:shd w:val="clear" w:color="auto" w:fill="auto"/>
            <w:vAlign w:val="center"/>
          </w:tcPr>
          <w:p w14:paraId="7A44D805" w14:textId="77777777" w:rsidR="006C3DEB" w:rsidRPr="00AA7A12" w:rsidRDefault="006C3DEB" w:rsidP="005A7549">
            <w:pPr>
              <w:pStyle w:val="TableTextCentered"/>
              <w:rPr>
                <w:rFonts w:eastAsia="Calibri"/>
              </w:rPr>
            </w:pPr>
            <w:r>
              <w:rPr>
                <w:rFonts w:eastAsia="Calibri"/>
              </w:rPr>
              <w:t>0.0060</w:t>
            </w:r>
          </w:p>
        </w:tc>
        <w:tc>
          <w:tcPr>
            <w:tcW w:w="1223" w:type="dxa"/>
            <w:shd w:val="clear" w:color="auto" w:fill="auto"/>
            <w:vAlign w:val="center"/>
          </w:tcPr>
          <w:p w14:paraId="3E202A28" w14:textId="77777777" w:rsidR="006C3DEB" w:rsidRPr="00AA7A12" w:rsidRDefault="006C3DEB" w:rsidP="005A7549">
            <w:pPr>
              <w:pStyle w:val="TableTextCentered"/>
              <w:rPr>
                <w:rFonts w:eastAsia="Calibri"/>
              </w:rPr>
            </w:pPr>
            <w:r>
              <w:rPr>
                <w:rFonts w:eastAsia="Calibri"/>
              </w:rPr>
              <w:t>0.2476</w:t>
            </w:r>
          </w:p>
        </w:tc>
        <w:tc>
          <w:tcPr>
            <w:tcW w:w="1054" w:type="dxa"/>
            <w:shd w:val="clear" w:color="auto" w:fill="auto"/>
            <w:vAlign w:val="center"/>
          </w:tcPr>
          <w:p w14:paraId="72FE2190" w14:textId="77777777" w:rsidR="006C3DEB" w:rsidRPr="00AA7A12" w:rsidRDefault="006C3DEB" w:rsidP="005A7549">
            <w:pPr>
              <w:pStyle w:val="TableTextCentered"/>
              <w:rPr>
                <w:rFonts w:eastAsia="Calibri"/>
              </w:rPr>
            </w:pPr>
            <w:r>
              <w:rPr>
                <w:rFonts w:eastAsia="Calibri"/>
              </w:rPr>
              <w:t>0.0431</w:t>
            </w:r>
          </w:p>
        </w:tc>
        <w:tc>
          <w:tcPr>
            <w:tcW w:w="1138" w:type="dxa"/>
            <w:shd w:val="clear" w:color="auto" w:fill="auto"/>
            <w:vAlign w:val="center"/>
          </w:tcPr>
          <w:p w14:paraId="1A5A73C5" w14:textId="77777777" w:rsidR="006C3DEB" w:rsidRDefault="006C3DEB" w:rsidP="005A7549">
            <w:pPr>
              <w:pStyle w:val="TableTextCentered"/>
              <w:rPr>
                <w:rFonts w:eastAsia="Calibri"/>
              </w:rPr>
            </w:pPr>
            <w:r>
              <w:rPr>
                <w:rFonts w:eastAsia="Calibri"/>
              </w:rPr>
              <w:t>0.0558</w:t>
            </w:r>
          </w:p>
        </w:tc>
        <w:tc>
          <w:tcPr>
            <w:tcW w:w="1138" w:type="dxa"/>
            <w:shd w:val="clear" w:color="auto" w:fill="auto"/>
            <w:vAlign w:val="center"/>
          </w:tcPr>
          <w:p w14:paraId="1B181A1F" w14:textId="77777777" w:rsidR="006C3DEB" w:rsidRDefault="006C3DEB" w:rsidP="005A7549">
            <w:pPr>
              <w:pStyle w:val="TableTextCentered"/>
              <w:rPr>
                <w:rFonts w:eastAsia="Calibri"/>
              </w:rPr>
            </w:pPr>
            <w:r>
              <w:rPr>
                <w:rFonts w:eastAsia="Calibri"/>
              </w:rPr>
              <w:t>0.3342</w:t>
            </w:r>
          </w:p>
        </w:tc>
        <w:tc>
          <w:tcPr>
            <w:tcW w:w="1158" w:type="dxa"/>
            <w:shd w:val="clear" w:color="auto" w:fill="auto"/>
            <w:vAlign w:val="center"/>
          </w:tcPr>
          <w:p w14:paraId="06AECAAB" w14:textId="77777777" w:rsidR="006C3DEB" w:rsidRDefault="006C3DEB" w:rsidP="005A7549">
            <w:pPr>
              <w:pStyle w:val="TableTextCentered"/>
              <w:rPr>
                <w:rFonts w:eastAsia="Calibri"/>
              </w:rPr>
            </w:pPr>
            <w:r>
              <w:rPr>
                <w:rFonts w:eastAsia="Calibri"/>
              </w:rPr>
              <w:t>0.0000</w:t>
            </w:r>
          </w:p>
        </w:tc>
      </w:tr>
      <w:tr w:rsidR="006C3DEB" w14:paraId="702FA691" w14:textId="77777777" w:rsidTr="00017ACD">
        <w:trPr>
          <w:jc w:val="center"/>
        </w:trPr>
        <w:tc>
          <w:tcPr>
            <w:tcW w:w="1425" w:type="dxa"/>
            <w:tcBorders>
              <w:right w:val="single" w:sz="4" w:space="0" w:color="auto"/>
            </w:tcBorders>
            <w:shd w:val="clear" w:color="auto" w:fill="EEEEEE" w:themeFill="background2"/>
          </w:tcPr>
          <w:p w14:paraId="267BDA61" w14:textId="77777777" w:rsidR="006C3DEB" w:rsidRDefault="006C3DEB" w:rsidP="005A7549">
            <w:pPr>
              <w:pStyle w:val="TableTextLeft"/>
              <w:rPr>
                <w:rFonts w:eastAsia="Calibri"/>
              </w:rPr>
            </w:pPr>
            <w:r w:rsidRPr="00E670A7">
              <w:rPr>
                <w:rFonts w:eastAsiaTheme="minorHAnsi" w:cstheme="minorBidi"/>
                <w:position w:val="-14"/>
                <w:sz w:val="22"/>
                <w:szCs w:val="22"/>
                <w:lang w:eastAsia="en-US"/>
              </w:rPr>
              <w:object w:dxaOrig="580" w:dyaOrig="400" w14:anchorId="0947282E">
                <v:shape id="_x0000_i1503" type="#_x0000_t75" style="width:29.4pt;height:21.6pt" o:ole="">
                  <v:imagedata r:id="rId980" o:title=""/>
                </v:shape>
                <o:OLEObject Type="Embed" ProgID="Equation.DSMT4" ShapeID="_x0000_i1503" DrawAspect="Content" ObjectID="_1754919054" r:id="rId981"/>
              </w:object>
            </w:r>
          </w:p>
        </w:tc>
        <w:tc>
          <w:tcPr>
            <w:tcW w:w="1138" w:type="dxa"/>
            <w:tcBorders>
              <w:left w:val="single" w:sz="4" w:space="0" w:color="auto"/>
            </w:tcBorders>
            <w:shd w:val="clear" w:color="auto" w:fill="auto"/>
            <w:vAlign w:val="center"/>
          </w:tcPr>
          <w:p w14:paraId="78758916" w14:textId="77777777" w:rsidR="006C3DEB" w:rsidRPr="00AA7A12" w:rsidRDefault="006C3DEB" w:rsidP="005A7549">
            <w:pPr>
              <w:pStyle w:val="TableTextCentered"/>
              <w:rPr>
                <w:rFonts w:eastAsia="Calibri"/>
              </w:rPr>
            </w:pPr>
            <w:r>
              <w:rPr>
                <w:rFonts w:eastAsia="Calibri"/>
              </w:rPr>
              <w:t>0.0044</w:t>
            </w:r>
          </w:p>
        </w:tc>
        <w:tc>
          <w:tcPr>
            <w:tcW w:w="1138" w:type="dxa"/>
            <w:shd w:val="clear" w:color="auto" w:fill="auto"/>
            <w:vAlign w:val="center"/>
          </w:tcPr>
          <w:p w14:paraId="501906A1" w14:textId="77777777" w:rsidR="006C3DEB" w:rsidRPr="00AA7A12" w:rsidRDefault="006C3DEB" w:rsidP="005A7549">
            <w:pPr>
              <w:pStyle w:val="TableTextCentered"/>
              <w:rPr>
                <w:rFonts w:eastAsia="Calibri"/>
              </w:rPr>
            </w:pPr>
            <w:r>
              <w:rPr>
                <w:rFonts w:eastAsia="Calibri"/>
              </w:rPr>
              <w:t>0.1767</w:t>
            </w:r>
          </w:p>
        </w:tc>
        <w:tc>
          <w:tcPr>
            <w:tcW w:w="1223" w:type="dxa"/>
            <w:shd w:val="clear" w:color="auto" w:fill="auto"/>
            <w:vAlign w:val="center"/>
          </w:tcPr>
          <w:p w14:paraId="6B202F38" w14:textId="77777777" w:rsidR="006C3DEB" w:rsidRPr="00AA7A12" w:rsidRDefault="006C3DEB" w:rsidP="005A7549">
            <w:pPr>
              <w:pStyle w:val="TableTextCentered"/>
              <w:rPr>
                <w:rFonts w:eastAsia="Calibri"/>
              </w:rPr>
            </w:pPr>
            <w:r>
              <w:rPr>
                <w:rFonts w:eastAsia="Calibri"/>
              </w:rPr>
              <w:t>0.2156</w:t>
            </w:r>
          </w:p>
        </w:tc>
        <w:tc>
          <w:tcPr>
            <w:tcW w:w="1054" w:type="dxa"/>
            <w:shd w:val="clear" w:color="auto" w:fill="auto"/>
            <w:vAlign w:val="center"/>
          </w:tcPr>
          <w:p w14:paraId="4CC0644A" w14:textId="77777777" w:rsidR="006C3DEB" w:rsidRPr="00AA7A12" w:rsidRDefault="006C3DEB" w:rsidP="005A7549">
            <w:pPr>
              <w:pStyle w:val="TableTextCentered"/>
              <w:rPr>
                <w:rFonts w:eastAsia="Calibri"/>
              </w:rPr>
            </w:pPr>
            <w:r>
              <w:rPr>
                <w:rFonts w:eastAsia="Calibri"/>
              </w:rPr>
              <w:t>0.0341</w:t>
            </w:r>
          </w:p>
        </w:tc>
        <w:tc>
          <w:tcPr>
            <w:tcW w:w="1138" w:type="dxa"/>
            <w:shd w:val="clear" w:color="auto" w:fill="auto"/>
            <w:vAlign w:val="center"/>
          </w:tcPr>
          <w:p w14:paraId="0BD448EC" w14:textId="77777777" w:rsidR="006C3DEB" w:rsidRDefault="006C3DEB" w:rsidP="005A7549">
            <w:pPr>
              <w:pStyle w:val="TableTextCentered"/>
              <w:rPr>
                <w:rFonts w:eastAsia="Calibri"/>
              </w:rPr>
            </w:pPr>
            <w:r>
              <w:rPr>
                <w:rFonts w:eastAsia="Calibri"/>
              </w:rPr>
              <w:t>0.1318</w:t>
            </w:r>
          </w:p>
        </w:tc>
        <w:tc>
          <w:tcPr>
            <w:tcW w:w="1138" w:type="dxa"/>
            <w:shd w:val="clear" w:color="auto" w:fill="auto"/>
            <w:vAlign w:val="center"/>
          </w:tcPr>
          <w:p w14:paraId="69FE37A2" w14:textId="77777777" w:rsidR="006C3DEB" w:rsidRDefault="006C3DEB" w:rsidP="005A7549">
            <w:pPr>
              <w:pStyle w:val="TableTextCentered"/>
              <w:rPr>
                <w:rFonts w:eastAsia="Calibri"/>
              </w:rPr>
            </w:pPr>
            <w:r>
              <w:rPr>
                <w:rFonts w:eastAsia="Calibri"/>
              </w:rPr>
              <w:t>0.4373</w:t>
            </w:r>
          </w:p>
        </w:tc>
        <w:tc>
          <w:tcPr>
            <w:tcW w:w="1158" w:type="dxa"/>
            <w:shd w:val="clear" w:color="auto" w:fill="auto"/>
            <w:vAlign w:val="center"/>
          </w:tcPr>
          <w:p w14:paraId="58A94101" w14:textId="77777777" w:rsidR="006C3DEB" w:rsidRDefault="006C3DEB" w:rsidP="005A7549">
            <w:pPr>
              <w:pStyle w:val="TableTextCentered"/>
              <w:rPr>
                <w:rFonts w:eastAsia="Calibri"/>
              </w:rPr>
            </w:pPr>
            <w:r>
              <w:rPr>
                <w:rFonts w:eastAsia="Calibri"/>
              </w:rPr>
              <w:t>0.0000</w:t>
            </w:r>
          </w:p>
        </w:tc>
      </w:tr>
      <w:tr w:rsidR="006C3DEB" w14:paraId="3F683B92" w14:textId="77777777" w:rsidTr="00017ACD">
        <w:trPr>
          <w:jc w:val="center"/>
        </w:trPr>
        <w:tc>
          <w:tcPr>
            <w:tcW w:w="1425" w:type="dxa"/>
            <w:tcBorders>
              <w:right w:val="single" w:sz="4" w:space="0" w:color="auto"/>
            </w:tcBorders>
            <w:shd w:val="clear" w:color="auto" w:fill="EEEEEE" w:themeFill="background2"/>
          </w:tcPr>
          <w:p w14:paraId="6F15F565"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620" w:dyaOrig="400" w14:anchorId="09DD16E6">
                <v:shape id="_x0000_i1504" type="#_x0000_t75" style="width:29.4pt;height:21.6pt" o:ole="">
                  <v:imagedata r:id="rId982" o:title=""/>
                </v:shape>
                <o:OLEObject Type="Embed" ProgID="Equation.DSMT4" ShapeID="_x0000_i1504" DrawAspect="Content" ObjectID="_1754919055" r:id="rId983"/>
              </w:object>
            </w:r>
          </w:p>
        </w:tc>
        <w:tc>
          <w:tcPr>
            <w:tcW w:w="1138" w:type="dxa"/>
            <w:tcBorders>
              <w:left w:val="single" w:sz="4" w:space="0" w:color="auto"/>
            </w:tcBorders>
            <w:shd w:val="clear" w:color="auto" w:fill="auto"/>
            <w:vAlign w:val="center"/>
          </w:tcPr>
          <w:p w14:paraId="3874131C" w14:textId="77777777" w:rsidR="006C3DEB" w:rsidRPr="00AA7A12" w:rsidRDefault="006C3DEB" w:rsidP="005A7549">
            <w:pPr>
              <w:pStyle w:val="TableTextCentered"/>
              <w:rPr>
                <w:rFonts w:eastAsia="Calibri"/>
              </w:rPr>
            </w:pPr>
            <w:r>
              <w:rPr>
                <w:rFonts w:eastAsia="Calibri"/>
              </w:rPr>
              <w:t>0.1477</w:t>
            </w:r>
          </w:p>
        </w:tc>
        <w:tc>
          <w:tcPr>
            <w:tcW w:w="1138" w:type="dxa"/>
            <w:shd w:val="clear" w:color="auto" w:fill="auto"/>
            <w:vAlign w:val="center"/>
          </w:tcPr>
          <w:p w14:paraId="580DF6E8" w14:textId="77777777" w:rsidR="006C3DEB" w:rsidRPr="00AA7A12" w:rsidRDefault="006C3DEB" w:rsidP="005A7549">
            <w:pPr>
              <w:pStyle w:val="TableTextCentered"/>
              <w:rPr>
                <w:rFonts w:eastAsia="Calibri"/>
              </w:rPr>
            </w:pPr>
            <w:r>
              <w:rPr>
                <w:rFonts w:eastAsia="Calibri"/>
              </w:rPr>
              <w:t>0.1827</w:t>
            </w:r>
          </w:p>
        </w:tc>
        <w:tc>
          <w:tcPr>
            <w:tcW w:w="1223" w:type="dxa"/>
            <w:shd w:val="clear" w:color="auto" w:fill="auto"/>
            <w:vAlign w:val="center"/>
          </w:tcPr>
          <w:p w14:paraId="2AC6050A" w14:textId="77777777" w:rsidR="006C3DEB" w:rsidRPr="00AA7A12" w:rsidRDefault="006C3DEB" w:rsidP="005A7549">
            <w:pPr>
              <w:pStyle w:val="TableTextCentered"/>
              <w:rPr>
                <w:rFonts w:eastAsia="Calibri"/>
              </w:rPr>
            </w:pPr>
            <w:r>
              <w:rPr>
                <w:rFonts w:eastAsia="Calibri"/>
              </w:rPr>
              <w:t>0.3436</w:t>
            </w:r>
          </w:p>
        </w:tc>
        <w:tc>
          <w:tcPr>
            <w:tcW w:w="1054" w:type="dxa"/>
            <w:shd w:val="clear" w:color="auto" w:fill="auto"/>
            <w:vAlign w:val="center"/>
          </w:tcPr>
          <w:p w14:paraId="09BC138C" w14:textId="77777777" w:rsidR="006C3DEB" w:rsidRPr="00AA7A12" w:rsidRDefault="006C3DEB" w:rsidP="005A7549">
            <w:pPr>
              <w:pStyle w:val="TableTextCentered"/>
              <w:rPr>
                <w:rFonts w:eastAsia="Calibri"/>
              </w:rPr>
            </w:pPr>
            <w:r>
              <w:rPr>
                <w:rFonts w:eastAsia="Calibri"/>
              </w:rPr>
              <w:t>0.0334</w:t>
            </w:r>
          </w:p>
        </w:tc>
        <w:tc>
          <w:tcPr>
            <w:tcW w:w="1138" w:type="dxa"/>
            <w:shd w:val="clear" w:color="auto" w:fill="auto"/>
            <w:vAlign w:val="center"/>
          </w:tcPr>
          <w:p w14:paraId="0F469D35" w14:textId="77777777" w:rsidR="006C3DEB" w:rsidRDefault="006C3DEB" w:rsidP="005A7549">
            <w:pPr>
              <w:pStyle w:val="TableTextCentered"/>
              <w:rPr>
                <w:rFonts w:eastAsia="Calibri"/>
              </w:rPr>
            </w:pPr>
            <w:r>
              <w:rPr>
                <w:rFonts w:eastAsia="Calibri"/>
              </w:rPr>
              <w:t>0.0112</w:t>
            </w:r>
          </w:p>
        </w:tc>
        <w:tc>
          <w:tcPr>
            <w:tcW w:w="1138" w:type="dxa"/>
            <w:shd w:val="clear" w:color="auto" w:fill="auto"/>
            <w:vAlign w:val="center"/>
          </w:tcPr>
          <w:p w14:paraId="2309A856" w14:textId="77777777" w:rsidR="006C3DEB" w:rsidRDefault="006C3DEB" w:rsidP="005A7549">
            <w:pPr>
              <w:pStyle w:val="TableTextCentered"/>
              <w:rPr>
                <w:rFonts w:eastAsia="Calibri"/>
              </w:rPr>
            </w:pPr>
            <w:r>
              <w:rPr>
                <w:rFonts w:eastAsia="Calibri"/>
              </w:rPr>
              <w:t>0.2814</w:t>
            </w:r>
          </w:p>
        </w:tc>
        <w:tc>
          <w:tcPr>
            <w:tcW w:w="1158" w:type="dxa"/>
            <w:shd w:val="clear" w:color="auto" w:fill="auto"/>
            <w:vAlign w:val="center"/>
          </w:tcPr>
          <w:p w14:paraId="448BB9EB" w14:textId="77777777" w:rsidR="006C3DEB" w:rsidRDefault="006C3DEB" w:rsidP="005A7549">
            <w:pPr>
              <w:pStyle w:val="TableTextCentered"/>
              <w:rPr>
                <w:rFonts w:eastAsia="Calibri"/>
              </w:rPr>
            </w:pPr>
            <w:r>
              <w:rPr>
                <w:rFonts w:eastAsia="Calibri"/>
              </w:rPr>
              <w:t>0.0000</w:t>
            </w:r>
          </w:p>
        </w:tc>
      </w:tr>
      <w:tr w:rsidR="006C3DEB" w14:paraId="5C9F4189" w14:textId="77777777" w:rsidTr="00017ACD">
        <w:trPr>
          <w:jc w:val="center"/>
        </w:trPr>
        <w:tc>
          <w:tcPr>
            <w:tcW w:w="1425" w:type="dxa"/>
            <w:tcBorders>
              <w:right w:val="single" w:sz="4" w:space="0" w:color="auto"/>
            </w:tcBorders>
            <w:shd w:val="clear" w:color="auto" w:fill="EEEEEE" w:themeFill="background2"/>
          </w:tcPr>
          <w:p w14:paraId="1CC229A8"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560" w:dyaOrig="400" w14:anchorId="01C43326">
                <v:shape id="_x0000_i1505" type="#_x0000_t75" style="width:29.4pt;height:21.6pt" o:ole="">
                  <v:imagedata r:id="rId984" o:title=""/>
                </v:shape>
                <o:OLEObject Type="Embed" ProgID="Equation.DSMT4" ShapeID="_x0000_i1505" DrawAspect="Content" ObjectID="_1754919056" r:id="rId985"/>
              </w:object>
            </w:r>
          </w:p>
        </w:tc>
        <w:tc>
          <w:tcPr>
            <w:tcW w:w="1138" w:type="dxa"/>
            <w:tcBorders>
              <w:left w:val="single" w:sz="4" w:space="0" w:color="auto"/>
            </w:tcBorders>
            <w:shd w:val="clear" w:color="auto" w:fill="auto"/>
            <w:vAlign w:val="center"/>
          </w:tcPr>
          <w:p w14:paraId="5FC4CECC" w14:textId="77777777" w:rsidR="006C3DEB" w:rsidRPr="00AA7A12" w:rsidRDefault="006C3DEB" w:rsidP="005A7549">
            <w:pPr>
              <w:pStyle w:val="TableTextCentered"/>
              <w:rPr>
                <w:rFonts w:eastAsia="Calibri"/>
              </w:rPr>
            </w:pPr>
            <w:r>
              <w:rPr>
                <w:rFonts w:eastAsia="Calibri"/>
              </w:rPr>
              <w:t>0.0006</w:t>
            </w:r>
          </w:p>
        </w:tc>
        <w:tc>
          <w:tcPr>
            <w:tcW w:w="1138" w:type="dxa"/>
            <w:shd w:val="clear" w:color="auto" w:fill="auto"/>
            <w:vAlign w:val="center"/>
          </w:tcPr>
          <w:p w14:paraId="1C3E4DDD" w14:textId="77777777" w:rsidR="006C3DEB" w:rsidRPr="00AA7A12" w:rsidRDefault="006C3DEB" w:rsidP="005A7549">
            <w:pPr>
              <w:pStyle w:val="TableTextCentered"/>
              <w:rPr>
                <w:rFonts w:eastAsia="Calibri"/>
              </w:rPr>
            </w:pPr>
            <w:r>
              <w:rPr>
                <w:rFonts w:eastAsia="Calibri"/>
              </w:rPr>
              <w:t>0.0522</w:t>
            </w:r>
          </w:p>
        </w:tc>
        <w:tc>
          <w:tcPr>
            <w:tcW w:w="1223" w:type="dxa"/>
            <w:shd w:val="clear" w:color="auto" w:fill="auto"/>
            <w:vAlign w:val="center"/>
          </w:tcPr>
          <w:p w14:paraId="1D3DE464" w14:textId="77777777" w:rsidR="006C3DEB" w:rsidRPr="00AA7A12" w:rsidRDefault="006C3DEB" w:rsidP="005A7549">
            <w:pPr>
              <w:pStyle w:val="TableTextCentered"/>
              <w:rPr>
                <w:rFonts w:eastAsia="Calibri"/>
              </w:rPr>
            </w:pPr>
            <w:r>
              <w:rPr>
                <w:rFonts w:eastAsia="Calibri"/>
              </w:rPr>
              <w:t>0.0821</w:t>
            </w:r>
          </w:p>
        </w:tc>
        <w:tc>
          <w:tcPr>
            <w:tcW w:w="1054" w:type="dxa"/>
            <w:shd w:val="clear" w:color="auto" w:fill="auto"/>
            <w:vAlign w:val="center"/>
          </w:tcPr>
          <w:p w14:paraId="6A6F8048" w14:textId="77777777" w:rsidR="006C3DEB" w:rsidRPr="00AA7A12" w:rsidRDefault="006C3DEB" w:rsidP="005A7549">
            <w:pPr>
              <w:pStyle w:val="TableTextCentered"/>
              <w:rPr>
                <w:rFonts w:eastAsia="Calibri"/>
              </w:rPr>
            </w:pPr>
            <w:r>
              <w:rPr>
                <w:rFonts w:eastAsia="Calibri"/>
              </w:rPr>
              <w:t>0.4704</w:t>
            </w:r>
          </w:p>
        </w:tc>
        <w:tc>
          <w:tcPr>
            <w:tcW w:w="1138" w:type="dxa"/>
            <w:shd w:val="clear" w:color="auto" w:fill="auto"/>
            <w:vAlign w:val="center"/>
          </w:tcPr>
          <w:p w14:paraId="52992D96" w14:textId="77777777" w:rsidR="006C3DEB" w:rsidRDefault="006C3DEB" w:rsidP="005A7549">
            <w:pPr>
              <w:pStyle w:val="TableTextCentered"/>
              <w:rPr>
                <w:rFonts w:eastAsia="Calibri"/>
              </w:rPr>
            </w:pPr>
            <w:r>
              <w:rPr>
                <w:rFonts w:eastAsia="Calibri"/>
              </w:rPr>
              <w:t>0.0737</w:t>
            </w:r>
          </w:p>
        </w:tc>
        <w:tc>
          <w:tcPr>
            <w:tcW w:w="1138" w:type="dxa"/>
            <w:shd w:val="clear" w:color="auto" w:fill="auto"/>
            <w:vAlign w:val="center"/>
          </w:tcPr>
          <w:p w14:paraId="5976AEC1" w14:textId="77777777" w:rsidR="006C3DEB" w:rsidRDefault="006C3DEB" w:rsidP="005A7549">
            <w:pPr>
              <w:pStyle w:val="TableTextCentered"/>
              <w:rPr>
                <w:rFonts w:eastAsia="Calibri"/>
              </w:rPr>
            </w:pPr>
            <w:r>
              <w:rPr>
                <w:rFonts w:eastAsia="Calibri"/>
              </w:rPr>
              <w:t>0.3209</w:t>
            </w:r>
          </w:p>
        </w:tc>
        <w:tc>
          <w:tcPr>
            <w:tcW w:w="1158" w:type="dxa"/>
            <w:shd w:val="clear" w:color="auto" w:fill="auto"/>
            <w:vAlign w:val="center"/>
          </w:tcPr>
          <w:p w14:paraId="391B0518" w14:textId="77777777" w:rsidR="006C3DEB" w:rsidRDefault="006C3DEB" w:rsidP="005A7549">
            <w:pPr>
              <w:pStyle w:val="TableTextCentered"/>
              <w:rPr>
                <w:rFonts w:eastAsia="Calibri"/>
              </w:rPr>
            </w:pPr>
            <w:r>
              <w:rPr>
                <w:rFonts w:eastAsia="Calibri"/>
              </w:rPr>
              <w:t>0.0000</w:t>
            </w:r>
          </w:p>
        </w:tc>
      </w:tr>
      <w:tr w:rsidR="006C3DEB" w14:paraId="1935A8AB" w14:textId="77777777" w:rsidTr="00017ACD">
        <w:trPr>
          <w:jc w:val="center"/>
        </w:trPr>
        <w:tc>
          <w:tcPr>
            <w:tcW w:w="1425" w:type="dxa"/>
            <w:tcBorders>
              <w:right w:val="single" w:sz="4" w:space="0" w:color="auto"/>
            </w:tcBorders>
            <w:shd w:val="clear" w:color="auto" w:fill="EEEEEE" w:themeFill="background2"/>
          </w:tcPr>
          <w:p w14:paraId="64A1FA1C"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560" w:dyaOrig="400" w14:anchorId="5EEAF81E">
                <v:shape id="_x0000_i1506" type="#_x0000_t75" style="width:29.4pt;height:21.6pt" o:ole="">
                  <v:imagedata r:id="rId986" o:title=""/>
                </v:shape>
                <o:OLEObject Type="Embed" ProgID="Equation.DSMT4" ShapeID="_x0000_i1506" DrawAspect="Content" ObjectID="_1754919057" r:id="rId987"/>
              </w:object>
            </w:r>
          </w:p>
        </w:tc>
        <w:tc>
          <w:tcPr>
            <w:tcW w:w="1138" w:type="dxa"/>
            <w:tcBorders>
              <w:left w:val="single" w:sz="4" w:space="0" w:color="auto"/>
            </w:tcBorders>
            <w:shd w:val="clear" w:color="auto" w:fill="auto"/>
            <w:vAlign w:val="center"/>
          </w:tcPr>
          <w:p w14:paraId="3505001B" w14:textId="77777777" w:rsidR="006C3DEB" w:rsidRPr="00AA7A12" w:rsidRDefault="006C3DEB" w:rsidP="005A7549">
            <w:pPr>
              <w:pStyle w:val="TableTextCentered"/>
              <w:rPr>
                <w:rFonts w:eastAsia="Calibri"/>
              </w:rPr>
            </w:pPr>
            <w:r>
              <w:rPr>
                <w:rFonts w:eastAsia="Calibri"/>
              </w:rPr>
              <w:t>0.0025</w:t>
            </w:r>
          </w:p>
        </w:tc>
        <w:tc>
          <w:tcPr>
            <w:tcW w:w="1138" w:type="dxa"/>
            <w:shd w:val="clear" w:color="auto" w:fill="auto"/>
            <w:vAlign w:val="center"/>
          </w:tcPr>
          <w:p w14:paraId="1BE1CFEC" w14:textId="77777777" w:rsidR="006C3DEB" w:rsidRPr="00AA7A12" w:rsidRDefault="006C3DEB" w:rsidP="005A7549">
            <w:pPr>
              <w:pStyle w:val="TableTextCentered"/>
              <w:rPr>
                <w:rFonts w:eastAsia="Calibri"/>
              </w:rPr>
            </w:pPr>
            <w:r>
              <w:rPr>
                <w:rFonts w:eastAsia="Calibri"/>
              </w:rPr>
              <w:t>0.0128</w:t>
            </w:r>
          </w:p>
        </w:tc>
        <w:tc>
          <w:tcPr>
            <w:tcW w:w="1223" w:type="dxa"/>
            <w:shd w:val="clear" w:color="auto" w:fill="auto"/>
            <w:vAlign w:val="center"/>
          </w:tcPr>
          <w:p w14:paraId="40F2487B" w14:textId="77777777" w:rsidR="006C3DEB" w:rsidRPr="00AA7A12" w:rsidRDefault="006C3DEB" w:rsidP="005A7549">
            <w:pPr>
              <w:pStyle w:val="TableTextCentered"/>
              <w:rPr>
                <w:rFonts w:eastAsia="Calibri"/>
              </w:rPr>
            </w:pPr>
            <w:r>
              <w:rPr>
                <w:rFonts w:eastAsia="Calibri"/>
              </w:rPr>
              <w:t>0.2747</w:t>
            </w:r>
          </w:p>
        </w:tc>
        <w:tc>
          <w:tcPr>
            <w:tcW w:w="1054" w:type="dxa"/>
            <w:shd w:val="clear" w:color="auto" w:fill="auto"/>
            <w:vAlign w:val="center"/>
          </w:tcPr>
          <w:p w14:paraId="29D375EB" w14:textId="77777777" w:rsidR="006C3DEB" w:rsidRPr="00AA7A12" w:rsidRDefault="006C3DEB" w:rsidP="005A7549">
            <w:pPr>
              <w:pStyle w:val="TableTextCentered"/>
              <w:rPr>
                <w:rFonts w:eastAsia="Calibri"/>
              </w:rPr>
            </w:pPr>
            <w:r>
              <w:rPr>
                <w:rFonts w:eastAsia="Calibri"/>
              </w:rPr>
              <w:t>0.0095</w:t>
            </w:r>
          </w:p>
        </w:tc>
        <w:tc>
          <w:tcPr>
            <w:tcW w:w="1138" w:type="dxa"/>
            <w:shd w:val="clear" w:color="auto" w:fill="auto"/>
            <w:vAlign w:val="center"/>
          </w:tcPr>
          <w:p w14:paraId="305F8D0B" w14:textId="77777777" w:rsidR="006C3DEB" w:rsidRDefault="006C3DEB" w:rsidP="005A7549">
            <w:pPr>
              <w:pStyle w:val="TableTextCentered"/>
              <w:rPr>
                <w:rFonts w:eastAsia="Calibri"/>
              </w:rPr>
            </w:pPr>
            <w:r>
              <w:rPr>
                <w:rFonts w:eastAsia="Calibri"/>
              </w:rPr>
              <w:t>0.4346</w:t>
            </w:r>
          </w:p>
        </w:tc>
        <w:tc>
          <w:tcPr>
            <w:tcW w:w="1138" w:type="dxa"/>
            <w:shd w:val="clear" w:color="auto" w:fill="auto"/>
            <w:vAlign w:val="center"/>
          </w:tcPr>
          <w:p w14:paraId="5CB29C36" w14:textId="77777777" w:rsidR="006C3DEB" w:rsidRDefault="006C3DEB" w:rsidP="005A7549">
            <w:pPr>
              <w:pStyle w:val="TableTextCentered"/>
              <w:rPr>
                <w:rFonts w:eastAsia="Calibri"/>
              </w:rPr>
            </w:pPr>
            <w:r>
              <w:rPr>
                <w:rFonts w:eastAsia="Calibri"/>
              </w:rPr>
              <w:t>0.2659</w:t>
            </w:r>
          </w:p>
        </w:tc>
        <w:tc>
          <w:tcPr>
            <w:tcW w:w="1158" w:type="dxa"/>
            <w:shd w:val="clear" w:color="auto" w:fill="auto"/>
            <w:vAlign w:val="center"/>
          </w:tcPr>
          <w:p w14:paraId="4B1FACD1" w14:textId="77777777" w:rsidR="006C3DEB" w:rsidRDefault="006C3DEB" w:rsidP="005A7549">
            <w:pPr>
              <w:pStyle w:val="TableTextCentered"/>
              <w:rPr>
                <w:rFonts w:eastAsia="Calibri"/>
              </w:rPr>
            </w:pPr>
            <w:r>
              <w:rPr>
                <w:rFonts w:eastAsia="Calibri"/>
              </w:rPr>
              <w:t>0.0000</w:t>
            </w:r>
          </w:p>
        </w:tc>
      </w:tr>
      <w:tr w:rsidR="006C3DEB" w14:paraId="33A73516" w14:textId="77777777" w:rsidTr="00017ACD">
        <w:trPr>
          <w:jc w:val="center"/>
        </w:trPr>
        <w:tc>
          <w:tcPr>
            <w:tcW w:w="1425" w:type="dxa"/>
            <w:tcBorders>
              <w:right w:val="single" w:sz="4" w:space="0" w:color="auto"/>
            </w:tcBorders>
            <w:shd w:val="clear" w:color="auto" w:fill="EEEEEE" w:themeFill="background2"/>
          </w:tcPr>
          <w:p w14:paraId="3A945A53"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580" w:dyaOrig="400" w14:anchorId="773D8365">
                <v:shape id="_x0000_i1507" type="#_x0000_t75" style="width:29.4pt;height:21.6pt" o:ole="">
                  <v:imagedata r:id="rId988" o:title=""/>
                </v:shape>
                <o:OLEObject Type="Embed" ProgID="Equation.DSMT4" ShapeID="_x0000_i1507" DrawAspect="Content" ObjectID="_1754919058" r:id="rId989"/>
              </w:object>
            </w:r>
          </w:p>
        </w:tc>
        <w:tc>
          <w:tcPr>
            <w:tcW w:w="1138" w:type="dxa"/>
            <w:tcBorders>
              <w:left w:val="single" w:sz="4" w:space="0" w:color="auto"/>
            </w:tcBorders>
            <w:shd w:val="clear" w:color="auto" w:fill="auto"/>
            <w:vAlign w:val="center"/>
          </w:tcPr>
          <w:p w14:paraId="6859F073" w14:textId="77777777" w:rsidR="006C3DEB" w:rsidRPr="00AA7A12" w:rsidRDefault="006C3DEB" w:rsidP="005A7549">
            <w:pPr>
              <w:pStyle w:val="TableTextCentered"/>
              <w:rPr>
                <w:rFonts w:eastAsia="Calibri"/>
              </w:rPr>
            </w:pPr>
            <w:r>
              <w:rPr>
                <w:rFonts w:eastAsia="Calibri"/>
              </w:rPr>
              <w:t>0.0091</w:t>
            </w:r>
          </w:p>
        </w:tc>
        <w:tc>
          <w:tcPr>
            <w:tcW w:w="1138" w:type="dxa"/>
            <w:shd w:val="clear" w:color="auto" w:fill="auto"/>
            <w:vAlign w:val="center"/>
          </w:tcPr>
          <w:p w14:paraId="5D6A64DC" w14:textId="77777777" w:rsidR="006C3DEB" w:rsidRPr="00AA7A12" w:rsidRDefault="006C3DEB" w:rsidP="005A7549">
            <w:pPr>
              <w:pStyle w:val="TableTextCentered"/>
              <w:rPr>
                <w:rFonts w:eastAsia="Calibri"/>
              </w:rPr>
            </w:pPr>
            <w:r>
              <w:rPr>
                <w:rFonts w:eastAsia="Calibri"/>
              </w:rPr>
              <w:t>0.0115</w:t>
            </w:r>
          </w:p>
        </w:tc>
        <w:tc>
          <w:tcPr>
            <w:tcW w:w="1223" w:type="dxa"/>
            <w:shd w:val="clear" w:color="auto" w:fill="auto"/>
            <w:vAlign w:val="center"/>
          </w:tcPr>
          <w:p w14:paraId="55AC3A24" w14:textId="77777777" w:rsidR="006C3DEB" w:rsidRPr="00AA7A12" w:rsidRDefault="006C3DEB" w:rsidP="005A7549">
            <w:pPr>
              <w:pStyle w:val="TableTextCentered"/>
              <w:rPr>
                <w:rFonts w:eastAsia="Calibri"/>
              </w:rPr>
            </w:pPr>
            <w:r>
              <w:rPr>
                <w:rFonts w:eastAsia="Calibri"/>
              </w:rPr>
              <w:t>0.1420</w:t>
            </w:r>
          </w:p>
        </w:tc>
        <w:tc>
          <w:tcPr>
            <w:tcW w:w="1054" w:type="dxa"/>
            <w:shd w:val="clear" w:color="auto" w:fill="auto"/>
            <w:vAlign w:val="center"/>
          </w:tcPr>
          <w:p w14:paraId="4B3F5856" w14:textId="77777777" w:rsidR="006C3DEB" w:rsidRPr="00AA7A12" w:rsidRDefault="006C3DEB" w:rsidP="005A7549">
            <w:pPr>
              <w:pStyle w:val="TableTextCentered"/>
              <w:rPr>
                <w:rFonts w:eastAsia="Calibri"/>
              </w:rPr>
            </w:pPr>
            <w:r>
              <w:rPr>
                <w:rFonts w:eastAsia="Calibri"/>
              </w:rPr>
              <w:t>0.0282</w:t>
            </w:r>
          </w:p>
        </w:tc>
        <w:tc>
          <w:tcPr>
            <w:tcW w:w="1138" w:type="dxa"/>
            <w:shd w:val="clear" w:color="auto" w:fill="auto"/>
            <w:vAlign w:val="center"/>
          </w:tcPr>
          <w:p w14:paraId="582CAC3D" w14:textId="77777777" w:rsidR="006C3DEB" w:rsidRDefault="006C3DEB" w:rsidP="005A7549">
            <w:pPr>
              <w:pStyle w:val="TableTextCentered"/>
              <w:rPr>
                <w:rFonts w:eastAsia="Calibri"/>
              </w:rPr>
            </w:pPr>
            <w:r>
              <w:rPr>
                <w:rFonts w:eastAsia="Calibri"/>
              </w:rPr>
              <w:t>0.0481</w:t>
            </w:r>
          </w:p>
        </w:tc>
        <w:tc>
          <w:tcPr>
            <w:tcW w:w="1138" w:type="dxa"/>
            <w:shd w:val="clear" w:color="auto" w:fill="auto"/>
            <w:vAlign w:val="center"/>
          </w:tcPr>
          <w:p w14:paraId="44D88790" w14:textId="77777777" w:rsidR="006C3DEB" w:rsidRDefault="006C3DEB" w:rsidP="005A7549">
            <w:pPr>
              <w:pStyle w:val="TableTextCentered"/>
              <w:rPr>
                <w:rFonts w:eastAsia="Calibri"/>
              </w:rPr>
            </w:pPr>
            <w:r>
              <w:rPr>
                <w:rFonts w:eastAsia="Calibri"/>
              </w:rPr>
              <w:t>0.7612</w:t>
            </w:r>
          </w:p>
        </w:tc>
        <w:tc>
          <w:tcPr>
            <w:tcW w:w="1158" w:type="dxa"/>
            <w:shd w:val="clear" w:color="auto" w:fill="auto"/>
            <w:vAlign w:val="center"/>
          </w:tcPr>
          <w:p w14:paraId="41D56C44" w14:textId="77777777" w:rsidR="006C3DEB" w:rsidRDefault="006C3DEB" w:rsidP="005A7549">
            <w:pPr>
              <w:pStyle w:val="TableTextCentered"/>
              <w:rPr>
                <w:rFonts w:eastAsia="Calibri"/>
              </w:rPr>
            </w:pPr>
            <w:r>
              <w:rPr>
                <w:rFonts w:eastAsia="Calibri"/>
              </w:rPr>
              <w:t>0.0000</w:t>
            </w:r>
          </w:p>
        </w:tc>
      </w:tr>
      <w:tr w:rsidR="006C3DEB" w14:paraId="78DA33EC" w14:textId="77777777" w:rsidTr="00017ACD">
        <w:trPr>
          <w:jc w:val="center"/>
        </w:trPr>
        <w:tc>
          <w:tcPr>
            <w:tcW w:w="1425" w:type="dxa"/>
            <w:tcBorders>
              <w:right w:val="single" w:sz="4" w:space="0" w:color="auto"/>
            </w:tcBorders>
            <w:shd w:val="clear" w:color="auto" w:fill="EEEEEE" w:themeFill="background2"/>
          </w:tcPr>
          <w:p w14:paraId="30AC524D" w14:textId="77777777" w:rsidR="006C3DEB" w:rsidRPr="000F4F87" w:rsidRDefault="006C3DEB" w:rsidP="005A7549">
            <w:pPr>
              <w:pStyle w:val="TableTextLeft"/>
              <w:rPr>
                <w:rFonts w:eastAsia="Calibri"/>
              </w:rPr>
            </w:pPr>
            <w:r w:rsidRPr="00E670A7">
              <w:rPr>
                <w:rFonts w:eastAsiaTheme="minorHAnsi" w:cstheme="minorBidi"/>
                <w:position w:val="-14"/>
                <w:sz w:val="22"/>
                <w:szCs w:val="22"/>
                <w:lang w:eastAsia="en-US"/>
              </w:rPr>
              <w:object w:dxaOrig="620" w:dyaOrig="400" w14:anchorId="0DE6AB23">
                <v:shape id="_x0000_i1508" type="#_x0000_t75" style="width:29.4pt;height:21.6pt" o:ole="">
                  <v:imagedata r:id="rId990" o:title=""/>
                </v:shape>
                <o:OLEObject Type="Embed" ProgID="Equation.DSMT4" ShapeID="_x0000_i1508" DrawAspect="Content" ObjectID="_1754919059" r:id="rId991"/>
              </w:object>
            </w:r>
          </w:p>
        </w:tc>
        <w:tc>
          <w:tcPr>
            <w:tcW w:w="1138" w:type="dxa"/>
            <w:tcBorders>
              <w:left w:val="single" w:sz="4" w:space="0" w:color="auto"/>
            </w:tcBorders>
            <w:shd w:val="clear" w:color="auto" w:fill="auto"/>
            <w:vAlign w:val="center"/>
          </w:tcPr>
          <w:p w14:paraId="5DDE2E7C" w14:textId="77777777" w:rsidR="006C3DEB" w:rsidRPr="00976943" w:rsidRDefault="006C3DEB" w:rsidP="005A7549">
            <w:pPr>
              <w:pStyle w:val="TableTextCentered"/>
              <w:rPr>
                <w:rFonts w:eastAsia="Calibri"/>
              </w:rPr>
            </w:pPr>
            <w:r>
              <w:rPr>
                <w:rFonts w:eastAsia="Calibri"/>
              </w:rPr>
              <w:t>0.0000</w:t>
            </w:r>
          </w:p>
        </w:tc>
        <w:tc>
          <w:tcPr>
            <w:tcW w:w="1138" w:type="dxa"/>
            <w:shd w:val="clear" w:color="auto" w:fill="auto"/>
            <w:vAlign w:val="center"/>
          </w:tcPr>
          <w:p w14:paraId="2FAA3512" w14:textId="77777777" w:rsidR="006C3DEB" w:rsidRPr="00976943" w:rsidRDefault="006C3DEB" w:rsidP="005A7549">
            <w:pPr>
              <w:pStyle w:val="TableTextCentered"/>
              <w:rPr>
                <w:rFonts w:eastAsia="Calibri"/>
              </w:rPr>
            </w:pPr>
            <w:r>
              <w:rPr>
                <w:rFonts w:eastAsia="Calibri"/>
              </w:rPr>
              <w:t>0.0070</w:t>
            </w:r>
          </w:p>
        </w:tc>
        <w:tc>
          <w:tcPr>
            <w:tcW w:w="1223" w:type="dxa"/>
            <w:shd w:val="clear" w:color="auto" w:fill="auto"/>
            <w:vAlign w:val="center"/>
          </w:tcPr>
          <w:p w14:paraId="2FC2CE34" w14:textId="77777777" w:rsidR="006C3DEB" w:rsidRPr="00976943" w:rsidRDefault="006C3DEB" w:rsidP="005A7549">
            <w:pPr>
              <w:pStyle w:val="TableTextCentered"/>
              <w:rPr>
                <w:rFonts w:eastAsia="Calibri"/>
              </w:rPr>
            </w:pPr>
            <w:r>
              <w:rPr>
                <w:rFonts w:eastAsia="Calibri"/>
              </w:rPr>
              <w:t>0.0253</w:t>
            </w:r>
          </w:p>
        </w:tc>
        <w:tc>
          <w:tcPr>
            <w:tcW w:w="1054" w:type="dxa"/>
            <w:shd w:val="clear" w:color="auto" w:fill="auto"/>
            <w:vAlign w:val="center"/>
          </w:tcPr>
          <w:p w14:paraId="5F6D727C" w14:textId="77777777" w:rsidR="006C3DEB" w:rsidRPr="00976943" w:rsidRDefault="006C3DEB" w:rsidP="005A7549">
            <w:pPr>
              <w:pStyle w:val="TableTextCentered"/>
              <w:rPr>
                <w:rFonts w:eastAsia="Calibri"/>
              </w:rPr>
            </w:pPr>
            <w:r>
              <w:rPr>
                <w:rFonts w:eastAsia="Calibri"/>
              </w:rPr>
              <w:t>0.0047</w:t>
            </w:r>
          </w:p>
        </w:tc>
        <w:tc>
          <w:tcPr>
            <w:tcW w:w="1138" w:type="dxa"/>
            <w:shd w:val="clear" w:color="auto" w:fill="auto"/>
            <w:vAlign w:val="center"/>
          </w:tcPr>
          <w:p w14:paraId="04CDF7D6" w14:textId="77777777" w:rsidR="006C3DEB" w:rsidRDefault="006C3DEB" w:rsidP="005A7549">
            <w:pPr>
              <w:pStyle w:val="TableTextCentered"/>
              <w:rPr>
                <w:rFonts w:eastAsia="Calibri"/>
              </w:rPr>
            </w:pPr>
            <w:r>
              <w:rPr>
                <w:rFonts w:eastAsia="Calibri"/>
              </w:rPr>
              <w:t>0.2144</w:t>
            </w:r>
          </w:p>
        </w:tc>
        <w:tc>
          <w:tcPr>
            <w:tcW w:w="1138" w:type="dxa"/>
            <w:shd w:val="clear" w:color="auto" w:fill="auto"/>
            <w:vAlign w:val="center"/>
          </w:tcPr>
          <w:p w14:paraId="6CA978B9" w14:textId="77777777" w:rsidR="006C3DEB" w:rsidRDefault="006C3DEB" w:rsidP="005A7549">
            <w:pPr>
              <w:pStyle w:val="TableTextCentered"/>
              <w:rPr>
                <w:rFonts w:eastAsia="Calibri"/>
              </w:rPr>
            </w:pPr>
            <w:r>
              <w:rPr>
                <w:rFonts w:eastAsia="Calibri"/>
              </w:rPr>
              <w:t>0.7486</w:t>
            </w:r>
          </w:p>
        </w:tc>
        <w:tc>
          <w:tcPr>
            <w:tcW w:w="1158" w:type="dxa"/>
            <w:shd w:val="clear" w:color="auto" w:fill="auto"/>
            <w:vAlign w:val="center"/>
          </w:tcPr>
          <w:p w14:paraId="3C8942F3" w14:textId="77777777" w:rsidR="006C3DEB" w:rsidRDefault="006C3DEB" w:rsidP="005A7549">
            <w:pPr>
              <w:pStyle w:val="TableTextCentered"/>
              <w:rPr>
                <w:rFonts w:eastAsia="Calibri"/>
              </w:rPr>
            </w:pPr>
            <w:r>
              <w:rPr>
                <w:rFonts w:eastAsia="Calibri"/>
              </w:rPr>
              <w:t>0.0000</w:t>
            </w:r>
          </w:p>
        </w:tc>
      </w:tr>
      <w:tr w:rsidR="006C3DEB" w:rsidRPr="00DC3711" w14:paraId="2CFB9C68" w14:textId="77777777" w:rsidTr="00017ACD">
        <w:trPr>
          <w:jc w:val="center"/>
        </w:trPr>
        <w:tc>
          <w:tcPr>
            <w:tcW w:w="1425" w:type="dxa"/>
            <w:tcBorders>
              <w:bottom w:val="single" w:sz="4" w:space="0" w:color="auto"/>
              <w:right w:val="single" w:sz="4" w:space="0" w:color="auto"/>
            </w:tcBorders>
            <w:shd w:val="clear" w:color="auto" w:fill="EEEEEE" w:themeFill="background2"/>
          </w:tcPr>
          <w:p w14:paraId="6606E828" w14:textId="77777777" w:rsidR="006C3DEB" w:rsidRDefault="006C3DEB" w:rsidP="005A7549">
            <w:pPr>
              <w:pStyle w:val="TableTextLeft"/>
              <w:rPr>
                <w:rFonts w:eastAsia="Calibri"/>
              </w:rPr>
            </w:pPr>
            <w:r w:rsidRPr="00E670A7">
              <w:rPr>
                <w:rFonts w:eastAsiaTheme="minorHAnsi" w:cstheme="minorBidi"/>
                <w:position w:val="-14"/>
                <w:sz w:val="22"/>
                <w:szCs w:val="22"/>
                <w:lang w:eastAsia="en-US"/>
              </w:rPr>
              <w:object w:dxaOrig="300" w:dyaOrig="400" w14:anchorId="6540117D">
                <v:shape id="_x0000_i1509" type="#_x0000_t75" style="width:14.4pt;height:21.6pt" o:ole="">
                  <v:imagedata r:id="rId992" o:title=""/>
                </v:shape>
                <o:OLEObject Type="Embed" ProgID="Equation.DSMT4" ShapeID="_x0000_i1509" DrawAspect="Content" ObjectID="_1754919060" r:id="rId993"/>
              </w:object>
            </w:r>
          </w:p>
        </w:tc>
        <w:tc>
          <w:tcPr>
            <w:tcW w:w="1138" w:type="dxa"/>
            <w:tcBorders>
              <w:left w:val="single" w:sz="4" w:space="0" w:color="auto"/>
              <w:bottom w:val="single" w:sz="4" w:space="0" w:color="auto"/>
            </w:tcBorders>
            <w:shd w:val="clear" w:color="auto" w:fill="auto"/>
            <w:vAlign w:val="center"/>
          </w:tcPr>
          <w:p w14:paraId="32053773" w14:textId="77777777" w:rsidR="006C3DEB" w:rsidRPr="00DC3711" w:rsidRDefault="006C3DEB" w:rsidP="005A7549">
            <w:pPr>
              <w:pStyle w:val="TableTextCentered"/>
              <w:rPr>
                <w:rFonts w:eastAsia="Calibri"/>
              </w:rPr>
            </w:pPr>
            <w:r w:rsidRPr="00DC3711">
              <w:rPr>
                <w:rFonts w:eastAsia="Calibri"/>
              </w:rPr>
              <w:t>0</w:t>
            </w:r>
            <w:r>
              <w:rPr>
                <w:rFonts w:eastAsia="Calibri"/>
              </w:rPr>
              <w:t>.0014</w:t>
            </w:r>
          </w:p>
        </w:tc>
        <w:tc>
          <w:tcPr>
            <w:tcW w:w="1138" w:type="dxa"/>
            <w:tcBorders>
              <w:bottom w:val="single" w:sz="4" w:space="0" w:color="auto"/>
            </w:tcBorders>
            <w:shd w:val="clear" w:color="auto" w:fill="auto"/>
            <w:vAlign w:val="center"/>
          </w:tcPr>
          <w:p w14:paraId="0D2D065B" w14:textId="77777777" w:rsidR="006C3DEB" w:rsidRPr="00DC3711" w:rsidRDefault="006C3DEB" w:rsidP="005A7549">
            <w:pPr>
              <w:pStyle w:val="TableTextCentered"/>
              <w:rPr>
                <w:rFonts w:eastAsia="Calibri"/>
              </w:rPr>
            </w:pPr>
            <w:r w:rsidRPr="00DC3711">
              <w:rPr>
                <w:rFonts w:eastAsia="Calibri"/>
              </w:rPr>
              <w:t>0.</w:t>
            </w:r>
            <w:r>
              <w:rPr>
                <w:rFonts w:eastAsia="Calibri"/>
              </w:rPr>
              <w:t>0004</w:t>
            </w:r>
          </w:p>
        </w:tc>
        <w:tc>
          <w:tcPr>
            <w:tcW w:w="1223" w:type="dxa"/>
            <w:tcBorders>
              <w:bottom w:val="single" w:sz="4" w:space="0" w:color="auto"/>
            </w:tcBorders>
            <w:shd w:val="clear" w:color="auto" w:fill="auto"/>
            <w:vAlign w:val="center"/>
          </w:tcPr>
          <w:p w14:paraId="135980CA" w14:textId="77777777" w:rsidR="006C3DEB" w:rsidRPr="00DC3711" w:rsidRDefault="006C3DEB" w:rsidP="005A7549">
            <w:pPr>
              <w:pStyle w:val="TableTextCentered"/>
              <w:rPr>
                <w:rFonts w:eastAsia="Calibri"/>
              </w:rPr>
            </w:pPr>
            <w:r>
              <w:rPr>
                <w:rFonts w:eastAsia="Calibri"/>
              </w:rPr>
              <w:t>0.0261</w:t>
            </w:r>
          </w:p>
        </w:tc>
        <w:tc>
          <w:tcPr>
            <w:tcW w:w="1054" w:type="dxa"/>
            <w:tcBorders>
              <w:bottom w:val="single" w:sz="4" w:space="0" w:color="auto"/>
            </w:tcBorders>
            <w:shd w:val="clear" w:color="auto" w:fill="auto"/>
            <w:vAlign w:val="center"/>
          </w:tcPr>
          <w:p w14:paraId="6BAE93E8" w14:textId="77777777" w:rsidR="006C3DEB" w:rsidRPr="00DC3711" w:rsidRDefault="006C3DEB" w:rsidP="005A7549">
            <w:pPr>
              <w:pStyle w:val="TableTextCentered"/>
              <w:rPr>
                <w:rFonts w:eastAsia="Calibri"/>
              </w:rPr>
            </w:pPr>
            <w:r>
              <w:rPr>
                <w:rFonts w:eastAsia="Calibri"/>
              </w:rPr>
              <w:t>0.0036</w:t>
            </w:r>
          </w:p>
        </w:tc>
        <w:tc>
          <w:tcPr>
            <w:tcW w:w="1138" w:type="dxa"/>
            <w:tcBorders>
              <w:bottom w:val="single" w:sz="4" w:space="0" w:color="auto"/>
            </w:tcBorders>
            <w:shd w:val="clear" w:color="auto" w:fill="auto"/>
            <w:vAlign w:val="center"/>
          </w:tcPr>
          <w:p w14:paraId="236D12E9" w14:textId="77777777" w:rsidR="006C3DEB" w:rsidRDefault="006C3DEB" w:rsidP="005A7549">
            <w:pPr>
              <w:pStyle w:val="TableTextCentered"/>
              <w:rPr>
                <w:rFonts w:eastAsia="Calibri"/>
              </w:rPr>
            </w:pPr>
            <w:r>
              <w:rPr>
                <w:rFonts w:eastAsia="Calibri"/>
              </w:rPr>
              <w:t>0.0007</w:t>
            </w:r>
          </w:p>
        </w:tc>
        <w:tc>
          <w:tcPr>
            <w:tcW w:w="1138" w:type="dxa"/>
            <w:tcBorders>
              <w:bottom w:val="single" w:sz="4" w:space="0" w:color="auto"/>
            </w:tcBorders>
            <w:shd w:val="clear" w:color="auto" w:fill="auto"/>
            <w:vAlign w:val="center"/>
          </w:tcPr>
          <w:p w14:paraId="2A7B3037" w14:textId="77777777" w:rsidR="006C3DEB" w:rsidRDefault="006C3DEB" w:rsidP="005A7549">
            <w:pPr>
              <w:pStyle w:val="TableTextCentered"/>
              <w:rPr>
                <w:rFonts w:eastAsia="Calibri"/>
              </w:rPr>
            </w:pPr>
            <w:r>
              <w:rPr>
                <w:rFonts w:eastAsia="Calibri"/>
              </w:rPr>
              <w:t>0.9670</w:t>
            </w:r>
          </w:p>
        </w:tc>
        <w:tc>
          <w:tcPr>
            <w:tcW w:w="1158" w:type="dxa"/>
            <w:tcBorders>
              <w:bottom w:val="single" w:sz="4" w:space="0" w:color="auto"/>
            </w:tcBorders>
            <w:shd w:val="clear" w:color="auto" w:fill="auto"/>
            <w:vAlign w:val="center"/>
          </w:tcPr>
          <w:p w14:paraId="52F570F7" w14:textId="77777777" w:rsidR="006C3DEB" w:rsidRDefault="006C3DEB" w:rsidP="005A7549">
            <w:pPr>
              <w:pStyle w:val="TableTextCentered"/>
              <w:rPr>
                <w:rFonts w:eastAsia="Calibri"/>
              </w:rPr>
            </w:pPr>
            <w:r>
              <w:rPr>
                <w:rFonts w:eastAsia="Calibri"/>
              </w:rPr>
              <w:t>0.0008</w:t>
            </w:r>
          </w:p>
        </w:tc>
      </w:tr>
    </w:tbl>
    <w:p w14:paraId="4BAC121B" w14:textId="77777777" w:rsidR="006C3DEB" w:rsidRDefault="006C3DEB" w:rsidP="006C3DEB">
      <w:pPr>
        <w:pStyle w:val="Note"/>
        <w:rPr>
          <w:rStyle w:val="IntenseEmphasis"/>
        </w:rPr>
      </w:pPr>
      <w:r w:rsidRPr="0032767F">
        <w:t xml:space="preserve">Source: Authors’ calculation based on </w:t>
      </w:r>
      <w:r w:rsidRPr="009C6437">
        <w:t>ABS (2018a)</w:t>
      </w:r>
      <w:r>
        <w:t xml:space="preserve"> and ABS (2021a)</w:t>
      </w:r>
      <w:r w:rsidRPr="0032767F">
        <w:t xml:space="preserve"> data.</w:t>
      </w:r>
    </w:p>
    <w:p w14:paraId="233F64DC" w14:textId="77777777" w:rsidR="006C3DEB" w:rsidRPr="004765B5" w:rsidRDefault="006C3DEB" w:rsidP="006C3DEB">
      <w:pPr>
        <w:pStyle w:val="Heading5"/>
        <w:rPr>
          <w:rStyle w:val="IntenseEmphasis"/>
          <w:b/>
          <w:bCs w:val="0"/>
          <w:i w:val="0"/>
          <w:iCs/>
          <w:color w:val="000000" w:themeColor="text1"/>
        </w:rPr>
      </w:pPr>
      <w:r w:rsidRPr="004765B5">
        <w:rPr>
          <w:rStyle w:val="IntenseEmphasis"/>
          <w:b/>
          <w:bCs w:val="0"/>
          <w:i w:val="0"/>
          <w:iCs/>
          <w:color w:val="000000" w:themeColor="text1"/>
        </w:rPr>
        <w:t>Substitution of varieties</w:t>
      </w:r>
    </w:p>
    <w:p w14:paraId="5B4F33F4" w14:textId="2CF5985E" w:rsidR="006C3DEB" w:rsidRPr="005849AB" w:rsidRDefault="006C3DEB" w:rsidP="005849AB">
      <w:r>
        <w:t>For the distribution sector, the elasticities of substitution in the basket of goods for the composite consumption, investment, intermediate inputs, and government spending functions (</w:t>
      </w:r>
      <w:r w:rsidRPr="00E670A7">
        <w:rPr>
          <w:position w:val="-10"/>
        </w:rPr>
        <w:object w:dxaOrig="1219" w:dyaOrig="360" w14:anchorId="65EBD5F4">
          <v:shape id="_x0000_i1510" type="#_x0000_t75" style="width:64.2pt;height:14.4pt" o:ole="">
            <v:imagedata r:id="rId994" o:title=""/>
          </v:shape>
          <o:OLEObject Type="Embed" ProgID="Equation.DSMT4" ShapeID="_x0000_i1510" DrawAspect="Content" ObjectID="_1754919061" r:id="rId995"/>
        </w:object>
      </w:r>
      <w:r>
        <w:t>) are set to 0.5.</w:t>
      </w:r>
    </w:p>
    <w:p w14:paraId="0888FCA6" w14:textId="77777777" w:rsidR="006C3DEB" w:rsidRDefault="006C3DEB" w:rsidP="006C3DEB">
      <w:pPr>
        <w:pStyle w:val="Heading4"/>
      </w:pPr>
      <w:r>
        <w:lastRenderedPageBreak/>
        <w:t>Import demand</w:t>
      </w:r>
    </w:p>
    <w:p w14:paraId="0A511A17" w14:textId="77777777" w:rsidR="006C3DEB" w:rsidRPr="004765B5" w:rsidRDefault="006C3DEB" w:rsidP="006C3DEB">
      <w:pPr>
        <w:pStyle w:val="Heading5"/>
        <w:rPr>
          <w:rStyle w:val="IntenseEmphasis"/>
          <w:b/>
          <w:bCs w:val="0"/>
          <w:i w:val="0"/>
          <w:iCs/>
          <w:color w:val="000000" w:themeColor="text1"/>
        </w:rPr>
      </w:pPr>
      <w:r w:rsidRPr="004765B5">
        <w:rPr>
          <w:rStyle w:val="IntenseEmphasis"/>
          <w:b/>
          <w:bCs w:val="0"/>
          <w:i w:val="0"/>
          <w:iCs/>
          <w:color w:val="000000" w:themeColor="text1"/>
        </w:rPr>
        <w:t>Import shares</w:t>
      </w:r>
    </w:p>
    <w:p w14:paraId="64629728" w14:textId="3B040D5A" w:rsidR="006C3DEB" w:rsidRDefault="006C3DEB" w:rsidP="006C3DEB">
      <w:r>
        <w:t>The allocation of expenditure across domestic and imported alternatives follows the same methodology as the composite goods and services. The added complication is that prices must be adjusted for GST and other ad valorem taxes. T</w:t>
      </w:r>
      <w:r>
        <w:rPr>
          <w:rFonts w:eastAsia="Calibri"/>
        </w:rPr>
        <w:t xml:space="preserve">he CES weights are derived from the cost shares of imported goods. The cost shares of imported goods are also reported in the </w:t>
      </w:r>
      <w:r w:rsidRPr="00260758">
        <w:rPr>
          <w:rFonts w:eastAsia="Calibri"/>
        </w:rPr>
        <w:t>ABS (2018a) as</w:t>
      </w:r>
      <w:r>
        <w:rPr>
          <w:rFonts w:eastAsia="Calibri"/>
        </w:rPr>
        <w:t xml:space="preserve"> a supplement to the IO table. Table 9 reports the seven-sector version of that table, which adopts the same colour coding as </w:t>
      </w:r>
      <w:r w:rsidR="00E00A52" w:rsidRPr="0088277E">
        <w:t xml:space="preserve">Table </w:t>
      </w:r>
      <w:r w:rsidR="00E00A52">
        <w:rPr>
          <w:noProof/>
        </w:rPr>
        <w:t>3</w:t>
      </w:r>
      <w:r>
        <w:rPr>
          <w:rFonts w:eastAsia="Calibri"/>
        </w:rPr>
        <w:t>. T</w:t>
      </w:r>
      <w:r>
        <w:t>he expenditure cost shares implied by Tables 3, 8 and 9.</w:t>
      </w:r>
      <w:bookmarkStart w:id="30" w:name="_Ref101947222"/>
    </w:p>
    <w:p w14:paraId="354DB937" w14:textId="7895CCCD" w:rsidR="006C3DEB" w:rsidRPr="005D1297" w:rsidRDefault="006C3DEB" w:rsidP="006C3DEB">
      <w:pPr>
        <w:pStyle w:val="TableMainHeading"/>
      </w:pPr>
      <w:r>
        <w:t xml:space="preserve">Table </w:t>
      </w:r>
      <w:r>
        <w:rPr>
          <w:noProof/>
        </w:rPr>
        <w:fldChar w:fldCharType="begin"/>
      </w:r>
      <w:r>
        <w:rPr>
          <w:noProof/>
        </w:rPr>
        <w:instrText xml:space="preserve"> SEQ Table \* ARABIC </w:instrText>
      </w:r>
      <w:r>
        <w:rPr>
          <w:noProof/>
        </w:rPr>
        <w:fldChar w:fldCharType="separate"/>
      </w:r>
      <w:r w:rsidR="00E00A52">
        <w:rPr>
          <w:noProof/>
        </w:rPr>
        <w:t>8</w:t>
      </w:r>
      <w:r>
        <w:rPr>
          <w:noProof/>
        </w:rPr>
        <w:fldChar w:fldCharType="end"/>
      </w:r>
      <w:bookmarkEnd w:id="30"/>
      <w:r w:rsidRPr="005D1297">
        <w:t>: Allocation of Imports (per cent of GDP)</w:t>
      </w:r>
    </w:p>
    <w:p w14:paraId="01C74B1A" w14:textId="77777777" w:rsidR="006C3DEB" w:rsidRDefault="006C3DEB" w:rsidP="006C3DEB">
      <w:pPr>
        <w:ind w:right="367"/>
        <w:rPr>
          <w:sz w:val="20"/>
        </w:rPr>
      </w:pPr>
      <w:r w:rsidRPr="001974FB">
        <w:rPr>
          <w:noProof/>
        </w:rPr>
        <w:drawing>
          <wp:inline distT="0" distB="0" distL="0" distR="0" wp14:anchorId="508EAEE1" wp14:editId="0CD7BFCA">
            <wp:extent cx="5904230" cy="3216691"/>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5904230" cy="3216691"/>
                    </a:xfrm>
                    <a:prstGeom prst="rect">
                      <a:avLst/>
                    </a:prstGeom>
                    <a:noFill/>
                    <a:ln>
                      <a:noFill/>
                    </a:ln>
                  </pic:spPr>
                </pic:pic>
              </a:graphicData>
            </a:graphic>
          </wp:inline>
        </w:drawing>
      </w:r>
    </w:p>
    <w:p w14:paraId="5598C8EF" w14:textId="77777777" w:rsidR="006C3DEB" w:rsidRDefault="006C3DEB" w:rsidP="006C3DEB">
      <w:pPr>
        <w:pStyle w:val="Note"/>
      </w:pPr>
      <w:r w:rsidRPr="00473B1B">
        <w:t xml:space="preserve">Source: Authors’ calculation based on </w:t>
      </w:r>
      <w:r w:rsidRPr="00260758">
        <w:t>ABS (2018a) dat</w:t>
      </w:r>
      <w:r w:rsidRPr="00473B1B">
        <w:t>a.</w:t>
      </w:r>
    </w:p>
    <w:p w14:paraId="61616446" w14:textId="77777777" w:rsidR="006C3DEB" w:rsidRDefault="006C3DEB" w:rsidP="006C3DEB">
      <w:pPr>
        <w:spacing w:before="0" w:after="200" w:line="276" w:lineRule="auto"/>
        <w:rPr>
          <w:rFonts w:ascii="Calibri" w:hAnsi="Calibri" w:cs="Arial"/>
          <w:color w:val="4D7861" w:themeColor="accent2"/>
          <w:kern w:val="32"/>
          <w:sz w:val="26"/>
          <w:szCs w:val="26"/>
        </w:rPr>
      </w:pPr>
      <w:bookmarkStart w:id="31" w:name="_Ref101947229"/>
      <w:r>
        <w:br w:type="page"/>
      </w:r>
    </w:p>
    <w:p w14:paraId="7050AE0A" w14:textId="76B74F84" w:rsidR="006C3DEB" w:rsidRPr="005D1297" w:rsidRDefault="006C3DEB" w:rsidP="006C3DEB">
      <w:pPr>
        <w:pStyle w:val="TableMainHeading"/>
      </w:pPr>
      <w:r>
        <w:lastRenderedPageBreak/>
        <w:t xml:space="preserve">Table </w:t>
      </w:r>
      <w:r>
        <w:rPr>
          <w:noProof/>
        </w:rPr>
        <w:fldChar w:fldCharType="begin"/>
      </w:r>
      <w:r>
        <w:rPr>
          <w:noProof/>
        </w:rPr>
        <w:instrText xml:space="preserve"> SEQ Table \* ARABIC </w:instrText>
      </w:r>
      <w:r>
        <w:rPr>
          <w:noProof/>
        </w:rPr>
        <w:fldChar w:fldCharType="separate"/>
      </w:r>
      <w:r w:rsidR="00E00A52">
        <w:rPr>
          <w:noProof/>
        </w:rPr>
        <w:t>9</w:t>
      </w:r>
      <w:r>
        <w:rPr>
          <w:noProof/>
        </w:rPr>
        <w:fldChar w:fldCharType="end"/>
      </w:r>
      <w:bookmarkEnd w:id="31"/>
      <w:r w:rsidRPr="005D1297">
        <w:t>: Import weights</w:t>
      </w:r>
    </w:p>
    <w:tbl>
      <w:tblPr>
        <w:tblStyle w:val="TableGrid"/>
        <w:tblW w:w="5000" w:type="pct"/>
        <w:jc w:val="center"/>
        <w:shd w:val="clear" w:color="auto" w:fill="EEEEEE" w:themeFill="background2"/>
        <w:tblLook w:val="04A0" w:firstRow="1" w:lastRow="0" w:firstColumn="1" w:lastColumn="0" w:noHBand="0" w:noVBand="1"/>
      </w:tblPr>
      <w:tblGrid>
        <w:gridCol w:w="1244"/>
        <w:gridCol w:w="1124"/>
        <w:gridCol w:w="1124"/>
        <w:gridCol w:w="1124"/>
        <w:gridCol w:w="1124"/>
        <w:gridCol w:w="1124"/>
        <w:gridCol w:w="1124"/>
        <w:gridCol w:w="1082"/>
      </w:tblGrid>
      <w:tr w:rsidR="006C3DEB" w14:paraId="6D77F352" w14:textId="77777777" w:rsidTr="00017ACD">
        <w:trPr>
          <w:jc w:val="center"/>
        </w:trPr>
        <w:tc>
          <w:tcPr>
            <w:tcW w:w="1096" w:type="dxa"/>
            <w:vMerge w:val="restart"/>
            <w:tcBorders>
              <w:top w:val="single" w:sz="4" w:space="0" w:color="auto"/>
            </w:tcBorders>
            <w:shd w:val="clear" w:color="auto" w:fill="EEEEEE" w:themeFill="background2"/>
            <w:vAlign w:val="center"/>
          </w:tcPr>
          <w:p w14:paraId="6231A2F4" w14:textId="77777777" w:rsidR="006C3DEB" w:rsidRPr="0088277E" w:rsidRDefault="006C3DEB" w:rsidP="005A7549">
            <w:pPr>
              <w:pStyle w:val="TableColumnHeadingCentred"/>
              <w:rPr>
                <w:rFonts w:eastAsia="Calibri"/>
              </w:rPr>
            </w:pPr>
            <w:r w:rsidRPr="0088277E">
              <w:rPr>
                <w:rFonts w:eastAsia="Calibri"/>
              </w:rPr>
              <w:t>Parameter</w:t>
            </w:r>
          </w:p>
        </w:tc>
        <w:tc>
          <w:tcPr>
            <w:tcW w:w="6900" w:type="dxa"/>
            <w:gridSpan w:val="7"/>
            <w:tcBorders>
              <w:top w:val="single" w:sz="4" w:space="0" w:color="auto"/>
            </w:tcBorders>
            <w:shd w:val="clear" w:color="auto" w:fill="EEEEEE" w:themeFill="background2"/>
            <w:vAlign w:val="center"/>
          </w:tcPr>
          <w:p w14:paraId="25454515" w14:textId="77777777" w:rsidR="006C3DEB" w:rsidRDefault="006C3DEB" w:rsidP="005A7549">
            <w:pPr>
              <w:pStyle w:val="TableColumnHeadingCentred"/>
              <w:rPr>
                <w:rFonts w:eastAsia="Calibri"/>
              </w:rPr>
            </w:pPr>
            <w:r w:rsidRPr="0088277E">
              <w:rPr>
                <w:rFonts w:eastAsia="Calibri"/>
              </w:rPr>
              <w:t>Consistent with cost share:</w:t>
            </w:r>
            <w:r w:rsidRPr="00141826">
              <w:rPr>
                <w:rFonts w:eastAsia="Calibri"/>
                <w:i/>
              </w:rPr>
              <w:t xml:space="preserve"> j</w:t>
            </w:r>
            <w:r>
              <w:rPr>
                <w:rFonts w:eastAsia="Calibri"/>
              </w:rPr>
              <w:t xml:space="preserve"> =</w:t>
            </w:r>
          </w:p>
        </w:tc>
      </w:tr>
      <w:tr w:rsidR="006C3DEB" w14:paraId="07606EA1" w14:textId="77777777" w:rsidTr="00017ACD">
        <w:trPr>
          <w:jc w:val="center"/>
        </w:trPr>
        <w:tc>
          <w:tcPr>
            <w:tcW w:w="1096" w:type="dxa"/>
            <w:vMerge/>
            <w:tcBorders>
              <w:bottom w:val="single" w:sz="4" w:space="0" w:color="auto"/>
            </w:tcBorders>
            <w:shd w:val="clear" w:color="auto" w:fill="EEEEEE" w:themeFill="background2"/>
          </w:tcPr>
          <w:p w14:paraId="2DBE6F93" w14:textId="77777777" w:rsidR="006C3DEB" w:rsidRPr="0088277E" w:rsidRDefault="006C3DEB" w:rsidP="005A7549">
            <w:pPr>
              <w:pStyle w:val="TableColumnHeadingCentred"/>
              <w:rPr>
                <w:rFonts w:eastAsia="Calibri"/>
              </w:rPr>
            </w:pPr>
          </w:p>
        </w:tc>
        <w:tc>
          <w:tcPr>
            <w:tcW w:w="991" w:type="dxa"/>
            <w:tcBorders>
              <w:bottom w:val="single" w:sz="4" w:space="0" w:color="auto"/>
            </w:tcBorders>
            <w:shd w:val="clear" w:color="auto" w:fill="EEEEEE" w:themeFill="background2"/>
            <w:vAlign w:val="center"/>
          </w:tcPr>
          <w:p w14:paraId="7DCB2BB2" w14:textId="77777777" w:rsidR="006C3DEB" w:rsidRPr="0088277E" w:rsidRDefault="006C3DEB" w:rsidP="005A7549">
            <w:pPr>
              <w:pStyle w:val="TableColumnHeadingCentred"/>
              <w:rPr>
                <w:rFonts w:eastAsia="Calibri"/>
              </w:rPr>
            </w:pPr>
            <w:r>
              <w:rPr>
                <w:rFonts w:eastAsia="Calibri"/>
              </w:rPr>
              <w:t>AGR</w:t>
            </w:r>
          </w:p>
        </w:tc>
        <w:tc>
          <w:tcPr>
            <w:tcW w:w="991" w:type="dxa"/>
            <w:tcBorders>
              <w:bottom w:val="single" w:sz="4" w:space="0" w:color="auto"/>
            </w:tcBorders>
            <w:shd w:val="clear" w:color="auto" w:fill="EEEEEE" w:themeFill="background2"/>
            <w:vAlign w:val="center"/>
          </w:tcPr>
          <w:p w14:paraId="76584EEF" w14:textId="77777777" w:rsidR="006C3DEB" w:rsidRPr="0088277E" w:rsidRDefault="006C3DEB" w:rsidP="005A7549">
            <w:pPr>
              <w:pStyle w:val="TableColumnHeadingCentred"/>
              <w:rPr>
                <w:rFonts w:eastAsia="Calibri"/>
              </w:rPr>
            </w:pPr>
            <w:r>
              <w:rPr>
                <w:rFonts w:eastAsia="Calibri"/>
              </w:rPr>
              <w:t>MIN</w:t>
            </w:r>
          </w:p>
        </w:tc>
        <w:tc>
          <w:tcPr>
            <w:tcW w:w="991" w:type="dxa"/>
            <w:tcBorders>
              <w:bottom w:val="single" w:sz="4" w:space="0" w:color="auto"/>
            </w:tcBorders>
            <w:shd w:val="clear" w:color="auto" w:fill="EEEEEE" w:themeFill="background2"/>
            <w:vAlign w:val="center"/>
          </w:tcPr>
          <w:p w14:paraId="34D93005" w14:textId="77777777" w:rsidR="006C3DEB" w:rsidRDefault="006C3DEB" w:rsidP="005A7549">
            <w:pPr>
              <w:pStyle w:val="TableColumnHeadingCentred"/>
              <w:rPr>
                <w:rFonts w:eastAsia="Calibri"/>
              </w:rPr>
            </w:pPr>
            <w:r>
              <w:rPr>
                <w:rFonts w:eastAsia="Calibri"/>
              </w:rPr>
              <w:t>MAN</w:t>
            </w:r>
          </w:p>
        </w:tc>
        <w:tc>
          <w:tcPr>
            <w:tcW w:w="991" w:type="dxa"/>
            <w:tcBorders>
              <w:bottom w:val="single" w:sz="4" w:space="0" w:color="auto"/>
            </w:tcBorders>
            <w:shd w:val="clear" w:color="auto" w:fill="EEEEEE" w:themeFill="background2"/>
            <w:vAlign w:val="center"/>
          </w:tcPr>
          <w:p w14:paraId="0B13F9C6" w14:textId="77777777" w:rsidR="006C3DEB" w:rsidRDefault="006C3DEB" w:rsidP="005A7549">
            <w:pPr>
              <w:pStyle w:val="TableColumnHeadingCentred"/>
              <w:rPr>
                <w:rFonts w:eastAsia="Calibri"/>
              </w:rPr>
            </w:pPr>
            <w:r>
              <w:rPr>
                <w:rFonts w:eastAsia="Calibri"/>
              </w:rPr>
              <w:t>UTL</w:t>
            </w:r>
          </w:p>
        </w:tc>
        <w:tc>
          <w:tcPr>
            <w:tcW w:w="991" w:type="dxa"/>
            <w:tcBorders>
              <w:bottom w:val="single" w:sz="4" w:space="0" w:color="auto"/>
            </w:tcBorders>
            <w:shd w:val="clear" w:color="auto" w:fill="EEEEEE" w:themeFill="background2"/>
            <w:vAlign w:val="center"/>
          </w:tcPr>
          <w:p w14:paraId="1861DF1F" w14:textId="77777777" w:rsidR="006C3DEB" w:rsidRDefault="006C3DEB" w:rsidP="005A7549">
            <w:pPr>
              <w:pStyle w:val="TableColumnHeadingCentred"/>
              <w:rPr>
                <w:rFonts w:eastAsia="Calibri"/>
              </w:rPr>
            </w:pPr>
            <w:r>
              <w:rPr>
                <w:rFonts w:eastAsia="Calibri"/>
              </w:rPr>
              <w:t>CST</w:t>
            </w:r>
          </w:p>
        </w:tc>
        <w:tc>
          <w:tcPr>
            <w:tcW w:w="991" w:type="dxa"/>
            <w:tcBorders>
              <w:bottom w:val="single" w:sz="4" w:space="0" w:color="auto"/>
            </w:tcBorders>
            <w:shd w:val="clear" w:color="auto" w:fill="EEEEEE" w:themeFill="background2"/>
            <w:vAlign w:val="center"/>
          </w:tcPr>
          <w:p w14:paraId="7DB978F5" w14:textId="77777777" w:rsidR="006C3DEB" w:rsidRDefault="006C3DEB" w:rsidP="005A7549">
            <w:pPr>
              <w:pStyle w:val="TableColumnHeadingCentred"/>
              <w:rPr>
                <w:rFonts w:eastAsia="Calibri"/>
              </w:rPr>
            </w:pPr>
            <w:r>
              <w:rPr>
                <w:rFonts w:eastAsia="Calibri"/>
              </w:rPr>
              <w:t>SRV</w:t>
            </w:r>
          </w:p>
        </w:tc>
        <w:tc>
          <w:tcPr>
            <w:tcW w:w="954" w:type="dxa"/>
            <w:tcBorders>
              <w:bottom w:val="single" w:sz="4" w:space="0" w:color="auto"/>
            </w:tcBorders>
            <w:shd w:val="clear" w:color="auto" w:fill="EEEEEE" w:themeFill="background2"/>
            <w:vAlign w:val="center"/>
          </w:tcPr>
          <w:p w14:paraId="4F6240E5" w14:textId="77777777" w:rsidR="006C3DEB" w:rsidRDefault="006C3DEB" w:rsidP="005A7549">
            <w:pPr>
              <w:pStyle w:val="TableColumnHeadingCentred"/>
              <w:rPr>
                <w:rFonts w:eastAsia="Calibri"/>
              </w:rPr>
            </w:pPr>
            <w:r>
              <w:rPr>
                <w:rFonts w:eastAsia="Calibri"/>
              </w:rPr>
              <w:t>DWE</w:t>
            </w:r>
          </w:p>
        </w:tc>
      </w:tr>
      <w:tr w:rsidR="006C3DEB" w:rsidRPr="004B6070" w14:paraId="684DAE66" w14:textId="77777777" w:rsidTr="00017ACD">
        <w:trPr>
          <w:jc w:val="center"/>
        </w:trPr>
        <w:tc>
          <w:tcPr>
            <w:tcW w:w="1096" w:type="dxa"/>
            <w:tcBorders>
              <w:top w:val="single" w:sz="4" w:space="0" w:color="auto"/>
              <w:right w:val="single" w:sz="4" w:space="0" w:color="auto"/>
            </w:tcBorders>
            <w:shd w:val="clear" w:color="auto" w:fill="EEEEEE" w:themeFill="background2"/>
          </w:tcPr>
          <w:p w14:paraId="1980DD60" w14:textId="77777777" w:rsidR="006C3DEB" w:rsidRDefault="006C3DEB" w:rsidP="005A7549">
            <w:pPr>
              <w:pStyle w:val="TableTextLeft"/>
              <w:rPr>
                <w:rFonts w:eastAsia="Calibri"/>
              </w:rPr>
            </w:pPr>
            <w:r w:rsidRPr="00E670A7">
              <w:rPr>
                <w:rFonts w:eastAsiaTheme="minorHAnsi"/>
                <w:lang w:eastAsia="en-US"/>
              </w:rPr>
              <w:object w:dxaOrig="380" w:dyaOrig="400" w14:anchorId="237BE0E9">
                <v:shape id="_x0000_i1511" type="#_x0000_t75" style="width:14.4pt;height:21.6pt" o:ole="">
                  <v:imagedata r:id="rId997" o:title=""/>
                </v:shape>
                <o:OLEObject Type="Embed" ProgID="Equation.DSMT4" ShapeID="_x0000_i1511" DrawAspect="Content" ObjectID="_1754919062" r:id="rId998"/>
              </w:object>
            </w:r>
          </w:p>
        </w:tc>
        <w:tc>
          <w:tcPr>
            <w:tcW w:w="991" w:type="dxa"/>
            <w:tcBorders>
              <w:top w:val="single" w:sz="4" w:space="0" w:color="auto"/>
              <w:left w:val="single" w:sz="4" w:space="0" w:color="auto"/>
            </w:tcBorders>
            <w:shd w:val="clear" w:color="auto" w:fill="auto"/>
            <w:vAlign w:val="center"/>
          </w:tcPr>
          <w:p w14:paraId="7FB958E7" w14:textId="77777777" w:rsidR="006C3DEB" w:rsidRPr="000C72F6" w:rsidRDefault="006C3DEB" w:rsidP="005A7549">
            <w:pPr>
              <w:pStyle w:val="TableTextCentered"/>
              <w:rPr>
                <w:rFonts w:eastAsia="Calibri"/>
              </w:rPr>
            </w:pPr>
            <w:r w:rsidRPr="000C72F6">
              <w:rPr>
                <w:rFonts w:eastAsia="Calibri"/>
              </w:rPr>
              <w:t>0</w:t>
            </w:r>
            <w:r>
              <w:rPr>
                <w:rFonts w:eastAsia="Calibri"/>
              </w:rPr>
              <w:t>.0791</w:t>
            </w:r>
          </w:p>
        </w:tc>
        <w:tc>
          <w:tcPr>
            <w:tcW w:w="991" w:type="dxa"/>
            <w:tcBorders>
              <w:top w:val="single" w:sz="4" w:space="0" w:color="auto"/>
            </w:tcBorders>
            <w:shd w:val="clear" w:color="auto" w:fill="auto"/>
            <w:vAlign w:val="center"/>
          </w:tcPr>
          <w:p w14:paraId="04949C7E" w14:textId="77777777" w:rsidR="006C3DEB" w:rsidRPr="000C72F6" w:rsidRDefault="006C3DEB" w:rsidP="005A7549">
            <w:pPr>
              <w:pStyle w:val="TableTextCentered"/>
              <w:rPr>
                <w:rFonts w:eastAsia="Calibri"/>
              </w:rPr>
            </w:pPr>
            <w:r w:rsidRPr="000C72F6">
              <w:rPr>
                <w:rFonts w:eastAsia="Calibri"/>
              </w:rPr>
              <w:t>0.</w:t>
            </w:r>
            <w:r>
              <w:rPr>
                <w:rFonts w:eastAsia="Calibri"/>
              </w:rPr>
              <w:t>1593</w:t>
            </w:r>
          </w:p>
        </w:tc>
        <w:tc>
          <w:tcPr>
            <w:tcW w:w="991" w:type="dxa"/>
            <w:tcBorders>
              <w:top w:val="single" w:sz="4" w:space="0" w:color="auto"/>
            </w:tcBorders>
            <w:shd w:val="clear" w:color="auto" w:fill="auto"/>
            <w:vAlign w:val="center"/>
          </w:tcPr>
          <w:p w14:paraId="544449F1" w14:textId="77777777" w:rsidR="006C3DEB" w:rsidRPr="000C72F6" w:rsidRDefault="006C3DEB" w:rsidP="005A7549">
            <w:pPr>
              <w:pStyle w:val="TableTextCentered"/>
              <w:rPr>
                <w:rFonts w:eastAsia="Calibri"/>
              </w:rPr>
            </w:pPr>
            <w:r>
              <w:rPr>
                <w:rFonts w:eastAsia="Calibri"/>
              </w:rPr>
              <w:t>0.5050</w:t>
            </w:r>
          </w:p>
        </w:tc>
        <w:tc>
          <w:tcPr>
            <w:tcW w:w="991" w:type="dxa"/>
            <w:tcBorders>
              <w:top w:val="single" w:sz="4" w:space="0" w:color="auto"/>
            </w:tcBorders>
            <w:shd w:val="clear" w:color="auto" w:fill="auto"/>
            <w:vAlign w:val="center"/>
          </w:tcPr>
          <w:p w14:paraId="5AD576EB" w14:textId="77777777" w:rsidR="006C3DEB" w:rsidRPr="000C72F6" w:rsidRDefault="006C3DEB" w:rsidP="005A7549">
            <w:pPr>
              <w:pStyle w:val="TableTextCentered"/>
              <w:rPr>
                <w:rFonts w:eastAsia="Calibri"/>
              </w:rPr>
            </w:pPr>
            <w:r>
              <w:rPr>
                <w:rFonts w:eastAsia="Calibri"/>
              </w:rPr>
              <w:t>0.0008</w:t>
            </w:r>
          </w:p>
        </w:tc>
        <w:tc>
          <w:tcPr>
            <w:tcW w:w="991" w:type="dxa"/>
            <w:tcBorders>
              <w:top w:val="single" w:sz="4" w:space="0" w:color="auto"/>
            </w:tcBorders>
            <w:shd w:val="clear" w:color="auto" w:fill="auto"/>
            <w:vAlign w:val="center"/>
          </w:tcPr>
          <w:p w14:paraId="4A400371" w14:textId="77777777" w:rsidR="006C3DEB" w:rsidRDefault="006C3DEB" w:rsidP="005A7549">
            <w:pPr>
              <w:pStyle w:val="TableTextCentered"/>
              <w:rPr>
                <w:rFonts w:eastAsia="Calibri"/>
              </w:rPr>
            </w:pPr>
            <w:r>
              <w:rPr>
                <w:rFonts w:eastAsia="Calibri"/>
              </w:rPr>
              <w:t>0.0000</w:t>
            </w:r>
          </w:p>
        </w:tc>
        <w:tc>
          <w:tcPr>
            <w:tcW w:w="991" w:type="dxa"/>
            <w:tcBorders>
              <w:top w:val="single" w:sz="4" w:space="0" w:color="auto"/>
            </w:tcBorders>
            <w:shd w:val="clear" w:color="auto" w:fill="auto"/>
            <w:vAlign w:val="center"/>
          </w:tcPr>
          <w:p w14:paraId="14D0D960" w14:textId="77777777" w:rsidR="006C3DEB" w:rsidRDefault="006C3DEB" w:rsidP="005A7549">
            <w:pPr>
              <w:pStyle w:val="TableTextCentered"/>
              <w:rPr>
                <w:rFonts w:eastAsia="Calibri"/>
              </w:rPr>
            </w:pPr>
            <w:r>
              <w:rPr>
                <w:rFonts w:eastAsia="Calibri"/>
              </w:rPr>
              <w:t>0.0433</w:t>
            </w:r>
          </w:p>
        </w:tc>
        <w:tc>
          <w:tcPr>
            <w:tcW w:w="954" w:type="dxa"/>
            <w:tcBorders>
              <w:top w:val="single" w:sz="4" w:space="0" w:color="auto"/>
            </w:tcBorders>
            <w:shd w:val="clear" w:color="auto" w:fill="auto"/>
            <w:vAlign w:val="center"/>
          </w:tcPr>
          <w:p w14:paraId="2B2FEAC1" w14:textId="77777777" w:rsidR="006C3DEB" w:rsidRDefault="006C3DEB" w:rsidP="005A7549">
            <w:pPr>
              <w:pStyle w:val="TableTextCentered"/>
              <w:rPr>
                <w:rFonts w:eastAsia="Calibri"/>
              </w:rPr>
            </w:pPr>
            <w:r>
              <w:rPr>
                <w:rFonts w:eastAsia="Calibri"/>
              </w:rPr>
              <w:t>0.0021</w:t>
            </w:r>
          </w:p>
        </w:tc>
      </w:tr>
      <w:tr w:rsidR="006C3DEB" w14:paraId="5357DB17" w14:textId="77777777" w:rsidTr="00017ACD">
        <w:trPr>
          <w:jc w:val="center"/>
        </w:trPr>
        <w:tc>
          <w:tcPr>
            <w:tcW w:w="1096" w:type="dxa"/>
            <w:tcBorders>
              <w:right w:val="single" w:sz="4" w:space="0" w:color="auto"/>
            </w:tcBorders>
            <w:shd w:val="clear" w:color="auto" w:fill="EEEEEE" w:themeFill="background2"/>
          </w:tcPr>
          <w:p w14:paraId="0728796B" w14:textId="77777777" w:rsidR="006C3DEB" w:rsidRDefault="006C3DEB" w:rsidP="005A7549">
            <w:pPr>
              <w:pStyle w:val="TableTextLeft"/>
              <w:rPr>
                <w:rFonts w:eastAsia="Calibri"/>
              </w:rPr>
            </w:pPr>
            <w:r w:rsidRPr="00E670A7">
              <w:rPr>
                <w:rFonts w:eastAsiaTheme="minorHAnsi"/>
                <w:lang w:eastAsia="en-US"/>
              </w:rPr>
              <w:object w:dxaOrig="600" w:dyaOrig="400" w14:anchorId="62701A5E">
                <v:shape id="_x0000_i1512" type="#_x0000_t75" style="width:29.4pt;height:21.6pt" o:ole="">
                  <v:imagedata r:id="rId999" o:title=""/>
                </v:shape>
                <o:OLEObject Type="Embed" ProgID="Equation.DSMT4" ShapeID="_x0000_i1512" DrawAspect="Content" ObjectID="_1754919063" r:id="rId1000"/>
              </w:object>
            </w:r>
          </w:p>
        </w:tc>
        <w:tc>
          <w:tcPr>
            <w:tcW w:w="991" w:type="dxa"/>
            <w:vMerge w:val="restart"/>
            <w:tcBorders>
              <w:left w:val="single" w:sz="4" w:space="0" w:color="auto"/>
            </w:tcBorders>
            <w:shd w:val="clear" w:color="auto" w:fill="auto"/>
            <w:vAlign w:val="center"/>
          </w:tcPr>
          <w:p w14:paraId="36C6A2BD" w14:textId="77777777" w:rsidR="006C3DEB" w:rsidRPr="000C72F6" w:rsidRDefault="006C3DEB" w:rsidP="005A7549">
            <w:pPr>
              <w:pStyle w:val="TableTextCentered"/>
              <w:rPr>
                <w:rFonts w:eastAsia="Calibri"/>
              </w:rPr>
            </w:pPr>
            <w:r>
              <w:rPr>
                <w:rFonts w:eastAsia="Calibri"/>
              </w:rPr>
              <w:t>0.0200</w:t>
            </w:r>
          </w:p>
        </w:tc>
        <w:tc>
          <w:tcPr>
            <w:tcW w:w="991" w:type="dxa"/>
            <w:vMerge w:val="restart"/>
            <w:shd w:val="clear" w:color="auto" w:fill="auto"/>
            <w:vAlign w:val="center"/>
          </w:tcPr>
          <w:p w14:paraId="7D5DEE38" w14:textId="77777777" w:rsidR="006C3DEB" w:rsidRPr="000C72F6" w:rsidRDefault="006C3DEB" w:rsidP="005A7549">
            <w:pPr>
              <w:pStyle w:val="TableTextCentered"/>
              <w:rPr>
                <w:rFonts w:eastAsia="Calibri"/>
              </w:rPr>
            </w:pPr>
            <w:r w:rsidRPr="000C72F6">
              <w:rPr>
                <w:rFonts w:eastAsia="Calibri"/>
              </w:rPr>
              <w:t>0</w:t>
            </w:r>
            <w:r>
              <w:rPr>
                <w:rFonts w:eastAsia="Calibri"/>
              </w:rPr>
              <w:t>.000</w:t>
            </w:r>
          </w:p>
        </w:tc>
        <w:tc>
          <w:tcPr>
            <w:tcW w:w="991" w:type="dxa"/>
            <w:vMerge w:val="restart"/>
            <w:shd w:val="clear" w:color="auto" w:fill="auto"/>
            <w:vAlign w:val="center"/>
          </w:tcPr>
          <w:p w14:paraId="1788D814" w14:textId="77777777" w:rsidR="006C3DEB" w:rsidRPr="000C72F6" w:rsidRDefault="006C3DEB" w:rsidP="005A7549">
            <w:pPr>
              <w:pStyle w:val="TableTextCentered"/>
              <w:rPr>
                <w:rFonts w:eastAsia="Calibri"/>
              </w:rPr>
            </w:pPr>
            <w:r>
              <w:rPr>
                <w:rFonts w:eastAsia="Calibri"/>
              </w:rPr>
              <w:t>0.7208</w:t>
            </w:r>
          </w:p>
        </w:tc>
        <w:tc>
          <w:tcPr>
            <w:tcW w:w="991" w:type="dxa"/>
            <w:vMerge w:val="restart"/>
            <w:shd w:val="clear" w:color="auto" w:fill="auto"/>
            <w:vAlign w:val="center"/>
          </w:tcPr>
          <w:p w14:paraId="77D622F2" w14:textId="77777777" w:rsidR="006C3DEB" w:rsidRPr="000C72F6" w:rsidRDefault="006C3DEB" w:rsidP="005A7549">
            <w:pPr>
              <w:pStyle w:val="TableTextCentered"/>
              <w:rPr>
                <w:rFonts w:eastAsia="Calibri"/>
              </w:rPr>
            </w:pPr>
            <w:r>
              <w:rPr>
                <w:rFonts w:eastAsia="Calibri"/>
              </w:rPr>
              <w:t>0.0000</w:t>
            </w:r>
          </w:p>
        </w:tc>
        <w:tc>
          <w:tcPr>
            <w:tcW w:w="991" w:type="dxa"/>
            <w:vMerge w:val="restart"/>
            <w:shd w:val="clear" w:color="auto" w:fill="auto"/>
            <w:vAlign w:val="center"/>
          </w:tcPr>
          <w:p w14:paraId="6D079A25" w14:textId="77777777" w:rsidR="006C3DEB" w:rsidRDefault="006C3DEB" w:rsidP="005A7549">
            <w:pPr>
              <w:pStyle w:val="TableTextCentered"/>
              <w:rPr>
                <w:rFonts w:eastAsia="Calibri"/>
              </w:rPr>
            </w:pPr>
            <w:r>
              <w:rPr>
                <w:rFonts w:eastAsia="Calibri"/>
              </w:rPr>
              <w:t>0.0050</w:t>
            </w:r>
          </w:p>
        </w:tc>
        <w:tc>
          <w:tcPr>
            <w:tcW w:w="991" w:type="dxa"/>
            <w:vMerge w:val="restart"/>
            <w:shd w:val="clear" w:color="auto" w:fill="auto"/>
            <w:vAlign w:val="center"/>
          </w:tcPr>
          <w:p w14:paraId="57B15D93" w14:textId="77777777" w:rsidR="006C3DEB" w:rsidRDefault="006C3DEB" w:rsidP="005A7549">
            <w:pPr>
              <w:pStyle w:val="TableTextCentered"/>
              <w:rPr>
                <w:rFonts w:eastAsia="Calibri"/>
              </w:rPr>
            </w:pPr>
            <w:r>
              <w:rPr>
                <w:rFonts w:eastAsia="Calibri"/>
              </w:rPr>
              <w:t>0.0143</w:t>
            </w:r>
          </w:p>
        </w:tc>
        <w:tc>
          <w:tcPr>
            <w:tcW w:w="954" w:type="dxa"/>
            <w:vMerge w:val="restart"/>
            <w:shd w:val="clear" w:color="auto" w:fill="auto"/>
            <w:vAlign w:val="center"/>
          </w:tcPr>
          <w:p w14:paraId="4A5FAC0A" w14:textId="77777777" w:rsidR="006C3DEB" w:rsidRDefault="006C3DEB" w:rsidP="005A7549">
            <w:pPr>
              <w:pStyle w:val="TableTextCentered"/>
              <w:rPr>
                <w:rFonts w:eastAsia="Calibri"/>
              </w:rPr>
            </w:pPr>
            <w:r>
              <w:rPr>
                <w:rFonts w:eastAsia="Calibri"/>
              </w:rPr>
              <w:t>0.0000</w:t>
            </w:r>
          </w:p>
        </w:tc>
      </w:tr>
      <w:tr w:rsidR="006C3DEB" w14:paraId="4019506A" w14:textId="77777777" w:rsidTr="00017ACD">
        <w:trPr>
          <w:jc w:val="center"/>
        </w:trPr>
        <w:tc>
          <w:tcPr>
            <w:tcW w:w="1096" w:type="dxa"/>
            <w:tcBorders>
              <w:right w:val="single" w:sz="4" w:space="0" w:color="auto"/>
            </w:tcBorders>
            <w:shd w:val="clear" w:color="auto" w:fill="EEEEEE" w:themeFill="background2"/>
          </w:tcPr>
          <w:p w14:paraId="6C7CEAED" w14:textId="77777777" w:rsidR="006C3DEB" w:rsidRPr="000F4F87" w:rsidRDefault="006C3DEB" w:rsidP="005A7549">
            <w:pPr>
              <w:pStyle w:val="TableTextLeft"/>
              <w:rPr>
                <w:rFonts w:eastAsia="Calibri"/>
              </w:rPr>
            </w:pPr>
            <w:r w:rsidRPr="00E670A7">
              <w:rPr>
                <w:rFonts w:eastAsiaTheme="minorHAnsi"/>
                <w:lang w:eastAsia="en-US"/>
              </w:rPr>
              <w:object w:dxaOrig="580" w:dyaOrig="400" w14:anchorId="01B06C2F">
                <v:shape id="_x0000_i1513" type="#_x0000_t75" style="width:29.4pt;height:21.6pt" o:ole="">
                  <v:imagedata r:id="rId1001" o:title=""/>
                </v:shape>
                <o:OLEObject Type="Embed" ProgID="Equation.DSMT4" ShapeID="_x0000_i1513" DrawAspect="Content" ObjectID="_1754919064" r:id="rId1002"/>
              </w:object>
            </w:r>
          </w:p>
        </w:tc>
        <w:tc>
          <w:tcPr>
            <w:tcW w:w="991" w:type="dxa"/>
            <w:vMerge/>
            <w:tcBorders>
              <w:left w:val="single" w:sz="4" w:space="0" w:color="auto"/>
            </w:tcBorders>
            <w:shd w:val="clear" w:color="auto" w:fill="auto"/>
            <w:vAlign w:val="center"/>
          </w:tcPr>
          <w:p w14:paraId="0F4D83AE" w14:textId="77777777" w:rsidR="006C3DEB" w:rsidRDefault="006C3DEB" w:rsidP="005A7549">
            <w:pPr>
              <w:pStyle w:val="TableTextCentered"/>
              <w:rPr>
                <w:rFonts w:eastAsia="Calibri"/>
              </w:rPr>
            </w:pPr>
          </w:p>
        </w:tc>
        <w:tc>
          <w:tcPr>
            <w:tcW w:w="991" w:type="dxa"/>
            <w:vMerge/>
            <w:shd w:val="clear" w:color="auto" w:fill="auto"/>
            <w:vAlign w:val="center"/>
          </w:tcPr>
          <w:p w14:paraId="2BC16E2C" w14:textId="77777777" w:rsidR="006C3DEB" w:rsidRDefault="006C3DEB" w:rsidP="005A7549">
            <w:pPr>
              <w:pStyle w:val="TableTextCentered"/>
              <w:rPr>
                <w:rFonts w:eastAsia="Calibri"/>
              </w:rPr>
            </w:pPr>
          </w:p>
        </w:tc>
        <w:tc>
          <w:tcPr>
            <w:tcW w:w="991" w:type="dxa"/>
            <w:vMerge/>
            <w:shd w:val="clear" w:color="auto" w:fill="auto"/>
            <w:vAlign w:val="center"/>
          </w:tcPr>
          <w:p w14:paraId="36AC5E29" w14:textId="77777777" w:rsidR="006C3DEB" w:rsidRDefault="006C3DEB" w:rsidP="005A7549">
            <w:pPr>
              <w:pStyle w:val="TableTextCentered"/>
              <w:rPr>
                <w:rFonts w:eastAsia="Calibri"/>
              </w:rPr>
            </w:pPr>
          </w:p>
        </w:tc>
        <w:tc>
          <w:tcPr>
            <w:tcW w:w="991" w:type="dxa"/>
            <w:vMerge/>
            <w:shd w:val="clear" w:color="auto" w:fill="auto"/>
            <w:vAlign w:val="center"/>
          </w:tcPr>
          <w:p w14:paraId="0DA50C03" w14:textId="77777777" w:rsidR="006C3DEB" w:rsidRDefault="006C3DEB" w:rsidP="005A7549">
            <w:pPr>
              <w:pStyle w:val="TableTextCentered"/>
              <w:rPr>
                <w:rFonts w:eastAsia="Calibri"/>
              </w:rPr>
            </w:pPr>
          </w:p>
        </w:tc>
        <w:tc>
          <w:tcPr>
            <w:tcW w:w="991" w:type="dxa"/>
            <w:vMerge/>
            <w:shd w:val="clear" w:color="auto" w:fill="auto"/>
            <w:vAlign w:val="center"/>
          </w:tcPr>
          <w:p w14:paraId="0FCA7CA6" w14:textId="77777777" w:rsidR="006C3DEB" w:rsidRDefault="006C3DEB" w:rsidP="005A7549">
            <w:pPr>
              <w:pStyle w:val="TableTextCentered"/>
              <w:rPr>
                <w:rFonts w:eastAsia="Calibri"/>
              </w:rPr>
            </w:pPr>
          </w:p>
        </w:tc>
        <w:tc>
          <w:tcPr>
            <w:tcW w:w="991" w:type="dxa"/>
            <w:vMerge/>
            <w:shd w:val="clear" w:color="auto" w:fill="auto"/>
            <w:vAlign w:val="center"/>
          </w:tcPr>
          <w:p w14:paraId="661CB090" w14:textId="77777777" w:rsidR="006C3DEB" w:rsidRDefault="006C3DEB" w:rsidP="005A7549">
            <w:pPr>
              <w:pStyle w:val="TableTextCentered"/>
              <w:rPr>
                <w:rFonts w:eastAsia="Calibri"/>
              </w:rPr>
            </w:pPr>
          </w:p>
        </w:tc>
        <w:tc>
          <w:tcPr>
            <w:tcW w:w="954" w:type="dxa"/>
            <w:vMerge/>
            <w:shd w:val="clear" w:color="auto" w:fill="auto"/>
            <w:vAlign w:val="center"/>
          </w:tcPr>
          <w:p w14:paraId="75AE705B" w14:textId="77777777" w:rsidR="006C3DEB" w:rsidRDefault="006C3DEB" w:rsidP="005A7549">
            <w:pPr>
              <w:pStyle w:val="TableTextCentered"/>
              <w:rPr>
                <w:rFonts w:eastAsia="Calibri"/>
              </w:rPr>
            </w:pPr>
          </w:p>
        </w:tc>
      </w:tr>
      <w:tr w:rsidR="006C3DEB" w14:paraId="09C83370" w14:textId="77777777" w:rsidTr="00017ACD">
        <w:trPr>
          <w:jc w:val="center"/>
        </w:trPr>
        <w:tc>
          <w:tcPr>
            <w:tcW w:w="1096" w:type="dxa"/>
            <w:tcBorders>
              <w:right w:val="single" w:sz="4" w:space="0" w:color="auto"/>
            </w:tcBorders>
            <w:shd w:val="clear" w:color="auto" w:fill="EEEEEE" w:themeFill="background2"/>
          </w:tcPr>
          <w:p w14:paraId="262EC801" w14:textId="77777777" w:rsidR="006C3DEB" w:rsidRPr="000F4F87" w:rsidRDefault="006C3DEB" w:rsidP="005A7549">
            <w:pPr>
              <w:pStyle w:val="TableTextLeft"/>
              <w:rPr>
                <w:rFonts w:eastAsia="Calibri"/>
              </w:rPr>
            </w:pPr>
            <w:r w:rsidRPr="00E670A7">
              <w:rPr>
                <w:rFonts w:eastAsiaTheme="minorHAnsi"/>
                <w:lang w:eastAsia="en-US"/>
              </w:rPr>
              <w:object w:dxaOrig="620" w:dyaOrig="400" w14:anchorId="6832E6FE">
                <v:shape id="_x0000_i1514" type="#_x0000_t75" style="width:29.4pt;height:21.6pt" o:ole="">
                  <v:imagedata r:id="rId1003" o:title=""/>
                </v:shape>
                <o:OLEObject Type="Embed" ProgID="Equation.DSMT4" ShapeID="_x0000_i1514" DrawAspect="Content" ObjectID="_1754919065" r:id="rId1004"/>
              </w:object>
            </w:r>
          </w:p>
        </w:tc>
        <w:tc>
          <w:tcPr>
            <w:tcW w:w="991" w:type="dxa"/>
            <w:vMerge/>
            <w:tcBorders>
              <w:left w:val="single" w:sz="4" w:space="0" w:color="auto"/>
            </w:tcBorders>
            <w:shd w:val="clear" w:color="auto" w:fill="auto"/>
            <w:vAlign w:val="center"/>
          </w:tcPr>
          <w:p w14:paraId="6BBB8B81" w14:textId="77777777" w:rsidR="006C3DEB" w:rsidRDefault="006C3DEB" w:rsidP="005A7549">
            <w:pPr>
              <w:pStyle w:val="TableTextCentered"/>
              <w:rPr>
                <w:rFonts w:eastAsia="Calibri"/>
              </w:rPr>
            </w:pPr>
          </w:p>
        </w:tc>
        <w:tc>
          <w:tcPr>
            <w:tcW w:w="991" w:type="dxa"/>
            <w:vMerge/>
            <w:shd w:val="clear" w:color="auto" w:fill="auto"/>
            <w:vAlign w:val="center"/>
          </w:tcPr>
          <w:p w14:paraId="14E3B619" w14:textId="77777777" w:rsidR="006C3DEB" w:rsidRDefault="006C3DEB" w:rsidP="005A7549">
            <w:pPr>
              <w:pStyle w:val="TableTextCentered"/>
              <w:rPr>
                <w:rFonts w:eastAsia="Calibri"/>
              </w:rPr>
            </w:pPr>
          </w:p>
        </w:tc>
        <w:tc>
          <w:tcPr>
            <w:tcW w:w="991" w:type="dxa"/>
            <w:vMerge/>
            <w:shd w:val="clear" w:color="auto" w:fill="auto"/>
            <w:vAlign w:val="center"/>
          </w:tcPr>
          <w:p w14:paraId="7ECD95A6" w14:textId="77777777" w:rsidR="006C3DEB" w:rsidRDefault="006C3DEB" w:rsidP="005A7549">
            <w:pPr>
              <w:pStyle w:val="TableTextCentered"/>
              <w:rPr>
                <w:rFonts w:eastAsia="Calibri"/>
              </w:rPr>
            </w:pPr>
          </w:p>
        </w:tc>
        <w:tc>
          <w:tcPr>
            <w:tcW w:w="991" w:type="dxa"/>
            <w:vMerge/>
            <w:shd w:val="clear" w:color="auto" w:fill="auto"/>
            <w:vAlign w:val="center"/>
          </w:tcPr>
          <w:p w14:paraId="2FF306D4" w14:textId="77777777" w:rsidR="006C3DEB" w:rsidRDefault="006C3DEB" w:rsidP="005A7549">
            <w:pPr>
              <w:pStyle w:val="TableTextCentered"/>
              <w:rPr>
                <w:rFonts w:eastAsia="Calibri"/>
              </w:rPr>
            </w:pPr>
          </w:p>
        </w:tc>
        <w:tc>
          <w:tcPr>
            <w:tcW w:w="991" w:type="dxa"/>
            <w:vMerge/>
            <w:shd w:val="clear" w:color="auto" w:fill="auto"/>
            <w:vAlign w:val="center"/>
          </w:tcPr>
          <w:p w14:paraId="1959C0DE" w14:textId="77777777" w:rsidR="006C3DEB" w:rsidRDefault="006C3DEB" w:rsidP="005A7549">
            <w:pPr>
              <w:pStyle w:val="TableTextCentered"/>
              <w:rPr>
                <w:rFonts w:eastAsia="Calibri"/>
              </w:rPr>
            </w:pPr>
          </w:p>
        </w:tc>
        <w:tc>
          <w:tcPr>
            <w:tcW w:w="991" w:type="dxa"/>
            <w:vMerge/>
            <w:shd w:val="clear" w:color="auto" w:fill="auto"/>
            <w:vAlign w:val="center"/>
          </w:tcPr>
          <w:p w14:paraId="2348D3ED" w14:textId="77777777" w:rsidR="006C3DEB" w:rsidRDefault="006C3DEB" w:rsidP="005A7549">
            <w:pPr>
              <w:pStyle w:val="TableTextCentered"/>
              <w:rPr>
                <w:rFonts w:eastAsia="Calibri"/>
              </w:rPr>
            </w:pPr>
          </w:p>
        </w:tc>
        <w:tc>
          <w:tcPr>
            <w:tcW w:w="954" w:type="dxa"/>
            <w:vMerge/>
            <w:shd w:val="clear" w:color="auto" w:fill="auto"/>
            <w:vAlign w:val="center"/>
          </w:tcPr>
          <w:p w14:paraId="3BF6E551" w14:textId="77777777" w:rsidR="006C3DEB" w:rsidRDefault="006C3DEB" w:rsidP="005A7549">
            <w:pPr>
              <w:pStyle w:val="TableTextCentered"/>
              <w:rPr>
                <w:rFonts w:eastAsia="Calibri"/>
              </w:rPr>
            </w:pPr>
          </w:p>
        </w:tc>
      </w:tr>
      <w:tr w:rsidR="006C3DEB" w14:paraId="4E7F68AF" w14:textId="77777777" w:rsidTr="00017ACD">
        <w:trPr>
          <w:jc w:val="center"/>
        </w:trPr>
        <w:tc>
          <w:tcPr>
            <w:tcW w:w="1096" w:type="dxa"/>
            <w:tcBorders>
              <w:right w:val="single" w:sz="4" w:space="0" w:color="auto"/>
            </w:tcBorders>
            <w:shd w:val="clear" w:color="auto" w:fill="EEEEEE" w:themeFill="background2"/>
          </w:tcPr>
          <w:p w14:paraId="606A0F73" w14:textId="77777777" w:rsidR="006C3DEB" w:rsidRPr="000F4F87" w:rsidRDefault="006C3DEB" w:rsidP="005A7549">
            <w:pPr>
              <w:pStyle w:val="TableTextLeft"/>
              <w:rPr>
                <w:rFonts w:eastAsia="Calibri"/>
              </w:rPr>
            </w:pPr>
            <w:r w:rsidRPr="00E670A7">
              <w:rPr>
                <w:rFonts w:eastAsiaTheme="minorHAnsi"/>
                <w:lang w:eastAsia="en-US"/>
              </w:rPr>
              <w:object w:dxaOrig="560" w:dyaOrig="400" w14:anchorId="03D486A8">
                <v:shape id="_x0000_i1515" type="#_x0000_t75" style="width:29.4pt;height:21.6pt" o:ole="">
                  <v:imagedata r:id="rId1005" o:title=""/>
                </v:shape>
                <o:OLEObject Type="Embed" ProgID="Equation.DSMT4" ShapeID="_x0000_i1515" DrawAspect="Content" ObjectID="_1754919066" r:id="rId1006"/>
              </w:object>
            </w:r>
          </w:p>
        </w:tc>
        <w:tc>
          <w:tcPr>
            <w:tcW w:w="991" w:type="dxa"/>
            <w:vMerge/>
            <w:tcBorders>
              <w:left w:val="single" w:sz="4" w:space="0" w:color="auto"/>
            </w:tcBorders>
            <w:shd w:val="clear" w:color="auto" w:fill="auto"/>
            <w:vAlign w:val="center"/>
          </w:tcPr>
          <w:p w14:paraId="5FDF9EB8" w14:textId="77777777" w:rsidR="006C3DEB" w:rsidRDefault="006C3DEB" w:rsidP="005A7549">
            <w:pPr>
              <w:pStyle w:val="TableTextCentered"/>
              <w:rPr>
                <w:rFonts w:eastAsia="Calibri"/>
              </w:rPr>
            </w:pPr>
          </w:p>
        </w:tc>
        <w:tc>
          <w:tcPr>
            <w:tcW w:w="991" w:type="dxa"/>
            <w:vMerge/>
            <w:shd w:val="clear" w:color="auto" w:fill="auto"/>
            <w:vAlign w:val="center"/>
          </w:tcPr>
          <w:p w14:paraId="20D8E0EC" w14:textId="77777777" w:rsidR="006C3DEB" w:rsidRDefault="006C3DEB" w:rsidP="005A7549">
            <w:pPr>
              <w:pStyle w:val="TableTextCentered"/>
              <w:rPr>
                <w:rFonts w:eastAsia="Calibri"/>
              </w:rPr>
            </w:pPr>
          </w:p>
        </w:tc>
        <w:tc>
          <w:tcPr>
            <w:tcW w:w="991" w:type="dxa"/>
            <w:vMerge/>
            <w:shd w:val="clear" w:color="auto" w:fill="auto"/>
            <w:vAlign w:val="center"/>
          </w:tcPr>
          <w:p w14:paraId="3B397CAD" w14:textId="77777777" w:rsidR="006C3DEB" w:rsidRDefault="006C3DEB" w:rsidP="005A7549">
            <w:pPr>
              <w:pStyle w:val="TableTextCentered"/>
              <w:rPr>
                <w:rFonts w:eastAsia="Calibri"/>
              </w:rPr>
            </w:pPr>
          </w:p>
        </w:tc>
        <w:tc>
          <w:tcPr>
            <w:tcW w:w="991" w:type="dxa"/>
            <w:vMerge/>
            <w:shd w:val="clear" w:color="auto" w:fill="auto"/>
            <w:vAlign w:val="center"/>
          </w:tcPr>
          <w:p w14:paraId="2770C281" w14:textId="77777777" w:rsidR="006C3DEB" w:rsidRDefault="006C3DEB" w:rsidP="005A7549">
            <w:pPr>
              <w:pStyle w:val="TableTextCentered"/>
              <w:rPr>
                <w:rFonts w:eastAsia="Calibri"/>
              </w:rPr>
            </w:pPr>
          </w:p>
        </w:tc>
        <w:tc>
          <w:tcPr>
            <w:tcW w:w="991" w:type="dxa"/>
            <w:vMerge/>
            <w:shd w:val="clear" w:color="auto" w:fill="auto"/>
            <w:vAlign w:val="center"/>
          </w:tcPr>
          <w:p w14:paraId="2BE2978C" w14:textId="77777777" w:rsidR="006C3DEB" w:rsidRDefault="006C3DEB" w:rsidP="005A7549">
            <w:pPr>
              <w:pStyle w:val="TableTextCentered"/>
              <w:rPr>
                <w:rFonts w:eastAsia="Calibri"/>
              </w:rPr>
            </w:pPr>
          </w:p>
        </w:tc>
        <w:tc>
          <w:tcPr>
            <w:tcW w:w="991" w:type="dxa"/>
            <w:vMerge/>
            <w:shd w:val="clear" w:color="auto" w:fill="auto"/>
            <w:vAlign w:val="center"/>
          </w:tcPr>
          <w:p w14:paraId="2EDC90AE" w14:textId="77777777" w:rsidR="006C3DEB" w:rsidRDefault="006C3DEB" w:rsidP="005A7549">
            <w:pPr>
              <w:pStyle w:val="TableTextCentered"/>
              <w:rPr>
                <w:rFonts w:eastAsia="Calibri"/>
              </w:rPr>
            </w:pPr>
          </w:p>
        </w:tc>
        <w:tc>
          <w:tcPr>
            <w:tcW w:w="954" w:type="dxa"/>
            <w:vMerge/>
            <w:shd w:val="clear" w:color="auto" w:fill="auto"/>
            <w:vAlign w:val="center"/>
          </w:tcPr>
          <w:p w14:paraId="5EA72D3D" w14:textId="77777777" w:rsidR="006C3DEB" w:rsidRDefault="006C3DEB" w:rsidP="005A7549">
            <w:pPr>
              <w:pStyle w:val="TableTextCentered"/>
              <w:rPr>
                <w:rFonts w:eastAsia="Calibri"/>
              </w:rPr>
            </w:pPr>
          </w:p>
        </w:tc>
      </w:tr>
      <w:tr w:rsidR="006C3DEB" w14:paraId="1E763A0B" w14:textId="77777777" w:rsidTr="00017ACD">
        <w:trPr>
          <w:jc w:val="center"/>
        </w:trPr>
        <w:tc>
          <w:tcPr>
            <w:tcW w:w="1096" w:type="dxa"/>
            <w:tcBorders>
              <w:right w:val="single" w:sz="4" w:space="0" w:color="auto"/>
            </w:tcBorders>
            <w:shd w:val="clear" w:color="auto" w:fill="EEEEEE" w:themeFill="background2"/>
          </w:tcPr>
          <w:p w14:paraId="08DFCE28" w14:textId="77777777" w:rsidR="006C3DEB" w:rsidRPr="000F4F87" w:rsidRDefault="006C3DEB" w:rsidP="005A7549">
            <w:pPr>
              <w:pStyle w:val="TableTextLeft"/>
              <w:rPr>
                <w:rFonts w:eastAsia="Calibri"/>
              </w:rPr>
            </w:pPr>
            <w:r w:rsidRPr="00E670A7">
              <w:rPr>
                <w:rFonts w:eastAsiaTheme="minorHAnsi"/>
                <w:lang w:eastAsia="en-US"/>
              </w:rPr>
              <w:object w:dxaOrig="560" w:dyaOrig="400" w14:anchorId="0B3E8020">
                <v:shape id="_x0000_i1516" type="#_x0000_t75" style="width:29.4pt;height:21.6pt" o:ole="">
                  <v:imagedata r:id="rId1007" o:title=""/>
                </v:shape>
                <o:OLEObject Type="Embed" ProgID="Equation.DSMT4" ShapeID="_x0000_i1516" DrawAspect="Content" ObjectID="_1754919067" r:id="rId1008"/>
              </w:object>
            </w:r>
          </w:p>
        </w:tc>
        <w:tc>
          <w:tcPr>
            <w:tcW w:w="991" w:type="dxa"/>
            <w:vMerge/>
            <w:tcBorders>
              <w:left w:val="single" w:sz="4" w:space="0" w:color="auto"/>
            </w:tcBorders>
            <w:shd w:val="clear" w:color="auto" w:fill="auto"/>
            <w:vAlign w:val="center"/>
          </w:tcPr>
          <w:p w14:paraId="0CF47A13" w14:textId="77777777" w:rsidR="006C3DEB" w:rsidRDefault="006C3DEB" w:rsidP="005A7549">
            <w:pPr>
              <w:pStyle w:val="TableTextCentered"/>
              <w:rPr>
                <w:rFonts w:eastAsia="Calibri"/>
              </w:rPr>
            </w:pPr>
          </w:p>
        </w:tc>
        <w:tc>
          <w:tcPr>
            <w:tcW w:w="991" w:type="dxa"/>
            <w:vMerge/>
            <w:shd w:val="clear" w:color="auto" w:fill="auto"/>
            <w:vAlign w:val="center"/>
          </w:tcPr>
          <w:p w14:paraId="19FBDE75" w14:textId="77777777" w:rsidR="006C3DEB" w:rsidRDefault="006C3DEB" w:rsidP="005A7549">
            <w:pPr>
              <w:pStyle w:val="TableTextCentered"/>
              <w:rPr>
                <w:rFonts w:eastAsia="Calibri"/>
              </w:rPr>
            </w:pPr>
          </w:p>
        </w:tc>
        <w:tc>
          <w:tcPr>
            <w:tcW w:w="991" w:type="dxa"/>
            <w:vMerge/>
            <w:shd w:val="clear" w:color="auto" w:fill="auto"/>
            <w:vAlign w:val="center"/>
          </w:tcPr>
          <w:p w14:paraId="6E91E0C7" w14:textId="77777777" w:rsidR="006C3DEB" w:rsidRDefault="006C3DEB" w:rsidP="005A7549">
            <w:pPr>
              <w:pStyle w:val="TableTextCentered"/>
              <w:rPr>
                <w:rFonts w:eastAsia="Calibri"/>
              </w:rPr>
            </w:pPr>
          </w:p>
        </w:tc>
        <w:tc>
          <w:tcPr>
            <w:tcW w:w="991" w:type="dxa"/>
            <w:vMerge/>
            <w:shd w:val="clear" w:color="auto" w:fill="auto"/>
            <w:vAlign w:val="center"/>
          </w:tcPr>
          <w:p w14:paraId="6D692DEC" w14:textId="77777777" w:rsidR="006C3DEB" w:rsidRDefault="006C3DEB" w:rsidP="005A7549">
            <w:pPr>
              <w:pStyle w:val="TableTextCentered"/>
              <w:rPr>
                <w:rFonts w:eastAsia="Calibri"/>
              </w:rPr>
            </w:pPr>
          </w:p>
        </w:tc>
        <w:tc>
          <w:tcPr>
            <w:tcW w:w="991" w:type="dxa"/>
            <w:vMerge/>
            <w:shd w:val="clear" w:color="auto" w:fill="auto"/>
            <w:vAlign w:val="center"/>
          </w:tcPr>
          <w:p w14:paraId="7713ABD8" w14:textId="77777777" w:rsidR="006C3DEB" w:rsidRDefault="006C3DEB" w:rsidP="005A7549">
            <w:pPr>
              <w:pStyle w:val="TableTextCentered"/>
              <w:rPr>
                <w:rFonts w:eastAsia="Calibri"/>
              </w:rPr>
            </w:pPr>
          </w:p>
        </w:tc>
        <w:tc>
          <w:tcPr>
            <w:tcW w:w="991" w:type="dxa"/>
            <w:vMerge/>
            <w:shd w:val="clear" w:color="auto" w:fill="auto"/>
            <w:vAlign w:val="center"/>
          </w:tcPr>
          <w:p w14:paraId="48B47A13" w14:textId="77777777" w:rsidR="006C3DEB" w:rsidRDefault="006C3DEB" w:rsidP="005A7549">
            <w:pPr>
              <w:pStyle w:val="TableTextCentered"/>
              <w:rPr>
                <w:rFonts w:eastAsia="Calibri"/>
              </w:rPr>
            </w:pPr>
          </w:p>
        </w:tc>
        <w:tc>
          <w:tcPr>
            <w:tcW w:w="954" w:type="dxa"/>
            <w:vMerge/>
            <w:shd w:val="clear" w:color="auto" w:fill="auto"/>
            <w:vAlign w:val="center"/>
          </w:tcPr>
          <w:p w14:paraId="4EBC0770" w14:textId="77777777" w:rsidR="006C3DEB" w:rsidRDefault="006C3DEB" w:rsidP="005A7549">
            <w:pPr>
              <w:pStyle w:val="TableTextCentered"/>
              <w:rPr>
                <w:rFonts w:eastAsia="Calibri"/>
              </w:rPr>
            </w:pPr>
          </w:p>
        </w:tc>
      </w:tr>
      <w:tr w:rsidR="006C3DEB" w14:paraId="49966B31" w14:textId="77777777" w:rsidTr="00017ACD">
        <w:trPr>
          <w:jc w:val="center"/>
        </w:trPr>
        <w:tc>
          <w:tcPr>
            <w:tcW w:w="1096" w:type="dxa"/>
            <w:tcBorders>
              <w:right w:val="single" w:sz="4" w:space="0" w:color="auto"/>
            </w:tcBorders>
            <w:shd w:val="clear" w:color="auto" w:fill="EEEEEE" w:themeFill="background2"/>
          </w:tcPr>
          <w:p w14:paraId="389D701E" w14:textId="77777777" w:rsidR="006C3DEB" w:rsidRPr="000F4F87" w:rsidRDefault="006C3DEB" w:rsidP="005A7549">
            <w:pPr>
              <w:pStyle w:val="TableTextLeft"/>
              <w:rPr>
                <w:rFonts w:eastAsia="Calibri"/>
              </w:rPr>
            </w:pPr>
            <w:r w:rsidRPr="00E670A7">
              <w:rPr>
                <w:rFonts w:eastAsiaTheme="minorHAnsi"/>
                <w:lang w:eastAsia="en-US"/>
              </w:rPr>
              <w:object w:dxaOrig="580" w:dyaOrig="400" w14:anchorId="77C5FBBA">
                <v:shape id="_x0000_i1517" type="#_x0000_t75" style="width:29.4pt;height:21.6pt" o:ole="">
                  <v:imagedata r:id="rId1009" o:title=""/>
                </v:shape>
                <o:OLEObject Type="Embed" ProgID="Equation.DSMT4" ShapeID="_x0000_i1517" DrawAspect="Content" ObjectID="_1754919068" r:id="rId1010"/>
              </w:object>
            </w:r>
          </w:p>
        </w:tc>
        <w:tc>
          <w:tcPr>
            <w:tcW w:w="991" w:type="dxa"/>
            <w:vMerge/>
            <w:tcBorders>
              <w:left w:val="single" w:sz="4" w:space="0" w:color="auto"/>
            </w:tcBorders>
            <w:shd w:val="clear" w:color="auto" w:fill="auto"/>
            <w:vAlign w:val="center"/>
          </w:tcPr>
          <w:p w14:paraId="0AE30A9D" w14:textId="77777777" w:rsidR="006C3DEB" w:rsidRDefault="006C3DEB" w:rsidP="005A7549">
            <w:pPr>
              <w:pStyle w:val="TableTextCentered"/>
              <w:rPr>
                <w:rFonts w:eastAsia="Calibri"/>
              </w:rPr>
            </w:pPr>
          </w:p>
        </w:tc>
        <w:tc>
          <w:tcPr>
            <w:tcW w:w="991" w:type="dxa"/>
            <w:vMerge/>
            <w:shd w:val="clear" w:color="auto" w:fill="auto"/>
            <w:vAlign w:val="center"/>
          </w:tcPr>
          <w:p w14:paraId="431AE919" w14:textId="77777777" w:rsidR="006C3DEB" w:rsidRDefault="006C3DEB" w:rsidP="005A7549">
            <w:pPr>
              <w:pStyle w:val="TableTextCentered"/>
              <w:rPr>
                <w:rFonts w:eastAsia="Calibri"/>
              </w:rPr>
            </w:pPr>
          </w:p>
        </w:tc>
        <w:tc>
          <w:tcPr>
            <w:tcW w:w="991" w:type="dxa"/>
            <w:vMerge/>
            <w:shd w:val="clear" w:color="auto" w:fill="auto"/>
            <w:vAlign w:val="center"/>
          </w:tcPr>
          <w:p w14:paraId="7A6D4988" w14:textId="77777777" w:rsidR="006C3DEB" w:rsidRDefault="006C3DEB" w:rsidP="005A7549">
            <w:pPr>
              <w:pStyle w:val="TableTextCentered"/>
              <w:rPr>
                <w:rFonts w:eastAsia="Calibri"/>
              </w:rPr>
            </w:pPr>
          </w:p>
        </w:tc>
        <w:tc>
          <w:tcPr>
            <w:tcW w:w="991" w:type="dxa"/>
            <w:vMerge/>
            <w:shd w:val="clear" w:color="auto" w:fill="auto"/>
            <w:vAlign w:val="center"/>
          </w:tcPr>
          <w:p w14:paraId="4DAAE45C" w14:textId="77777777" w:rsidR="006C3DEB" w:rsidRDefault="006C3DEB" w:rsidP="005A7549">
            <w:pPr>
              <w:pStyle w:val="TableTextCentered"/>
              <w:rPr>
                <w:rFonts w:eastAsia="Calibri"/>
              </w:rPr>
            </w:pPr>
          </w:p>
        </w:tc>
        <w:tc>
          <w:tcPr>
            <w:tcW w:w="991" w:type="dxa"/>
            <w:vMerge/>
            <w:shd w:val="clear" w:color="auto" w:fill="auto"/>
            <w:vAlign w:val="center"/>
          </w:tcPr>
          <w:p w14:paraId="3007844D" w14:textId="77777777" w:rsidR="006C3DEB" w:rsidRDefault="006C3DEB" w:rsidP="005A7549">
            <w:pPr>
              <w:pStyle w:val="TableTextCentered"/>
              <w:rPr>
                <w:rFonts w:eastAsia="Calibri"/>
              </w:rPr>
            </w:pPr>
          </w:p>
        </w:tc>
        <w:tc>
          <w:tcPr>
            <w:tcW w:w="991" w:type="dxa"/>
            <w:vMerge/>
            <w:shd w:val="clear" w:color="auto" w:fill="auto"/>
            <w:vAlign w:val="center"/>
          </w:tcPr>
          <w:p w14:paraId="2B6B4083" w14:textId="77777777" w:rsidR="006C3DEB" w:rsidRDefault="006C3DEB" w:rsidP="005A7549">
            <w:pPr>
              <w:pStyle w:val="TableTextCentered"/>
              <w:rPr>
                <w:rFonts w:eastAsia="Calibri"/>
              </w:rPr>
            </w:pPr>
          </w:p>
        </w:tc>
        <w:tc>
          <w:tcPr>
            <w:tcW w:w="954" w:type="dxa"/>
            <w:vMerge/>
            <w:shd w:val="clear" w:color="auto" w:fill="auto"/>
            <w:vAlign w:val="center"/>
          </w:tcPr>
          <w:p w14:paraId="4C96A074" w14:textId="77777777" w:rsidR="006C3DEB" w:rsidRDefault="006C3DEB" w:rsidP="005A7549">
            <w:pPr>
              <w:pStyle w:val="TableTextCentered"/>
              <w:rPr>
                <w:rFonts w:eastAsia="Calibri"/>
              </w:rPr>
            </w:pPr>
          </w:p>
        </w:tc>
      </w:tr>
      <w:tr w:rsidR="006C3DEB" w14:paraId="360E296D" w14:textId="77777777" w:rsidTr="00017ACD">
        <w:trPr>
          <w:jc w:val="center"/>
        </w:trPr>
        <w:tc>
          <w:tcPr>
            <w:tcW w:w="1096" w:type="dxa"/>
            <w:tcBorders>
              <w:right w:val="single" w:sz="4" w:space="0" w:color="auto"/>
            </w:tcBorders>
            <w:shd w:val="clear" w:color="auto" w:fill="EEEEEE" w:themeFill="background2"/>
          </w:tcPr>
          <w:p w14:paraId="2A9B039B" w14:textId="77777777" w:rsidR="006C3DEB" w:rsidRPr="000F4F87" w:rsidRDefault="006C3DEB" w:rsidP="005A7549">
            <w:pPr>
              <w:pStyle w:val="TableTextLeft"/>
              <w:rPr>
                <w:rFonts w:eastAsia="Calibri"/>
              </w:rPr>
            </w:pPr>
            <w:r w:rsidRPr="00E670A7">
              <w:rPr>
                <w:rFonts w:eastAsiaTheme="minorHAnsi"/>
                <w:lang w:eastAsia="en-US"/>
              </w:rPr>
              <w:object w:dxaOrig="620" w:dyaOrig="400" w14:anchorId="0156FFF1">
                <v:shape id="_x0000_i1518" type="#_x0000_t75" style="width:29.4pt;height:21.6pt" o:ole="">
                  <v:imagedata r:id="rId1011" o:title=""/>
                </v:shape>
                <o:OLEObject Type="Embed" ProgID="Equation.DSMT4" ShapeID="_x0000_i1518" DrawAspect="Content" ObjectID="_1754919069" r:id="rId1012"/>
              </w:object>
            </w:r>
          </w:p>
        </w:tc>
        <w:tc>
          <w:tcPr>
            <w:tcW w:w="991" w:type="dxa"/>
            <w:vMerge/>
            <w:tcBorders>
              <w:left w:val="single" w:sz="4" w:space="0" w:color="auto"/>
            </w:tcBorders>
            <w:shd w:val="clear" w:color="auto" w:fill="auto"/>
            <w:vAlign w:val="center"/>
          </w:tcPr>
          <w:p w14:paraId="17E60BC1" w14:textId="77777777" w:rsidR="006C3DEB" w:rsidRDefault="006C3DEB" w:rsidP="005A7549">
            <w:pPr>
              <w:pStyle w:val="TableTextCentered"/>
              <w:rPr>
                <w:rFonts w:eastAsia="Calibri"/>
              </w:rPr>
            </w:pPr>
          </w:p>
        </w:tc>
        <w:tc>
          <w:tcPr>
            <w:tcW w:w="991" w:type="dxa"/>
            <w:vMerge/>
            <w:shd w:val="clear" w:color="auto" w:fill="auto"/>
            <w:vAlign w:val="center"/>
          </w:tcPr>
          <w:p w14:paraId="6F5DB8A9" w14:textId="77777777" w:rsidR="006C3DEB" w:rsidRDefault="006C3DEB" w:rsidP="005A7549">
            <w:pPr>
              <w:pStyle w:val="TableTextCentered"/>
              <w:rPr>
                <w:rFonts w:eastAsia="Calibri"/>
              </w:rPr>
            </w:pPr>
          </w:p>
        </w:tc>
        <w:tc>
          <w:tcPr>
            <w:tcW w:w="991" w:type="dxa"/>
            <w:vMerge/>
            <w:shd w:val="clear" w:color="auto" w:fill="auto"/>
            <w:vAlign w:val="center"/>
          </w:tcPr>
          <w:p w14:paraId="79822B85" w14:textId="77777777" w:rsidR="006C3DEB" w:rsidRDefault="006C3DEB" w:rsidP="005A7549">
            <w:pPr>
              <w:pStyle w:val="TableTextCentered"/>
              <w:rPr>
                <w:rFonts w:eastAsia="Calibri"/>
              </w:rPr>
            </w:pPr>
          </w:p>
        </w:tc>
        <w:tc>
          <w:tcPr>
            <w:tcW w:w="991" w:type="dxa"/>
            <w:vMerge/>
            <w:shd w:val="clear" w:color="auto" w:fill="auto"/>
            <w:vAlign w:val="center"/>
          </w:tcPr>
          <w:p w14:paraId="11CC7E89" w14:textId="77777777" w:rsidR="006C3DEB" w:rsidRDefault="006C3DEB" w:rsidP="005A7549">
            <w:pPr>
              <w:pStyle w:val="TableTextCentered"/>
              <w:rPr>
                <w:rFonts w:eastAsia="Calibri"/>
              </w:rPr>
            </w:pPr>
          </w:p>
        </w:tc>
        <w:tc>
          <w:tcPr>
            <w:tcW w:w="991" w:type="dxa"/>
            <w:vMerge/>
            <w:shd w:val="clear" w:color="auto" w:fill="auto"/>
            <w:vAlign w:val="center"/>
          </w:tcPr>
          <w:p w14:paraId="6D1F12ED" w14:textId="77777777" w:rsidR="006C3DEB" w:rsidRDefault="006C3DEB" w:rsidP="005A7549">
            <w:pPr>
              <w:pStyle w:val="TableTextCentered"/>
              <w:rPr>
                <w:rFonts w:eastAsia="Calibri"/>
              </w:rPr>
            </w:pPr>
          </w:p>
        </w:tc>
        <w:tc>
          <w:tcPr>
            <w:tcW w:w="991" w:type="dxa"/>
            <w:vMerge/>
            <w:shd w:val="clear" w:color="auto" w:fill="auto"/>
            <w:vAlign w:val="center"/>
          </w:tcPr>
          <w:p w14:paraId="5C260109" w14:textId="77777777" w:rsidR="006C3DEB" w:rsidRDefault="006C3DEB" w:rsidP="005A7549">
            <w:pPr>
              <w:pStyle w:val="TableTextCentered"/>
              <w:rPr>
                <w:rFonts w:eastAsia="Calibri"/>
              </w:rPr>
            </w:pPr>
          </w:p>
        </w:tc>
        <w:tc>
          <w:tcPr>
            <w:tcW w:w="954" w:type="dxa"/>
            <w:vMerge/>
            <w:shd w:val="clear" w:color="auto" w:fill="auto"/>
            <w:vAlign w:val="center"/>
          </w:tcPr>
          <w:p w14:paraId="3902A8B0" w14:textId="77777777" w:rsidR="006C3DEB" w:rsidRDefault="006C3DEB" w:rsidP="005A7549">
            <w:pPr>
              <w:pStyle w:val="TableTextCentered"/>
              <w:rPr>
                <w:rFonts w:eastAsia="Calibri"/>
              </w:rPr>
            </w:pPr>
          </w:p>
        </w:tc>
      </w:tr>
      <w:tr w:rsidR="006C3DEB" w14:paraId="7BE50455" w14:textId="77777777" w:rsidTr="00017ACD">
        <w:trPr>
          <w:jc w:val="center"/>
        </w:trPr>
        <w:tc>
          <w:tcPr>
            <w:tcW w:w="1096" w:type="dxa"/>
            <w:tcBorders>
              <w:right w:val="single" w:sz="4" w:space="0" w:color="auto"/>
            </w:tcBorders>
            <w:shd w:val="clear" w:color="auto" w:fill="EEEEEE" w:themeFill="background2"/>
          </w:tcPr>
          <w:p w14:paraId="58580AFF" w14:textId="77777777" w:rsidR="006C3DEB" w:rsidRPr="000F4F87" w:rsidRDefault="006C3DEB" w:rsidP="005A7549">
            <w:pPr>
              <w:pStyle w:val="TableTextLeft"/>
              <w:rPr>
                <w:rFonts w:eastAsia="Calibri"/>
              </w:rPr>
            </w:pPr>
            <w:r w:rsidRPr="00E670A7">
              <w:rPr>
                <w:rFonts w:eastAsiaTheme="minorHAnsi"/>
                <w:lang w:eastAsia="en-US"/>
              </w:rPr>
              <w:object w:dxaOrig="600" w:dyaOrig="400" w14:anchorId="01A56D49">
                <v:shape id="_x0000_i1519" type="#_x0000_t75" style="width:29.4pt;height:21.6pt" o:ole="">
                  <v:imagedata r:id="rId1013" o:title=""/>
                </v:shape>
                <o:OLEObject Type="Embed" ProgID="Equation.DSMT4" ShapeID="_x0000_i1519" DrawAspect="Content" ObjectID="_1754919070" r:id="rId1014"/>
              </w:object>
            </w:r>
          </w:p>
        </w:tc>
        <w:tc>
          <w:tcPr>
            <w:tcW w:w="991" w:type="dxa"/>
            <w:tcBorders>
              <w:left w:val="single" w:sz="4" w:space="0" w:color="auto"/>
            </w:tcBorders>
            <w:shd w:val="clear" w:color="auto" w:fill="auto"/>
            <w:vAlign w:val="center"/>
          </w:tcPr>
          <w:p w14:paraId="44AAAEA8" w14:textId="77777777" w:rsidR="006C3DEB" w:rsidRPr="000C72F6" w:rsidRDefault="006C3DEB" w:rsidP="005A7549">
            <w:pPr>
              <w:pStyle w:val="TableTextCentered"/>
              <w:rPr>
                <w:rFonts w:eastAsia="Calibri"/>
              </w:rPr>
            </w:pPr>
            <w:r>
              <w:rPr>
                <w:rFonts w:eastAsia="Calibri"/>
              </w:rPr>
              <w:t>0.0091</w:t>
            </w:r>
          </w:p>
        </w:tc>
        <w:tc>
          <w:tcPr>
            <w:tcW w:w="991" w:type="dxa"/>
            <w:shd w:val="clear" w:color="auto" w:fill="auto"/>
            <w:vAlign w:val="center"/>
          </w:tcPr>
          <w:p w14:paraId="62FB2A96" w14:textId="77777777" w:rsidR="006C3DEB" w:rsidRPr="000C72F6" w:rsidRDefault="006C3DEB" w:rsidP="005A7549">
            <w:pPr>
              <w:pStyle w:val="TableTextCentered"/>
              <w:rPr>
                <w:rFonts w:eastAsia="Calibri"/>
              </w:rPr>
            </w:pPr>
            <w:r>
              <w:rPr>
                <w:rFonts w:eastAsia="Calibri"/>
              </w:rPr>
              <w:t>0.0272</w:t>
            </w:r>
          </w:p>
        </w:tc>
        <w:tc>
          <w:tcPr>
            <w:tcW w:w="991" w:type="dxa"/>
            <w:shd w:val="clear" w:color="auto" w:fill="auto"/>
            <w:vAlign w:val="center"/>
          </w:tcPr>
          <w:p w14:paraId="589DA83D" w14:textId="77777777" w:rsidR="006C3DEB" w:rsidRDefault="006C3DEB" w:rsidP="005A7549">
            <w:pPr>
              <w:pStyle w:val="TableTextCentered"/>
              <w:rPr>
                <w:rFonts w:eastAsia="Calibri"/>
              </w:rPr>
            </w:pPr>
            <w:r>
              <w:rPr>
                <w:rFonts w:eastAsia="Calibri"/>
              </w:rPr>
              <w:t>0.4463</w:t>
            </w:r>
          </w:p>
        </w:tc>
        <w:tc>
          <w:tcPr>
            <w:tcW w:w="991" w:type="dxa"/>
            <w:shd w:val="clear" w:color="auto" w:fill="auto"/>
            <w:vAlign w:val="center"/>
          </w:tcPr>
          <w:p w14:paraId="334C0DA5" w14:textId="77777777" w:rsidR="006C3DEB" w:rsidRDefault="006C3DEB" w:rsidP="005A7549">
            <w:pPr>
              <w:pStyle w:val="TableTextCentered"/>
              <w:rPr>
                <w:rFonts w:eastAsia="Calibri"/>
              </w:rPr>
            </w:pPr>
            <w:r>
              <w:rPr>
                <w:rFonts w:eastAsia="Calibri"/>
              </w:rPr>
              <w:t>0.0012</w:t>
            </w:r>
          </w:p>
        </w:tc>
        <w:tc>
          <w:tcPr>
            <w:tcW w:w="991" w:type="dxa"/>
            <w:shd w:val="clear" w:color="auto" w:fill="auto"/>
            <w:vAlign w:val="center"/>
          </w:tcPr>
          <w:p w14:paraId="07B4327C" w14:textId="77777777" w:rsidR="006C3DEB" w:rsidRDefault="006C3DEB" w:rsidP="005A7549">
            <w:pPr>
              <w:pStyle w:val="TableTextCentered"/>
              <w:rPr>
                <w:rFonts w:eastAsia="Calibri"/>
              </w:rPr>
            </w:pPr>
            <w:r>
              <w:rPr>
                <w:rFonts w:eastAsia="Calibri"/>
              </w:rPr>
              <w:t>0.0004</w:t>
            </w:r>
          </w:p>
        </w:tc>
        <w:tc>
          <w:tcPr>
            <w:tcW w:w="991" w:type="dxa"/>
            <w:shd w:val="clear" w:color="auto" w:fill="auto"/>
            <w:vAlign w:val="center"/>
          </w:tcPr>
          <w:p w14:paraId="270173B9" w14:textId="77777777" w:rsidR="006C3DEB" w:rsidRDefault="006C3DEB" w:rsidP="005A7549">
            <w:pPr>
              <w:pStyle w:val="TableTextCentered"/>
              <w:rPr>
                <w:rFonts w:eastAsia="Calibri"/>
              </w:rPr>
            </w:pPr>
            <w:r>
              <w:rPr>
                <w:rFonts w:eastAsia="Calibri"/>
              </w:rPr>
              <w:t>0.0250</w:t>
            </w:r>
          </w:p>
        </w:tc>
        <w:tc>
          <w:tcPr>
            <w:tcW w:w="954" w:type="dxa"/>
            <w:shd w:val="clear" w:color="auto" w:fill="auto"/>
            <w:vAlign w:val="center"/>
          </w:tcPr>
          <w:p w14:paraId="7DC14E47" w14:textId="77777777" w:rsidR="006C3DEB" w:rsidRDefault="006C3DEB" w:rsidP="005A7549">
            <w:pPr>
              <w:pStyle w:val="TableTextCentered"/>
              <w:rPr>
                <w:rFonts w:eastAsia="Calibri"/>
              </w:rPr>
            </w:pPr>
            <w:r>
              <w:rPr>
                <w:rFonts w:eastAsia="Calibri"/>
              </w:rPr>
              <w:t>0.0000</w:t>
            </w:r>
          </w:p>
        </w:tc>
      </w:tr>
      <w:tr w:rsidR="006C3DEB" w14:paraId="4BC00468" w14:textId="77777777" w:rsidTr="00017ACD">
        <w:trPr>
          <w:jc w:val="center"/>
        </w:trPr>
        <w:tc>
          <w:tcPr>
            <w:tcW w:w="1096" w:type="dxa"/>
            <w:tcBorders>
              <w:right w:val="single" w:sz="4" w:space="0" w:color="auto"/>
            </w:tcBorders>
            <w:shd w:val="clear" w:color="auto" w:fill="EEEEEE" w:themeFill="background2"/>
          </w:tcPr>
          <w:p w14:paraId="1BE42B8A" w14:textId="77777777" w:rsidR="006C3DEB" w:rsidRDefault="006C3DEB" w:rsidP="005A7549">
            <w:pPr>
              <w:pStyle w:val="TableTextLeft"/>
              <w:rPr>
                <w:rFonts w:eastAsia="Calibri"/>
              </w:rPr>
            </w:pPr>
            <w:r w:rsidRPr="00E670A7">
              <w:rPr>
                <w:rFonts w:eastAsiaTheme="minorHAnsi"/>
                <w:lang w:eastAsia="en-US"/>
              </w:rPr>
              <w:object w:dxaOrig="580" w:dyaOrig="400" w14:anchorId="425E4DDB">
                <v:shape id="_x0000_i1520" type="#_x0000_t75" style="width:29.4pt;height:20.4pt" o:ole="">
                  <v:imagedata r:id="rId1015" o:title=""/>
                </v:shape>
                <o:OLEObject Type="Embed" ProgID="Equation.DSMT4" ShapeID="_x0000_i1520" DrawAspect="Content" ObjectID="_1754919071" r:id="rId1016"/>
              </w:object>
            </w:r>
          </w:p>
        </w:tc>
        <w:tc>
          <w:tcPr>
            <w:tcW w:w="991" w:type="dxa"/>
            <w:tcBorders>
              <w:left w:val="single" w:sz="4" w:space="0" w:color="auto"/>
            </w:tcBorders>
            <w:shd w:val="clear" w:color="auto" w:fill="auto"/>
            <w:vAlign w:val="center"/>
          </w:tcPr>
          <w:p w14:paraId="1B670DF3" w14:textId="77777777" w:rsidR="006C3DEB" w:rsidRPr="000C72F6" w:rsidRDefault="006C3DEB" w:rsidP="005A7549">
            <w:pPr>
              <w:pStyle w:val="TableTextCentered"/>
              <w:rPr>
                <w:rFonts w:eastAsia="Calibri"/>
              </w:rPr>
            </w:pPr>
            <w:r>
              <w:rPr>
                <w:rFonts w:eastAsia="Calibri"/>
              </w:rPr>
              <w:t>0.0152</w:t>
            </w:r>
          </w:p>
        </w:tc>
        <w:tc>
          <w:tcPr>
            <w:tcW w:w="991" w:type="dxa"/>
            <w:shd w:val="clear" w:color="auto" w:fill="auto"/>
            <w:vAlign w:val="center"/>
          </w:tcPr>
          <w:p w14:paraId="5B8EDB53" w14:textId="77777777" w:rsidR="006C3DEB" w:rsidRPr="000C72F6" w:rsidRDefault="006C3DEB" w:rsidP="005A7549">
            <w:pPr>
              <w:pStyle w:val="TableTextCentered"/>
              <w:rPr>
                <w:rFonts w:eastAsia="Calibri"/>
              </w:rPr>
            </w:pPr>
            <w:r>
              <w:rPr>
                <w:rFonts w:eastAsia="Calibri"/>
              </w:rPr>
              <w:t>0.0355</w:t>
            </w:r>
          </w:p>
        </w:tc>
        <w:tc>
          <w:tcPr>
            <w:tcW w:w="991" w:type="dxa"/>
            <w:shd w:val="clear" w:color="auto" w:fill="auto"/>
            <w:vAlign w:val="center"/>
          </w:tcPr>
          <w:p w14:paraId="1280D3E6" w14:textId="77777777" w:rsidR="006C3DEB" w:rsidRDefault="006C3DEB" w:rsidP="005A7549">
            <w:pPr>
              <w:pStyle w:val="TableTextCentered"/>
              <w:rPr>
                <w:rFonts w:eastAsia="Calibri"/>
              </w:rPr>
            </w:pPr>
            <w:r>
              <w:rPr>
                <w:rFonts w:eastAsia="Calibri"/>
              </w:rPr>
              <w:t>0.5346</w:t>
            </w:r>
          </w:p>
        </w:tc>
        <w:tc>
          <w:tcPr>
            <w:tcW w:w="991" w:type="dxa"/>
            <w:shd w:val="clear" w:color="auto" w:fill="auto"/>
            <w:vAlign w:val="center"/>
          </w:tcPr>
          <w:p w14:paraId="734DE2BD" w14:textId="77777777" w:rsidR="006C3DEB" w:rsidRDefault="006C3DEB" w:rsidP="005A7549">
            <w:pPr>
              <w:pStyle w:val="TableTextCentered"/>
              <w:rPr>
                <w:rFonts w:eastAsia="Calibri"/>
              </w:rPr>
            </w:pPr>
            <w:r>
              <w:rPr>
                <w:rFonts w:eastAsia="Calibri"/>
              </w:rPr>
              <w:t>0.0006</w:t>
            </w:r>
          </w:p>
        </w:tc>
        <w:tc>
          <w:tcPr>
            <w:tcW w:w="991" w:type="dxa"/>
            <w:shd w:val="clear" w:color="auto" w:fill="auto"/>
            <w:vAlign w:val="center"/>
          </w:tcPr>
          <w:p w14:paraId="0E0051BE" w14:textId="77777777" w:rsidR="006C3DEB" w:rsidRDefault="006C3DEB" w:rsidP="005A7549">
            <w:pPr>
              <w:pStyle w:val="TableTextCentered"/>
              <w:rPr>
                <w:rFonts w:eastAsia="Calibri"/>
              </w:rPr>
            </w:pPr>
            <w:r>
              <w:rPr>
                <w:rFonts w:eastAsia="Calibri"/>
              </w:rPr>
              <w:t>0.0004</w:t>
            </w:r>
          </w:p>
        </w:tc>
        <w:tc>
          <w:tcPr>
            <w:tcW w:w="991" w:type="dxa"/>
            <w:shd w:val="clear" w:color="auto" w:fill="auto"/>
            <w:vAlign w:val="center"/>
          </w:tcPr>
          <w:p w14:paraId="3D4C9AD9" w14:textId="77777777" w:rsidR="006C3DEB" w:rsidRDefault="006C3DEB" w:rsidP="005A7549">
            <w:pPr>
              <w:pStyle w:val="TableTextCentered"/>
              <w:rPr>
                <w:rFonts w:eastAsia="Calibri"/>
              </w:rPr>
            </w:pPr>
            <w:r>
              <w:rPr>
                <w:rFonts w:eastAsia="Calibri"/>
              </w:rPr>
              <w:t>0.0450</w:t>
            </w:r>
          </w:p>
        </w:tc>
        <w:tc>
          <w:tcPr>
            <w:tcW w:w="954" w:type="dxa"/>
            <w:shd w:val="clear" w:color="auto" w:fill="auto"/>
            <w:vAlign w:val="center"/>
          </w:tcPr>
          <w:p w14:paraId="3EDD52D8" w14:textId="77777777" w:rsidR="006C3DEB" w:rsidRDefault="006C3DEB" w:rsidP="005A7549">
            <w:pPr>
              <w:pStyle w:val="TableTextCentered"/>
              <w:rPr>
                <w:rFonts w:eastAsia="Calibri"/>
              </w:rPr>
            </w:pPr>
            <w:r>
              <w:rPr>
                <w:rFonts w:eastAsia="Calibri"/>
              </w:rPr>
              <w:t>0.0000</w:t>
            </w:r>
          </w:p>
        </w:tc>
      </w:tr>
      <w:tr w:rsidR="006C3DEB" w14:paraId="03EDBA91" w14:textId="77777777" w:rsidTr="00017ACD">
        <w:trPr>
          <w:jc w:val="center"/>
        </w:trPr>
        <w:tc>
          <w:tcPr>
            <w:tcW w:w="1096" w:type="dxa"/>
            <w:tcBorders>
              <w:right w:val="single" w:sz="4" w:space="0" w:color="auto"/>
            </w:tcBorders>
            <w:shd w:val="clear" w:color="auto" w:fill="EEEEEE" w:themeFill="background2"/>
          </w:tcPr>
          <w:p w14:paraId="2075DEC1" w14:textId="77777777" w:rsidR="006C3DEB" w:rsidRDefault="006C3DEB" w:rsidP="005A7549">
            <w:pPr>
              <w:pStyle w:val="TableTextLeft"/>
              <w:rPr>
                <w:rFonts w:eastAsia="Calibri"/>
              </w:rPr>
            </w:pPr>
            <w:r w:rsidRPr="00E670A7">
              <w:rPr>
                <w:rFonts w:eastAsiaTheme="minorHAnsi"/>
                <w:lang w:eastAsia="en-US"/>
              </w:rPr>
              <w:object w:dxaOrig="620" w:dyaOrig="400" w14:anchorId="36DDA2B6">
                <v:shape id="_x0000_i1521" type="#_x0000_t75" style="width:31.2pt;height:20.4pt" o:ole="">
                  <v:imagedata r:id="rId1017" o:title=""/>
                </v:shape>
                <o:OLEObject Type="Embed" ProgID="Equation.DSMT4" ShapeID="_x0000_i1521" DrawAspect="Content" ObjectID="_1754919072" r:id="rId1018"/>
              </w:object>
            </w:r>
          </w:p>
        </w:tc>
        <w:tc>
          <w:tcPr>
            <w:tcW w:w="991" w:type="dxa"/>
            <w:tcBorders>
              <w:left w:val="single" w:sz="4" w:space="0" w:color="auto"/>
            </w:tcBorders>
            <w:shd w:val="clear" w:color="auto" w:fill="auto"/>
            <w:vAlign w:val="center"/>
          </w:tcPr>
          <w:p w14:paraId="64EF44D6" w14:textId="77777777" w:rsidR="006C3DEB" w:rsidRPr="000C72F6" w:rsidRDefault="006C3DEB" w:rsidP="005A7549">
            <w:pPr>
              <w:pStyle w:val="TableTextCentered"/>
              <w:rPr>
                <w:rFonts w:eastAsia="Calibri"/>
              </w:rPr>
            </w:pPr>
            <w:r>
              <w:rPr>
                <w:rFonts w:eastAsia="Calibri"/>
              </w:rPr>
              <w:t>0.0139</w:t>
            </w:r>
          </w:p>
        </w:tc>
        <w:tc>
          <w:tcPr>
            <w:tcW w:w="991" w:type="dxa"/>
            <w:shd w:val="clear" w:color="auto" w:fill="auto"/>
            <w:vAlign w:val="center"/>
          </w:tcPr>
          <w:p w14:paraId="4A30C4D2" w14:textId="77777777" w:rsidR="006C3DEB" w:rsidRPr="000C72F6" w:rsidRDefault="006C3DEB" w:rsidP="005A7549">
            <w:pPr>
              <w:pStyle w:val="TableTextCentered"/>
              <w:rPr>
                <w:rFonts w:eastAsia="Calibri"/>
              </w:rPr>
            </w:pPr>
            <w:r>
              <w:rPr>
                <w:rFonts w:eastAsia="Calibri"/>
              </w:rPr>
              <w:t>0.3427</w:t>
            </w:r>
          </w:p>
        </w:tc>
        <w:tc>
          <w:tcPr>
            <w:tcW w:w="991" w:type="dxa"/>
            <w:shd w:val="clear" w:color="auto" w:fill="auto"/>
            <w:vAlign w:val="center"/>
          </w:tcPr>
          <w:p w14:paraId="4BFB8886" w14:textId="77777777" w:rsidR="006C3DEB" w:rsidRDefault="006C3DEB" w:rsidP="005A7549">
            <w:pPr>
              <w:pStyle w:val="TableTextCentered"/>
              <w:rPr>
                <w:rFonts w:eastAsia="Calibri"/>
              </w:rPr>
            </w:pPr>
            <w:r>
              <w:rPr>
                <w:rFonts w:eastAsia="Calibri"/>
              </w:rPr>
              <w:t>0.4559</w:t>
            </w:r>
          </w:p>
        </w:tc>
        <w:tc>
          <w:tcPr>
            <w:tcW w:w="991" w:type="dxa"/>
            <w:shd w:val="clear" w:color="auto" w:fill="auto"/>
            <w:vAlign w:val="center"/>
          </w:tcPr>
          <w:p w14:paraId="0BB16D86" w14:textId="77777777" w:rsidR="006C3DEB" w:rsidRDefault="006C3DEB" w:rsidP="005A7549">
            <w:pPr>
              <w:pStyle w:val="TableTextCentered"/>
              <w:rPr>
                <w:rFonts w:eastAsia="Calibri"/>
              </w:rPr>
            </w:pPr>
            <w:r>
              <w:rPr>
                <w:rFonts w:eastAsia="Calibri"/>
              </w:rPr>
              <w:t>0.0005</w:t>
            </w:r>
          </w:p>
        </w:tc>
        <w:tc>
          <w:tcPr>
            <w:tcW w:w="991" w:type="dxa"/>
            <w:shd w:val="clear" w:color="auto" w:fill="auto"/>
            <w:vAlign w:val="center"/>
          </w:tcPr>
          <w:p w14:paraId="30C37649" w14:textId="77777777" w:rsidR="006C3DEB" w:rsidRDefault="006C3DEB" w:rsidP="005A7549">
            <w:pPr>
              <w:pStyle w:val="TableTextCentered"/>
              <w:rPr>
                <w:rFonts w:eastAsia="Calibri"/>
              </w:rPr>
            </w:pPr>
            <w:r>
              <w:rPr>
                <w:rFonts w:eastAsia="Calibri"/>
              </w:rPr>
              <w:t>0.0010</w:t>
            </w:r>
          </w:p>
        </w:tc>
        <w:tc>
          <w:tcPr>
            <w:tcW w:w="991" w:type="dxa"/>
            <w:shd w:val="clear" w:color="auto" w:fill="auto"/>
            <w:vAlign w:val="center"/>
          </w:tcPr>
          <w:p w14:paraId="559DA8BB" w14:textId="77777777" w:rsidR="006C3DEB" w:rsidRDefault="006C3DEB" w:rsidP="005A7549">
            <w:pPr>
              <w:pStyle w:val="TableTextCentered"/>
              <w:rPr>
                <w:rFonts w:eastAsia="Calibri"/>
              </w:rPr>
            </w:pPr>
            <w:r>
              <w:rPr>
                <w:rFonts w:eastAsia="Calibri"/>
              </w:rPr>
              <w:t>0.0319</w:t>
            </w:r>
          </w:p>
        </w:tc>
        <w:tc>
          <w:tcPr>
            <w:tcW w:w="954" w:type="dxa"/>
            <w:shd w:val="clear" w:color="auto" w:fill="auto"/>
            <w:vAlign w:val="center"/>
          </w:tcPr>
          <w:p w14:paraId="1C5F0273" w14:textId="77777777" w:rsidR="006C3DEB" w:rsidRDefault="006C3DEB" w:rsidP="005A7549">
            <w:pPr>
              <w:pStyle w:val="TableTextCentered"/>
              <w:rPr>
                <w:rFonts w:eastAsia="Calibri"/>
              </w:rPr>
            </w:pPr>
            <w:r>
              <w:rPr>
                <w:rFonts w:eastAsia="Calibri"/>
              </w:rPr>
              <w:t>0.0000</w:t>
            </w:r>
          </w:p>
        </w:tc>
      </w:tr>
      <w:tr w:rsidR="006C3DEB" w14:paraId="08EF5625" w14:textId="77777777" w:rsidTr="00017ACD">
        <w:trPr>
          <w:jc w:val="center"/>
        </w:trPr>
        <w:tc>
          <w:tcPr>
            <w:tcW w:w="1096" w:type="dxa"/>
            <w:tcBorders>
              <w:right w:val="single" w:sz="4" w:space="0" w:color="auto"/>
            </w:tcBorders>
            <w:shd w:val="clear" w:color="auto" w:fill="EEEEEE" w:themeFill="background2"/>
          </w:tcPr>
          <w:p w14:paraId="521AF669" w14:textId="77777777" w:rsidR="006C3DEB" w:rsidRDefault="006C3DEB" w:rsidP="005A7549">
            <w:pPr>
              <w:pStyle w:val="TableTextLeft"/>
              <w:rPr>
                <w:rFonts w:eastAsia="Calibri"/>
              </w:rPr>
            </w:pPr>
            <w:r w:rsidRPr="00E670A7">
              <w:rPr>
                <w:rFonts w:eastAsiaTheme="minorHAnsi"/>
                <w:lang w:eastAsia="en-US"/>
              </w:rPr>
              <w:object w:dxaOrig="560" w:dyaOrig="400" w14:anchorId="6FB7EAAB">
                <v:shape id="_x0000_i1522" type="#_x0000_t75" style="width:27pt;height:20.4pt" o:ole="">
                  <v:imagedata r:id="rId1019" o:title=""/>
                </v:shape>
                <o:OLEObject Type="Embed" ProgID="Equation.DSMT4" ShapeID="_x0000_i1522" DrawAspect="Content" ObjectID="_1754919073" r:id="rId1020"/>
              </w:object>
            </w:r>
          </w:p>
        </w:tc>
        <w:tc>
          <w:tcPr>
            <w:tcW w:w="991" w:type="dxa"/>
            <w:tcBorders>
              <w:left w:val="single" w:sz="4" w:space="0" w:color="auto"/>
            </w:tcBorders>
            <w:shd w:val="clear" w:color="auto" w:fill="auto"/>
            <w:vAlign w:val="center"/>
          </w:tcPr>
          <w:p w14:paraId="6F6BFAA6" w14:textId="77777777" w:rsidR="006C3DEB" w:rsidRPr="000C72F6" w:rsidRDefault="006C3DEB" w:rsidP="005A7549">
            <w:pPr>
              <w:pStyle w:val="TableTextCentered"/>
              <w:rPr>
                <w:rFonts w:eastAsia="Calibri"/>
              </w:rPr>
            </w:pPr>
            <w:r>
              <w:rPr>
                <w:rFonts w:eastAsia="Calibri"/>
              </w:rPr>
              <w:t>0.0620</w:t>
            </w:r>
          </w:p>
        </w:tc>
        <w:tc>
          <w:tcPr>
            <w:tcW w:w="991" w:type="dxa"/>
            <w:shd w:val="clear" w:color="auto" w:fill="auto"/>
            <w:vAlign w:val="center"/>
          </w:tcPr>
          <w:p w14:paraId="1C7BB0B6" w14:textId="77777777" w:rsidR="006C3DEB" w:rsidRPr="000C72F6" w:rsidRDefault="006C3DEB" w:rsidP="005A7549">
            <w:pPr>
              <w:pStyle w:val="TableTextCentered"/>
              <w:rPr>
                <w:rFonts w:eastAsia="Calibri"/>
              </w:rPr>
            </w:pPr>
            <w:r>
              <w:rPr>
                <w:rFonts w:eastAsia="Calibri"/>
              </w:rPr>
              <w:t>0.0759</w:t>
            </w:r>
          </w:p>
        </w:tc>
        <w:tc>
          <w:tcPr>
            <w:tcW w:w="991" w:type="dxa"/>
            <w:shd w:val="clear" w:color="auto" w:fill="auto"/>
            <w:vAlign w:val="center"/>
          </w:tcPr>
          <w:p w14:paraId="5036FA14" w14:textId="77777777" w:rsidR="006C3DEB" w:rsidRDefault="006C3DEB" w:rsidP="005A7549">
            <w:pPr>
              <w:pStyle w:val="TableTextCentered"/>
              <w:rPr>
                <w:rFonts w:eastAsia="Calibri"/>
              </w:rPr>
            </w:pPr>
            <w:r>
              <w:rPr>
                <w:rFonts w:eastAsia="Calibri"/>
              </w:rPr>
              <w:t>0.6278</w:t>
            </w:r>
          </w:p>
        </w:tc>
        <w:tc>
          <w:tcPr>
            <w:tcW w:w="991" w:type="dxa"/>
            <w:shd w:val="clear" w:color="auto" w:fill="auto"/>
            <w:vAlign w:val="center"/>
          </w:tcPr>
          <w:p w14:paraId="6824A170" w14:textId="77777777" w:rsidR="006C3DEB" w:rsidRDefault="006C3DEB" w:rsidP="005A7549">
            <w:pPr>
              <w:pStyle w:val="TableTextCentered"/>
              <w:rPr>
                <w:rFonts w:eastAsia="Calibri"/>
              </w:rPr>
            </w:pPr>
            <w:r>
              <w:rPr>
                <w:rFonts w:eastAsia="Calibri"/>
              </w:rPr>
              <w:t>0.0006</w:t>
            </w:r>
          </w:p>
        </w:tc>
        <w:tc>
          <w:tcPr>
            <w:tcW w:w="991" w:type="dxa"/>
            <w:shd w:val="clear" w:color="auto" w:fill="auto"/>
            <w:vAlign w:val="center"/>
          </w:tcPr>
          <w:p w14:paraId="60522D29" w14:textId="77777777" w:rsidR="006C3DEB" w:rsidRDefault="006C3DEB" w:rsidP="005A7549">
            <w:pPr>
              <w:pStyle w:val="TableTextCentered"/>
              <w:rPr>
                <w:rFonts w:eastAsia="Calibri"/>
              </w:rPr>
            </w:pPr>
            <w:r>
              <w:rPr>
                <w:rFonts w:eastAsia="Calibri"/>
              </w:rPr>
              <w:t>0.0002</w:t>
            </w:r>
          </w:p>
        </w:tc>
        <w:tc>
          <w:tcPr>
            <w:tcW w:w="991" w:type="dxa"/>
            <w:shd w:val="clear" w:color="auto" w:fill="auto"/>
            <w:vAlign w:val="center"/>
          </w:tcPr>
          <w:p w14:paraId="4B9B782D" w14:textId="77777777" w:rsidR="006C3DEB" w:rsidRDefault="006C3DEB" w:rsidP="005A7549">
            <w:pPr>
              <w:pStyle w:val="TableTextCentered"/>
              <w:rPr>
                <w:rFonts w:eastAsia="Calibri"/>
              </w:rPr>
            </w:pPr>
            <w:r>
              <w:rPr>
                <w:rFonts w:eastAsia="Calibri"/>
              </w:rPr>
              <w:t>0.0262</w:t>
            </w:r>
          </w:p>
        </w:tc>
        <w:tc>
          <w:tcPr>
            <w:tcW w:w="954" w:type="dxa"/>
            <w:shd w:val="clear" w:color="auto" w:fill="auto"/>
            <w:vAlign w:val="center"/>
          </w:tcPr>
          <w:p w14:paraId="265E40F9" w14:textId="77777777" w:rsidR="006C3DEB" w:rsidRDefault="006C3DEB" w:rsidP="005A7549">
            <w:pPr>
              <w:pStyle w:val="TableTextCentered"/>
              <w:rPr>
                <w:rFonts w:eastAsia="Calibri"/>
              </w:rPr>
            </w:pPr>
            <w:r>
              <w:rPr>
                <w:rFonts w:eastAsia="Calibri"/>
              </w:rPr>
              <w:t>0.0000</w:t>
            </w:r>
          </w:p>
        </w:tc>
      </w:tr>
      <w:tr w:rsidR="006C3DEB" w14:paraId="3A707FE7" w14:textId="77777777" w:rsidTr="00017ACD">
        <w:trPr>
          <w:jc w:val="center"/>
        </w:trPr>
        <w:tc>
          <w:tcPr>
            <w:tcW w:w="1096" w:type="dxa"/>
            <w:tcBorders>
              <w:right w:val="single" w:sz="4" w:space="0" w:color="auto"/>
            </w:tcBorders>
            <w:shd w:val="clear" w:color="auto" w:fill="EEEEEE" w:themeFill="background2"/>
          </w:tcPr>
          <w:p w14:paraId="60C87A11" w14:textId="77777777" w:rsidR="006C3DEB" w:rsidRPr="000F4F87" w:rsidRDefault="006C3DEB" w:rsidP="005A7549">
            <w:pPr>
              <w:pStyle w:val="TableTextLeft"/>
              <w:rPr>
                <w:rFonts w:eastAsia="Calibri"/>
              </w:rPr>
            </w:pPr>
            <w:r w:rsidRPr="00E670A7">
              <w:rPr>
                <w:rFonts w:eastAsiaTheme="minorHAnsi"/>
                <w:lang w:eastAsia="en-US"/>
              </w:rPr>
              <w:object w:dxaOrig="560" w:dyaOrig="400" w14:anchorId="7DB2980E">
                <v:shape id="_x0000_i1523" type="#_x0000_t75" style="width:27pt;height:20.4pt" o:ole="">
                  <v:imagedata r:id="rId1021" o:title=""/>
                </v:shape>
                <o:OLEObject Type="Embed" ProgID="Equation.DSMT4" ShapeID="_x0000_i1523" DrawAspect="Content" ObjectID="_1754919074" r:id="rId1022"/>
              </w:object>
            </w:r>
          </w:p>
        </w:tc>
        <w:tc>
          <w:tcPr>
            <w:tcW w:w="991" w:type="dxa"/>
            <w:tcBorders>
              <w:left w:val="single" w:sz="4" w:space="0" w:color="auto"/>
            </w:tcBorders>
            <w:shd w:val="clear" w:color="auto" w:fill="auto"/>
            <w:vAlign w:val="center"/>
          </w:tcPr>
          <w:p w14:paraId="05FFD9F6" w14:textId="77777777" w:rsidR="006C3DEB" w:rsidRPr="000C72F6" w:rsidRDefault="006C3DEB" w:rsidP="005A7549">
            <w:pPr>
              <w:pStyle w:val="TableTextCentered"/>
              <w:rPr>
                <w:rFonts w:eastAsia="Calibri"/>
              </w:rPr>
            </w:pPr>
            <w:r>
              <w:rPr>
                <w:rFonts w:eastAsia="Calibri"/>
              </w:rPr>
              <w:t>0.0288</w:t>
            </w:r>
          </w:p>
        </w:tc>
        <w:tc>
          <w:tcPr>
            <w:tcW w:w="991" w:type="dxa"/>
            <w:shd w:val="clear" w:color="auto" w:fill="auto"/>
            <w:vAlign w:val="center"/>
          </w:tcPr>
          <w:p w14:paraId="4359688A" w14:textId="77777777" w:rsidR="006C3DEB" w:rsidRPr="000C72F6" w:rsidRDefault="006C3DEB" w:rsidP="005A7549">
            <w:pPr>
              <w:pStyle w:val="TableTextCentered"/>
              <w:rPr>
                <w:rFonts w:eastAsia="Calibri"/>
              </w:rPr>
            </w:pPr>
            <w:r>
              <w:rPr>
                <w:rFonts w:eastAsia="Calibri"/>
              </w:rPr>
              <w:t>0.0134</w:t>
            </w:r>
          </w:p>
        </w:tc>
        <w:tc>
          <w:tcPr>
            <w:tcW w:w="991" w:type="dxa"/>
            <w:shd w:val="clear" w:color="auto" w:fill="auto"/>
            <w:vAlign w:val="center"/>
          </w:tcPr>
          <w:p w14:paraId="580C5C7C" w14:textId="77777777" w:rsidR="006C3DEB" w:rsidRDefault="006C3DEB" w:rsidP="005A7549">
            <w:pPr>
              <w:pStyle w:val="TableTextCentered"/>
              <w:rPr>
                <w:rFonts w:eastAsia="Calibri"/>
              </w:rPr>
            </w:pPr>
            <w:r>
              <w:rPr>
                <w:rFonts w:eastAsia="Calibri"/>
              </w:rPr>
              <w:t>0.3514</w:t>
            </w:r>
          </w:p>
        </w:tc>
        <w:tc>
          <w:tcPr>
            <w:tcW w:w="991" w:type="dxa"/>
            <w:shd w:val="clear" w:color="auto" w:fill="auto"/>
            <w:vAlign w:val="center"/>
          </w:tcPr>
          <w:p w14:paraId="6D44DF87" w14:textId="77777777" w:rsidR="006C3DEB" w:rsidRDefault="006C3DEB" w:rsidP="005A7549">
            <w:pPr>
              <w:pStyle w:val="TableTextCentered"/>
              <w:rPr>
                <w:rFonts w:eastAsia="Calibri"/>
              </w:rPr>
            </w:pPr>
            <w:r>
              <w:rPr>
                <w:rFonts w:eastAsia="Calibri"/>
              </w:rPr>
              <w:t>0.0010</w:t>
            </w:r>
          </w:p>
        </w:tc>
        <w:tc>
          <w:tcPr>
            <w:tcW w:w="991" w:type="dxa"/>
            <w:shd w:val="clear" w:color="auto" w:fill="auto"/>
            <w:vAlign w:val="center"/>
          </w:tcPr>
          <w:p w14:paraId="0640401F" w14:textId="77777777" w:rsidR="006C3DEB" w:rsidRDefault="006C3DEB" w:rsidP="005A7549">
            <w:pPr>
              <w:pStyle w:val="TableTextCentered"/>
              <w:rPr>
                <w:rFonts w:eastAsia="Calibri"/>
              </w:rPr>
            </w:pPr>
            <w:r>
              <w:rPr>
                <w:rFonts w:eastAsia="Calibri"/>
              </w:rPr>
              <w:t>0.0001</w:t>
            </w:r>
          </w:p>
        </w:tc>
        <w:tc>
          <w:tcPr>
            <w:tcW w:w="991" w:type="dxa"/>
            <w:shd w:val="clear" w:color="auto" w:fill="auto"/>
            <w:vAlign w:val="center"/>
          </w:tcPr>
          <w:p w14:paraId="69E8A553" w14:textId="77777777" w:rsidR="006C3DEB" w:rsidRDefault="006C3DEB" w:rsidP="005A7549">
            <w:pPr>
              <w:pStyle w:val="TableTextCentered"/>
              <w:rPr>
                <w:rFonts w:eastAsia="Calibri"/>
              </w:rPr>
            </w:pPr>
            <w:r>
              <w:rPr>
                <w:rFonts w:eastAsia="Calibri"/>
              </w:rPr>
              <w:t>0.0402</w:t>
            </w:r>
          </w:p>
        </w:tc>
        <w:tc>
          <w:tcPr>
            <w:tcW w:w="954" w:type="dxa"/>
            <w:shd w:val="clear" w:color="auto" w:fill="auto"/>
            <w:vAlign w:val="center"/>
          </w:tcPr>
          <w:p w14:paraId="1D1B469C" w14:textId="77777777" w:rsidR="006C3DEB" w:rsidRDefault="006C3DEB" w:rsidP="005A7549">
            <w:pPr>
              <w:pStyle w:val="TableTextCentered"/>
              <w:rPr>
                <w:rFonts w:eastAsia="Calibri"/>
              </w:rPr>
            </w:pPr>
            <w:r>
              <w:rPr>
                <w:rFonts w:eastAsia="Calibri"/>
              </w:rPr>
              <w:t>0.0000</w:t>
            </w:r>
          </w:p>
        </w:tc>
      </w:tr>
      <w:tr w:rsidR="006C3DEB" w14:paraId="7AB47AF7" w14:textId="77777777" w:rsidTr="00017ACD">
        <w:trPr>
          <w:jc w:val="center"/>
        </w:trPr>
        <w:tc>
          <w:tcPr>
            <w:tcW w:w="1096" w:type="dxa"/>
            <w:tcBorders>
              <w:right w:val="single" w:sz="4" w:space="0" w:color="auto"/>
            </w:tcBorders>
            <w:shd w:val="clear" w:color="auto" w:fill="EEEEEE" w:themeFill="background2"/>
          </w:tcPr>
          <w:p w14:paraId="08E7815C" w14:textId="77777777" w:rsidR="006C3DEB" w:rsidRPr="000F4F87" w:rsidRDefault="006C3DEB" w:rsidP="005A7549">
            <w:pPr>
              <w:pStyle w:val="TableTextLeft"/>
              <w:rPr>
                <w:rFonts w:eastAsia="Calibri"/>
              </w:rPr>
            </w:pPr>
            <w:r w:rsidRPr="00E670A7">
              <w:rPr>
                <w:rFonts w:eastAsiaTheme="minorHAnsi"/>
                <w:lang w:eastAsia="en-US"/>
              </w:rPr>
              <w:object w:dxaOrig="580" w:dyaOrig="400" w14:anchorId="47804DB1">
                <v:shape id="_x0000_i1524" type="#_x0000_t75" style="width:29.4pt;height:20.4pt" o:ole="">
                  <v:imagedata r:id="rId1023" o:title=""/>
                </v:shape>
                <o:OLEObject Type="Embed" ProgID="Equation.DSMT4" ShapeID="_x0000_i1524" DrawAspect="Content" ObjectID="_1754919075" r:id="rId1024"/>
              </w:object>
            </w:r>
          </w:p>
        </w:tc>
        <w:tc>
          <w:tcPr>
            <w:tcW w:w="991" w:type="dxa"/>
            <w:tcBorders>
              <w:left w:val="single" w:sz="4" w:space="0" w:color="auto"/>
            </w:tcBorders>
            <w:shd w:val="clear" w:color="auto" w:fill="auto"/>
            <w:vAlign w:val="center"/>
          </w:tcPr>
          <w:p w14:paraId="345A61FE" w14:textId="77777777" w:rsidR="006C3DEB" w:rsidRPr="000C72F6" w:rsidRDefault="006C3DEB" w:rsidP="005A7549">
            <w:pPr>
              <w:pStyle w:val="TableTextCentered"/>
              <w:rPr>
                <w:rFonts w:eastAsia="Calibri"/>
              </w:rPr>
            </w:pPr>
            <w:r>
              <w:rPr>
                <w:rFonts w:eastAsia="Calibri"/>
              </w:rPr>
              <w:t>0.0403</w:t>
            </w:r>
          </w:p>
        </w:tc>
        <w:tc>
          <w:tcPr>
            <w:tcW w:w="991" w:type="dxa"/>
            <w:shd w:val="clear" w:color="auto" w:fill="auto"/>
            <w:vAlign w:val="center"/>
          </w:tcPr>
          <w:p w14:paraId="0A6E1043" w14:textId="77777777" w:rsidR="006C3DEB" w:rsidRPr="000C72F6" w:rsidRDefault="006C3DEB" w:rsidP="005A7549">
            <w:pPr>
              <w:pStyle w:val="TableTextCentered"/>
              <w:rPr>
                <w:rFonts w:eastAsia="Calibri"/>
              </w:rPr>
            </w:pPr>
            <w:r>
              <w:rPr>
                <w:rFonts w:eastAsia="Calibri"/>
              </w:rPr>
              <w:t>0.2858</w:t>
            </w:r>
          </w:p>
        </w:tc>
        <w:tc>
          <w:tcPr>
            <w:tcW w:w="991" w:type="dxa"/>
            <w:shd w:val="clear" w:color="auto" w:fill="auto"/>
            <w:vAlign w:val="center"/>
          </w:tcPr>
          <w:p w14:paraId="3B729CA7" w14:textId="77777777" w:rsidR="006C3DEB" w:rsidRDefault="006C3DEB" w:rsidP="005A7549">
            <w:pPr>
              <w:pStyle w:val="TableTextCentered"/>
              <w:rPr>
                <w:rFonts w:eastAsia="Calibri"/>
              </w:rPr>
            </w:pPr>
            <w:r>
              <w:rPr>
                <w:rFonts w:eastAsia="Calibri"/>
              </w:rPr>
              <w:t>0.4775</w:t>
            </w:r>
          </w:p>
        </w:tc>
        <w:tc>
          <w:tcPr>
            <w:tcW w:w="991" w:type="dxa"/>
            <w:shd w:val="clear" w:color="auto" w:fill="auto"/>
            <w:vAlign w:val="center"/>
          </w:tcPr>
          <w:p w14:paraId="36F082FE" w14:textId="77777777" w:rsidR="006C3DEB" w:rsidRDefault="006C3DEB" w:rsidP="005A7549">
            <w:pPr>
              <w:pStyle w:val="TableTextCentered"/>
              <w:rPr>
                <w:rFonts w:eastAsia="Calibri"/>
              </w:rPr>
            </w:pPr>
            <w:r>
              <w:rPr>
                <w:rFonts w:eastAsia="Calibri"/>
              </w:rPr>
              <w:t>0.0007</w:t>
            </w:r>
          </w:p>
        </w:tc>
        <w:tc>
          <w:tcPr>
            <w:tcW w:w="991" w:type="dxa"/>
            <w:shd w:val="clear" w:color="auto" w:fill="auto"/>
            <w:vAlign w:val="center"/>
          </w:tcPr>
          <w:p w14:paraId="43DE1953" w14:textId="77777777" w:rsidR="006C3DEB" w:rsidRDefault="006C3DEB" w:rsidP="005A7549">
            <w:pPr>
              <w:pStyle w:val="TableTextCentered"/>
              <w:rPr>
                <w:rFonts w:eastAsia="Calibri"/>
              </w:rPr>
            </w:pPr>
            <w:r>
              <w:rPr>
                <w:rFonts w:eastAsia="Calibri"/>
              </w:rPr>
              <w:t>0.0003</w:t>
            </w:r>
          </w:p>
        </w:tc>
        <w:tc>
          <w:tcPr>
            <w:tcW w:w="991" w:type="dxa"/>
            <w:shd w:val="clear" w:color="auto" w:fill="auto"/>
            <w:vAlign w:val="center"/>
          </w:tcPr>
          <w:p w14:paraId="3A7E50D5" w14:textId="77777777" w:rsidR="006C3DEB" w:rsidRDefault="006C3DEB" w:rsidP="005A7549">
            <w:pPr>
              <w:pStyle w:val="TableTextCentered"/>
              <w:rPr>
                <w:rFonts w:eastAsia="Calibri"/>
              </w:rPr>
            </w:pPr>
            <w:r>
              <w:rPr>
                <w:rFonts w:eastAsia="Calibri"/>
              </w:rPr>
              <w:t>0.0391</w:t>
            </w:r>
          </w:p>
        </w:tc>
        <w:tc>
          <w:tcPr>
            <w:tcW w:w="954" w:type="dxa"/>
            <w:shd w:val="clear" w:color="auto" w:fill="auto"/>
            <w:vAlign w:val="center"/>
          </w:tcPr>
          <w:p w14:paraId="1AEFC064" w14:textId="77777777" w:rsidR="006C3DEB" w:rsidRDefault="006C3DEB" w:rsidP="005A7549">
            <w:pPr>
              <w:pStyle w:val="TableTextCentered"/>
              <w:rPr>
                <w:rFonts w:eastAsia="Calibri"/>
              </w:rPr>
            </w:pPr>
            <w:r>
              <w:rPr>
                <w:rFonts w:eastAsia="Calibri"/>
              </w:rPr>
              <w:t>0.0000</w:t>
            </w:r>
          </w:p>
        </w:tc>
      </w:tr>
      <w:tr w:rsidR="006C3DEB" w14:paraId="73495AE9" w14:textId="77777777" w:rsidTr="00017ACD">
        <w:trPr>
          <w:jc w:val="center"/>
        </w:trPr>
        <w:tc>
          <w:tcPr>
            <w:tcW w:w="1096" w:type="dxa"/>
            <w:tcBorders>
              <w:right w:val="single" w:sz="4" w:space="0" w:color="auto"/>
            </w:tcBorders>
            <w:shd w:val="clear" w:color="auto" w:fill="EEEEEE" w:themeFill="background2"/>
          </w:tcPr>
          <w:p w14:paraId="78DE503C" w14:textId="77777777" w:rsidR="006C3DEB" w:rsidRPr="000F4F87" w:rsidRDefault="006C3DEB" w:rsidP="005A7549">
            <w:pPr>
              <w:pStyle w:val="TableTextLeft"/>
              <w:rPr>
                <w:rFonts w:eastAsia="Calibri"/>
              </w:rPr>
            </w:pPr>
            <w:r w:rsidRPr="00E670A7">
              <w:rPr>
                <w:rFonts w:eastAsiaTheme="minorHAnsi"/>
                <w:lang w:eastAsia="en-US"/>
              </w:rPr>
              <w:object w:dxaOrig="620" w:dyaOrig="400" w14:anchorId="20315BD7">
                <v:shape id="_x0000_i1525" type="#_x0000_t75" style="width:31.2pt;height:20.4pt" o:ole="">
                  <v:imagedata r:id="rId1025" o:title=""/>
                </v:shape>
                <o:OLEObject Type="Embed" ProgID="Equation.DSMT4" ShapeID="_x0000_i1525" DrawAspect="Content" ObjectID="_1754919076" r:id="rId1026"/>
              </w:object>
            </w:r>
          </w:p>
        </w:tc>
        <w:tc>
          <w:tcPr>
            <w:tcW w:w="991" w:type="dxa"/>
            <w:tcBorders>
              <w:left w:val="single" w:sz="4" w:space="0" w:color="auto"/>
            </w:tcBorders>
            <w:shd w:val="clear" w:color="auto" w:fill="auto"/>
            <w:vAlign w:val="center"/>
          </w:tcPr>
          <w:p w14:paraId="03B90D67" w14:textId="77777777" w:rsidR="006C3DEB" w:rsidRPr="000C72F6" w:rsidRDefault="006C3DEB" w:rsidP="005A7549">
            <w:pPr>
              <w:pStyle w:val="TableTextCentered"/>
              <w:rPr>
                <w:rFonts w:eastAsia="Calibri"/>
              </w:rPr>
            </w:pPr>
            <w:r>
              <w:rPr>
                <w:rFonts w:eastAsia="Calibri"/>
              </w:rPr>
              <w:t>0.0000</w:t>
            </w:r>
          </w:p>
        </w:tc>
        <w:tc>
          <w:tcPr>
            <w:tcW w:w="991" w:type="dxa"/>
            <w:shd w:val="clear" w:color="auto" w:fill="auto"/>
            <w:vAlign w:val="center"/>
          </w:tcPr>
          <w:p w14:paraId="6D43E8C7" w14:textId="77777777" w:rsidR="006C3DEB" w:rsidRPr="000C72F6" w:rsidRDefault="006C3DEB" w:rsidP="005A7549">
            <w:pPr>
              <w:pStyle w:val="TableTextCentered"/>
              <w:rPr>
                <w:rFonts w:eastAsia="Calibri"/>
              </w:rPr>
            </w:pPr>
            <w:r>
              <w:rPr>
                <w:rFonts w:eastAsia="Calibri"/>
              </w:rPr>
              <w:t>0.0023</w:t>
            </w:r>
          </w:p>
        </w:tc>
        <w:tc>
          <w:tcPr>
            <w:tcW w:w="991" w:type="dxa"/>
            <w:shd w:val="clear" w:color="auto" w:fill="auto"/>
            <w:vAlign w:val="center"/>
          </w:tcPr>
          <w:p w14:paraId="61461B9E" w14:textId="77777777" w:rsidR="006C3DEB" w:rsidRDefault="006C3DEB" w:rsidP="005A7549">
            <w:pPr>
              <w:pStyle w:val="TableTextCentered"/>
              <w:rPr>
                <w:rFonts w:eastAsia="Calibri"/>
              </w:rPr>
            </w:pPr>
            <w:r>
              <w:rPr>
                <w:rFonts w:eastAsia="Calibri"/>
              </w:rPr>
              <w:t>0.3177</w:t>
            </w:r>
          </w:p>
        </w:tc>
        <w:tc>
          <w:tcPr>
            <w:tcW w:w="991" w:type="dxa"/>
            <w:shd w:val="clear" w:color="auto" w:fill="auto"/>
            <w:vAlign w:val="center"/>
          </w:tcPr>
          <w:p w14:paraId="599E6A04" w14:textId="77777777" w:rsidR="006C3DEB" w:rsidRDefault="006C3DEB" w:rsidP="005A7549">
            <w:pPr>
              <w:pStyle w:val="TableTextCentered"/>
              <w:rPr>
                <w:rFonts w:eastAsia="Calibri"/>
              </w:rPr>
            </w:pPr>
            <w:r>
              <w:rPr>
                <w:rFonts w:eastAsia="Calibri"/>
              </w:rPr>
              <w:t>0.0000</w:t>
            </w:r>
          </w:p>
        </w:tc>
        <w:tc>
          <w:tcPr>
            <w:tcW w:w="991" w:type="dxa"/>
            <w:shd w:val="clear" w:color="auto" w:fill="auto"/>
            <w:vAlign w:val="center"/>
          </w:tcPr>
          <w:p w14:paraId="2D5611B1" w14:textId="77777777" w:rsidR="006C3DEB" w:rsidRDefault="006C3DEB" w:rsidP="005A7549">
            <w:pPr>
              <w:pStyle w:val="TableTextCentered"/>
              <w:rPr>
                <w:rFonts w:eastAsia="Calibri"/>
              </w:rPr>
            </w:pPr>
            <w:r>
              <w:rPr>
                <w:rFonts w:eastAsia="Calibri"/>
              </w:rPr>
              <w:t>0.0007</w:t>
            </w:r>
          </w:p>
        </w:tc>
        <w:tc>
          <w:tcPr>
            <w:tcW w:w="991" w:type="dxa"/>
            <w:shd w:val="clear" w:color="auto" w:fill="auto"/>
            <w:vAlign w:val="center"/>
          </w:tcPr>
          <w:p w14:paraId="59F17EE7" w14:textId="77777777" w:rsidR="006C3DEB" w:rsidRDefault="006C3DEB" w:rsidP="005A7549">
            <w:pPr>
              <w:pStyle w:val="TableTextCentered"/>
              <w:rPr>
                <w:rFonts w:eastAsia="Calibri"/>
              </w:rPr>
            </w:pPr>
            <w:r>
              <w:rPr>
                <w:rFonts w:eastAsia="Calibri"/>
              </w:rPr>
              <w:t>0.0107</w:t>
            </w:r>
          </w:p>
        </w:tc>
        <w:tc>
          <w:tcPr>
            <w:tcW w:w="954" w:type="dxa"/>
            <w:shd w:val="clear" w:color="auto" w:fill="auto"/>
            <w:vAlign w:val="center"/>
          </w:tcPr>
          <w:p w14:paraId="209E4853" w14:textId="77777777" w:rsidR="006C3DEB" w:rsidRDefault="006C3DEB" w:rsidP="005A7549">
            <w:pPr>
              <w:pStyle w:val="TableTextCentered"/>
              <w:rPr>
                <w:rFonts w:eastAsia="Calibri"/>
              </w:rPr>
            </w:pPr>
            <w:r>
              <w:rPr>
                <w:rFonts w:eastAsia="Calibri"/>
              </w:rPr>
              <w:t>0.0000</w:t>
            </w:r>
          </w:p>
        </w:tc>
      </w:tr>
      <w:tr w:rsidR="006C3DEB" w14:paraId="67078F02" w14:textId="77777777" w:rsidTr="00017ACD">
        <w:trPr>
          <w:jc w:val="center"/>
        </w:trPr>
        <w:tc>
          <w:tcPr>
            <w:tcW w:w="1096" w:type="dxa"/>
            <w:tcBorders>
              <w:bottom w:val="single" w:sz="4" w:space="0" w:color="auto"/>
              <w:right w:val="single" w:sz="4" w:space="0" w:color="auto"/>
            </w:tcBorders>
            <w:shd w:val="clear" w:color="auto" w:fill="EEEEEE" w:themeFill="background2"/>
          </w:tcPr>
          <w:p w14:paraId="603196C7" w14:textId="77777777" w:rsidR="006C3DEB" w:rsidRPr="000F4F87" w:rsidRDefault="006C3DEB" w:rsidP="005A7549">
            <w:pPr>
              <w:pStyle w:val="TableTextLeft"/>
              <w:rPr>
                <w:rFonts w:eastAsia="Calibri"/>
              </w:rPr>
            </w:pPr>
            <w:r w:rsidRPr="00E670A7">
              <w:rPr>
                <w:rFonts w:eastAsiaTheme="minorHAnsi"/>
                <w:lang w:eastAsia="en-US"/>
              </w:rPr>
              <w:object w:dxaOrig="400" w:dyaOrig="400" w14:anchorId="209D0719">
                <v:shape id="_x0000_i1526" type="#_x0000_t75" style="width:20.4pt;height:20.4pt" o:ole="">
                  <v:imagedata r:id="rId1027" o:title=""/>
                </v:shape>
                <o:OLEObject Type="Embed" ProgID="Equation.DSMT4" ShapeID="_x0000_i1526" DrawAspect="Content" ObjectID="_1754919077" r:id="rId1028"/>
              </w:object>
            </w:r>
          </w:p>
        </w:tc>
        <w:tc>
          <w:tcPr>
            <w:tcW w:w="991" w:type="dxa"/>
            <w:tcBorders>
              <w:left w:val="single" w:sz="4" w:space="0" w:color="auto"/>
              <w:bottom w:val="single" w:sz="4" w:space="0" w:color="auto"/>
            </w:tcBorders>
            <w:shd w:val="clear" w:color="auto" w:fill="auto"/>
            <w:vAlign w:val="center"/>
          </w:tcPr>
          <w:p w14:paraId="69722D20" w14:textId="77777777" w:rsidR="006C3DEB" w:rsidRPr="000C72F6" w:rsidRDefault="006C3DEB" w:rsidP="005A7549">
            <w:pPr>
              <w:pStyle w:val="TableTextCentered"/>
              <w:rPr>
                <w:rFonts w:eastAsia="Calibri"/>
              </w:rPr>
            </w:pPr>
            <w:r>
              <w:rPr>
                <w:rFonts w:eastAsia="Calibri"/>
              </w:rPr>
              <w:t>0.0000</w:t>
            </w:r>
          </w:p>
        </w:tc>
        <w:tc>
          <w:tcPr>
            <w:tcW w:w="991" w:type="dxa"/>
            <w:tcBorders>
              <w:bottom w:val="single" w:sz="4" w:space="0" w:color="auto"/>
            </w:tcBorders>
            <w:shd w:val="clear" w:color="auto" w:fill="auto"/>
            <w:vAlign w:val="center"/>
          </w:tcPr>
          <w:p w14:paraId="5C3A26D9" w14:textId="77777777" w:rsidR="006C3DEB" w:rsidRPr="000C72F6" w:rsidRDefault="006C3DEB" w:rsidP="005A7549">
            <w:pPr>
              <w:pStyle w:val="TableTextCentered"/>
              <w:rPr>
                <w:rFonts w:eastAsia="Calibri"/>
              </w:rPr>
            </w:pPr>
            <w:r>
              <w:rPr>
                <w:rFonts w:eastAsia="Calibri"/>
              </w:rPr>
              <w:t>0.0000</w:t>
            </w:r>
          </w:p>
        </w:tc>
        <w:tc>
          <w:tcPr>
            <w:tcW w:w="991" w:type="dxa"/>
            <w:tcBorders>
              <w:bottom w:val="single" w:sz="4" w:space="0" w:color="auto"/>
            </w:tcBorders>
            <w:shd w:val="clear" w:color="auto" w:fill="auto"/>
            <w:vAlign w:val="center"/>
          </w:tcPr>
          <w:p w14:paraId="3DF14732" w14:textId="77777777" w:rsidR="006C3DEB" w:rsidRPr="000C72F6" w:rsidRDefault="006C3DEB" w:rsidP="005A7549">
            <w:pPr>
              <w:pStyle w:val="TableTextCentered"/>
              <w:rPr>
                <w:rFonts w:eastAsia="Calibri"/>
              </w:rPr>
            </w:pPr>
            <w:r>
              <w:rPr>
                <w:rFonts w:eastAsia="Calibri"/>
              </w:rPr>
              <w:t>0.4369</w:t>
            </w:r>
          </w:p>
        </w:tc>
        <w:tc>
          <w:tcPr>
            <w:tcW w:w="991" w:type="dxa"/>
            <w:tcBorders>
              <w:bottom w:val="single" w:sz="4" w:space="0" w:color="auto"/>
            </w:tcBorders>
            <w:shd w:val="clear" w:color="auto" w:fill="auto"/>
            <w:vAlign w:val="center"/>
          </w:tcPr>
          <w:p w14:paraId="6C45265F" w14:textId="77777777" w:rsidR="006C3DEB" w:rsidRPr="000C72F6" w:rsidRDefault="006C3DEB" w:rsidP="005A7549">
            <w:pPr>
              <w:pStyle w:val="TableTextCentered"/>
              <w:rPr>
                <w:rFonts w:eastAsia="Calibri"/>
              </w:rPr>
            </w:pPr>
            <w:r>
              <w:rPr>
                <w:rFonts w:eastAsia="Calibri"/>
              </w:rPr>
              <w:t>0.0000</w:t>
            </w:r>
          </w:p>
        </w:tc>
        <w:tc>
          <w:tcPr>
            <w:tcW w:w="991" w:type="dxa"/>
            <w:tcBorders>
              <w:bottom w:val="single" w:sz="4" w:space="0" w:color="auto"/>
            </w:tcBorders>
            <w:shd w:val="clear" w:color="auto" w:fill="auto"/>
            <w:vAlign w:val="center"/>
          </w:tcPr>
          <w:p w14:paraId="33DE0937" w14:textId="77777777" w:rsidR="006C3DEB" w:rsidRDefault="006C3DEB" w:rsidP="005A7549">
            <w:pPr>
              <w:pStyle w:val="TableTextCentered"/>
              <w:rPr>
                <w:rFonts w:eastAsia="Calibri"/>
              </w:rPr>
            </w:pPr>
            <w:r>
              <w:rPr>
                <w:rFonts w:eastAsia="Calibri"/>
              </w:rPr>
              <w:t>0.0000</w:t>
            </w:r>
          </w:p>
        </w:tc>
        <w:tc>
          <w:tcPr>
            <w:tcW w:w="991" w:type="dxa"/>
            <w:tcBorders>
              <w:bottom w:val="single" w:sz="4" w:space="0" w:color="auto"/>
            </w:tcBorders>
            <w:shd w:val="clear" w:color="auto" w:fill="auto"/>
            <w:vAlign w:val="center"/>
          </w:tcPr>
          <w:p w14:paraId="681462D0" w14:textId="77777777" w:rsidR="006C3DEB" w:rsidRDefault="006C3DEB" w:rsidP="005A7549">
            <w:pPr>
              <w:pStyle w:val="TableTextCentered"/>
              <w:rPr>
                <w:rFonts w:eastAsia="Calibri"/>
              </w:rPr>
            </w:pPr>
            <w:r>
              <w:rPr>
                <w:rFonts w:eastAsia="Calibri"/>
              </w:rPr>
              <w:t>0.0000</w:t>
            </w:r>
          </w:p>
        </w:tc>
        <w:tc>
          <w:tcPr>
            <w:tcW w:w="954" w:type="dxa"/>
            <w:tcBorders>
              <w:bottom w:val="single" w:sz="4" w:space="0" w:color="auto"/>
            </w:tcBorders>
            <w:shd w:val="clear" w:color="auto" w:fill="auto"/>
            <w:vAlign w:val="center"/>
          </w:tcPr>
          <w:p w14:paraId="711FAB9D" w14:textId="77777777" w:rsidR="006C3DEB" w:rsidRDefault="006C3DEB" w:rsidP="005A7549">
            <w:pPr>
              <w:pStyle w:val="TableTextCentered"/>
              <w:rPr>
                <w:rFonts w:eastAsia="Calibri"/>
              </w:rPr>
            </w:pPr>
            <w:r>
              <w:rPr>
                <w:rFonts w:eastAsia="Calibri"/>
              </w:rPr>
              <w:t>0.0000</w:t>
            </w:r>
          </w:p>
        </w:tc>
      </w:tr>
    </w:tbl>
    <w:p w14:paraId="28062C00" w14:textId="77777777" w:rsidR="006C3DEB" w:rsidRPr="003D6505" w:rsidRDefault="006C3DEB" w:rsidP="006C3DEB">
      <w:pPr>
        <w:pStyle w:val="Note"/>
        <w:rPr>
          <w:rStyle w:val="IntenseEmphasis"/>
          <w:b w:val="0"/>
          <w:bCs w:val="0"/>
          <w:i w:val="0"/>
          <w:iCs w:val="0"/>
          <w:color w:val="000000" w:themeColor="text1"/>
        </w:rPr>
      </w:pPr>
      <w:r w:rsidRPr="0032767F">
        <w:t>Source: Authors’ calcula</w:t>
      </w:r>
      <w:r>
        <w:t xml:space="preserve">tion based on </w:t>
      </w:r>
      <w:r w:rsidRPr="00260758">
        <w:t>ABS (2018</w:t>
      </w:r>
      <w:r>
        <w:t>a</w:t>
      </w:r>
      <w:r w:rsidRPr="00260758">
        <w:t>)</w:t>
      </w:r>
      <w:r>
        <w:t xml:space="preserve"> data.</w:t>
      </w:r>
    </w:p>
    <w:p w14:paraId="0FD2C189" w14:textId="77777777" w:rsidR="006C3DEB" w:rsidRPr="001967BF" w:rsidRDefault="006C3DEB" w:rsidP="006C3DEB">
      <w:pPr>
        <w:pStyle w:val="Heading5"/>
        <w:rPr>
          <w:rStyle w:val="IntenseEmphasis"/>
          <w:bCs w:val="0"/>
          <w:i w:val="0"/>
          <w:color w:val="000000" w:themeColor="text1"/>
        </w:rPr>
      </w:pPr>
      <w:r w:rsidRPr="00B34AB0">
        <w:rPr>
          <w:rStyle w:val="IntenseEmphasis"/>
          <w:b/>
          <w:bCs w:val="0"/>
          <w:i w:val="0"/>
          <w:iCs/>
          <w:color w:val="000000" w:themeColor="text1"/>
        </w:rPr>
        <w:t>Import substitution</w:t>
      </w:r>
    </w:p>
    <w:p w14:paraId="23576DD4" w14:textId="77777777" w:rsidR="006C3DEB" w:rsidRDefault="006C3DEB" w:rsidP="006C3DEB">
      <w:r w:rsidRPr="007F045B">
        <w:t>The elasticities of substitution between domestic and imported varieties</w:t>
      </w:r>
      <w:r w:rsidRPr="00E670A7">
        <w:rPr>
          <w:position w:val="-14"/>
        </w:rPr>
        <w:object w:dxaOrig="1660" w:dyaOrig="400" w14:anchorId="43260234">
          <v:shape id="_x0000_i1527" type="#_x0000_t75" style="width:82.8pt;height:20.4pt" o:ole="">
            <v:imagedata r:id="rId1029" o:title=""/>
          </v:shape>
          <o:OLEObject Type="Embed" ProgID="Equation.DSMT4" ShapeID="_x0000_i1527" DrawAspect="Content" ObjectID="_1754919078" r:id="rId1030"/>
        </w:object>
      </w:r>
      <w:r w:rsidRPr="007F045B">
        <w:t xml:space="preserve">are </w:t>
      </w:r>
      <w:r>
        <w:t>consistent with the</w:t>
      </w:r>
      <w:r w:rsidRPr="007F045B">
        <w:t xml:space="preserve"> parameterisation of the GTAP model.</w:t>
      </w:r>
      <w:r>
        <w:t xml:space="preserve"> In the GTAP model, the elasticity of substitution between domestic and imported varieties for a given commodity is set to half the value of the </w:t>
      </w:r>
      <w:r w:rsidRPr="004B4879">
        <w:t xml:space="preserve">substitution between varieties of the same </w:t>
      </w:r>
      <w:r>
        <w:t>commodity</w:t>
      </w:r>
      <w:r w:rsidRPr="004B4879">
        <w:t xml:space="preserve"> from different exporters</w:t>
      </w:r>
      <w:r>
        <w:t>. We take these elasticities and aggregate them into the sectors in OLGA using each commodity’s weight within that sector. The resulting elasticities are shown in Table 10.</w:t>
      </w:r>
    </w:p>
    <w:p w14:paraId="6C1D154F" w14:textId="77777777" w:rsidR="006C3DEB" w:rsidRDefault="006C3DEB" w:rsidP="006C3DEB">
      <w:pPr>
        <w:spacing w:before="0" w:after="200" w:line="276" w:lineRule="auto"/>
      </w:pPr>
      <w:r>
        <w:br w:type="page"/>
      </w:r>
    </w:p>
    <w:p w14:paraId="32C779DA" w14:textId="1A88D261" w:rsidR="006C3DEB" w:rsidRPr="00CE4CE9" w:rsidRDefault="006C3DEB" w:rsidP="006C3DEB">
      <w:pPr>
        <w:pStyle w:val="TableMainHeading"/>
      </w:pPr>
      <w:bookmarkStart w:id="32" w:name="_Ref101947269"/>
      <w:r>
        <w:lastRenderedPageBreak/>
        <w:t xml:space="preserve">Table </w:t>
      </w:r>
      <w:r>
        <w:rPr>
          <w:noProof/>
        </w:rPr>
        <w:fldChar w:fldCharType="begin"/>
      </w:r>
      <w:r>
        <w:rPr>
          <w:noProof/>
        </w:rPr>
        <w:instrText xml:space="preserve"> SEQ Table \* ARABIC </w:instrText>
      </w:r>
      <w:r>
        <w:rPr>
          <w:noProof/>
        </w:rPr>
        <w:fldChar w:fldCharType="separate"/>
      </w:r>
      <w:r w:rsidR="00E00A52">
        <w:rPr>
          <w:noProof/>
        </w:rPr>
        <w:t>10</w:t>
      </w:r>
      <w:r>
        <w:rPr>
          <w:noProof/>
        </w:rPr>
        <w:fldChar w:fldCharType="end"/>
      </w:r>
      <w:bookmarkEnd w:id="32"/>
      <w:r w:rsidRPr="00CE4CE9">
        <w:t xml:space="preserve">: </w:t>
      </w:r>
      <w:r>
        <w:t>Import demand elasticities</w:t>
      </w:r>
    </w:p>
    <w:tbl>
      <w:tblPr>
        <w:tblStyle w:val="TableGrid"/>
        <w:tblW w:w="5000" w:type="pct"/>
        <w:jc w:val="center"/>
        <w:shd w:val="clear" w:color="auto" w:fill="EEEEEE" w:themeFill="background2"/>
        <w:tblLayout w:type="fixed"/>
        <w:tblLook w:val="04A0" w:firstRow="1" w:lastRow="0" w:firstColumn="1" w:lastColumn="0" w:noHBand="0" w:noVBand="1"/>
      </w:tblPr>
      <w:tblGrid>
        <w:gridCol w:w="1902"/>
        <w:gridCol w:w="1024"/>
        <w:gridCol w:w="1025"/>
        <w:gridCol w:w="1024"/>
        <w:gridCol w:w="1023"/>
        <w:gridCol w:w="1024"/>
        <w:gridCol w:w="1024"/>
        <w:gridCol w:w="1024"/>
      </w:tblGrid>
      <w:tr w:rsidR="006C3DEB" w:rsidRPr="00CE4CE9" w14:paraId="152A9A47" w14:textId="77777777" w:rsidTr="00017ACD">
        <w:trPr>
          <w:jc w:val="center"/>
        </w:trPr>
        <w:tc>
          <w:tcPr>
            <w:tcW w:w="1980" w:type="dxa"/>
            <w:vMerge w:val="restart"/>
            <w:tcBorders>
              <w:top w:val="single" w:sz="4" w:space="0" w:color="auto"/>
            </w:tcBorders>
            <w:shd w:val="clear" w:color="auto" w:fill="EEEEEE" w:themeFill="background2"/>
            <w:vAlign w:val="center"/>
          </w:tcPr>
          <w:p w14:paraId="299A674E" w14:textId="77777777" w:rsidR="006C3DEB" w:rsidRPr="00CE4CE9" w:rsidRDefault="006C3DEB" w:rsidP="005A7549">
            <w:pPr>
              <w:pStyle w:val="TableColumnHeadingLeft"/>
              <w:rPr>
                <w:rFonts w:eastAsia="Calibri"/>
              </w:rPr>
            </w:pPr>
            <w:r w:rsidRPr="00CE4CE9">
              <w:rPr>
                <w:rFonts w:eastAsia="Calibri"/>
              </w:rPr>
              <w:t>Parameter</w:t>
            </w:r>
          </w:p>
        </w:tc>
        <w:tc>
          <w:tcPr>
            <w:tcW w:w="7432" w:type="dxa"/>
            <w:gridSpan w:val="7"/>
            <w:tcBorders>
              <w:top w:val="single" w:sz="4" w:space="0" w:color="auto"/>
              <w:bottom w:val="nil"/>
            </w:tcBorders>
            <w:shd w:val="clear" w:color="auto" w:fill="EEEEEE" w:themeFill="background2"/>
            <w:vAlign w:val="center"/>
          </w:tcPr>
          <w:p w14:paraId="2379DD46" w14:textId="77777777" w:rsidR="006C3DEB" w:rsidRPr="00CE4CE9" w:rsidRDefault="006C3DEB" w:rsidP="005A7549">
            <w:pPr>
              <w:pStyle w:val="TableColumnHeadingCentred"/>
              <w:rPr>
                <w:rFonts w:eastAsia="Calibri"/>
              </w:rPr>
            </w:pPr>
            <w:r w:rsidRPr="00CE4CE9">
              <w:rPr>
                <w:rFonts w:eastAsia="Calibri"/>
                <w:i/>
              </w:rPr>
              <w:t>j</w:t>
            </w:r>
            <w:r w:rsidRPr="00CE4CE9">
              <w:rPr>
                <w:rFonts w:eastAsia="Calibri"/>
              </w:rPr>
              <w:t xml:space="preserve"> = </w:t>
            </w:r>
          </w:p>
        </w:tc>
      </w:tr>
      <w:tr w:rsidR="006C3DEB" w:rsidRPr="00CE4CE9" w14:paraId="121EA86A" w14:textId="77777777" w:rsidTr="00017ACD">
        <w:trPr>
          <w:jc w:val="center"/>
        </w:trPr>
        <w:tc>
          <w:tcPr>
            <w:tcW w:w="1980" w:type="dxa"/>
            <w:vMerge/>
            <w:tcBorders>
              <w:bottom w:val="single" w:sz="4" w:space="0" w:color="auto"/>
            </w:tcBorders>
            <w:shd w:val="clear" w:color="auto" w:fill="EEEEEE" w:themeFill="background2"/>
          </w:tcPr>
          <w:p w14:paraId="1E6D5316" w14:textId="77777777" w:rsidR="006C3DEB" w:rsidRPr="00CE4CE9" w:rsidRDefault="006C3DEB" w:rsidP="005A7549">
            <w:pPr>
              <w:spacing w:after="0"/>
              <w:rPr>
                <w:rFonts w:eastAsia="Calibri"/>
                <w:b/>
              </w:rPr>
            </w:pPr>
          </w:p>
        </w:tc>
        <w:tc>
          <w:tcPr>
            <w:tcW w:w="1061" w:type="dxa"/>
            <w:tcBorders>
              <w:top w:val="nil"/>
              <w:bottom w:val="single" w:sz="4" w:space="0" w:color="auto"/>
              <w:right w:val="nil"/>
            </w:tcBorders>
            <w:shd w:val="clear" w:color="auto" w:fill="EEEEEE" w:themeFill="background2"/>
            <w:vAlign w:val="center"/>
          </w:tcPr>
          <w:p w14:paraId="63193CCB" w14:textId="77777777" w:rsidR="006C3DEB" w:rsidRPr="00CE4CE9" w:rsidRDefault="006C3DEB" w:rsidP="005A7549">
            <w:pPr>
              <w:pStyle w:val="TableColumnHeadingCentred"/>
              <w:rPr>
                <w:rFonts w:eastAsia="Calibri"/>
              </w:rPr>
            </w:pPr>
            <w:r w:rsidRPr="00CE4CE9">
              <w:rPr>
                <w:rFonts w:eastAsia="Calibri"/>
              </w:rPr>
              <w:t>AGR</w:t>
            </w:r>
          </w:p>
        </w:tc>
        <w:tc>
          <w:tcPr>
            <w:tcW w:w="1062" w:type="dxa"/>
            <w:tcBorders>
              <w:top w:val="nil"/>
              <w:left w:val="nil"/>
              <w:bottom w:val="single" w:sz="4" w:space="0" w:color="auto"/>
              <w:right w:val="nil"/>
            </w:tcBorders>
            <w:shd w:val="clear" w:color="auto" w:fill="EEEEEE" w:themeFill="background2"/>
            <w:vAlign w:val="center"/>
          </w:tcPr>
          <w:p w14:paraId="5A3E34BA" w14:textId="77777777" w:rsidR="006C3DEB" w:rsidRPr="00CE4CE9" w:rsidRDefault="006C3DEB" w:rsidP="005A7549">
            <w:pPr>
              <w:pStyle w:val="TableColumnHeadingCentred"/>
              <w:rPr>
                <w:rFonts w:eastAsia="Calibri"/>
              </w:rPr>
            </w:pPr>
            <w:r w:rsidRPr="00CE4CE9">
              <w:rPr>
                <w:rFonts w:eastAsia="Calibri"/>
              </w:rPr>
              <w:t>MIN</w:t>
            </w:r>
          </w:p>
        </w:tc>
        <w:tc>
          <w:tcPr>
            <w:tcW w:w="1062" w:type="dxa"/>
            <w:tcBorders>
              <w:top w:val="nil"/>
              <w:left w:val="nil"/>
              <w:bottom w:val="single" w:sz="4" w:space="0" w:color="auto"/>
              <w:right w:val="nil"/>
            </w:tcBorders>
            <w:shd w:val="clear" w:color="auto" w:fill="EEEEEE" w:themeFill="background2"/>
            <w:vAlign w:val="center"/>
          </w:tcPr>
          <w:p w14:paraId="1F799C83" w14:textId="77777777" w:rsidR="006C3DEB" w:rsidRPr="00CE4CE9" w:rsidRDefault="006C3DEB" w:rsidP="005A7549">
            <w:pPr>
              <w:pStyle w:val="TableColumnHeadingCentred"/>
              <w:rPr>
                <w:rFonts w:eastAsia="Calibri"/>
              </w:rPr>
            </w:pPr>
            <w:r w:rsidRPr="00CE4CE9">
              <w:rPr>
                <w:rFonts w:eastAsia="Calibri"/>
              </w:rPr>
              <w:t>MAN</w:t>
            </w:r>
          </w:p>
        </w:tc>
        <w:tc>
          <w:tcPr>
            <w:tcW w:w="1061" w:type="dxa"/>
            <w:tcBorders>
              <w:top w:val="nil"/>
              <w:left w:val="nil"/>
              <w:bottom w:val="single" w:sz="4" w:space="0" w:color="auto"/>
              <w:right w:val="nil"/>
            </w:tcBorders>
            <w:shd w:val="clear" w:color="auto" w:fill="EEEEEE" w:themeFill="background2"/>
            <w:vAlign w:val="center"/>
          </w:tcPr>
          <w:p w14:paraId="1776185F" w14:textId="77777777" w:rsidR="006C3DEB" w:rsidRPr="00CE4CE9" w:rsidRDefault="006C3DEB" w:rsidP="005A7549">
            <w:pPr>
              <w:pStyle w:val="TableColumnHeadingCentred"/>
              <w:rPr>
                <w:rFonts w:eastAsia="Calibri"/>
              </w:rPr>
            </w:pPr>
            <w:r w:rsidRPr="00CE4CE9">
              <w:rPr>
                <w:rFonts w:eastAsia="Calibri"/>
              </w:rPr>
              <w:t>UTL</w:t>
            </w:r>
          </w:p>
        </w:tc>
        <w:tc>
          <w:tcPr>
            <w:tcW w:w="1062" w:type="dxa"/>
            <w:tcBorders>
              <w:top w:val="nil"/>
              <w:left w:val="nil"/>
              <w:bottom w:val="single" w:sz="4" w:space="0" w:color="auto"/>
              <w:right w:val="nil"/>
            </w:tcBorders>
            <w:shd w:val="clear" w:color="auto" w:fill="EEEEEE" w:themeFill="background2"/>
            <w:vAlign w:val="center"/>
          </w:tcPr>
          <w:p w14:paraId="2891B2A1" w14:textId="77777777" w:rsidR="006C3DEB" w:rsidRPr="00CE4CE9" w:rsidRDefault="006C3DEB" w:rsidP="005A7549">
            <w:pPr>
              <w:pStyle w:val="TableColumnHeadingCentred"/>
              <w:rPr>
                <w:rFonts w:eastAsia="Calibri"/>
              </w:rPr>
            </w:pPr>
            <w:r w:rsidRPr="00CE4CE9">
              <w:rPr>
                <w:rFonts w:eastAsia="Calibri"/>
              </w:rPr>
              <w:t>CST</w:t>
            </w:r>
          </w:p>
        </w:tc>
        <w:tc>
          <w:tcPr>
            <w:tcW w:w="1062" w:type="dxa"/>
            <w:tcBorders>
              <w:top w:val="nil"/>
              <w:left w:val="nil"/>
              <w:bottom w:val="single" w:sz="4" w:space="0" w:color="auto"/>
              <w:right w:val="nil"/>
            </w:tcBorders>
            <w:shd w:val="clear" w:color="auto" w:fill="EEEEEE" w:themeFill="background2"/>
            <w:vAlign w:val="center"/>
          </w:tcPr>
          <w:p w14:paraId="787E9437" w14:textId="77777777" w:rsidR="006C3DEB" w:rsidRPr="00CE4CE9" w:rsidRDefault="006C3DEB" w:rsidP="005A7549">
            <w:pPr>
              <w:pStyle w:val="TableColumnHeadingCentred"/>
              <w:rPr>
                <w:rFonts w:eastAsia="Calibri"/>
              </w:rPr>
            </w:pPr>
            <w:r w:rsidRPr="00CE4CE9">
              <w:rPr>
                <w:rFonts w:eastAsia="Calibri"/>
              </w:rPr>
              <w:t>SRV</w:t>
            </w:r>
          </w:p>
        </w:tc>
        <w:tc>
          <w:tcPr>
            <w:tcW w:w="1062" w:type="dxa"/>
            <w:tcBorders>
              <w:top w:val="nil"/>
              <w:left w:val="nil"/>
              <w:bottom w:val="single" w:sz="4" w:space="0" w:color="auto"/>
            </w:tcBorders>
            <w:shd w:val="clear" w:color="auto" w:fill="EEEEEE" w:themeFill="background2"/>
            <w:vAlign w:val="center"/>
          </w:tcPr>
          <w:p w14:paraId="2B08F7FE" w14:textId="77777777" w:rsidR="006C3DEB" w:rsidRPr="00CE4CE9" w:rsidRDefault="006C3DEB" w:rsidP="005A7549">
            <w:pPr>
              <w:pStyle w:val="TableColumnHeadingCentred"/>
              <w:rPr>
                <w:rFonts w:eastAsia="Calibri"/>
              </w:rPr>
            </w:pPr>
            <w:r w:rsidRPr="00CE4CE9">
              <w:rPr>
                <w:rFonts w:eastAsia="Calibri"/>
              </w:rPr>
              <w:t>DWE</w:t>
            </w:r>
          </w:p>
        </w:tc>
      </w:tr>
      <w:tr w:rsidR="006C3DEB" w:rsidRPr="00CE4CE9" w14:paraId="45E450C1" w14:textId="77777777" w:rsidTr="00017ACD">
        <w:trPr>
          <w:jc w:val="center"/>
        </w:trPr>
        <w:tc>
          <w:tcPr>
            <w:tcW w:w="1980" w:type="dxa"/>
            <w:tcBorders>
              <w:top w:val="single" w:sz="4" w:space="0" w:color="auto"/>
              <w:right w:val="single" w:sz="4" w:space="0" w:color="auto"/>
            </w:tcBorders>
            <w:shd w:val="clear" w:color="auto" w:fill="EEEEEE" w:themeFill="background2"/>
          </w:tcPr>
          <w:p w14:paraId="3D2F9584" w14:textId="77777777" w:rsidR="006C3DEB" w:rsidRPr="00CE4CE9" w:rsidRDefault="006C3DEB" w:rsidP="005A7549">
            <w:pPr>
              <w:pStyle w:val="TableTextLeft"/>
              <w:rPr>
                <w:rFonts w:eastAsia="Calibri"/>
              </w:rPr>
            </w:pPr>
            <w:r w:rsidRPr="00E670A7">
              <w:rPr>
                <w:rFonts w:eastAsiaTheme="minorHAnsi"/>
                <w:lang w:eastAsia="en-US"/>
              </w:rPr>
              <w:object w:dxaOrig="380" w:dyaOrig="400" w14:anchorId="242F609B">
                <v:shape id="_x0000_i1528" type="#_x0000_t75" style="width:18pt;height:20.4pt" o:ole="">
                  <v:imagedata r:id="rId1031" o:title=""/>
                </v:shape>
                <o:OLEObject Type="Embed" ProgID="Equation.DSMT4" ShapeID="_x0000_i1528" DrawAspect="Content" ObjectID="_1754919079" r:id="rId1032"/>
              </w:object>
            </w:r>
          </w:p>
        </w:tc>
        <w:tc>
          <w:tcPr>
            <w:tcW w:w="1061" w:type="dxa"/>
            <w:tcBorders>
              <w:top w:val="single" w:sz="4" w:space="0" w:color="auto"/>
              <w:left w:val="single" w:sz="4" w:space="0" w:color="auto"/>
            </w:tcBorders>
            <w:shd w:val="clear" w:color="auto" w:fill="auto"/>
            <w:vAlign w:val="center"/>
          </w:tcPr>
          <w:p w14:paraId="6587CCD5" w14:textId="77777777" w:rsidR="006C3DEB" w:rsidRPr="002333C2" w:rsidRDefault="006C3DEB" w:rsidP="005A7549">
            <w:pPr>
              <w:pStyle w:val="TableTextCentered"/>
              <w:rPr>
                <w:rFonts w:eastAsia="Calibri"/>
                <w:highlight w:val="yellow"/>
              </w:rPr>
            </w:pPr>
            <w:r>
              <w:t>1.9</w:t>
            </w:r>
          </w:p>
        </w:tc>
        <w:tc>
          <w:tcPr>
            <w:tcW w:w="1062" w:type="dxa"/>
            <w:tcBorders>
              <w:top w:val="single" w:sz="4" w:space="0" w:color="auto"/>
            </w:tcBorders>
            <w:shd w:val="clear" w:color="auto" w:fill="auto"/>
            <w:vAlign w:val="center"/>
          </w:tcPr>
          <w:p w14:paraId="25C9E617" w14:textId="77777777" w:rsidR="006C3DEB" w:rsidRPr="002333C2" w:rsidRDefault="006C3DEB" w:rsidP="005A7549">
            <w:pPr>
              <w:pStyle w:val="TableTextCentered"/>
              <w:rPr>
                <w:rFonts w:eastAsia="Calibri"/>
                <w:highlight w:val="yellow"/>
              </w:rPr>
            </w:pPr>
            <w:r>
              <w:t>17.1</w:t>
            </w:r>
          </w:p>
        </w:tc>
        <w:tc>
          <w:tcPr>
            <w:tcW w:w="1062" w:type="dxa"/>
            <w:tcBorders>
              <w:top w:val="single" w:sz="4" w:space="0" w:color="auto"/>
            </w:tcBorders>
            <w:shd w:val="clear" w:color="auto" w:fill="auto"/>
            <w:vAlign w:val="center"/>
          </w:tcPr>
          <w:p w14:paraId="4D8CCA9C" w14:textId="77777777" w:rsidR="006C3DEB" w:rsidRPr="002333C2" w:rsidRDefault="006C3DEB" w:rsidP="005A7549">
            <w:pPr>
              <w:pStyle w:val="TableTextCentered"/>
              <w:rPr>
                <w:rFonts w:eastAsia="Calibri"/>
                <w:highlight w:val="yellow"/>
              </w:rPr>
            </w:pPr>
            <w:r>
              <w:t>2.9</w:t>
            </w:r>
          </w:p>
        </w:tc>
        <w:tc>
          <w:tcPr>
            <w:tcW w:w="1061" w:type="dxa"/>
            <w:tcBorders>
              <w:top w:val="single" w:sz="4" w:space="0" w:color="auto"/>
            </w:tcBorders>
            <w:shd w:val="clear" w:color="auto" w:fill="auto"/>
            <w:vAlign w:val="center"/>
          </w:tcPr>
          <w:p w14:paraId="2D459CBD" w14:textId="77777777" w:rsidR="006C3DEB" w:rsidRPr="002333C2" w:rsidRDefault="006C3DEB" w:rsidP="005A7549">
            <w:pPr>
              <w:pStyle w:val="TableTextCentered"/>
              <w:rPr>
                <w:rFonts w:eastAsia="Calibri"/>
                <w:highlight w:val="yellow"/>
              </w:rPr>
            </w:pPr>
            <w:r>
              <w:t>2.8</w:t>
            </w:r>
          </w:p>
        </w:tc>
        <w:tc>
          <w:tcPr>
            <w:tcW w:w="1062" w:type="dxa"/>
            <w:tcBorders>
              <w:top w:val="single" w:sz="4" w:space="0" w:color="auto"/>
            </w:tcBorders>
            <w:shd w:val="clear" w:color="auto" w:fill="auto"/>
            <w:vAlign w:val="center"/>
          </w:tcPr>
          <w:p w14:paraId="629ABEDF" w14:textId="77777777" w:rsidR="006C3DEB" w:rsidRPr="002333C2" w:rsidRDefault="006C3DEB" w:rsidP="005A7549">
            <w:pPr>
              <w:pStyle w:val="TableTextCentered"/>
              <w:rPr>
                <w:rFonts w:eastAsia="Calibri"/>
                <w:highlight w:val="yellow"/>
              </w:rPr>
            </w:pPr>
            <w:r>
              <w:t>1.9</w:t>
            </w:r>
          </w:p>
        </w:tc>
        <w:tc>
          <w:tcPr>
            <w:tcW w:w="1062" w:type="dxa"/>
            <w:tcBorders>
              <w:top w:val="single" w:sz="4" w:space="0" w:color="auto"/>
            </w:tcBorders>
            <w:shd w:val="clear" w:color="auto" w:fill="auto"/>
            <w:vAlign w:val="center"/>
          </w:tcPr>
          <w:p w14:paraId="65996466" w14:textId="77777777" w:rsidR="006C3DEB" w:rsidRPr="002333C2" w:rsidRDefault="006C3DEB" w:rsidP="005A7549">
            <w:pPr>
              <w:pStyle w:val="TableTextCentered"/>
              <w:rPr>
                <w:rFonts w:eastAsia="Calibri"/>
                <w:highlight w:val="yellow"/>
              </w:rPr>
            </w:pPr>
            <w:r>
              <w:t>1.9</w:t>
            </w:r>
          </w:p>
        </w:tc>
        <w:tc>
          <w:tcPr>
            <w:tcW w:w="1062" w:type="dxa"/>
            <w:tcBorders>
              <w:top w:val="single" w:sz="4" w:space="0" w:color="auto"/>
            </w:tcBorders>
            <w:shd w:val="clear" w:color="auto" w:fill="auto"/>
            <w:vAlign w:val="center"/>
          </w:tcPr>
          <w:p w14:paraId="48AD92C4" w14:textId="77777777" w:rsidR="006C3DEB" w:rsidRPr="002333C2" w:rsidRDefault="006C3DEB" w:rsidP="005A7549">
            <w:pPr>
              <w:pStyle w:val="TableTextCentered"/>
              <w:rPr>
                <w:rFonts w:eastAsia="Calibri"/>
                <w:highlight w:val="yellow"/>
              </w:rPr>
            </w:pPr>
            <w:r>
              <w:t>1.9</w:t>
            </w:r>
          </w:p>
        </w:tc>
      </w:tr>
      <w:tr w:rsidR="006C3DEB" w:rsidRPr="00CE4CE9" w14:paraId="1539C433" w14:textId="77777777" w:rsidTr="00017ACD">
        <w:trPr>
          <w:jc w:val="center"/>
        </w:trPr>
        <w:tc>
          <w:tcPr>
            <w:tcW w:w="1980" w:type="dxa"/>
            <w:tcBorders>
              <w:right w:val="single" w:sz="4" w:space="0" w:color="auto"/>
            </w:tcBorders>
            <w:shd w:val="clear" w:color="auto" w:fill="EEEEEE" w:themeFill="background2"/>
          </w:tcPr>
          <w:p w14:paraId="62FAD700" w14:textId="77777777" w:rsidR="006C3DEB" w:rsidRPr="006613C4" w:rsidRDefault="006C3DEB" w:rsidP="005A7549">
            <w:pPr>
              <w:pStyle w:val="TableTextLeft"/>
            </w:pPr>
            <w:r w:rsidRPr="00E670A7">
              <w:rPr>
                <w:rFonts w:eastAsiaTheme="minorHAnsi"/>
                <w:lang w:eastAsia="en-US"/>
              </w:rPr>
              <w:object w:dxaOrig="820" w:dyaOrig="400" w14:anchorId="4899DA5F">
                <v:shape id="_x0000_i1529" type="#_x0000_t75" style="width:40.8pt;height:20.4pt" o:ole="">
                  <v:imagedata r:id="rId1033" o:title=""/>
                </v:shape>
                <o:OLEObject Type="Embed" ProgID="Equation.DSMT4" ShapeID="_x0000_i1529" DrawAspect="Content" ObjectID="_1754919080" r:id="rId1034"/>
              </w:object>
            </w:r>
          </w:p>
        </w:tc>
        <w:tc>
          <w:tcPr>
            <w:tcW w:w="1061" w:type="dxa"/>
            <w:tcBorders>
              <w:left w:val="single" w:sz="4" w:space="0" w:color="auto"/>
            </w:tcBorders>
            <w:shd w:val="clear" w:color="auto" w:fill="auto"/>
            <w:vAlign w:val="center"/>
          </w:tcPr>
          <w:p w14:paraId="4C170180" w14:textId="77777777" w:rsidR="006C3DEB" w:rsidRDefault="006C3DEB" w:rsidP="005A7549">
            <w:pPr>
              <w:pStyle w:val="TableTextCentered"/>
            </w:pPr>
            <w:r>
              <w:t>2.5</w:t>
            </w:r>
          </w:p>
        </w:tc>
        <w:tc>
          <w:tcPr>
            <w:tcW w:w="1062" w:type="dxa"/>
            <w:shd w:val="clear" w:color="auto" w:fill="auto"/>
            <w:vAlign w:val="center"/>
          </w:tcPr>
          <w:p w14:paraId="29A177EC" w14:textId="77777777" w:rsidR="006C3DEB" w:rsidRDefault="006C3DEB" w:rsidP="005A7549">
            <w:pPr>
              <w:pStyle w:val="TableTextCentered"/>
            </w:pPr>
            <w:r>
              <w:t>3.8</w:t>
            </w:r>
          </w:p>
        </w:tc>
        <w:tc>
          <w:tcPr>
            <w:tcW w:w="1062" w:type="dxa"/>
            <w:shd w:val="clear" w:color="auto" w:fill="auto"/>
            <w:vAlign w:val="center"/>
          </w:tcPr>
          <w:p w14:paraId="32826C35" w14:textId="77777777" w:rsidR="006C3DEB" w:rsidRDefault="006C3DEB" w:rsidP="005A7549">
            <w:pPr>
              <w:pStyle w:val="TableTextCentered"/>
            </w:pPr>
            <w:r>
              <w:t>3.4</w:t>
            </w:r>
          </w:p>
        </w:tc>
        <w:tc>
          <w:tcPr>
            <w:tcW w:w="1061" w:type="dxa"/>
            <w:shd w:val="clear" w:color="auto" w:fill="auto"/>
            <w:vAlign w:val="center"/>
          </w:tcPr>
          <w:p w14:paraId="507DEE11" w14:textId="77777777" w:rsidR="006C3DEB" w:rsidRDefault="006C3DEB" w:rsidP="005A7549">
            <w:pPr>
              <w:pStyle w:val="TableTextCentered"/>
            </w:pPr>
            <w:r>
              <w:t>2.8</w:t>
            </w:r>
          </w:p>
        </w:tc>
        <w:tc>
          <w:tcPr>
            <w:tcW w:w="1062" w:type="dxa"/>
            <w:shd w:val="clear" w:color="auto" w:fill="auto"/>
            <w:vAlign w:val="center"/>
          </w:tcPr>
          <w:p w14:paraId="0A22E097" w14:textId="77777777" w:rsidR="006C3DEB" w:rsidRDefault="006C3DEB" w:rsidP="005A7549">
            <w:pPr>
              <w:pStyle w:val="TableTextCentered"/>
            </w:pPr>
            <w:r>
              <w:t>1.9</w:t>
            </w:r>
          </w:p>
        </w:tc>
        <w:tc>
          <w:tcPr>
            <w:tcW w:w="1062" w:type="dxa"/>
            <w:shd w:val="clear" w:color="auto" w:fill="auto"/>
            <w:vAlign w:val="center"/>
          </w:tcPr>
          <w:p w14:paraId="770EAF3C" w14:textId="77777777" w:rsidR="006C3DEB" w:rsidRDefault="006C3DEB" w:rsidP="005A7549">
            <w:pPr>
              <w:pStyle w:val="TableTextCentered"/>
            </w:pPr>
            <w:r>
              <w:t>1.9</w:t>
            </w:r>
          </w:p>
        </w:tc>
        <w:tc>
          <w:tcPr>
            <w:tcW w:w="1062" w:type="dxa"/>
            <w:shd w:val="clear" w:color="auto" w:fill="auto"/>
            <w:vAlign w:val="center"/>
          </w:tcPr>
          <w:p w14:paraId="09657B59" w14:textId="77777777" w:rsidR="006C3DEB" w:rsidRDefault="006C3DEB" w:rsidP="005A7549">
            <w:pPr>
              <w:pStyle w:val="TableTextCentered"/>
            </w:pPr>
            <w:r>
              <w:t>1.9</w:t>
            </w:r>
          </w:p>
        </w:tc>
      </w:tr>
      <w:tr w:rsidR="006C3DEB" w:rsidRPr="00CE4CE9" w14:paraId="3EAEE203" w14:textId="77777777" w:rsidTr="00017ACD">
        <w:trPr>
          <w:jc w:val="center"/>
        </w:trPr>
        <w:tc>
          <w:tcPr>
            <w:tcW w:w="1980" w:type="dxa"/>
            <w:tcBorders>
              <w:bottom w:val="single" w:sz="4" w:space="0" w:color="auto"/>
              <w:right w:val="single" w:sz="4" w:space="0" w:color="auto"/>
            </w:tcBorders>
            <w:shd w:val="clear" w:color="auto" w:fill="EEEEEE" w:themeFill="background2"/>
          </w:tcPr>
          <w:p w14:paraId="64289B36" w14:textId="77777777" w:rsidR="006C3DEB" w:rsidRDefault="006C3DEB" w:rsidP="005A7549">
            <w:pPr>
              <w:pStyle w:val="TableTextLeft"/>
            </w:pPr>
            <w:r w:rsidRPr="00E670A7">
              <w:rPr>
                <w:rFonts w:eastAsiaTheme="minorHAnsi"/>
                <w:lang w:eastAsia="en-US"/>
              </w:rPr>
              <w:object w:dxaOrig="400" w:dyaOrig="400" w14:anchorId="515B53F7">
                <v:shape id="_x0000_i1530" type="#_x0000_t75" style="width:20.4pt;height:20.4pt" o:ole="">
                  <v:imagedata r:id="rId1035" o:title=""/>
                </v:shape>
                <o:OLEObject Type="Embed" ProgID="Equation.DSMT4" ShapeID="_x0000_i1530" DrawAspect="Content" ObjectID="_1754919081" r:id="rId1036"/>
              </w:object>
            </w:r>
          </w:p>
        </w:tc>
        <w:tc>
          <w:tcPr>
            <w:tcW w:w="1061" w:type="dxa"/>
            <w:tcBorders>
              <w:left w:val="single" w:sz="4" w:space="0" w:color="auto"/>
              <w:bottom w:val="single" w:sz="4" w:space="0" w:color="auto"/>
            </w:tcBorders>
            <w:shd w:val="clear" w:color="auto" w:fill="auto"/>
            <w:vAlign w:val="center"/>
          </w:tcPr>
          <w:p w14:paraId="04D759C9" w14:textId="77777777" w:rsidR="006C3DEB" w:rsidRDefault="006C3DEB" w:rsidP="005A7549">
            <w:pPr>
              <w:pStyle w:val="TableTextCentered"/>
            </w:pPr>
            <w:r>
              <w:t>2.2</w:t>
            </w:r>
          </w:p>
        </w:tc>
        <w:tc>
          <w:tcPr>
            <w:tcW w:w="1062" w:type="dxa"/>
            <w:tcBorders>
              <w:bottom w:val="single" w:sz="4" w:space="0" w:color="auto"/>
            </w:tcBorders>
            <w:shd w:val="clear" w:color="auto" w:fill="auto"/>
            <w:vAlign w:val="center"/>
          </w:tcPr>
          <w:p w14:paraId="549C2E76" w14:textId="77777777" w:rsidR="006C3DEB" w:rsidRDefault="006C3DEB" w:rsidP="005A7549">
            <w:pPr>
              <w:pStyle w:val="TableTextCentered"/>
            </w:pPr>
            <w:r>
              <w:t>0.9</w:t>
            </w:r>
          </w:p>
        </w:tc>
        <w:tc>
          <w:tcPr>
            <w:tcW w:w="1062" w:type="dxa"/>
            <w:tcBorders>
              <w:bottom w:val="single" w:sz="4" w:space="0" w:color="auto"/>
            </w:tcBorders>
            <w:shd w:val="clear" w:color="auto" w:fill="auto"/>
            <w:vAlign w:val="center"/>
          </w:tcPr>
          <w:p w14:paraId="06AF58C9" w14:textId="77777777" w:rsidR="006C3DEB" w:rsidRDefault="006C3DEB" w:rsidP="005A7549">
            <w:pPr>
              <w:pStyle w:val="TableTextCentered"/>
            </w:pPr>
            <w:r>
              <w:t>2.0</w:t>
            </w:r>
          </w:p>
        </w:tc>
        <w:tc>
          <w:tcPr>
            <w:tcW w:w="1061" w:type="dxa"/>
            <w:tcBorders>
              <w:bottom w:val="single" w:sz="4" w:space="0" w:color="auto"/>
            </w:tcBorders>
            <w:shd w:val="clear" w:color="auto" w:fill="auto"/>
            <w:vAlign w:val="center"/>
          </w:tcPr>
          <w:p w14:paraId="0FEDCA6C" w14:textId="77777777" w:rsidR="006C3DEB" w:rsidRDefault="006C3DEB" w:rsidP="005A7549">
            <w:pPr>
              <w:pStyle w:val="TableTextCentered"/>
            </w:pPr>
            <w:r>
              <w:t>2.8</w:t>
            </w:r>
          </w:p>
        </w:tc>
        <w:tc>
          <w:tcPr>
            <w:tcW w:w="1062" w:type="dxa"/>
            <w:tcBorders>
              <w:bottom w:val="single" w:sz="4" w:space="0" w:color="auto"/>
            </w:tcBorders>
            <w:shd w:val="clear" w:color="auto" w:fill="auto"/>
            <w:vAlign w:val="center"/>
          </w:tcPr>
          <w:p w14:paraId="307B5BF0" w14:textId="77777777" w:rsidR="006C3DEB" w:rsidRDefault="006C3DEB" w:rsidP="005A7549">
            <w:pPr>
              <w:pStyle w:val="TableTextCentered"/>
            </w:pPr>
            <w:r>
              <w:t>1.9</w:t>
            </w:r>
          </w:p>
        </w:tc>
        <w:tc>
          <w:tcPr>
            <w:tcW w:w="1062" w:type="dxa"/>
            <w:tcBorders>
              <w:bottom w:val="single" w:sz="4" w:space="0" w:color="auto"/>
            </w:tcBorders>
            <w:shd w:val="clear" w:color="auto" w:fill="auto"/>
            <w:vAlign w:val="center"/>
          </w:tcPr>
          <w:p w14:paraId="0782E3B4" w14:textId="77777777" w:rsidR="006C3DEB" w:rsidRDefault="006C3DEB" w:rsidP="005A7549">
            <w:pPr>
              <w:pStyle w:val="TableTextCentered"/>
            </w:pPr>
            <w:r>
              <w:t>1.9</w:t>
            </w:r>
          </w:p>
        </w:tc>
        <w:tc>
          <w:tcPr>
            <w:tcW w:w="1062" w:type="dxa"/>
            <w:tcBorders>
              <w:bottom w:val="single" w:sz="4" w:space="0" w:color="auto"/>
            </w:tcBorders>
            <w:shd w:val="clear" w:color="auto" w:fill="auto"/>
            <w:vAlign w:val="center"/>
          </w:tcPr>
          <w:p w14:paraId="436617E1" w14:textId="77777777" w:rsidR="006C3DEB" w:rsidRDefault="006C3DEB" w:rsidP="005A7549">
            <w:pPr>
              <w:pStyle w:val="TableTextCentered"/>
            </w:pPr>
            <w:r>
              <w:t>1.9</w:t>
            </w:r>
          </w:p>
        </w:tc>
      </w:tr>
    </w:tbl>
    <w:p w14:paraId="56216DAC" w14:textId="77777777" w:rsidR="006C3DEB" w:rsidRPr="00CE4CE9" w:rsidRDefault="006C3DEB" w:rsidP="006C3DEB">
      <w:pPr>
        <w:pStyle w:val="Note"/>
      </w:pPr>
      <w:r w:rsidRPr="00CE4CE9">
        <w:t>Source: Authors’ calculation</w:t>
      </w:r>
      <w:r>
        <w:t>s based on Aguiar et al. (2019).</w:t>
      </w:r>
    </w:p>
    <w:p w14:paraId="5B793E7E" w14:textId="77777777" w:rsidR="006C3DEB" w:rsidRDefault="006C3DEB" w:rsidP="006C3DEB">
      <w:pPr>
        <w:pStyle w:val="Heading3"/>
      </w:pPr>
      <w:r w:rsidRPr="002532C6">
        <w:t>Governme</w:t>
      </w:r>
      <w:r>
        <w:t>nt</w:t>
      </w:r>
    </w:p>
    <w:p w14:paraId="555F4DE6" w14:textId="77777777" w:rsidR="006C3DEB" w:rsidRDefault="006C3DEB" w:rsidP="006C3DEB">
      <w:pPr>
        <w:rPr>
          <w:lang w:val="en-US"/>
        </w:rPr>
      </w:pPr>
      <w:r>
        <w:rPr>
          <w:lang w:val="en-US"/>
        </w:rPr>
        <w:t>The key aim of the calibration of the government sector in OLGA is to match Commonwealth government revenue, expenditure, and net debt levels. However, on the revenue side the model also incorporates state payroll taxes. In addition, a significant portion of Commonwealth revenue is usually provided to state governments (in particular, GST revenue). Therefore, government expenditure in the model can be better thought of as being calibrated to expenditure funded by Commonwealth revenue (and payroll tax) rather than expenditure directly undertaken by the Commonwealth government.</w:t>
      </w:r>
    </w:p>
    <w:p w14:paraId="443C607F" w14:textId="77777777" w:rsidR="006C3DEB" w:rsidRDefault="006C3DEB" w:rsidP="006C3DEB">
      <w:pPr>
        <w:pStyle w:val="Heading4"/>
      </w:pPr>
      <w:r>
        <w:t>Taxation</w:t>
      </w:r>
    </w:p>
    <w:p w14:paraId="5B4ED036" w14:textId="77777777" w:rsidR="006C3DEB" w:rsidRDefault="006C3DEB" w:rsidP="006C3DEB">
      <w:r>
        <w:t>Calibrated tax revenues are generally based on the ABS Taxation Revenue (ABS, 2021b) averaged over the 5-year period to 2015-16.</w:t>
      </w:r>
    </w:p>
    <w:p w14:paraId="79968CEB" w14:textId="77777777" w:rsidR="006C3DEB" w:rsidRPr="004765B5" w:rsidRDefault="006C3DEB" w:rsidP="006C3DEB">
      <w:pPr>
        <w:pStyle w:val="Heading5"/>
        <w:rPr>
          <w:rStyle w:val="IntenseEmphasis"/>
          <w:b/>
          <w:bCs w:val="0"/>
          <w:i w:val="0"/>
          <w:iCs/>
          <w:color w:val="000000" w:themeColor="text1"/>
        </w:rPr>
      </w:pPr>
      <w:r w:rsidRPr="004765B5">
        <w:rPr>
          <w:rStyle w:val="IntenseEmphasis"/>
          <w:b/>
          <w:bCs w:val="0"/>
          <w:i w:val="0"/>
          <w:iCs/>
          <w:color w:val="000000" w:themeColor="text1"/>
        </w:rPr>
        <w:t>Personal (individuals) income tax</w:t>
      </w:r>
    </w:p>
    <w:p w14:paraId="1FA90364" w14:textId="6864744C" w:rsidR="006C3DEB" w:rsidRDefault="006C3DEB" w:rsidP="006C3DEB">
      <w:r w:rsidRPr="007F045B">
        <w:t>All marginal rates, thresholds,</w:t>
      </w:r>
      <w:r>
        <w:t xml:space="preserve"> </w:t>
      </w:r>
      <w:r w:rsidRPr="007F045B">
        <w:t>offsets</w:t>
      </w:r>
      <w:r>
        <w:t>,</w:t>
      </w:r>
      <w:r w:rsidRPr="007F045B">
        <w:t xml:space="preserve"> and the capital gains discount are calibrated to policy for the 2017-18 financial year (see </w:t>
      </w:r>
      <w:r w:rsidR="00E00A52">
        <w:t xml:space="preserve">Table </w:t>
      </w:r>
      <w:r w:rsidR="00E00A52">
        <w:rPr>
          <w:noProof/>
        </w:rPr>
        <w:t>11</w:t>
      </w:r>
      <w:r w:rsidRPr="007F045B">
        <w:t xml:space="preserve"> and Chart 9 for further details).</w:t>
      </w:r>
      <w:r w:rsidRPr="002D6C24">
        <w:t xml:space="preserve"> </w:t>
      </w:r>
    </w:p>
    <w:p w14:paraId="31F3DC16" w14:textId="07BB78E7" w:rsidR="006C3DEB" w:rsidRPr="002D6C24" w:rsidRDefault="006C3DEB" w:rsidP="006C3DEB">
      <w:pPr>
        <w:pStyle w:val="TableMainHeading"/>
      </w:pPr>
      <w:bookmarkStart w:id="33" w:name="_Ref101947306"/>
      <w:r>
        <w:t xml:space="preserve">Table </w:t>
      </w:r>
      <w:r>
        <w:rPr>
          <w:noProof/>
        </w:rPr>
        <w:fldChar w:fldCharType="begin"/>
      </w:r>
      <w:r>
        <w:rPr>
          <w:noProof/>
        </w:rPr>
        <w:instrText xml:space="preserve"> SEQ Table \* ARABIC </w:instrText>
      </w:r>
      <w:r>
        <w:rPr>
          <w:noProof/>
        </w:rPr>
        <w:fldChar w:fldCharType="separate"/>
      </w:r>
      <w:r w:rsidR="00E00A52">
        <w:rPr>
          <w:noProof/>
        </w:rPr>
        <w:t>11</w:t>
      </w:r>
      <w:r>
        <w:rPr>
          <w:noProof/>
        </w:rPr>
        <w:fldChar w:fldCharType="end"/>
      </w:r>
      <w:bookmarkEnd w:id="33"/>
      <w:r w:rsidRPr="002D6C24">
        <w:t>: Personal income tax schedule</w:t>
      </w:r>
    </w:p>
    <w:tbl>
      <w:tblPr>
        <w:tblStyle w:val="TableGrid"/>
        <w:tblW w:w="5000" w:type="pct"/>
        <w:jc w:val="center"/>
        <w:shd w:val="clear" w:color="auto" w:fill="EEEEEE" w:themeFill="background2"/>
        <w:tblLook w:val="04A0" w:firstRow="1" w:lastRow="0" w:firstColumn="1" w:lastColumn="0" w:noHBand="0" w:noVBand="1"/>
      </w:tblPr>
      <w:tblGrid>
        <w:gridCol w:w="810"/>
        <w:gridCol w:w="3239"/>
        <w:gridCol w:w="5021"/>
      </w:tblGrid>
      <w:tr w:rsidR="006C3DEB" w:rsidRPr="002D6C24" w14:paraId="68884B8A" w14:textId="77777777" w:rsidTr="00017ACD">
        <w:trPr>
          <w:jc w:val="center"/>
        </w:trPr>
        <w:tc>
          <w:tcPr>
            <w:tcW w:w="709" w:type="dxa"/>
            <w:tcBorders>
              <w:top w:val="single" w:sz="4" w:space="0" w:color="auto"/>
              <w:bottom w:val="single" w:sz="4" w:space="0" w:color="auto"/>
            </w:tcBorders>
            <w:shd w:val="clear" w:color="auto" w:fill="EEEEEE" w:themeFill="background2"/>
            <w:vAlign w:val="center"/>
          </w:tcPr>
          <w:p w14:paraId="734EF9C7" w14:textId="77777777" w:rsidR="006C3DEB" w:rsidRPr="002D6C24" w:rsidRDefault="006C3DEB" w:rsidP="005A7549">
            <w:pPr>
              <w:pStyle w:val="TableColumnHeadingCentred"/>
            </w:pPr>
          </w:p>
        </w:tc>
        <w:tc>
          <w:tcPr>
            <w:tcW w:w="2835" w:type="dxa"/>
            <w:tcBorders>
              <w:top w:val="single" w:sz="4" w:space="0" w:color="auto"/>
              <w:bottom w:val="single" w:sz="4" w:space="0" w:color="auto"/>
            </w:tcBorders>
            <w:shd w:val="clear" w:color="auto" w:fill="EEEEEE" w:themeFill="background2"/>
            <w:vAlign w:val="center"/>
          </w:tcPr>
          <w:p w14:paraId="37D13391" w14:textId="77777777" w:rsidR="006C3DEB" w:rsidRPr="002D6C24" w:rsidRDefault="006C3DEB" w:rsidP="005A7549">
            <w:pPr>
              <w:pStyle w:val="TableColumnHeadingCentred"/>
            </w:pPr>
            <w:r w:rsidRPr="002D6C24">
              <w:t>Income threshold</w:t>
            </w:r>
          </w:p>
        </w:tc>
        <w:tc>
          <w:tcPr>
            <w:tcW w:w="4394" w:type="dxa"/>
            <w:tcBorders>
              <w:top w:val="single" w:sz="4" w:space="0" w:color="auto"/>
              <w:bottom w:val="single" w:sz="4" w:space="0" w:color="auto"/>
            </w:tcBorders>
            <w:shd w:val="clear" w:color="auto" w:fill="EEEEEE" w:themeFill="background2"/>
            <w:vAlign w:val="center"/>
          </w:tcPr>
          <w:p w14:paraId="6FB40748" w14:textId="77777777" w:rsidR="006C3DEB" w:rsidRPr="002D6C24" w:rsidRDefault="006C3DEB" w:rsidP="005A7549">
            <w:pPr>
              <w:pStyle w:val="TableColumnHeadingCentred"/>
            </w:pPr>
            <w:r w:rsidRPr="002D6C24">
              <w:t>Marginal tax rate</w:t>
            </w:r>
            <w:r>
              <w:t>*</w:t>
            </w:r>
          </w:p>
        </w:tc>
      </w:tr>
      <w:tr w:rsidR="006C3DEB" w:rsidRPr="002D6C24" w14:paraId="672BCD77" w14:textId="77777777" w:rsidTr="00017ACD">
        <w:trPr>
          <w:jc w:val="center"/>
        </w:trPr>
        <w:tc>
          <w:tcPr>
            <w:tcW w:w="709" w:type="dxa"/>
            <w:tcBorders>
              <w:top w:val="single" w:sz="4" w:space="0" w:color="auto"/>
              <w:right w:val="single" w:sz="4" w:space="0" w:color="auto"/>
            </w:tcBorders>
            <w:shd w:val="clear" w:color="auto" w:fill="EEEEEE" w:themeFill="background2"/>
            <w:vAlign w:val="center"/>
          </w:tcPr>
          <w:p w14:paraId="4FC6ED09" w14:textId="77777777" w:rsidR="006C3DEB" w:rsidRPr="00531766" w:rsidRDefault="006C3DEB" w:rsidP="005A7549">
            <w:pPr>
              <w:pStyle w:val="TableColumnHeadingLeft"/>
            </w:pPr>
            <w:r>
              <w:t>J</w:t>
            </w:r>
          </w:p>
        </w:tc>
        <w:tc>
          <w:tcPr>
            <w:tcW w:w="2835" w:type="dxa"/>
            <w:tcBorders>
              <w:top w:val="single" w:sz="4" w:space="0" w:color="auto"/>
              <w:left w:val="single" w:sz="4" w:space="0" w:color="auto"/>
            </w:tcBorders>
            <w:shd w:val="clear" w:color="auto" w:fill="auto"/>
            <w:vAlign w:val="center"/>
          </w:tcPr>
          <w:p w14:paraId="1D804E6F" w14:textId="77777777" w:rsidR="006C3DEB" w:rsidRPr="002D6C24" w:rsidRDefault="006C3DEB" w:rsidP="005A7549">
            <w:pPr>
              <w:pStyle w:val="TableTextCentered"/>
            </w:pPr>
            <w:r w:rsidRPr="00E670A7">
              <w:rPr>
                <w:rFonts w:eastAsiaTheme="minorHAnsi"/>
                <w:lang w:eastAsia="en-US"/>
              </w:rPr>
              <w:object w:dxaOrig="520" w:dyaOrig="480" w14:anchorId="37B10253">
                <v:shape id="_x0000_i1531" type="#_x0000_t75" style="width:25.8pt;height:24pt" o:ole="">
                  <v:imagedata r:id="rId1037" o:title=""/>
                </v:shape>
                <o:OLEObject Type="Embed" ProgID="Equation.DSMT4" ShapeID="_x0000_i1531" DrawAspect="Content" ObjectID="_1754919082" r:id="rId1038"/>
              </w:object>
            </w:r>
          </w:p>
        </w:tc>
        <w:tc>
          <w:tcPr>
            <w:tcW w:w="4394" w:type="dxa"/>
            <w:tcBorders>
              <w:top w:val="single" w:sz="4" w:space="0" w:color="auto"/>
            </w:tcBorders>
            <w:shd w:val="clear" w:color="auto" w:fill="auto"/>
            <w:vAlign w:val="center"/>
          </w:tcPr>
          <w:p w14:paraId="5E4DBBD5" w14:textId="77777777" w:rsidR="006C3DEB" w:rsidRPr="002D6C24" w:rsidRDefault="006C3DEB" w:rsidP="005A7549">
            <w:pPr>
              <w:pStyle w:val="TableTextCentered"/>
            </w:pPr>
            <w:r w:rsidRPr="00E670A7">
              <w:rPr>
                <w:rFonts w:eastAsiaTheme="minorHAnsi"/>
                <w:lang w:eastAsia="en-US"/>
              </w:rPr>
              <w:object w:dxaOrig="380" w:dyaOrig="400" w14:anchorId="1CB2EA98">
                <v:shape id="_x0000_i1532" type="#_x0000_t75" style="width:18pt;height:20.4pt" o:ole="">
                  <v:imagedata r:id="rId1039" o:title=""/>
                </v:shape>
                <o:OLEObject Type="Embed" ProgID="Equation.DSMT4" ShapeID="_x0000_i1532" DrawAspect="Content" ObjectID="_1754919083" r:id="rId1040"/>
              </w:object>
            </w:r>
          </w:p>
        </w:tc>
      </w:tr>
      <w:tr w:rsidR="006C3DEB" w:rsidRPr="002D6C24" w14:paraId="0D407BC6" w14:textId="77777777" w:rsidTr="00017ACD">
        <w:trPr>
          <w:jc w:val="center"/>
        </w:trPr>
        <w:tc>
          <w:tcPr>
            <w:tcW w:w="709" w:type="dxa"/>
            <w:tcBorders>
              <w:right w:val="single" w:sz="4" w:space="0" w:color="auto"/>
            </w:tcBorders>
            <w:shd w:val="clear" w:color="auto" w:fill="EEEEEE" w:themeFill="background2"/>
            <w:vAlign w:val="center"/>
          </w:tcPr>
          <w:p w14:paraId="16764E70" w14:textId="77777777" w:rsidR="006C3DEB" w:rsidRPr="002D6C24" w:rsidRDefault="006C3DEB" w:rsidP="005A7549">
            <w:pPr>
              <w:pStyle w:val="TableColumnHeadingLeft"/>
            </w:pPr>
            <w:r w:rsidRPr="002D6C24">
              <w:t>0</w:t>
            </w:r>
          </w:p>
        </w:tc>
        <w:tc>
          <w:tcPr>
            <w:tcW w:w="2835" w:type="dxa"/>
            <w:tcBorders>
              <w:left w:val="single" w:sz="4" w:space="0" w:color="auto"/>
            </w:tcBorders>
            <w:shd w:val="clear" w:color="auto" w:fill="auto"/>
            <w:vAlign w:val="center"/>
          </w:tcPr>
          <w:p w14:paraId="53ABC9FF" w14:textId="77777777" w:rsidR="006C3DEB" w:rsidRPr="002D6C24" w:rsidRDefault="006C3DEB" w:rsidP="005A7549">
            <w:pPr>
              <w:pStyle w:val="TableTextCentered"/>
            </w:pPr>
            <w:r w:rsidRPr="002D6C24">
              <w:t>0</w:t>
            </w:r>
          </w:p>
        </w:tc>
        <w:tc>
          <w:tcPr>
            <w:tcW w:w="4394" w:type="dxa"/>
            <w:shd w:val="clear" w:color="auto" w:fill="auto"/>
            <w:vAlign w:val="center"/>
          </w:tcPr>
          <w:p w14:paraId="00711508" w14:textId="77777777" w:rsidR="006C3DEB" w:rsidRPr="002D6C24" w:rsidRDefault="006C3DEB" w:rsidP="005A7549">
            <w:pPr>
              <w:pStyle w:val="TableTextCentered"/>
            </w:pPr>
            <w:r w:rsidRPr="002D6C24">
              <w:t>0</w:t>
            </w:r>
          </w:p>
        </w:tc>
      </w:tr>
      <w:tr w:rsidR="006C3DEB" w:rsidRPr="002D6C24" w14:paraId="5192CBAA" w14:textId="77777777" w:rsidTr="00017ACD">
        <w:trPr>
          <w:jc w:val="center"/>
        </w:trPr>
        <w:tc>
          <w:tcPr>
            <w:tcW w:w="709" w:type="dxa"/>
            <w:tcBorders>
              <w:right w:val="single" w:sz="4" w:space="0" w:color="auto"/>
            </w:tcBorders>
            <w:shd w:val="clear" w:color="auto" w:fill="EEEEEE" w:themeFill="background2"/>
            <w:vAlign w:val="center"/>
          </w:tcPr>
          <w:p w14:paraId="7DD90051" w14:textId="77777777" w:rsidR="006C3DEB" w:rsidRPr="002D6C24" w:rsidRDefault="006C3DEB" w:rsidP="005A7549">
            <w:pPr>
              <w:pStyle w:val="TableColumnHeadingLeft"/>
            </w:pPr>
            <w:r w:rsidRPr="002D6C24">
              <w:t>1</w:t>
            </w:r>
          </w:p>
        </w:tc>
        <w:tc>
          <w:tcPr>
            <w:tcW w:w="2835" w:type="dxa"/>
            <w:tcBorders>
              <w:left w:val="single" w:sz="4" w:space="0" w:color="auto"/>
            </w:tcBorders>
            <w:shd w:val="clear" w:color="auto" w:fill="auto"/>
            <w:vAlign w:val="center"/>
          </w:tcPr>
          <w:p w14:paraId="08EE2146" w14:textId="77777777" w:rsidR="006C3DEB" w:rsidRPr="002D6C24" w:rsidRDefault="006C3DEB" w:rsidP="005A7549">
            <w:pPr>
              <w:pStyle w:val="TableTextCentered"/>
            </w:pPr>
            <w:r w:rsidRPr="002D6C24">
              <w:t>$18,200</w:t>
            </w:r>
          </w:p>
        </w:tc>
        <w:tc>
          <w:tcPr>
            <w:tcW w:w="4394" w:type="dxa"/>
            <w:shd w:val="clear" w:color="auto" w:fill="auto"/>
            <w:vAlign w:val="center"/>
          </w:tcPr>
          <w:p w14:paraId="327F1D46" w14:textId="77777777" w:rsidR="006C3DEB" w:rsidRPr="002D6C24" w:rsidRDefault="006C3DEB" w:rsidP="005A7549">
            <w:pPr>
              <w:pStyle w:val="TableTextCentered"/>
            </w:pPr>
            <w:r>
              <w:t>0.2*</w:t>
            </w:r>
          </w:p>
        </w:tc>
      </w:tr>
      <w:tr w:rsidR="006C3DEB" w:rsidRPr="002D6C24" w14:paraId="55D1CF8E" w14:textId="77777777" w:rsidTr="00017ACD">
        <w:trPr>
          <w:jc w:val="center"/>
        </w:trPr>
        <w:tc>
          <w:tcPr>
            <w:tcW w:w="709" w:type="dxa"/>
            <w:tcBorders>
              <w:right w:val="single" w:sz="4" w:space="0" w:color="auto"/>
            </w:tcBorders>
            <w:shd w:val="clear" w:color="auto" w:fill="EEEEEE" w:themeFill="background2"/>
            <w:vAlign w:val="center"/>
          </w:tcPr>
          <w:p w14:paraId="079C0C4E" w14:textId="77777777" w:rsidR="006C3DEB" w:rsidRPr="002D6C24" w:rsidRDefault="006C3DEB" w:rsidP="005A7549">
            <w:pPr>
              <w:pStyle w:val="TableColumnHeadingLeft"/>
            </w:pPr>
            <w:r w:rsidRPr="002D6C24">
              <w:t>2</w:t>
            </w:r>
          </w:p>
        </w:tc>
        <w:tc>
          <w:tcPr>
            <w:tcW w:w="2835" w:type="dxa"/>
            <w:tcBorders>
              <w:left w:val="single" w:sz="4" w:space="0" w:color="auto"/>
            </w:tcBorders>
            <w:shd w:val="clear" w:color="auto" w:fill="auto"/>
            <w:vAlign w:val="center"/>
          </w:tcPr>
          <w:p w14:paraId="0890D41F" w14:textId="77777777" w:rsidR="006C3DEB" w:rsidRPr="002D6C24" w:rsidRDefault="006C3DEB" w:rsidP="005A7549">
            <w:pPr>
              <w:pStyle w:val="TableTextCentered"/>
            </w:pPr>
            <w:r w:rsidRPr="002D6C24">
              <w:t>$37,000</w:t>
            </w:r>
          </w:p>
        </w:tc>
        <w:tc>
          <w:tcPr>
            <w:tcW w:w="4394" w:type="dxa"/>
            <w:shd w:val="clear" w:color="auto" w:fill="auto"/>
            <w:vAlign w:val="center"/>
          </w:tcPr>
          <w:p w14:paraId="37265D30" w14:textId="77777777" w:rsidR="006C3DEB" w:rsidRPr="002D6C24" w:rsidRDefault="006C3DEB" w:rsidP="005A7549">
            <w:pPr>
              <w:pStyle w:val="TableTextCentered"/>
            </w:pPr>
            <w:r w:rsidRPr="002D6C24">
              <w:t>0.345*</w:t>
            </w:r>
          </w:p>
        </w:tc>
      </w:tr>
      <w:tr w:rsidR="006C3DEB" w:rsidRPr="002D6C24" w14:paraId="4FDBED28" w14:textId="77777777" w:rsidTr="00017ACD">
        <w:trPr>
          <w:jc w:val="center"/>
        </w:trPr>
        <w:tc>
          <w:tcPr>
            <w:tcW w:w="709" w:type="dxa"/>
            <w:tcBorders>
              <w:right w:val="single" w:sz="4" w:space="0" w:color="auto"/>
            </w:tcBorders>
            <w:shd w:val="clear" w:color="auto" w:fill="EEEEEE" w:themeFill="background2"/>
            <w:vAlign w:val="center"/>
          </w:tcPr>
          <w:p w14:paraId="6D14619C" w14:textId="77777777" w:rsidR="006C3DEB" w:rsidRPr="002D6C24" w:rsidRDefault="006C3DEB" w:rsidP="005A7549">
            <w:pPr>
              <w:pStyle w:val="TableColumnHeadingLeft"/>
            </w:pPr>
            <w:r w:rsidRPr="002D6C24">
              <w:t>3</w:t>
            </w:r>
          </w:p>
        </w:tc>
        <w:tc>
          <w:tcPr>
            <w:tcW w:w="2835" w:type="dxa"/>
            <w:tcBorders>
              <w:left w:val="single" w:sz="4" w:space="0" w:color="auto"/>
            </w:tcBorders>
            <w:shd w:val="clear" w:color="auto" w:fill="auto"/>
            <w:vAlign w:val="center"/>
          </w:tcPr>
          <w:p w14:paraId="41F19482" w14:textId="77777777" w:rsidR="006C3DEB" w:rsidRPr="002D6C24" w:rsidRDefault="006C3DEB" w:rsidP="005A7549">
            <w:pPr>
              <w:pStyle w:val="TableTextCentered"/>
            </w:pPr>
            <w:r w:rsidRPr="002D6C24">
              <w:t>$87,000</w:t>
            </w:r>
          </w:p>
        </w:tc>
        <w:tc>
          <w:tcPr>
            <w:tcW w:w="4394" w:type="dxa"/>
            <w:shd w:val="clear" w:color="auto" w:fill="auto"/>
            <w:vAlign w:val="center"/>
          </w:tcPr>
          <w:p w14:paraId="6BDB1C5C" w14:textId="77777777" w:rsidR="006C3DEB" w:rsidRPr="002D6C24" w:rsidRDefault="006C3DEB" w:rsidP="005A7549">
            <w:pPr>
              <w:pStyle w:val="TableTextCentered"/>
            </w:pPr>
            <w:r w:rsidRPr="002D6C24">
              <w:t>0.39</w:t>
            </w:r>
            <w:r>
              <w:t>*</w:t>
            </w:r>
          </w:p>
        </w:tc>
      </w:tr>
      <w:tr w:rsidR="006C3DEB" w:rsidRPr="002D6C24" w14:paraId="7054C607" w14:textId="77777777" w:rsidTr="00017ACD">
        <w:trPr>
          <w:jc w:val="center"/>
        </w:trPr>
        <w:tc>
          <w:tcPr>
            <w:tcW w:w="709" w:type="dxa"/>
            <w:tcBorders>
              <w:bottom w:val="single" w:sz="4" w:space="0" w:color="auto"/>
              <w:right w:val="single" w:sz="4" w:space="0" w:color="auto"/>
            </w:tcBorders>
            <w:shd w:val="clear" w:color="auto" w:fill="EEEEEE" w:themeFill="background2"/>
            <w:vAlign w:val="center"/>
          </w:tcPr>
          <w:p w14:paraId="4325FB90" w14:textId="77777777" w:rsidR="006C3DEB" w:rsidRPr="002D6C24" w:rsidRDefault="006C3DEB" w:rsidP="005A7549">
            <w:pPr>
              <w:pStyle w:val="TableColumnHeadingLeft"/>
            </w:pPr>
            <w:r w:rsidRPr="002D6C24">
              <w:t>4</w:t>
            </w:r>
          </w:p>
        </w:tc>
        <w:tc>
          <w:tcPr>
            <w:tcW w:w="2835" w:type="dxa"/>
            <w:tcBorders>
              <w:left w:val="single" w:sz="4" w:space="0" w:color="auto"/>
              <w:bottom w:val="single" w:sz="4" w:space="0" w:color="auto"/>
            </w:tcBorders>
            <w:shd w:val="clear" w:color="auto" w:fill="auto"/>
            <w:vAlign w:val="center"/>
          </w:tcPr>
          <w:p w14:paraId="23308999" w14:textId="77777777" w:rsidR="006C3DEB" w:rsidRPr="002D6C24" w:rsidRDefault="006C3DEB" w:rsidP="005A7549">
            <w:pPr>
              <w:pStyle w:val="TableTextCentered"/>
            </w:pPr>
            <w:r w:rsidRPr="002D6C24">
              <w:t>$180,000</w:t>
            </w:r>
          </w:p>
        </w:tc>
        <w:tc>
          <w:tcPr>
            <w:tcW w:w="4394" w:type="dxa"/>
            <w:tcBorders>
              <w:bottom w:val="single" w:sz="4" w:space="0" w:color="auto"/>
            </w:tcBorders>
            <w:shd w:val="clear" w:color="auto" w:fill="auto"/>
            <w:vAlign w:val="center"/>
          </w:tcPr>
          <w:p w14:paraId="181B7499" w14:textId="77777777" w:rsidR="006C3DEB" w:rsidRPr="002D6C24" w:rsidRDefault="006C3DEB" w:rsidP="005A7549">
            <w:pPr>
              <w:pStyle w:val="TableTextCentered"/>
            </w:pPr>
            <w:r w:rsidRPr="002D6C24">
              <w:t>0.47</w:t>
            </w:r>
            <w:r>
              <w:t>*</w:t>
            </w:r>
          </w:p>
        </w:tc>
      </w:tr>
    </w:tbl>
    <w:p w14:paraId="7F3E0070" w14:textId="77777777" w:rsidR="006C3DEB" w:rsidRPr="0032767F" w:rsidRDefault="006C3DEB" w:rsidP="006C3DEB">
      <w:pPr>
        <w:pStyle w:val="Note"/>
      </w:pPr>
      <w:r w:rsidRPr="0032767F">
        <w:t>* Includes the 2 per cent Medicare Levy</w:t>
      </w:r>
      <w:r>
        <w:t>, except for the first marginal rate which includes half the levy.</w:t>
      </w:r>
    </w:p>
    <w:p w14:paraId="10D9494D" w14:textId="77777777" w:rsidR="00EC3303" w:rsidRDefault="00EC3303" w:rsidP="00124036">
      <w:pPr>
        <w:spacing w:before="0" w:after="200" w:line="276" w:lineRule="auto"/>
      </w:pPr>
    </w:p>
    <w:p w14:paraId="0C08BF7A" w14:textId="77777777" w:rsidR="006C3DEB" w:rsidRDefault="006C3DEB" w:rsidP="00124036">
      <w:pPr>
        <w:spacing w:before="0" w:after="200" w:line="276" w:lineRule="auto"/>
      </w:pPr>
      <w:r>
        <w:t xml:space="preserve">The capital gains discount for domestic equity </w:t>
      </w:r>
      <w:r w:rsidRPr="00E670A7">
        <w:rPr>
          <w:position w:val="-12"/>
        </w:rPr>
        <w:object w:dxaOrig="420" w:dyaOrig="380" w14:anchorId="16DE84CA">
          <v:shape id="_x0000_i1533" type="#_x0000_t75" style="width:19.8pt;height:18pt" o:ole="">
            <v:imagedata r:id="rId1041" o:title=""/>
          </v:shape>
          <o:OLEObject Type="Embed" ProgID="Equation.DSMT4" ShapeID="_x0000_i1533" DrawAspect="Content" ObjectID="_1754919084" r:id="rId1042"/>
        </w:object>
      </w:r>
      <w:r>
        <w:t>is set to 0.5, consistent with current tax legislation.</w:t>
      </w:r>
    </w:p>
    <w:p w14:paraId="46A67281" w14:textId="1819ED8E" w:rsidR="006C3DEB" w:rsidRDefault="006C3DEB" w:rsidP="006C3DEB">
      <w:r>
        <w:t xml:space="preserve">The model baseline calibration includes two personal income tax offsets: the Low-Income Tax Offset (LITO); and the Seniors and Pensioners Tax Offset (SAPTO). </w:t>
      </w:r>
      <w:r w:rsidR="00E00A52">
        <w:t xml:space="preserve">Table </w:t>
      </w:r>
      <w:r w:rsidR="00E00A52">
        <w:rPr>
          <w:noProof/>
        </w:rPr>
        <w:t>12</w:t>
      </w:r>
      <w:r>
        <w:t xml:space="preserve"> presents the parameters for each </w:t>
      </w:r>
      <w:r>
        <w:lastRenderedPageBreak/>
        <w:t>of the offsets. Consistent with the legislation, the SAPTO is exhausted before the LITO is applied. While this does not matter for the final tax liability, it matters for determining the actual effective marginal tax rate that an individual household faces. Because the model’s steady state</w:t>
      </w:r>
      <w:r w:rsidRPr="00432D5A">
        <w:t xml:space="preserve"> </w:t>
      </w:r>
      <w:r>
        <w:t>tax policy settings are</w:t>
      </w:r>
      <w:r w:rsidRPr="00432D5A">
        <w:t xml:space="preserve"> calibrated to the 2017-18 financial year, we do not include more recent policies such as the low- and middle-income tax offset (LMITO)</w:t>
      </w:r>
      <w:r>
        <w:t xml:space="preserve"> in the baseline calibration</w:t>
      </w:r>
      <w:r w:rsidRPr="00432D5A">
        <w:t>.</w:t>
      </w:r>
    </w:p>
    <w:p w14:paraId="7A8387C4" w14:textId="17C4F508" w:rsidR="006C3DEB" w:rsidRDefault="006C3DEB" w:rsidP="006C3DEB">
      <w:pPr>
        <w:pStyle w:val="TableMainHeading"/>
      </w:pPr>
      <w:bookmarkStart w:id="34" w:name="_Ref101947335"/>
      <w:r>
        <w:t xml:space="preserve">Table </w:t>
      </w:r>
      <w:r>
        <w:rPr>
          <w:noProof/>
        </w:rPr>
        <w:fldChar w:fldCharType="begin"/>
      </w:r>
      <w:r>
        <w:rPr>
          <w:noProof/>
        </w:rPr>
        <w:instrText xml:space="preserve"> SEQ Table \* ARABIC </w:instrText>
      </w:r>
      <w:r>
        <w:rPr>
          <w:noProof/>
        </w:rPr>
        <w:fldChar w:fldCharType="separate"/>
      </w:r>
      <w:r w:rsidR="00E00A52">
        <w:rPr>
          <w:noProof/>
        </w:rPr>
        <w:t>12</w:t>
      </w:r>
      <w:r>
        <w:rPr>
          <w:noProof/>
        </w:rPr>
        <w:fldChar w:fldCharType="end"/>
      </w:r>
      <w:bookmarkEnd w:id="34"/>
      <w:r>
        <w:t>: Personal income tax offsets</w:t>
      </w:r>
    </w:p>
    <w:tbl>
      <w:tblPr>
        <w:tblStyle w:val="TableGrid"/>
        <w:tblW w:w="5000" w:type="pct"/>
        <w:jc w:val="center"/>
        <w:shd w:val="clear" w:color="auto" w:fill="EEEEEE" w:themeFill="background2"/>
        <w:tblLook w:val="04A0" w:firstRow="1" w:lastRow="0" w:firstColumn="1" w:lastColumn="0" w:noHBand="0" w:noVBand="1"/>
      </w:tblPr>
      <w:tblGrid>
        <w:gridCol w:w="1185"/>
        <w:gridCol w:w="2059"/>
        <w:gridCol w:w="1942"/>
        <w:gridCol w:w="1942"/>
        <w:gridCol w:w="1942"/>
      </w:tblGrid>
      <w:tr w:rsidR="006C3DEB" w14:paraId="2BF46ECA" w14:textId="77777777" w:rsidTr="00017ACD">
        <w:trPr>
          <w:jc w:val="center"/>
        </w:trPr>
        <w:tc>
          <w:tcPr>
            <w:tcW w:w="1117" w:type="dxa"/>
            <w:tcBorders>
              <w:top w:val="single" w:sz="4" w:space="0" w:color="auto"/>
              <w:bottom w:val="single" w:sz="4" w:space="0" w:color="auto"/>
            </w:tcBorders>
            <w:shd w:val="clear" w:color="auto" w:fill="EEEEEE" w:themeFill="background2"/>
            <w:vAlign w:val="center"/>
          </w:tcPr>
          <w:p w14:paraId="22FC604B" w14:textId="77777777" w:rsidR="006C3DEB" w:rsidRDefault="006C3DEB" w:rsidP="005A7549">
            <w:pPr>
              <w:pStyle w:val="TableColumnHeadingLeft"/>
            </w:pPr>
            <w:r>
              <w:t>Offset</w:t>
            </w:r>
          </w:p>
        </w:tc>
        <w:tc>
          <w:tcPr>
            <w:tcW w:w="1942" w:type="dxa"/>
            <w:tcBorders>
              <w:top w:val="single" w:sz="4" w:space="0" w:color="auto"/>
              <w:bottom w:val="single" w:sz="4" w:space="0" w:color="auto"/>
            </w:tcBorders>
            <w:shd w:val="clear" w:color="auto" w:fill="EEEEEE" w:themeFill="background2"/>
            <w:vAlign w:val="center"/>
          </w:tcPr>
          <w:p w14:paraId="4706DAE9" w14:textId="77777777" w:rsidR="006C3DEB" w:rsidRPr="0057331E" w:rsidRDefault="006C3DEB" w:rsidP="005A7549">
            <w:pPr>
              <w:pStyle w:val="TableColumnHeadingCentred"/>
            </w:pPr>
            <w:r w:rsidRPr="0057331E">
              <w:t>Maximum offset</w:t>
            </w:r>
          </w:p>
        </w:tc>
        <w:tc>
          <w:tcPr>
            <w:tcW w:w="1832" w:type="dxa"/>
            <w:tcBorders>
              <w:top w:val="single" w:sz="4" w:space="0" w:color="auto"/>
              <w:bottom w:val="single" w:sz="4" w:space="0" w:color="auto"/>
            </w:tcBorders>
            <w:shd w:val="clear" w:color="auto" w:fill="EEEEEE" w:themeFill="background2"/>
            <w:vAlign w:val="center"/>
          </w:tcPr>
          <w:p w14:paraId="6D09094A" w14:textId="77777777" w:rsidR="006C3DEB" w:rsidRPr="0057331E" w:rsidRDefault="006C3DEB" w:rsidP="005A7549">
            <w:pPr>
              <w:pStyle w:val="TableColumnHeadingCentred"/>
            </w:pPr>
            <w:r w:rsidRPr="0057331E">
              <w:t>Taper rate</w:t>
            </w:r>
          </w:p>
        </w:tc>
        <w:tc>
          <w:tcPr>
            <w:tcW w:w="1832" w:type="dxa"/>
            <w:tcBorders>
              <w:top w:val="single" w:sz="4" w:space="0" w:color="auto"/>
              <w:bottom w:val="single" w:sz="4" w:space="0" w:color="auto"/>
            </w:tcBorders>
            <w:shd w:val="clear" w:color="auto" w:fill="EEEEEE" w:themeFill="background2"/>
            <w:vAlign w:val="center"/>
          </w:tcPr>
          <w:p w14:paraId="0EB64443" w14:textId="77777777" w:rsidR="006C3DEB" w:rsidRPr="0057331E" w:rsidRDefault="006C3DEB" w:rsidP="005A7549">
            <w:pPr>
              <w:pStyle w:val="TableColumnHeadingCentred"/>
            </w:pPr>
            <w:r w:rsidRPr="0057331E">
              <w:t>Lower income threshold</w:t>
            </w:r>
          </w:p>
        </w:tc>
        <w:tc>
          <w:tcPr>
            <w:tcW w:w="1832" w:type="dxa"/>
            <w:tcBorders>
              <w:top w:val="single" w:sz="4" w:space="0" w:color="auto"/>
              <w:bottom w:val="single" w:sz="4" w:space="0" w:color="auto"/>
            </w:tcBorders>
            <w:shd w:val="clear" w:color="auto" w:fill="EEEEEE" w:themeFill="background2"/>
            <w:vAlign w:val="center"/>
          </w:tcPr>
          <w:p w14:paraId="016572DE" w14:textId="77777777" w:rsidR="006C3DEB" w:rsidRPr="0057331E" w:rsidRDefault="006C3DEB" w:rsidP="005A7549">
            <w:pPr>
              <w:pStyle w:val="TableColumnHeadingCentred"/>
            </w:pPr>
            <w:r w:rsidRPr="0057331E">
              <w:t>Upper income threshold</w:t>
            </w:r>
          </w:p>
        </w:tc>
      </w:tr>
      <w:tr w:rsidR="006C3DEB" w14:paraId="79887283" w14:textId="77777777" w:rsidTr="00017ACD">
        <w:trPr>
          <w:jc w:val="center"/>
        </w:trPr>
        <w:tc>
          <w:tcPr>
            <w:tcW w:w="1117" w:type="dxa"/>
            <w:tcBorders>
              <w:top w:val="single" w:sz="4" w:space="0" w:color="auto"/>
              <w:right w:val="single" w:sz="4" w:space="0" w:color="auto"/>
            </w:tcBorders>
            <w:shd w:val="clear" w:color="auto" w:fill="EEEEEE" w:themeFill="background2"/>
            <w:vAlign w:val="center"/>
          </w:tcPr>
          <w:p w14:paraId="5B4B0171" w14:textId="77777777" w:rsidR="006C3DEB" w:rsidRDefault="006C3DEB" w:rsidP="005A7549">
            <w:pPr>
              <w:pStyle w:val="TableTextLeft"/>
            </w:pPr>
          </w:p>
        </w:tc>
        <w:tc>
          <w:tcPr>
            <w:tcW w:w="1942" w:type="dxa"/>
            <w:tcBorders>
              <w:top w:val="single" w:sz="4" w:space="0" w:color="auto"/>
              <w:left w:val="single" w:sz="4" w:space="0" w:color="auto"/>
            </w:tcBorders>
            <w:shd w:val="clear" w:color="auto" w:fill="auto"/>
            <w:vAlign w:val="center"/>
          </w:tcPr>
          <w:p w14:paraId="67832B05" w14:textId="77777777" w:rsidR="006C3DEB" w:rsidRDefault="006C3DEB" w:rsidP="005A7549">
            <w:pPr>
              <w:pStyle w:val="TableTextCentered"/>
            </w:pPr>
            <w:r w:rsidRPr="00E670A7">
              <w:rPr>
                <w:rFonts w:eastAsiaTheme="minorHAnsi" w:cstheme="minorBidi"/>
                <w:position w:val="-14"/>
                <w:sz w:val="22"/>
                <w:szCs w:val="22"/>
                <w:lang w:eastAsia="en-US"/>
              </w:rPr>
              <w:object w:dxaOrig="1160" w:dyaOrig="380" w14:anchorId="7198FC5E">
                <v:shape id="_x0000_i1534" type="#_x0000_t75" style="width:57pt;height:18pt" o:ole="">
                  <v:imagedata r:id="rId1043" o:title=""/>
                </v:shape>
                <o:OLEObject Type="Embed" ProgID="Equation.DSMT4" ShapeID="_x0000_i1534" DrawAspect="Content" ObjectID="_1754919085" r:id="rId1044"/>
              </w:object>
            </w:r>
          </w:p>
        </w:tc>
        <w:tc>
          <w:tcPr>
            <w:tcW w:w="1832" w:type="dxa"/>
            <w:tcBorders>
              <w:top w:val="single" w:sz="4" w:space="0" w:color="auto"/>
            </w:tcBorders>
            <w:shd w:val="clear" w:color="auto" w:fill="auto"/>
            <w:vAlign w:val="center"/>
          </w:tcPr>
          <w:p w14:paraId="2E16549B" w14:textId="77777777" w:rsidR="006C3DEB" w:rsidRDefault="006C3DEB" w:rsidP="005A7549">
            <w:pPr>
              <w:pStyle w:val="TableTextCentered"/>
            </w:pPr>
            <w:r w:rsidRPr="00E670A7">
              <w:rPr>
                <w:rFonts w:eastAsiaTheme="minorHAnsi" w:cstheme="minorBidi"/>
                <w:position w:val="-14"/>
                <w:sz w:val="22"/>
                <w:szCs w:val="22"/>
                <w:lang w:eastAsia="en-US"/>
              </w:rPr>
              <w:object w:dxaOrig="420" w:dyaOrig="400" w14:anchorId="15168AD4">
                <v:shape id="_x0000_i1535" type="#_x0000_t75" style="width:19.8pt;height:20.4pt" o:ole="">
                  <v:imagedata r:id="rId1045" o:title=""/>
                </v:shape>
                <o:OLEObject Type="Embed" ProgID="Equation.DSMT4" ShapeID="_x0000_i1535" DrawAspect="Content" ObjectID="_1754919086" r:id="rId1046"/>
              </w:object>
            </w:r>
          </w:p>
        </w:tc>
        <w:tc>
          <w:tcPr>
            <w:tcW w:w="1832" w:type="dxa"/>
            <w:tcBorders>
              <w:top w:val="single" w:sz="4" w:space="0" w:color="auto"/>
            </w:tcBorders>
            <w:shd w:val="clear" w:color="auto" w:fill="auto"/>
            <w:vAlign w:val="center"/>
          </w:tcPr>
          <w:p w14:paraId="29B88677" w14:textId="77777777" w:rsidR="006C3DEB" w:rsidRDefault="006C3DEB" w:rsidP="005A7549">
            <w:pPr>
              <w:pStyle w:val="TableTextCentered"/>
            </w:pPr>
            <w:r w:rsidRPr="00E670A7">
              <w:rPr>
                <w:rFonts w:eastAsiaTheme="minorHAnsi" w:cstheme="minorBidi"/>
                <w:position w:val="-14"/>
                <w:sz w:val="22"/>
                <w:szCs w:val="22"/>
                <w:lang w:eastAsia="en-US"/>
              </w:rPr>
              <w:object w:dxaOrig="620" w:dyaOrig="480" w14:anchorId="1CD8910E">
                <v:shape id="_x0000_i1536" type="#_x0000_t75" style="width:31.2pt;height:24pt" o:ole="">
                  <v:imagedata r:id="rId1047" o:title=""/>
                </v:shape>
                <o:OLEObject Type="Embed" ProgID="Equation.DSMT4" ShapeID="_x0000_i1536" DrawAspect="Content" ObjectID="_1754919087" r:id="rId1048"/>
              </w:object>
            </w:r>
          </w:p>
        </w:tc>
        <w:tc>
          <w:tcPr>
            <w:tcW w:w="1832" w:type="dxa"/>
            <w:tcBorders>
              <w:top w:val="single" w:sz="4" w:space="0" w:color="auto"/>
            </w:tcBorders>
            <w:shd w:val="clear" w:color="auto" w:fill="auto"/>
            <w:vAlign w:val="center"/>
          </w:tcPr>
          <w:p w14:paraId="270B5A00" w14:textId="77777777" w:rsidR="006C3DEB" w:rsidRDefault="006C3DEB" w:rsidP="005A7549">
            <w:pPr>
              <w:pStyle w:val="TableTextCentered"/>
            </w:pPr>
            <w:r w:rsidRPr="00E670A7">
              <w:rPr>
                <w:rFonts w:eastAsiaTheme="minorHAnsi" w:cstheme="minorBidi"/>
                <w:position w:val="-14"/>
                <w:sz w:val="22"/>
                <w:szCs w:val="22"/>
                <w:lang w:eastAsia="en-US"/>
              </w:rPr>
              <w:object w:dxaOrig="639" w:dyaOrig="480" w14:anchorId="3B4175BE">
                <v:shape id="_x0000_i1537" type="#_x0000_t75" style="width:31.8pt;height:24pt" o:ole="">
                  <v:imagedata r:id="rId1049" o:title=""/>
                </v:shape>
                <o:OLEObject Type="Embed" ProgID="Equation.DSMT4" ShapeID="_x0000_i1537" DrawAspect="Content" ObjectID="_1754919088" r:id="rId1050"/>
              </w:object>
            </w:r>
          </w:p>
        </w:tc>
      </w:tr>
      <w:tr w:rsidR="006C3DEB" w14:paraId="2AE8EBAA" w14:textId="77777777" w:rsidTr="00017ACD">
        <w:trPr>
          <w:jc w:val="center"/>
        </w:trPr>
        <w:tc>
          <w:tcPr>
            <w:tcW w:w="1117" w:type="dxa"/>
            <w:tcBorders>
              <w:right w:val="single" w:sz="4" w:space="0" w:color="auto"/>
            </w:tcBorders>
            <w:shd w:val="clear" w:color="auto" w:fill="EEEEEE" w:themeFill="background2"/>
            <w:vAlign w:val="center"/>
          </w:tcPr>
          <w:p w14:paraId="029DF47E" w14:textId="77777777" w:rsidR="006C3DEB" w:rsidRDefault="006C3DEB" w:rsidP="005A7549">
            <w:pPr>
              <w:pStyle w:val="TableTextLeft"/>
            </w:pPr>
            <w:r>
              <w:t>SAPTO</w:t>
            </w:r>
          </w:p>
        </w:tc>
        <w:tc>
          <w:tcPr>
            <w:tcW w:w="1942" w:type="dxa"/>
            <w:tcBorders>
              <w:left w:val="single" w:sz="4" w:space="0" w:color="auto"/>
            </w:tcBorders>
            <w:shd w:val="clear" w:color="auto" w:fill="auto"/>
            <w:vAlign w:val="center"/>
          </w:tcPr>
          <w:p w14:paraId="00B944A4" w14:textId="77777777" w:rsidR="006C3DEB" w:rsidRDefault="006C3DEB" w:rsidP="005A7549">
            <w:pPr>
              <w:pStyle w:val="TableTextCentered"/>
            </w:pPr>
            <w:r>
              <w:t>$2230</w:t>
            </w:r>
          </w:p>
        </w:tc>
        <w:tc>
          <w:tcPr>
            <w:tcW w:w="1832" w:type="dxa"/>
            <w:shd w:val="clear" w:color="auto" w:fill="auto"/>
            <w:vAlign w:val="center"/>
          </w:tcPr>
          <w:p w14:paraId="5E8B0A44" w14:textId="77777777" w:rsidR="006C3DEB" w:rsidRDefault="006C3DEB" w:rsidP="005A7549">
            <w:pPr>
              <w:pStyle w:val="TableTextCentered"/>
            </w:pPr>
            <w:r>
              <w:t>0.125</w:t>
            </w:r>
          </w:p>
        </w:tc>
        <w:tc>
          <w:tcPr>
            <w:tcW w:w="1832" w:type="dxa"/>
            <w:shd w:val="clear" w:color="auto" w:fill="auto"/>
            <w:vAlign w:val="center"/>
          </w:tcPr>
          <w:p w14:paraId="1715B681" w14:textId="77777777" w:rsidR="006C3DEB" w:rsidRDefault="006C3DEB" w:rsidP="005A7549">
            <w:pPr>
              <w:pStyle w:val="TableTextCentered"/>
            </w:pPr>
            <w:r>
              <w:t>$32,279</w:t>
            </w:r>
          </w:p>
        </w:tc>
        <w:tc>
          <w:tcPr>
            <w:tcW w:w="1832" w:type="dxa"/>
            <w:shd w:val="clear" w:color="auto" w:fill="auto"/>
            <w:vAlign w:val="center"/>
          </w:tcPr>
          <w:p w14:paraId="37073780" w14:textId="77777777" w:rsidR="006C3DEB" w:rsidRDefault="006C3DEB" w:rsidP="005A7549">
            <w:pPr>
              <w:pStyle w:val="TableTextCentered"/>
            </w:pPr>
            <w:r w:rsidRPr="00812B03">
              <w:t>$50,119</w:t>
            </w:r>
          </w:p>
        </w:tc>
      </w:tr>
      <w:tr w:rsidR="006C3DEB" w14:paraId="51E3BAE1" w14:textId="77777777" w:rsidTr="00017ACD">
        <w:trPr>
          <w:jc w:val="center"/>
        </w:trPr>
        <w:tc>
          <w:tcPr>
            <w:tcW w:w="1117" w:type="dxa"/>
            <w:tcBorders>
              <w:bottom w:val="single" w:sz="4" w:space="0" w:color="auto"/>
              <w:right w:val="single" w:sz="4" w:space="0" w:color="auto"/>
            </w:tcBorders>
            <w:shd w:val="clear" w:color="auto" w:fill="EEEEEE" w:themeFill="background2"/>
            <w:vAlign w:val="center"/>
          </w:tcPr>
          <w:p w14:paraId="44A59B25" w14:textId="77777777" w:rsidR="006C3DEB" w:rsidRDefault="006C3DEB" w:rsidP="005A7549">
            <w:pPr>
              <w:pStyle w:val="TableTextLeft"/>
            </w:pPr>
            <w:r>
              <w:t>LITO</w:t>
            </w:r>
          </w:p>
        </w:tc>
        <w:tc>
          <w:tcPr>
            <w:tcW w:w="1942" w:type="dxa"/>
            <w:tcBorders>
              <w:left w:val="single" w:sz="4" w:space="0" w:color="auto"/>
              <w:bottom w:val="single" w:sz="4" w:space="0" w:color="auto"/>
            </w:tcBorders>
            <w:shd w:val="clear" w:color="auto" w:fill="auto"/>
            <w:vAlign w:val="center"/>
          </w:tcPr>
          <w:p w14:paraId="203DB1BC" w14:textId="77777777" w:rsidR="006C3DEB" w:rsidRDefault="006C3DEB" w:rsidP="005A7549">
            <w:pPr>
              <w:pStyle w:val="TableTextCentered"/>
            </w:pPr>
            <w:r>
              <w:t>$445</w:t>
            </w:r>
          </w:p>
        </w:tc>
        <w:tc>
          <w:tcPr>
            <w:tcW w:w="1832" w:type="dxa"/>
            <w:tcBorders>
              <w:bottom w:val="single" w:sz="4" w:space="0" w:color="auto"/>
            </w:tcBorders>
            <w:shd w:val="clear" w:color="auto" w:fill="auto"/>
            <w:vAlign w:val="center"/>
          </w:tcPr>
          <w:p w14:paraId="79D84439" w14:textId="77777777" w:rsidR="006C3DEB" w:rsidRDefault="006C3DEB" w:rsidP="005A7549">
            <w:pPr>
              <w:pStyle w:val="TableTextCentered"/>
            </w:pPr>
            <w:r>
              <w:t>0.015</w:t>
            </w:r>
          </w:p>
        </w:tc>
        <w:tc>
          <w:tcPr>
            <w:tcW w:w="1832" w:type="dxa"/>
            <w:tcBorders>
              <w:bottom w:val="single" w:sz="4" w:space="0" w:color="auto"/>
            </w:tcBorders>
            <w:shd w:val="clear" w:color="auto" w:fill="auto"/>
            <w:vAlign w:val="center"/>
          </w:tcPr>
          <w:p w14:paraId="78BE311F" w14:textId="77777777" w:rsidR="006C3DEB" w:rsidRDefault="006C3DEB" w:rsidP="005A7549">
            <w:pPr>
              <w:pStyle w:val="TableTextCentered"/>
            </w:pPr>
            <w:r>
              <w:t>$37,000</w:t>
            </w:r>
          </w:p>
        </w:tc>
        <w:tc>
          <w:tcPr>
            <w:tcW w:w="1832" w:type="dxa"/>
            <w:tcBorders>
              <w:bottom w:val="single" w:sz="4" w:space="0" w:color="auto"/>
            </w:tcBorders>
            <w:shd w:val="clear" w:color="auto" w:fill="auto"/>
            <w:vAlign w:val="center"/>
          </w:tcPr>
          <w:p w14:paraId="336F5A30" w14:textId="77777777" w:rsidR="006C3DEB" w:rsidRDefault="006C3DEB" w:rsidP="005A7549">
            <w:pPr>
              <w:pStyle w:val="TableTextCentered"/>
            </w:pPr>
            <w:r>
              <w:t>$66,667</w:t>
            </w:r>
          </w:p>
        </w:tc>
      </w:tr>
    </w:tbl>
    <w:p w14:paraId="2885229B" w14:textId="77777777" w:rsidR="006C3DEB" w:rsidRDefault="006C3DEB" w:rsidP="006C3DEB">
      <w:pPr>
        <w:rPr>
          <w:sz w:val="20"/>
        </w:rPr>
      </w:pPr>
    </w:p>
    <w:p w14:paraId="168D581F" w14:textId="77777777" w:rsidR="006C3DEB" w:rsidRPr="0097275C" w:rsidRDefault="006C3DEB" w:rsidP="006C3DEB">
      <w:r w:rsidRPr="0097275C">
        <w:t>The tax schedules resulting from the combination of the personal income tax schedule and the personal income tax offsets are shown in Chart 9.</w:t>
      </w:r>
    </w:p>
    <w:p w14:paraId="477A5F80" w14:textId="77777777" w:rsidR="006C3DEB" w:rsidRPr="00A91F80" w:rsidRDefault="006C3DEB" w:rsidP="006C3DEB">
      <w:pPr>
        <w:rPr>
          <w:sz w:val="20"/>
        </w:rPr>
      </w:pPr>
      <w:r>
        <w:t>We calibrate the ratio of income tax deductions/exemptions</w:t>
      </w:r>
      <w:r w:rsidRPr="00E670A7">
        <w:rPr>
          <w:position w:val="-12"/>
        </w:rPr>
        <w:object w:dxaOrig="480" w:dyaOrig="380" w14:anchorId="594EC194">
          <v:shape id="_x0000_i1538" type="#_x0000_t75" style="width:24pt;height:18pt" o:ole="">
            <v:imagedata r:id="rId1051" o:title=""/>
          </v:shape>
          <o:OLEObject Type="Embed" ProgID="Equation.DSMT4" ShapeID="_x0000_i1538" DrawAspect="Content" ObjectID="_1754919089" r:id="rId1052"/>
        </w:object>
      </w:r>
      <w:r>
        <w:t xml:space="preserve">for each household type to match the lifecycle profile of tax liabilities (see Chart 10). </w:t>
      </w:r>
      <w:r w:rsidRPr="002C7004">
        <w:t>The deductions/exemption ratio is 0.50 for the lowest skill type, 0.1 for the lower middle and middle skill types; and 0.12 for the upper middle and upper skill types.</w:t>
      </w:r>
    </w:p>
    <w:p w14:paraId="3CAE7ADB" w14:textId="2AAB3CAA" w:rsidR="006C3DEB" w:rsidRPr="00B34AB0" w:rsidRDefault="006C3DEB" w:rsidP="006C3DEB">
      <w:pPr>
        <w:pStyle w:val="ChartMainHeading"/>
        <w:rPr>
          <w:rStyle w:val="Caption1Char"/>
          <w:rFonts w:asciiTheme="minorHAnsi" w:eastAsiaTheme="minorHAnsi" w:hAnsiTheme="minorHAnsi" w:cstheme="minorHAnsi"/>
          <w:bCs/>
          <w:color w:val="4D7861" w:themeColor="accent2"/>
          <w:sz w:val="26"/>
          <w:szCs w:val="26"/>
        </w:rPr>
      </w:pPr>
      <w:r w:rsidRPr="00B34AB0">
        <w:rPr>
          <w:rStyle w:val="Caption1Char"/>
          <w:rFonts w:asciiTheme="minorHAnsi" w:eastAsiaTheme="minorHAnsi" w:hAnsiTheme="minorHAnsi" w:cstheme="minorHAnsi"/>
          <w:bCs/>
          <w:color w:val="4D7861" w:themeColor="accent2"/>
          <w:sz w:val="26"/>
          <w:szCs w:val="26"/>
        </w:rPr>
        <w:t xml:space="preserve">Chart </w:t>
      </w:r>
      <w:r w:rsidRPr="00B34AB0">
        <w:rPr>
          <w:rStyle w:val="Caption1Char"/>
          <w:rFonts w:asciiTheme="minorHAnsi" w:eastAsiaTheme="minorHAnsi" w:hAnsiTheme="minorHAnsi" w:cstheme="minorHAnsi"/>
          <w:bCs/>
          <w:color w:val="4D7861" w:themeColor="accent2"/>
          <w:sz w:val="26"/>
          <w:szCs w:val="26"/>
        </w:rPr>
        <w:fldChar w:fldCharType="begin"/>
      </w:r>
      <w:r w:rsidRPr="00B34AB0">
        <w:rPr>
          <w:rStyle w:val="Caption1Char"/>
          <w:rFonts w:asciiTheme="minorHAnsi" w:eastAsiaTheme="minorHAnsi" w:hAnsiTheme="minorHAnsi" w:cstheme="minorHAnsi"/>
          <w:bCs/>
          <w:color w:val="4D7861" w:themeColor="accent2"/>
          <w:sz w:val="26"/>
          <w:szCs w:val="26"/>
        </w:rPr>
        <w:instrText xml:space="preserve"> SEQ Chart \* ARABIC </w:instrText>
      </w:r>
      <w:r w:rsidRPr="00B34AB0">
        <w:rPr>
          <w:rStyle w:val="Caption1Char"/>
          <w:rFonts w:asciiTheme="minorHAnsi" w:eastAsiaTheme="minorHAnsi" w:hAnsiTheme="minorHAnsi" w:cstheme="minorHAnsi"/>
          <w:bCs/>
          <w:color w:val="4D7861" w:themeColor="accent2"/>
          <w:sz w:val="26"/>
          <w:szCs w:val="26"/>
        </w:rPr>
        <w:fldChar w:fldCharType="separate"/>
      </w:r>
      <w:r w:rsidR="00E00A52">
        <w:rPr>
          <w:rStyle w:val="Caption1Char"/>
          <w:rFonts w:asciiTheme="minorHAnsi" w:eastAsiaTheme="minorHAnsi" w:hAnsiTheme="minorHAnsi" w:cstheme="minorHAnsi"/>
          <w:bCs/>
          <w:noProof/>
          <w:color w:val="4D7861" w:themeColor="accent2"/>
          <w:sz w:val="26"/>
          <w:szCs w:val="26"/>
        </w:rPr>
        <w:t>9</w:t>
      </w:r>
      <w:r w:rsidRPr="00B34AB0">
        <w:rPr>
          <w:rStyle w:val="Caption1Char"/>
          <w:rFonts w:asciiTheme="minorHAnsi" w:eastAsiaTheme="minorHAnsi" w:hAnsiTheme="minorHAnsi" w:cstheme="minorHAnsi"/>
          <w:bCs/>
          <w:color w:val="4D7861" w:themeColor="accent2"/>
          <w:sz w:val="26"/>
          <w:szCs w:val="26"/>
        </w:rPr>
        <w:fldChar w:fldCharType="end"/>
      </w:r>
      <w:r w:rsidRPr="00B34AB0">
        <w:rPr>
          <w:rStyle w:val="Caption1Char"/>
          <w:rFonts w:asciiTheme="minorHAnsi" w:eastAsiaTheme="minorHAnsi" w:hAnsiTheme="minorHAnsi" w:cstheme="minorHAnsi"/>
          <w:bCs/>
          <w:color w:val="4D7861" w:themeColor="accent2"/>
          <w:sz w:val="26"/>
          <w:szCs w:val="26"/>
        </w:rPr>
        <w:t>: Personal income tax rates</w:t>
      </w:r>
    </w:p>
    <w:p w14:paraId="0CABF6BC" w14:textId="77777777" w:rsidR="006C3DEB" w:rsidRPr="00425FC6" w:rsidRDefault="006C3DEB" w:rsidP="006C3DEB">
      <w:pPr>
        <w:pStyle w:val="Caption1"/>
      </w:pPr>
      <w:r>
        <w:rPr>
          <w:noProof/>
        </w:rPr>
        <w:drawing>
          <wp:inline distT="0" distB="0" distL="0" distR="0" wp14:anchorId="4BE557E3" wp14:editId="38697F73">
            <wp:extent cx="5330825" cy="2962275"/>
            <wp:effectExtent l="0" t="0" r="3175" b="9525"/>
            <wp:docPr id="5" name="Picture 5" descr="This chart shows the marginal and the average income tax rates with respect to income of households. The chart on the left indicates the increasing of the marginal tax rates as incomes increase which in turn indicates the progressivity of the income tax system. Similarly, the chart on the right shows that the average tax rate increases with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chart shows the marginal and the average income tax rates with respect to income of households. The chart on the left indicates the increasing of the marginal tax rates as incomes increase which in turn indicates the progressivity of the income tax system. Similarly, the chart on the right shows that the average tax rate increases with income."/>
                    <pic:cNvPicPr/>
                  </pic:nvPicPr>
                  <pic:blipFill>
                    <a:blip r:embed="rId1053" cstate="print">
                      <a:extLst>
                        <a:ext uri="{28A0092B-C50C-407E-A947-70E740481C1C}">
                          <a14:useLocalDpi xmlns:a14="http://schemas.microsoft.com/office/drawing/2010/main" val="0"/>
                        </a:ext>
                      </a:extLst>
                    </a:blip>
                    <a:stretch>
                      <a:fillRect/>
                    </a:stretch>
                  </pic:blipFill>
                  <pic:spPr>
                    <a:xfrm>
                      <a:off x="0" y="0"/>
                      <a:ext cx="5334990" cy="2964589"/>
                    </a:xfrm>
                    <a:prstGeom prst="rect">
                      <a:avLst/>
                    </a:prstGeom>
                  </pic:spPr>
                </pic:pic>
              </a:graphicData>
            </a:graphic>
          </wp:inline>
        </w:drawing>
      </w:r>
    </w:p>
    <w:p w14:paraId="3C252F3D" w14:textId="77777777" w:rsidR="006C3DEB" w:rsidRPr="0032767F" w:rsidRDefault="006C3DEB" w:rsidP="006C3DEB">
      <w:pPr>
        <w:pStyle w:val="Note"/>
      </w:pPr>
      <w:r w:rsidRPr="0032767F">
        <w:t xml:space="preserve">Note: </w:t>
      </w:r>
      <w:r>
        <w:t>The ‘With SAPTO and LITO’ tax schedule applies to those meeting the age pension eligibility age criteria, and the ‘With LITO’ schedule applies to everybody else.</w:t>
      </w:r>
    </w:p>
    <w:p w14:paraId="7991FFB0" w14:textId="77777777" w:rsidR="006C3DEB" w:rsidRDefault="006C3DEB" w:rsidP="006C3DEB">
      <w:pPr>
        <w:rPr>
          <w:rStyle w:val="Caption1Char"/>
          <w:rFonts w:asciiTheme="minorHAnsi" w:eastAsiaTheme="minorHAnsi" w:hAnsiTheme="minorHAnsi" w:cstheme="minorHAnsi"/>
          <w:bCs/>
          <w:color w:val="4D7861" w:themeColor="accent2"/>
          <w:sz w:val="26"/>
          <w:szCs w:val="26"/>
        </w:rPr>
      </w:pPr>
      <w:r>
        <w:rPr>
          <w:rStyle w:val="Caption1Char"/>
          <w:rFonts w:asciiTheme="minorHAnsi" w:eastAsiaTheme="minorHAnsi" w:hAnsiTheme="minorHAnsi" w:cstheme="minorHAnsi"/>
          <w:bCs/>
          <w:color w:val="4D7861" w:themeColor="accent2"/>
          <w:sz w:val="26"/>
          <w:szCs w:val="26"/>
        </w:rPr>
        <w:br w:type="page"/>
      </w:r>
    </w:p>
    <w:p w14:paraId="710AFC8B" w14:textId="5B511D88" w:rsidR="006C3DEB" w:rsidRPr="00B34AB0" w:rsidRDefault="006C3DEB" w:rsidP="006C3DEB">
      <w:pPr>
        <w:pStyle w:val="ChartMainHeading"/>
        <w:rPr>
          <w:rStyle w:val="Caption1Char"/>
          <w:rFonts w:asciiTheme="minorHAnsi" w:eastAsiaTheme="minorHAnsi" w:hAnsiTheme="minorHAnsi" w:cstheme="minorHAnsi"/>
          <w:bCs/>
          <w:color w:val="4D7861" w:themeColor="accent2"/>
          <w:sz w:val="26"/>
          <w:szCs w:val="26"/>
        </w:rPr>
      </w:pPr>
      <w:r w:rsidRPr="00B34AB0">
        <w:rPr>
          <w:rStyle w:val="Caption1Char"/>
          <w:rFonts w:asciiTheme="minorHAnsi" w:eastAsiaTheme="minorHAnsi" w:hAnsiTheme="minorHAnsi" w:cstheme="minorHAnsi"/>
          <w:bCs/>
          <w:color w:val="4D7861" w:themeColor="accent2"/>
          <w:sz w:val="26"/>
          <w:szCs w:val="26"/>
        </w:rPr>
        <w:lastRenderedPageBreak/>
        <w:t xml:space="preserve">Chart </w:t>
      </w:r>
      <w:r w:rsidRPr="00B34AB0">
        <w:rPr>
          <w:rStyle w:val="Caption1Char"/>
          <w:rFonts w:asciiTheme="minorHAnsi" w:eastAsiaTheme="minorHAnsi" w:hAnsiTheme="minorHAnsi" w:cstheme="minorHAnsi"/>
          <w:bCs/>
          <w:color w:val="4D7861" w:themeColor="accent2"/>
          <w:sz w:val="26"/>
          <w:szCs w:val="26"/>
        </w:rPr>
        <w:fldChar w:fldCharType="begin"/>
      </w:r>
      <w:r w:rsidRPr="00B34AB0">
        <w:rPr>
          <w:rStyle w:val="Caption1Char"/>
          <w:rFonts w:asciiTheme="minorHAnsi" w:eastAsiaTheme="minorHAnsi" w:hAnsiTheme="minorHAnsi" w:cstheme="minorHAnsi"/>
          <w:bCs/>
          <w:color w:val="4D7861" w:themeColor="accent2"/>
          <w:sz w:val="26"/>
          <w:szCs w:val="26"/>
        </w:rPr>
        <w:instrText xml:space="preserve"> SEQ Chart \* ARABIC </w:instrText>
      </w:r>
      <w:r w:rsidRPr="00B34AB0">
        <w:rPr>
          <w:rStyle w:val="Caption1Char"/>
          <w:rFonts w:asciiTheme="minorHAnsi" w:eastAsiaTheme="minorHAnsi" w:hAnsiTheme="minorHAnsi" w:cstheme="minorHAnsi"/>
          <w:bCs/>
          <w:color w:val="4D7861" w:themeColor="accent2"/>
          <w:sz w:val="26"/>
          <w:szCs w:val="26"/>
        </w:rPr>
        <w:fldChar w:fldCharType="separate"/>
      </w:r>
      <w:r w:rsidR="00E00A52">
        <w:rPr>
          <w:rStyle w:val="Caption1Char"/>
          <w:rFonts w:asciiTheme="minorHAnsi" w:eastAsiaTheme="minorHAnsi" w:hAnsiTheme="minorHAnsi" w:cstheme="minorHAnsi"/>
          <w:bCs/>
          <w:noProof/>
          <w:color w:val="4D7861" w:themeColor="accent2"/>
          <w:sz w:val="26"/>
          <w:szCs w:val="26"/>
        </w:rPr>
        <w:t>10</w:t>
      </w:r>
      <w:r w:rsidRPr="00B34AB0">
        <w:rPr>
          <w:rStyle w:val="Caption1Char"/>
          <w:rFonts w:asciiTheme="minorHAnsi" w:eastAsiaTheme="minorHAnsi" w:hAnsiTheme="minorHAnsi" w:cstheme="minorHAnsi"/>
          <w:bCs/>
          <w:color w:val="4D7861" w:themeColor="accent2"/>
          <w:sz w:val="26"/>
          <w:szCs w:val="26"/>
        </w:rPr>
        <w:fldChar w:fldCharType="end"/>
      </w:r>
      <w:r w:rsidRPr="00B34AB0">
        <w:rPr>
          <w:rStyle w:val="Caption1Char"/>
          <w:rFonts w:asciiTheme="minorHAnsi" w:eastAsiaTheme="minorHAnsi" w:hAnsiTheme="minorHAnsi" w:cstheme="minorHAnsi"/>
          <w:bCs/>
          <w:color w:val="4D7861" w:themeColor="accent2"/>
          <w:sz w:val="26"/>
          <w:szCs w:val="26"/>
        </w:rPr>
        <w:t>: Personal income tax liabilities by age and skill</w:t>
      </w:r>
    </w:p>
    <w:p w14:paraId="4D875934" w14:textId="30A2D3FF" w:rsidR="006C3DEB" w:rsidRDefault="006C3DEB" w:rsidP="006C3DEB">
      <w:pPr>
        <w:jc w:val="center"/>
      </w:pPr>
      <w:r w:rsidRPr="003E7D27">
        <w:t xml:space="preserve"> </w:t>
      </w:r>
      <w:r w:rsidRPr="00FE73E8">
        <w:t xml:space="preserve"> </w:t>
      </w:r>
      <w:r w:rsidR="009F5BBF" w:rsidRPr="009F5BBF">
        <w:rPr>
          <w:noProof/>
        </w:rPr>
        <w:drawing>
          <wp:inline distT="0" distB="0" distL="0" distR="0" wp14:anchorId="5736C814" wp14:editId="7ECB6647">
            <wp:extent cx="5581015" cy="3232150"/>
            <wp:effectExtent l="0" t="0" r="635" b="6350"/>
            <wp:docPr id="20" name="Picture 20" descr="This chart shows the distribution of household income tax liabilities by age and skill in the data and also that implied by the model. The amount of income tax is closely linked to gross income of households, and therefore shows a similar pattern over the lifetime. The chart shows that households' income tax liabilities vary significantly with age and skill, indicating the progressivity of income tax system and the difference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chart shows the distribution of household income tax liabilities by age and skill in the data and also that implied by the model. The amount of income tax is closely linked to gross income of households, and therefore shows a similar pattern over the lifetime. The chart shows that households' income tax liabilities vary significantly with age and skill, indicating the progressivity of income tax system and the differences in "/>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5581015" cy="3232150"/>
                    </a:xfrm>
                    <a:prstGeom prst="rect">
                      <a:avLst/>
                    </a:prstGeom>
                    <a:noFill/>
                    <a:ln>
                      <a:noFill/>
                    </a:ln>
                  </pic:spPr>
                </pic:pic>
              </a:graphicData>
            </a:graphic>
          </wp:inline>
        </w:drawing>
      </w:r>
    </w:p>
    <w:p w14:paraId="5C7611B5" w14:textId="7FA45DAC" w:rsidR="006C3DEB" w:rsidRDefault="006C3DEB" w:rsidP="006C3DEB">
      <w:pPr>
        <w:pStyle w:val="Note"/>
      </w:pPr>
      <w:r w:rsidRPr="0087710C">
        <w:t xml:space="preserve">Source: </w:t>
      </w:r>
      <w:r>
        <w:t>a</w:t>
      </w:r>
      <w:r w:rsidRPr="0087710C">
        <w:t>uthors’ calculation</w:t>
      </w:r>
      <w:r>
        <w:t>s</w:t>
      </w:r>
      <w:r w:rsidRPr="0087710C">
        <w:t xml:space="preserve"> </w:t>
      </w:r>
      <w:r>
        <w:t>based on</w:t>
      </w:r>
      <w:r w:rsidRPr="0087710C">
        <w:t xml:space="preserve"> data from </w:t>
      </w:r>
      <w:r w:rsidRPr="00622C68">
        <w:t>SIH (ABS, 2017)</w:t>
      </w:r>
      <w:r>
        <w:t xml:space="preserve"> and </w:t>
      </w:r>
      <w:r w:rsidRPr="00622C68">
        <w:t>ABS Life Tables (2019a).</w:t>
      </w:r>
      <w:r w:rsidRPr="0087710C">
        <w:t xml:space="preserve"> Note: Broken</w:t>
      </w:r>
      <w:r>
        <w:t xml:space="preserve"> </w:t>
      </w:r>
      <w:r w:rsidR="004640A7" w:rsidRPr="004640A7">
        <w:t>lines are medians</w:t>
      </w:r>
      <w:r>
        <w:t xml:space="preserve"> of</w:t>
      </w:r>
      <w:r w:rsidRPr="000C5322">
        <w:t xml:space="preserve"> cross-sectional data </w:t>
      </w:r>
      <w:r>
        <w:t xml:space="preserve">relative to the population-weighted mean </w:t>
      </w:r>
      <w:r w:rsidR="004640A7" w:rsidRPr="004640A7">
        <w:t>from</w:t>
      </w:r>
      <w:r>
        <w:t xml:space="preserve"> the SIH (using the </w:t>
      </w:r>
      <w:r w:rsidR="004640A7" w:rsidRPr="004640A7">
        <w:t xml:space="preserve">model </w:t>
      </w:r>
      <w:r>
        <w:t>age distribution)</w:t>
      </w:r>
      <w:r w:rsidRPr="000C5322">
        <w:t xml:space="preserve">, and solid </w:t>
      </w:r>
      <w:r w:rsidR="004640A7" w:rsidRPr="004640A7">
        <w:t xml:space="preserve">lines are the </w:t>
      </w:r>
      <w:r w:rsidRPr="000C5322">
        <w:t>calibrated profiles</w:t>
      </w:r>
      <w:r>
        <w:t xml:space="preserve"> relative to the population-weighted mean</w:t>
      </w:r>
      <w:r w:rsidRPr="000C5322">
        <w:t>.</w:t>
      </w:r>
    </w:p>
    <w:p w14:paraId="38922339" w14:textId="77777777" w:rsidR="006C3DEB" w:rsidRDefault="006C3DEB" w:rsidP="006C3DEB">
      <w:r w:rsidRPr="0057331E">
        <w:t xml:space="preserve">Given the calibration, </w:t>
      </w:r>
      <w:r>
        <w:t xml:space="preserve">the </w:t>
      </w:r>
      <w:r w:rsidRPr="0057331E">
        <w:t xml:space="preserve">average </w:t>
      </w:r>
      <w:r>
        <w:t>effective personal</w:t>
      </w:r>
      <w:r w:rsidRPr="0057331E">
        <w:t xml:space="preserve"> income tax rate</w:t>
      </w:r>
      <w:r w:rsidRPr="00E670A7">
        <w:rPr>
          <w:position w:val="-12"/>
        </w:rPr>
        <w:object w:dxaOrig="380" w:dyaOrig="380" w14:anchorId="3D653683">
          <v:shape id="_x0000_i1539" type="#_x0000_t75" style="width:18pt;height:18pt" o:ole="">
            <v:imagedata r:id="rId1055" o:title=""/>
          </v:shape>
          <o:OLEObject Type="Embed" ProgID="Equation.DSMT4" ShapeID="_x0000_i1539" DrawAspect="Content" ObjectID="_1754919090" r:id="rId1056"/>
        </w:object>
      </w:r>
      <w:r w:rsidRPr="0057331E">
        <w:t xml:space="preserve">is </w:t>
      </w:r>
      <w:r w:rsidRPr="001A714B">
        <w:t>19.9</w:t>
      </w:r>
      <w:r w:rsidRPr="0057331E">
        <w:t xml:space="preserve"> per cent and personal income tax revenue is </w:t>
      </w:r>
      <w:r>
        <w:t>around 13</w:t>
      </w:r>
      <w:r w:rsidRPr="0057331E">
        <w:t xml:space="preserve"> per cent of GDP. This is </w:t>
      </w:r>
      <w:r>
        <w:t xml:space="preserve">broadly </w:t>
      </w:r>
      <w:r w:rsidRPr="0057331E">
        <w:t xml:space="preserve">consistent with tax revenue from individual </w:t>
      </w:r>
      <w:r w:rsidRPr="00F45857">
        <w:t xml:space="preserve">income tax, superannuation fund income tax and fringe benefit tax revenue </w:t>
      </w:r>
      <w:r>
        <w:t xml:space="preserve">reported </w:t>
      </w:r>
      <w:r w:rsidRPr="00F45857">
        <w:t>in the ABS Taxation Revenue statistics (ABS 2021b)</w:t>
      </w:r>
      <w:r>
        <w:t>.</w:t>
      </w:r>
      <w:r w:rsidRPr="00F45857">
        <w:rPr>
          <w:rStyle w:val="FootnoteReference"/>
        </w:rPr>
        <w:footnoteReference w:id="8"/>
      </w:r>
    </w:p>
    <w:p w14:paraId="595E0CB6" w14:textId="77777777" w:rsidR="006C3DEB" w:rsidRPr="00EA1E94" w:rsidRDefault="006C3DEB" w:rsidP="006C3DEB">
      <w:pPr>
        <w:pStyle w:val="Heading5"/>
        <w:rPr>
          <w:rStyle w:val="IntenseEmphasis"/>
          <w:b/>
          <w:bCs w:val="0"/>
          <w:i w:val="0"/>
          <w:iCs/>
          <w:color w:val="000000" w:themeColor="text1"/>
        </w:rPr>
      </w:pPr>
      <w:r w:rsidRPr="00EA1E94">
        <w:rPr>
          <w:rStyle w:val="IntenseEmphasis"/>
          <w:b/>
          <w:bCs w:val="0"/>
          <w:i w:val="0"/>
          <w:iCs/>
          <w:color w:val="000000" w:themeColor="text1"/>
        </w:rPr>
        <w:t>Corporate tax</w:t>
      </w:r>
    </w:p>
    <w:p w14:paraId="081A7524" w14:textId="77777777" w:rsidR="006C3DEB" w:rsidRDefault="006C3DEB" w:rsidP="006C3DEB">
      <w:r>
        <w:t>Version 1.0 of OLGA matches a statutory corporate income tax rate</w:t>
      </w:r>
      <w:r w:rsidRPr="00AF7A55">
        <w:t xml:space="preserve"> </w:t>
      </w:r>
      <w:r w:rsidRPr="00E670A7">
        <w:rPr>
          <w:position w:val="-12"/>
        </w:rPr>
        <w:object w:dxaOrig="340" w:dyaOrig="380" w14:anchorId="6EE92112">
          <v:shape id="_x0000_i1540" type="#_x0000_t75" style="width:18pt;height:18pt" o:ole="">
            <v:imagedata r:id="rId1057" o:title=""/>
          </v:shape>
          <o:OLEObject Type="Embed" ProgID="Equation.DSMT4" ShapeID="_x0000_i1540" DrawAspect="Content" ObjectID="_1754919091" r:id="rId1058"/>
        </w:object>
      </w:r>
      <w:r>
        <w:t>of 30%. B</w:t>
      </w:r>
      <w:r w:rsidRPr="00997119">
        <w:t xml:space="preserve">ecause </w:t>
      </w:r>
      <w:r>
        <w:t xml:space="preserve">there is a single </w:t>
      </w:r>
      <w:r w:rsidRPr="00997119">
        <w:t>representative firm</w:t>
      </w:r>
      <w:r>
        <w:t xml:space="preserve"> in each</w:t>
      </w:r>
      <w:r w:rsidRPr="00997119">
        <w:t xml:space="preserve"> sector</w:t>
      </w:r>
      <w:r>
        <w:t>, we cannot explicitly model the legislated lower tax rates for small and medium-sized businesses.</w:t>
      </w:r>
    </w:p>
    <w:p w14:paraId="7A0CA371" w14:textId="77777777" w:rsidR="006C3DEB" w:rsidRDefault="006C3DEB" w:rsidP="006C3DEB">
      <w:r w:rsidRPr="002C7004">
        <w:t>Under current legislation, interest on corporate debt is fully deductible for CIT purposes. While the model allows for an investment allowance, it is generally not applicable under current legislation so</w:t>
      </w:r>
      <w:r w:rsidRPr="0097275C">
        <w:t xml:space="preserve"> </w:t>
      </w:r>
      <w:r w:rsidRPr="00E670A7">
        <w:rPr>
          <w:position w:val="-14"/>
        </w:rPr>
        <w:object w:dxaOrig="760" w:dyaOrig="400" w14:anchorId="00A69572">
          <v:shape id="_x0000_i1541" type="#_x0000_t75" style="width:39pt;height:20.4pt" o:ole="">
            <v:imagedata r:id="rId1059" o:title=""/>
          </v:shape>
          <o:OLEObject Type="Embed" ProgID="Equation.DSMT4" ShapeID="_x0000_i1541" DrawAspect="Content" ObjectID="_1754919092" r:id="rId1060"/>
        </w:object>
      </w:r>
      <w:r w:rsidRPr="002C7004">
        <w:t>for all sectors.</w:t>
      </w:r>
    </w:p>
    <w:p w14:paraId="51E71D30" w14:textId="77777777" w:rsidR="006C3DEB" w:rsidRDefault="006C3DEB" w:rsidP="006C3DEB">
      <w:r>
        <w:t xml:space="preserve">Conditional on the above assumptions, we jointly calibrate: the share of the modelled production sector taxbase that is taxable under the corporate income tax system </w:t>
      </w:r>
      <w:r w:rsidRPr="00E670A7">
        <w:rPr>
          <w:position w:val="-14"/>
        </w:rPr>
        <w:object w:dxaOrig="380" w:dyaOrig="400" w14:anchorId="11BFEB18">
          <v:shape id="_x0000_i1542" type="#_x0000_t75" style="width:18pt;height:20.4pt" o:ole="">
            <v:imagedata r:id="rId1061" o:title=""/>
          </v:shape>
          <o:OLEObject Type="Embed" ProgID="Equation.DSMT4" ShapeID="_x0000_i1542" DrawAspect="Content" ObjectID="_1754919093" r:id="rId1062"/>
        </w:object>
      </w:r>
      <w:r>
        <w:t>, debt to asset ratios</w:t>
      </w:r>
      <w:r w:rsidRPr="00E670A7">
        <w:rPr>
          <w:position w:val="-14"/>
        </w:rPr>
        <w:object w:dxaOrig="420" w:dyaOrig="400" w14:anchorId="0AAA9F6F">
          <v:shape id="_x0000_i1543" type="#_x0000_t75" style="width:19.8pt;height:20.4pt" o:ole="">
            <v:imagedata r:id="rId1063" o:title=""/>
          </v:shape>
          <o:OLEObject Type="Embed" ProgID="Equation.DSMT4" ShapeID="_x0000_i1543" DrawAspect="Content" ObjectID="_1754919094" r:id="rId1064"/>
        </w:object>
      </w:r>
      <w:r>
        <w:t>; and the p</w:t>
      </w:r>
      <w:r w:rsidRPr="007B6BEC">
        <w:t xml:space="preserve">roportion of depreciation that </w:t>
      </w:r>
      <w:r>
        <w:t>can</w:t>
      </w:r>
      <w:r w:rsidRPr="007B6BEC">
        <w:t xml:space="preserve"> be deducted</w:t>
      </w:r>
      <w:r>
        <w:t xml:space="preserve"> for corporate income tax purposes</w:t>
      </w:r>
      <w:r w:rsidRPr="00E670A7">
        <w:rPr>
          <w:position w:val="-14"/>
        </w:rPr>
        <w:object w:dxaOrig="380" w:dyaOrig="400" w14:anchorId="4EB32EA4">
          <v:shape id="_x0000_i1544" type="#_x0000_t75" style="width:18pt;height:20.4pt" o:ole="">
            <v:imagedata r:id="rId1065" o:title=""/>
          </v:shape>
          <o:OLEObject Type="Embed" ProgID="Equation.DSMT4" ShapeID="_x0000_i1544" DrawAspect="Content" ObjectID="_1754919095" r:id="rId1066"/>
        </w:object>
      </w:r>
      <w:r>
        <w:t>, to match each sector’s (based on ATO, 2018b) corporate tax revenue</w:t>
      </w:r>
      <w:r w:rsidRPr="00247580">
        <w:t xml:space="preserve"> </w:t>
      </w:r>
      <w:r>
        <w:t xml:space="preserve">as a share of GDP, debt interest </w:t>
      </w:r>
      <w:r>
        <w:lastRenderedPageBreak/>
        <w:t>deductions as a share of GDP, and depreciation deductions as a share of GDP using the following iterative approach.</w:t>
      </w:r>
    </w:p>
    <w:p w14:paraId="2A578D16" w14:textId="77777777" w:rsidR="006C3DEB" w:rsidRDefault="006C3DEB" w:rsidP="006C3DEB">
      <w:pPr>
        <w:pStyle w:val="Alphanumbered"/>
        <w:numPr>
          <w:ilvl w:val="0"/>
          <w:numId w:val="38"/>
        </w:numPr>
        <w:tabs>
          <w:tab w:val="clear" w:pos="357"/>
        </w:tabs>
        <w:ind w:left="360" w:hanging="360"/>
      </w:pPr>
      <w:r>
        <w:t>Calculate an initial estimate of the incorporated share in each sector based on data on incorporated and unincorporated capital stocks and capital rental prices reported in the ABS Estimates of Industry Multifactor Productivity publication (ABS, 2021d).</w:t>
      </w:r>
    </w:p>
    <w:p w14:paraId="7BCC45E0" w14:textId="77777777" w:rsidR="006C3DEB" w:rsidRDefault="006C3DEB" w:rsidP="006C3DEB">
      <w:pPr>
        <w:pStyle w:val="Alphanumbered"/>
        <w:tabs>
          <w:tab w:val="clear" w:pos="357"/>
        </w:tabs>
        <w:ind w:left="360" w:hanging="360"/>
      </w:pPr>
      <w:r>
        <w:t>Calibrate the debt-to-asset ratio required to match interest expenses reported in company tax return data.</w:t>
      </w:r>
    </w:p>
    <w:p w14:paraId="66A1AE1D" w14:textId="77777777" w:rsidR="006C3DEB" w:rsidRDefault="006C3DEB" w:rsidP="006C3DEB">
      <w:pPr>
        <w:pStyle w:val="Alphanumbered"/>
        <w:tabs>
          <w:tab w:val="clear" w:pos="357"/>
        </w:tabs>
        <w:ind w:left="360" w:hanging="360"/>
      </w:pPr>
      <w:r>
        <w:t>Calibrate the proportion of depreciation deducted for tax purposes to match those reported in the company tax return data. In practice, firms can only claim depreciation at the historical cost of an asset and because of inflation the full value of depreciation can therefore not be deducted. We estimate that inflation reduces the net present value of depreciation deductions by around 15 per cent, so we limit the proportion of depreciation that can deducted to a maximum value of 0.85.</w:t>
      </w:r>
    </w:p>
    <w:p w14:paraId="63A18598" w14:textId="77777777" w:rsidR="006C3DEB" w:rsidRDefault="006C3DEB" w:rsidP="006C3DEB">
      <w:pPr>
        <w:pStyle w:val="Alphanumbered"/>
        <w:tabs>
          <w:tab w:val="clear" w:pos="357"/>
        </w:tabs>
        <w:ind w:left="360" w:hanging="360"/>
      </w:pPr>
      <w:r>
        <w:t>If the result of the above procedure does not match the tax revenue, interest expenses and depreciation deductions as reported in the company tax data, then return to step 1. This process is repeated until the model matches the reported data as closely as possible.</w:t>
      </w:r>
    </w:p>
    <w:p w14:paraId="468F0A1C" w14:textId="7043616E" w:rsidR="006C3DEB" w:rsidRDefault="006C3DEB" w:rsidP="006C3DEB">
      <w:r>
        <w:t xml:space="preserve">Using this process yields the corporate finance and </w:t>
      </w:r>
      <w:r w:rsidRPr="00AC3610">
        <w:t xml:space="preserve">tax parameters summarised in </w:t>
      </w:r>
      <w:r w:rsidR="00E00A52">
        <w:t xml:space="preserve">Table </w:t>
      </w:r>
      <w:r w:rsidR="00E00A52">
        <w:rPr>
          <w:noProof/>
        </w:rPr>
        <w:t>13</w:t>
      </w:r>
      <w:r w:rsidRPr="00AC3610">
        <w:t>.</w:t>
      </w:r>
    </w:p>
    <w:p w14:paraId="7883B19B" w14:textId="04787980" w:rsidR="006C3DEB" w:rsidRDefault="006C3DEB" w:rsidP="006C3DEB">
      <w:pPr>
        <w:pStyle w:val="TableMainHeading"/>
      </w:pPr>
      <w:bookmarkStart w:id="35" w:name="_Ref101947368"/>
      <w:r>
        <w:t xml:space="preserve">Table </w:t>
      </w:r>
      <w:r>
        <w:rPr>
          <w:noProof/>
        </w:rPr>
        <w:fldChar w:fldCharType="begin"/>
      </w:r>
      <w:r>
        <w:rPr>
          <w:noProof/>
        </w:rPr>
        <w:instrText xml:space="preserve"> SEQ Table \* ARABIC </w:instrText>
      </w:r>
      <w:r>
        <w:rPr>
          <w:noProof/>
        </w:rPr>
        <w:fldChar w:fldCharType="separate"/>
      </w:r>
      <w:r w:rsidR="00E00A52">
        <w:rPr>
          <w:noProof/>
        </w:rPr>
        <w:t>13</w:t>
      </w:r>
      <w:r>
        <w:rPr>
          <w:noProof/>
        </w:rPr>
        <w:fldChar w:fldCharType="end"/>
      </w:r>
      <w:bookmarkEnd w:id="35"/>
      <w:r>
        <w:t>: Company tax parameters</w:t>
      </w:r>
    </w:p>
    <w:tbl>
      <w:tblPr>
        <w:tblStyle w:val="TableGrid"/>
        <w:tblW w:w="5000" w:type="pct"/>
        <w:jc w:val="center"/>
        <w:shd w:val="clear" w:color="auto" w:fill="EEEEEE" w:themeFill="background2"/>
        <w:tblLayout w:type="fixed"/>
        <w:tblLook w:val="04A0" w:firstRow="1" w:lastRow="0" w:firstColumn="1" w:lastColumn="0" w:noHBand="0" w:noVBand="1"/>
      </w:tblPr>
      <w:tblGrid>
        <w:gridCol w:w="1371"/>
        <w:gridCol w:w="1097"/>
        <w:gridCol w:w="1097"/>
        <w:gridCol w:w="1178"/>
        <w:gridCol w:w="1017"/>
        <w:gridCol w:w="1097"/>
        <w:gridCol w:w="1097"/>
        <w:gridCol w:w="1116"/>
      </w:tblGrid>
      <w:tr w:rsidR="006C3DEB" w14:paraId="3F7FC335" w14:textId="77777777" w:rsidTr="00017ACD">
        <w:trPr>
          <w:jc w:val="center"/>
        </w:trPr>
        <w:tc>
          <w:tcPr>
            <w:tcW w:w="1425" w:type="dxa"/>
            <w:vMerge w:val="restart"/>
            <w:tcBorders>
              <w:top w:val="single" w:sz="4" w:space="0" w:color="auto"/>
            </w:tcBorders>
            <w:shd w:val="clear" w:color="auto" w:fill="EEEEEE" w:themeFill="background2"/>
            <w:vAlign w:val="center"/>
          </w:tcPr>
          <w:p w14:paraId="6F41748D" w14:textId="77777777" w:rsidR="006C3DEB" w:rsidRPr="0088277E" w:rsidRDefault="006C3DEB" w:rsidP="005A7549">
            <w:pPr>
              <w:pStyle w:val="TableColumnHeadingLeft"/>
              <w:rPr>
                <w:rFonts w:eastAsia="Calibri"/>
              </w:rPr>
            </w:pPr>
            <w:r w:rsidRPr="0088277E">
              <w:rPr>
                <w:rFonts w:eastAsia="Calibri"/>
              </w:rPr>
              <w:t>Parameter</w:t>
            </w:r>
          </w:p>
        </w:tc>
        <w:tc>
          <w:tcPr>
            <w:tcW w:w="7987" w:type="dxa"/>
            <w:gridSpan w:val="7"/>
            <w:tcBorders>
              <w:top w:val="single" w:sz="4" w:space="0" w:color="auto"/>
              <w:bottom w:val="nil"/>
            </w:tcBorders>
            <w:shd w:val="clear" w:color="auto" w:fill="EEEEEE" w:themeFill="background2"/>
            <w:vAlign w:val="center"/>
          </w:tcPr>
          <w:p w14:paraId="3D213F22" w14:textId="77777777" w:rsidR="006C3DEB" w:rsidRDefault="006C3DEB" w:rsidP="005A7549">
            <w:pPr>
              <w:pStyle w:val="TableColumnHeadingCentred"/>
              <w:rPr>
                <w:rFonts w:eastAsia="Calibri"/>
              </w:rPr>
            </w:pPr>
            <w:r w:rsidRPr="00A0456B">
              <w:rPr>
                <w:rFonts w:eastAsia="Calibri"/>
                <w:i/>
              </w:rPr>
              <w:t>j</w:t>
            </w:r>
            <w:r>
              <w:rPr>
                <w:rFonts w:eastAsia="Calibri"/>
              </w:rPr>
              <w:t xml:space="preserve"> = </w:t>
            </w:r>
          </w:p>
        </w:tc>
      </w:tr>
      <w:tr w:rsidR="006C3DEB" w14:paraId="5D303D64" w14:textId="77777777" w:rsidTr="00017ACD">
        <w:trPr>
          <w:jc w:val="center"/>
        </w:trPr>
        <w:tc>
          <w:tcPr>
            <w:tcW w:w="1425" w:type="dxa"/>
            <w:vMerge/>
            <w:tcBorders>
              <w:bottom w:val="single" w:sz="4" w:space="0" w:color="auto"/>
            </w:tcBorders>
            <w:shd w:val="clear" w:color="auto" w:fill="EEEEEE" w:themeFill="background2"/>
          </w:tcPr>
          <w:p w14:paraId="2370A983" w14:textId="77777777" w:rsidR="006C3DEB" w:rsidRPr="0088277E" w:rsidRDefault="006C3DEB" w:rsidP="005A7549">
            <w:pPr>
              <w:pStyle w:val="TableColumnHeadingLeft"/>
              <w:rPr>
                <w:rFonts w:eastAsia="Calibri"/>
              </w:rPr>
            </w:pPr>
          </w:p>
        </w:tc>
        <w:tc>
          <w:tcPr>
            <w:tcW w:w="1138" w:type="dxa"/>
            <w:tcBorders>
              <w:top w:val="nil"/>
              <w:bottom w:val="single" w:sz="4" w:space="0" w:color="auto"/>
              <w:right w:val="nil"/>
            </w:tcBorders>
            <w:shd w:val="clear" w:color="auto" w:fill="EEEEEE" w:themeFill="background2"/>
            <w:vAlign w:val="center"/>
          </w:tcPr>
          <w:p w14:paraId="3423D797" w14:textId="77777777" w:rsidR="006C3DEB" w:rsidRPr="0088277E" w:rsidRDefault="006C3DEB" w:rsidP="005A7549">
            <w:pPr>
              <w:pStyle w:val="TableColumnHeadingCentred"/>
              <w:rPr>
                <w:rFonts w:eastAsia="Calibri"/>
              </w:rPr>
            </w:pPr>
            <w:r>
              <w:rPr>
                <w:rFonts w:eastAsia="Calibri"/>
              </w:rPr>
              <w:t>AGR</w:t>
            </w:r>
          </w:p>
        </w:tc>
        <w:tc>
          <w:tcPr>
            <w:tcW w:w="1138" w:type="dxa"/>
            <w:tcBorders>
              <w:top w:val="nil"/>
              <w:left w:val="nil"/>
              <w:bottom w:val="single" w:sz="4" w:space="0" w:color="auto"/>
              <w:right w:val="nil"/>
            </w:tcBorders>
            <w:shd w:val="clear" w:color="auto" w:fill="EEEEEE" w:themeFill="background2"/>
            <w:vAlign w:val="center"/>
          </w:tcPr>
          <w:p w14:paraId="5E127CE4" w14:textId="77777777" w:rsidR="006C3DEB" w:rsidRPr="0088277E" w:rsidRDefault="006C3DEB" w:rsidP="005A7549">
            <w:pPr>
              <w:pStyle w:val="TableColumnHeadingCentred"/>
              <w:rPr>
                <w:rFonts w:eastAsia="Calibri"/>
              </w:rPr>
            </w:pPr>
            <w:r>
              <w:rPr>
                <w:rFonts w:eastAsia="Calibri"/>
              </w:rPr>
              <w:t>MIN</w:t>
            </w:r>
          </w:p>
        </w:tc>
        <w:tc>
          <w:tcPr>
            <w:tcW w:w="1223" w:type="dxa"/>
            <w:tcBorders>
              <w:top w:val="nil"/>
              <w:left w:val="nil"/>
              <w:bottom w:val="single" w:sz="4" w:space="0" w:color="auto"/>
              <w:right w:val="nil"/>
            </w:tcBorders>
            <w:shd w:val="clear" w:color="auto" w:fill="EEEEEE" w:themeFill="background2"/>
            <w:vAlign w:val="center"/>
          </w:tcPr>
          <w:p w14:paraId="064E2A26" w14:textId="77777777" w:rsidR="006C3DEB" w:rsidRDefault="006C3DEB" w:rsidP="005A7549">
            <w:pPr>
              <w:pStyle w:val="TableColumnHeadingCentred"/>
              <w:rPr>
                <w:rFonts w:eastAsia="Calibri"/>
              </w:rPr>
            </w:pPr>
            <w:r>
              <w:rPr>
                <w:rFonts w:eastAsia="Calibri"/>
              </w:rPr>
              <w:t>MAN</w:t>
            </w:r>
          </w:p>
        </w:tc>
        <w:tc>
          <w:tcPr>
            <w:tcW w:w="1054" w:type="dxa"/>
            <w:tcBorders>
              <w:top w:val="nil"/>
              <w:left w:val="nil"/>
              <w:bottom w:val="single" w:sz="4" w:space="0" w:color="auto"/>
              <w:right w:val="nil"/>
            </w:tcBorders>
            <w:shd w:val="clear" w:color="auto" w:fill="EEEEEE" w:themeFill="background2"/>
            <w:vAlign w:val="center"/>
          </w:tcPr>
          <w:p w14:paraId="7FB395D2" w14:textId="77777777" w:rsidR="006C3DEB" w:rsidRDefault="006C3DEB" w:rsidP="005A7549">
            <w:pPr>
              <w:pStyle w:val="TableColumnHeadingCentred"/>
              <w:rPr>
                <w:rFonts w:eastAsia="Calibri"/>
              </w:rPr>
            </w:pPr>
            <w:r>
              <w:rPr>
                <w:rFonts w:eastAsia="Calibri"/>
              </w:rPr>
              <w:t>UTL</w:t>
            </w:r>
          </w:p>
        </w:tc>
        <w:tc>
          <w:tcPr>
            <w:tcW w:w="1138" w:type="dxa"/>
            <w:tcBorders>
              <w:top w:val="nil"/>
              <w:left w:val="nil"/>
              <w:bottom w:val="single" w:sz="4" w:space="0" w:color="auto"/>
              <w:right w:val="nil"/>
            </w:tcBorders>
            <w:shd w:val="clear" w:color="auto" w:fill="EEEEEE" w:themeFill="background2"/>
            <w:vAlign w:val="center"/>
          </w:tcPr>
          <w:p w14:paraId="278784F6" w14:textId="77777777" w:rsidR="006C3DEB" w:rsidRDefault="006C3DEB" w:rsidP="005A7549">
            <w:pPr>
              <w:pStyle w:val="TableColumnHeadingCentred"/>
              <w:rPr>
                <w:rFonts w:eastAsia="Calibri"/>
              </w:rPr>
            </w:pPr>
            <w:r>
              <w:rPr>
                <w:rFonts w:eastAsia="Calibri"/>
              </w:rPr>
              <w:t>CST</w:t>
            </w:r>
          </w:p>
        </w:tc>
        <w:tc>
          <w:tcPr>
            <w:tcW w:w="1138" w:type="dxa"/>
            <w:tcBorders>
              <w:top w:val="nil"/>
              <w:left w:val="nil"/>
              <w:bottom w:val="single" w:sz="4" w:space="0" w:color="auto"/>
              <w:right w:val="nil"/>
            </w:tcBorders>
            <w:shd w:val="clear" w:color="auto" w:fill="EEEEEE" w:themeFill="background2"/>
            <w:vAlign w:val="center"/>
          </w:tcPr>
          <w:p w14:paraId="1504ABF5" w14:textId="77777777" w:rsidR="006C3DEB" w:rsidRDefault="006C3DEB" w:rsidP="005A7549">
            <w:pPr>
              <w:pStyle w:val="TableColumnHeadingCentred"/>
              <w:rPr>
                <w:rFonts w:eastAsia="Calibri"/>
              </w:rPr>
            </w:pPr>
            <w:r>
              <w:rPr>
                <w:rFonts w:eastAsia="Calibri"/>
              </w:rPr>
              <w:t>SRV</w:t>
            </w:r>
          </w:p>
        </w:tc>
        <w:tc>
          <w:tcPr>
            <w:tcW w:w="1158" w:type="dxa"/>
            <w:tcBorders>
              <w:top w:val="nil"/>
              <w:left w:val="nil"/>
              <w:bottom w:val="single" w:sz="4" w:space="0" w:color="auto"/>
            </w:tcBorders>
            <w:shd w:val="clear" w:color="auto" w:fill="EEEEEE" w:themeFill="background2"/>
            <w:vAlign w:val="center"/>
          </w:tcPr>
          <w:p w14:paraId="6F45A0A1" w14:textId="77777777" w:rsidR="006C3DEB" w:rsidRDefault="006C3DEB" w:rsidP="005A7549">
            <w:pPr>
              <w:pStyle w:val="TableColumnHeadingCentred"/>
              <w:rPr>
                <w:rFonts w:eastAsia="Calibri"/>
              </w:rPr>
            </w:pPr>
            <w:r>
              <w:rPr>
                <w:rFonts w:eastAsia="Calibri"/>
              </w:rPr>
              <w:t>DWE</w:t>
            </w:r>
          </w:p>
        </w:tc>
      </w:tr>
      <w:tr w:rsidR="006C3DEB" w14:paraId="7907C3FA" w14:textId="77777777" w:rsidTr="00017ACD">
        <w:trPr>
          <w:jc w:val="center"/>
        </w:trPr>
        <w:tc>
          <w:tcPr>
            <w:tcW w:w="1425" w:type="dxa"/>
            <w:tcBorders>
              <w:top w:val="single" w:sz="4" w:space="0" w:color="auto"/>
              <w:right w:val="single" w:sz="4" w:space="0" w:color="auto"/>
            </w:tcBorders>
            <w:shd w:val="clear" w:color="auto" w:fill="EEEEEE" w:themeFill="background2"/>
          </w:tcPr>
          <w:p w14:paraId="1EB01DBE"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380" w:dyaOrig="400" w14:anchorId="4B112C72">
                <v:shape id="_x0000_i1545" type="#_x0000_t75" style="width:18pt;height:20.4pt" o:ole="">
                  <v:imagedata r:id="rId1067" o:title=""/>
                </v:shape>
                <o:OLEObject Type="Embed" ProgID="Equation.DSMT4" ShapeID="_x0000_i1545" DrawAspect="Content" ObjectID="_1754919096" r:id="rId1068"/>
              </w:object>
            </w:r>
          </w:p>
        </w:tc>
        <w:tc>
          <w:tcPr>
            <w:tcW w:w="1138" w:type="dxa"/>
            <w:tcBorders>
              <w:top w:val="single" w:sz="4" w:space="0" w:color="auto"/>
              <w:left w:val="single" w:sz="4" w:space="0" w:color="auto"/>
            </w:tcBorders>
            <w:shd w:val="clear" w:color="auto" w:fill="auto"/>
            <w:vAlign w:val="center"/>
          </w:tcPr>
          <w:p w14:paraId="6571B187" w14:textId="77777777" w:rsidR="006C3DEB" w:rsidRPr="006E4DC9" w:rsidRDefault="006C3DEB" w:rsidP="005A7549">
            <w:pPr>
              <w:pStyle w:val="TableTextCentered"/>
              <w:rPr>
                <w:rFonts w:eastAsia="Calibri"/>
              </w:rPr>
            </w:pPr>
            <w:r w:rsidRPr="006E4DC9">
              <w:rPr>
                <w:rFonts w:eastAsia="Calibri"/>
              </w:rPr>
              <w:t>0.22</w:t>
            </w:r>
          </w:p>
        </w:tc>
        <w:tc>
          <w:tcPr>
            <w:tcW w:w="1138" w:type="dxa"/>
            <w:tcBorders>
              <w:top w:val="single" w:sz="4" w:space="0" w:color="auto"/>
            </w:tcBorders>
            <w:shd w:val="clear" w:color="auto" w:fill="auto"/>
            <w:vAlign w:val="center"/>
          </w:tcPr>
          <w:p w14:paraId="55B46806" w14:textId="77777777" w:rsidR="006C3DEB" w:rsidRPr="006E4DC9" w:rsidRDefault="006C3DEB" w:rsidP="005A7549">
            <w:pPr>
              <w:pStyle w:val="TableTextCentered"/>
              <w:rPr>
                <w:rFonts w:eastAsia="Calibri"/>
              </w:rPr>
            </w:pPr>
            <w:r w:rsidRPr="006E4DC9">
              <w:rPr>
                <w:rFonts w:eastAsia="Calibri"/>
              </w:rPr>
              <w:t>0.99</w:t>
            </w:r>
          </w:p>
        </w:tc>
        <w:tc>
          <w:tcPr>
            <w:tcW w:w="1223" w:type="dxa"/>
            <w:tcBorders>
              <w:top w:val="single" w:sz="4" w:space="0" w:color="auto"/>
            </w:tcBorders>
            <w:shd w:val="clear" w:color="auto" w:fill="auto"/>
            <w:vAlign w:val="center"/>
          </w:tcPr>
          <w:p w14:paraId="0507A22C" w14:textId="77777777" w:rsidR="006C3DEB" w:rsidRPr="006E4DC9" w:rsidRDefault="006C3DEB" w:rsidP="005A7549">
            <w:pPr>
              <w:pStyle w:val="TableTextCentered"/>
              <w:rPr>
                <w:rFonts w:eastAsia="Calibri"/>
              </w:rPr>
            </w:pPr>
            <w:r w:rsidRPr="006E4DC9">
              <w:rPr>
                <w:rFonts w:eastAsia="Calibri"/>
              </w:rPr>
              <w:t>0.65</w:t>
            </w:r>
          </w:p>
        </w:tc>
        <w:tc>
          <w:tcPr>
            <w:tcW w:w="1054" w:type="dxa"/>
            <w:tcBorders>
              <w:top w:val="single" w:sz="4" w:space="0" w:color="auto"/>
            </w:tcBorders>
            <w:shd w:val="clear" w:color="auto" w:fill="auto"/>
            <w:vAlign w:val="center"/>
          </w:tcPr>
          <w:p w14:paraId="10E52C5B" w14:textId="77777777" w:rsidR="006C3DEB" w:rsidRPr="006E4DC9" w:rsidRDefault="006C3DEB" w:rsidP="005A7549">
            <w:pPr>
              <w:pStyle w:val="TableTextCentered"/>
              <w:rPr>
                <w:rFonts w:eastAsia="Calibri"/>
              </w:rPr>
            </w:pPr>
            <w:r w:rsidRPr="006E4DC9">
              <w:rPr>
                <w:rFonts w:eastAsia="Calibri"/>
              </w:rPr>
              <w:t>0.35</w:t>
            </w:r>
          </w:p>
        </w:tc>
        <w:tc>
          <w:tcPr>
            <w:tcW w:w="1138" w:type="dxa"/>
            <w:tcBorders>
              <w:top w:val="single" w:sz="4" w:space="0" w:color="auto"/>
            </w:tcBorders>
            <w:shd w:val="clear" w:color="auto" w:fill="auto"/>
            <w:vAlign w:val="center"/>
          </w:tcPr>
          <w:p w14:paraId="42E365A4" w14:textId="77777777" w:rsidR="006C3DEB" w:rsidRPr="006E4DC9" w:rsidRDefault="006C3DEB" w:rsidP="005A7549">
            <w:pPr>
              <w:pStyle w:val="TableTextCentered"/>
              <w:rPr>
                <w:rFonts w:eastAsia="Calibri"/>
              </w:rPr>
            </w:pPr>
            <w:r w:rsidRPr="006E4DC9">
              <w:rPr>
                <w:rFonts w:eastAsia="Calibri"/>
              </w:rPr>
              <w:t>0.58</w:t>
            </w:r>
          </w:p>
        </w:tc>
        <w:tc>
          <w:tcPr>
            <w:tcW w:w="1138" w:type="dxa"/>
            <w:tcBorders>
              <w:top w:val="single" w:sz="4" w:space="0" w:color="auto"/>
            </w:tcBorders>
            <w:shd w:val="clear" w:color="auto" w:fill="auto"/>
            <w:vAlign w:val="center"/>
          </w:tcPr>
          <w:p w14:paraId="28BF2277" w14:textId="77777777" w:rsidR="006C3DEB" w:rsidRPr="006E4DC9" w:rsidRDefault="006C3DEB" w:rsidP="005A7549">
            <w:pPr>
              <w:pStyle w:val="TableTextCentered"/>
              <w:rPr>
                <w:rFonts w:eastAsia="Calibri"/>
                <w:highlight w:val="yellow"/>
              </w:rPr>
            </w:pPr>
            <w:r w:rsidRPr="006E4DC9">
              <w:rPr>
                <w:rFonts w:eastAsia="Calibri"/>
              </w:rPr>
              <w:t>0.83</w:t>
            </w:r>
          </w:p>
        </w:tc>
        <w:tc>
          <w:tcPr>
            <w:tcW w:w="1158" w:type="dxa"/>
            <w:tcBorders>
              <w:top w:val="single" w:sz="4" w:space="0" w:color="auto"/>
            </w:tcBorders>
            <w:shd w:val="clear" w:color="auto" w:fill="auto"/>
            <w:vAlign w:val="center"/>
          </w:tcPr>
          <w:p w14:paraId="4799F98F" w14:textId="77777777" w:rsidR="006C3DEB" w:rsidRPr="006E4DC9" w:rsidRDefault="006C3DEB" w:rsidP="005A7549">
            <w:pPr>
              <w:pStyle w:val="TableTextCentered"/>
              <w:rPr>
                <w:rFonts w:eastAsia="Calibri"/>
              </w:rPr>
            </w:pPr>
            <w:r w:rsidRPr="006E4DC9">
              <w:rPr>
                <w:rFonts w:eastAsia="Calibri"/>
              </w:rPr>
              <w:t>0.00</w:t>
            </w:r>
          </w:p>
        </w:tc>
      </w:tr>
      <w:tr w:rsidR="006C3DEB" w14:paraId="15B77ACC" w14:textId="77777777" w:rsidTr="00017ACD">
        <w:trPr>
          <w:jc w:val="center"/>
        </w:trPr>
        <w:tc>
          <w:tcPr>
            <w:tcW w:w="1425" w:type="dxa"/>
            <w:tcBorders>
              <w:right w:val="single" w:sz="4" w:space="0" w:color="auto"/>
            </w:tcBorders>
            <w:shd w:val="clear" w:color="auto" w:fill="EEEEEE" w:themeFill="background2"/>
          </w:tcPr>
          <w:p w14:paraId="39F656A4" w14:textId="77777777" w:rsidR="006C3DEB" w:rsidRPr="005407CA" w:rsidRDefault="006C3DEB" w:rsidP="005A7549">
            <w:pPr>
              <w:pStyle w:val="TableColumnHeadingLeft"/>
            </w:pPr>
            <w:r w:rsidRPr="00E670A7">
              <w:rPr>
                <w:rFonts w:eastAsiaTheme="minorHAnsi" w:cstheme="minorBidi"/>
                <w:position w:val="-14"/>
                <w:sz w:val="22"/>
                <w:szCs w:val="22"/>
                <w:lang w:eastAsia="en-US"/>
              </w:rPr>
              <w:object w:dxaOrig="420" w:dyaOrig="400" w14:anchorId="6CE2F1EB">
                <v:shape id="_x0000_i1546" type="#_x0000_t75" style="width:19.8pt;height:20.4pt" o:ole="">
                  <v:imagedata r:id="rId1069" o:title=""/>
                </v:shape>
                <o:OLEObject Type="Embed" ProgID="Equation.DSMT4" ShapeID="_x0000_i1546" DrawAspect="Content" ObjectID="_1754919097" r:id="rId1070"/>
              </w:object>
            </w:r>
          </w:p>
        </w:tc>
        <w:tc>
          <w:tcPr>
            <w:tcW w:w="1138" w:type="dxa"/>
            <w:tcBorders>
              <w:left w:val="single" w:sz="4" w:space="0" w:color="auto"/>
            </w:tcBorders>
            <w:shd w:val="clear" w:color="auto" w:fill="auto"/>
            <w:vAlign w:val="center"/>
          </w:tcPr>
          <w:p w14:paraId="3A669F21" w14:textId="77777777" w:rsidR="006C3DEB" w:rsidRPr="006E4DC9" w:rsidRDefault="006C3DEB" w:rsidP="005A7549">
            <w:pPr>
              <w:pStyle w:val="TableTextCentered"/>
              <w:rPr>
                <w:rFonts w:eastAsia="Calibri"/>
              </w:rPr>
            </w:pPr>
            <w:r w:rsidRPr="006E4DC9">
              <w:rPr>
                <w:rFonts w:eastAsia="Calibri"/>
              </w:rPr>
              <w:t>0.44</w:t>
            </w:r>
          </w:p>
        </w:tc>
        <w:tc>
          <w:tcPr>
            <w:tcW w:w="1138" w:type="dxa"/>
            <w:shd w:val="clear" w:color="auto" w:fill="auto"/>
            <w:vAlign w:val="center"/>
          </w:tcPr>
          <w:p w14:paraId="0DF38EC1" w14:textId="77777777" w:rsidR="006C3DEB" w:rsidRPr="006E4DC9" w:rsidRDefault="006C3DEB" w:rsidP="005A7549">
            <w:pPr>
              <w:pStyle w:val="TableTextCentered"/>
              <w:rPr>
                <w:rFonts w:eastAsia="Calibri"/>
              </w:rPr>
            </w:pPr>
            <w:r w:rsidRPr="006E4DC9">
              <w:rPr>
                <w:rFonts w:eastAsia="Calibri"/>
              </w:rPr>
              <w:t>0.43</w:t>
            </w:r>
          </w:p>
        </w:tc>
        <w:tc>
          <w:tcPr>
            <w:tcW w:w="1223" w:type="dxa"/>
            <w:shd w:val="clear" w:color="auto" w:fill="auto"/>
            <w:vAlign w:val="center"/>
          </w:tcPr>
          <w:p w14:paraId="53B84CD1" w14:textId="77777777" w:rsidR="006C3DEB" w:rsidRPr="006E4DC9" w:rsidRDefault="006C3DEB" w:rsidP="005A7549">
            <w:pPr>
              <w:pStyle w:val="TableTextCentered"/>
              <w:rPr>
                <w:rFonts w:eastAsia="Calibri"/>
              </w:rPr>
            </w:pPr>
            <w:r w:rsidRPr="006E4DC9">
              <w:rPr>
                <w:rFonts w:eastAsia="Calibri"/>
              </w:rPr>
              <w:t>0.70</w:t>
            </w:r>
          </w:p>
        </w:tc>
        <w:tc>
          <w:tcPr>
            <w:tcW w:w="1054" w:type="dxa"/>
            <w:shd w:val="clear" w:color="auto" w:fill="auto"/>
            <w:vAlign w:val="center"/>
          </w:tcPr>
          <w:p w14:paraId="6067CB6F" w14:textId="77777777" w:rsidR="006C3DEB" w:rsidRPr="006E4DC9" w:rsidRDefault="006C3DEB" w:rsidP="005A7549">
            <w:pPr>
              <w:pStyle w:val="TableTextCentered"/>
              <w:rPr>
                <w:rFonts w:eastAsia="Calibri"/>
              </w:rPr>
            </w:pPr>
            <w:r w:rsidRPr="006E4DC9">
              <w:rPr>
                <w:rFonts w:eastAsia="Calibri"/>
              </w:rPr>
              <w:t>0.65</w:t>
            </w:r>
          </w:p>
        </w:tc>
        <w:tc>
          <w:tcPr>
            <w:tcW w:w="1138" w:type="dxa"/>
            <w:shd w:val="clear" w:color="auto" w:fill="auto"/>
            <w:vAlign w:val="center"/>
          </w:tcPr>
          <w:p w14:paraId="08F4558B" w14:textId="77777777" w:rsidR="006C3DEB" w:rsidRPr="006E4DC9" w:rsidRDefault="006C3DEB" w:rsidP="005A7549">
            <w:pPr>
              <w:pStyle w:val="TableTextCentered"/>
              <w:rPr>
                <w:rFonts w:eastAsia="Calibri"/>
              </w:rPr>
            </w:pPr>
            <w:r w:rsidRPr="006E4DC9">
              <w:rPr>
                <w:rFonts w:eastAsia="Calibri"/>
              </w:rPr>
              <w:t>0.60</w:t>
            </w:r>
          </w:p>
        </w:tc>
        <w:tc>
          <w:tcPr>
            <w:tcW w:w="1138" w:type="dxa"/>
            <w:shd w:val="clear" w:color="auto" w:fill="auto"/>
            <w:vAlign w:val="center"/>
          </w:tcPr>
          <w:p w14:paraId="20825E69" w14:textId="77777777" w:rsidR="006C3DEB" w:rsidRPr="006E4DC9" w:rsidRDefault="006C3DEB" w:rsidP="005A7549">
            <w:pPr>
              <w:pStyle w:val="TableTextCentered"/>
              <w:rPr>
                <w:rFonts w:eastAsia="Calibri"/>
                <w:highlight w:val="yellow"/>
              </w:rPr>
            </w:pPr>
            <w:r w:rsidRPr="006E4DC9">
              <w:rPr>
                <w:rFonts w:eastAsia="Calibri"/>
              </w:rPr>
              <w:t>0.29</w:t>
            </w:r>
          </w:p>
        </w:tc>
        <w:tc>
          <w:tcPr>
            <w:tcW w:w="1158" w:type="dxa"/>
            <w:shd w:val="clear" w:color="auto" w:fill="auto"/>
            <w:vAlign w:val="center"/>
          </w:tcPr>
          <w:p w14:paraId="446C9C5D" w14:textId="77777777" w:rsidR="006C3DEB" w:rsidRPr="006E4DC9" w:rsidRDefault="006C3DEB" w:rsidP="005A7549">
            <w:pPr>
              <w:pStyle w:val="TableTextCentered"/>
              <w:rPr>
                <w:rFonts w:eastAsia="Calibri"/>
              </w:rPr>
            </w:pPr>
            <w:r w:rsidRPr="006E4DC9">
              <w:rPr>
                <w:rFonts w:eastAsia="Calibri"/>
              </w:rPr>
              <w:t>0.30</w:t>
            </w:r>
          </w:p>
        </w:tc>
      </w:tr>
      <w:tr w:rsidR="006C3DEB" w14:paraId="6D1925B7" w14:textId="77777777" w:rsidTr="00017ACD">
        <w:trPr>
          <w:jc w:val="center"/>
        </w:trPr>
        <w:tc>
          <w:tcPr>
            <w:tcW w:w="1425" w:type="dxa"/>
            <w:tcBorders>
              <w:right w:val="single" w:sz="4" w:space="0" w:color="auto"/>
            </w:tcBorders>
            <w:shd w:val="clear" w:color="auto" w:fill="EEEEEE" w:themeFill="background2"/>
          </w:tcPr>
          <w:p w14:paraId="3AEEA3E0" w14:textId="77777777" w:rsidR="006C3DEB" w:rsidRDefault="006C3DEB" w:rsidP="005A7549">
            <w:pPr>
              <w:pStyle w:val="TableColumnHeadingLeft"/>
            </w:pPr>
            <w:r w:rsidRPr="00E670A7">
              <w:rPr>
                <w:rFonts w:eastAsiaTheme="minorHAnsi" w:cstheme="minorBidi"/>
                <w:position w:val="-14"/>
                <w:sz w:val="22"/>
                <w:szCs w:val="22"/>
                <w:lang w:eastAsia="en-US"/>
              </w:rPr>
              <w:object w:dxaOrig="380" w:dyaOrig="400" w14:anchorId="5967C2C6">
                <v:shape id="_x0000_i1547" type="#_x0000_t75" style="width:18pt;height:20.4pt" o:ole="">
                  <v:imagedata r:id="rId1071" o:title=""/>
                </v:shape>
                <o:OLEObject Type="Embed" ProgID="Equation.DSMT4" ShapeID="_x0000_i1547" DrawAspect="Content" ObjectID="_1754919098" r:id="rId1072"/>
              </w:object>
            </w:r>
          </w:p>
        </w:tc>
        <w:tc>
          <w:tcPr>
            <w:tcW w:w="7987" w:type="dxa"/>
            <w:gridSpan w:val="7"/>
            <w:tcBorders>
              <w:left w:val="single" w:sz="4" w:space="0" w:color="auto"/>
            </w:tcBorders>
            <w:shd w:val="clear" w:color="auto" w:fill="auto"/>
            <w:vAlign w:val="center"/>
          </w:tcPr>
          <w:p w14:paraId="701191F4" w14:textId="77777777" w:rsidR="006C3DEB" w:rsidRPr="006E4DC9" w:rsidRDefault="006C3DEB" w:rsidP="005A7549">
            <w:pPr>
              <w:pStyle w:val="TableTextCentered"/>
              <w:rPr>
                <w:rFonts w:eastAsia="Calibri"/>
              </w:rPr>
            </w:pPr>
            <w:r w:rsidRPr="006E4DC9">
              <w:rPr>
                <w:rFonts w:eastAsia="Calibri"/>
              </w:rPr>
              <w:t>0</w:t>
            </w:r>
          </w:p>
        </w:tc>
      </w:tr>
      <w:tr w:rsidR="006C3DEB" w14:paraId="567BE8F0" w14:textId="77777777" w:rsidTr="00017ACD">
        <w:trPr>
          <w:jc w:val="center"/>
        </w:trPr>
        <w:tc>
          <w:tcPr>
            <w:tcW w:w="1425" w:type="dxa"/>
            <w:tcBorders>
              <w:right w:val="single" w:sz="4" w:space="0" w:color="auto"/>
            </w:tcBorders>
            <w:shd w:val="clear" w:color="auto" w:fill="EEEEEE" w:themeFill="background2"/>
          </w:tcPr>
          <w:p w14:paraId="78C8C2DB" w14:textId="77777777" w:rsidR="006C3DEB" w:rsidRDefault="006C3DEB" w:rsidP="005A7549">
            <w:pPr>
              <w:pStyle w:val="TableColumnHeadingLeft"/>
            </w:pPr>
            <w:r w:rsidRPr="00E670A7">
              <w:rPr>
                <w:rFonts w:eastAsiaTheme="minorHAnsi" w:cstheme="minorBidi"/>
                <w:position w:val="-14"/>
                <w:sz w:val="22"/>
                <w:szCs w:val="22"/>
                <w:lang w:eastAsia="en-US"/>
              </w:rPr>
              <w:object w:dxaOrig="380" w:dyaOrig="400" w14:anchorId="7CA81040">
                <v:shape id="_x0000_i1548" type="#_x0000_t75" style="width:18pt;height:20.4pt" o:ole="">
                  <v:imagedata r:id="rId1073" o:title=""/>
                </v:shape>
                <o:OLEObject Type="Embed" ProgID="Equation.DSMT4" ShapeID="_x0000_i1548" DrawAspect="Content" ObjectID="_1754919099" r:id="rId1074"/>
              </w:object>
            </w:r>
          </w:p>
        </w:tc>
        <w:tc>
          <w:tcPr>
            <w:tcW w:w="1138" w:type="dxa"/>
            <w:tcBorders>
              <w:left w:val="single" w:sz="4" w:space="0" w:color="auto"/>
            </w:tcBorders>
            <w:shd w:val="clear" w:color="auto" w:fill="auto"/>
            <w:vAlign w:val="center"/>
          </w:tcPr>
          <w:p w14:paraId="48E8429F" w14:textId="77777777" w:rsidR="006C3DEB" w:rsidRPr="006E4DC9" w:rsidRDefault="006C3DEB" w:rsidP="005A7549">
            <w:pPr>
              <w:pStyle w:val="TableTextCentered"/>
              <w:rPr>
                <w:rFonts w:eastAsia="Calibri"/>
              </w:rPr>
            </w:pPr>
            <w:r w:rsidRPr="006E4DC9">
              <w:rPr>
                <w:rFonts w:eastAsia="Calibri"/>
              </w:rPr>
              <w:t>0.71</w:t>
            </w:r>
          </w:p>
        </w:tc>
        <w:tc>
          <w:tcPr>
            <w:tcW w:w="1138" w:type="dxa"/>
            <w:shd w:val="clear" w:color="auto" w:fill="auto"/>
            <w:vAlign w:val="center"/>
          </w:tcPr>
          <w:p w14:paraId="1150995E" w14:textId="77777777" w:rsidR="006C3DEB" w:rsidRPr="006E4DC9" w:rsidRDefault="006C3DEB" w:rsidP="005A7549">
            <w:pPr>
              <w:pStyle w:val="TableTextCentered"/>
              <w:rPr>
                <w:rFonts w:eastAsia="Calibri"/>
              </w:rPr>
            </w:pPr>
            <w:r w:rsidRPr="006E4DC9">
              <w:rPr>
                <w:rFonts w:eastAsia="Calibri"/>
              </w:rPr>
              <w:t>0.85</w:t>
            </w:r>
          </w:p>
        </w:tc>
        <w:tc>
          <w:tcPr>
            <w:tcW w:w="1223" w:type="dxa"/>
            <w:shd w:val="clear" w:color="auto" w:fill="auto"/>
            <w:vAlign w:val="center"/>
          </w:tcPr>
          <w:p w14:paraId="5C186930" w14:textId="77777777" w:rsidR="006C3DEB" w:rsidRPr="006E4DC9" w:rsidRDefault="006C3DEB" w:rsidP="005A7549">
            <w:pPr>
              <w:pStyle w:val="TableTextCentered"/>
              <w:rPr>
                <w:rFonts w:eastAsia="Calibri"/>
              </w:rPr>
            </w:pPr>
            <w:r w:rsidRPr="006E4DC9">
              <w:rPr>
                <w:rFonts w:eastAsia="Calibri"/>
              </w:rPr>
              <w:t>0.27</w:t>
            </w:r>
          </w:p>
        </w:tc>
        <w:tc>
          <w:tcPr>
            <w:tcW w:w="1054" w:type="dxa"/>
            <w:shd w:val="clear" w:color="auto" w:fill="auto"/>
            <w:vAlign w:val="center"/>
          </w:tcPr>
          <w:p w14:paraId="2F883F90" w14:textId="77777777" w:rsidR="006C3DEB" w:rsidRPr="006E4DC9" w:rsidRDefault="006C3DEB" w:rsidP="005A7549">
            <w:pPr>
              <w:pStyle w:val="TableTextCentered"/>
              <w:rPr>
                <w:rFonts w:eastAsia="Calibri"/>
              </w:rPr>
            </w:pPr>
            <w:r w:rsidRPr="006E4DC9">
              <w:rPr>
                <w:rFonts w:eastAsia="Calibri"/>
              </w:rPr>
              <w:t>0.85</w:t>
            </w:r>
          </w:p>
        </w:tc>
        <w:tc>
          <w:tcPr>
            <w:tcW w:w="1138" w:type="dxa"/>
            <w:shd w:val="clear" w:color="auto" w:fill="auto"/>
            <w:vAlign w:val="center"/>
          </w:tcPr>
          <w:p w14:paraId="18FB4B16" w14:textId="77777777" w:rsidR="006C3DEB" w:rsidRPr="006E4DC9" w:rsidRDefault="006C3DEB" w:rsidP="005A7549">
            <w:pPr>
              <w:pStyle w:val="TableTextCentered"/>
              <w:rPr>
                <w:rFonts w:eastAsia="Calibri"/>
              </w:rPr>
            </w:pPr>
            <w:r w:rsidRPr="006E4DC9">
              <w:rPr>
                <w:rFonts w:eastAsia="Calibri"/>
              </w:rPr>
              <w:t>0.29</w:t>
            </w:r>
          </w:p>
        </w:tc>
        <w:tc>
          <w:tcPr>
            <w:tcW w:w="1138" w:type="dxa"/>
            <w:shd w:val="clear" w:color="auto" w:fill="auto"/>
            <w:vAlign w:val="center"/>
          </w:tcPr>
          <w:p w14:paraId="7B7C4150" w14:textId="77777777" w:rsidR="006C3DEB" w:rsidRPr="006E4DC9" w:rsidRDefault="006C3DEB" w:rsidP="005A7549">
            <w:pPr>
              <w:pStyle w:val="TableTextCentered"/>
              <w:rPr>
                <w:rFonts w:eastAsia="Calibri"/>
                <w:highlight w:val="yellow"/>
              </w:rPr>
            </w:pPr>
            <w:r w:rsidRPr="006E4DC9">
              <w:rPr>
                <w:rFonts w:eastAsia="Calibri"/>
              </w:rPr>
              <w:t>0.41</w:t>
            </w:r>
          </w:p>
        </w:tc>
        <w:tc>
          <w:tcPr>
            <w:tcW w:w="1158" w:type="dxa"/>
            <w:shd w:val="clear" w:color="auto" w:fill="auto"/>
            <w:vAlign w:val="center"/>
          </w:tcPr>
          <w:p w14:paraId="68E28E59" w14:textId="77777777" w:rsidR="006C3DEB" w:rsidRPr="006E4DC9" w:rsidRDefault="006C3DEB" w:rsidP="005A7549">
            <w:pPr>
              <w:pStyle w:val="TableTextCentered"/>
              <w:rPr>
                <w:rFonts w:eastAsia="Calibri"/>
              </w:rPr>
            </w:pPr>
            <w:r w:rsidRPr="006E4DC9">
              <w:rPr>
                <w:rFonts w:eastAsia="Calibri"/>
              </w:rPr>
              <w:t>0.00</w:t>
            </w:r>
          </w:p>
        </w:tc>
      </w:tr>
      <w:tr w:rsidR="006C3DEB" w14:paraId="557ED4C0" w14:textId="77777777" w:rsidTr="00017ACD">
        <w:trPr>
          <w:jc w:val="center"/>
        </w:trPr>
        <w:tc>
          <w:tcPr>
            <w:tcW w:w="1425" w:type="dxa"/>
            <w:tcBorders>
              <w:bottom w:val="single" w:sz="4" w:space="0" w:color="auto"/>
              <w:right w:val="single" w:sz="4" w:space="0" w:color="auto"/>
            </w:tcBorders>
            <w:shd w:val="clear" w:color="auto" w:fill="EEEEEE" w:themeFill="background2"/>
          </w:tcPr>
          <w:p w14:paraId="6AA41BA6" w14:textId="77777777" w:rsidR="006C3DEB" w:rsidRDefault="006C3DEB" w:rsidP="005A7549">
            <w:pPr>
              <w:pStyle w:val="TableColumnHeadingLeft"/>
            </w:pPr>
            <w:r w:rsidRPr="00E670A7">
              <w:rPr>
                <w:rFonts w:eastAsiaTheme="minorHAnsi" w:cstheme="minorBidi"/>
                <w:position w:val="-14"/>
                <w:sz w:val="22"/>
                <w:szCs w:val="22"/>
                <w:lang w:eastAsia="en-US"/>
              </w:rPr>
              <w:object w:dxaOrig="499" w:dyaOrig="380" w14:anchorId="56845DC9">
                <v:shape id="_x0000_i1549" type="#_x0000_t75" style="width:25.2pt;height:18pt" o:ole="">
                  <v:imagedata r:id="rId1075" o:title=""/>
                </v:shape>
                <o:OLEObject Type="Embed" ProgID="Equation.DSMT4" ShapeID="_x0000_i1549" DrawAspect="Content" ObjectID="_1754919100" r:id="rId1076"/>
              </w:object>
            </w:r>
          </w:p>
        </w:tc>
        <w:tc>
          <w:tcPr>
            <w:tcW w:w="1138" w:type="dxa"/>
            <w:tcBorders>
              <w:left w:val="single" w:sz="4" w:space="0" w:color="auto"/>
              <w:bottom w:val="single" w:sz="4" w:space="0" w:color="auto"/>
            </w:tcBorders>
            <w:shd w:val="clear" w:color="auto" w:fill="auto"/>
            <w:vAlign w:val="center"/>
          </w:tcPr>
          <w:p w14:paraId="34C58EB0" w14:textId="77777777" w:rsidR="006C3DEB" w:rsidRPr="006E4DC9" w:rsidRDefault="006C3DEB" w:rsidP="005A7549">
            <w:pPr>
              <w:pStyle w:val="TableTextCentered"/>
              <w:rPr>
                <w:rFonts w:eastAsia="Calibri"/>
              </w:rPr>
            </w:pPr>
            <w:r w:rsidRPr="006E4DC9">
              <w:t>0.1%</w:t>
            </w:r>
          </w:p>
        </w:tc>
        <w:tc>
          <w:tcPr>
            <w:tcW w:w="1138" w:type="dxa"/>
            <w:tcBorders>
              <w:bottom w:val="single" w:sz="4" w:space="0" w:color="auto"/>
            </w:tcBorders>
            <w:shd w:val="clear" w:color="auto" w:fill="auto"/>
            <w:vAlign w:val="center"/>
          </w:tcPr>
          <w:p w14:paraId="19FFD88C" w14:textId="77777777" w:rsidR="006C3DEB" w:rsidRPr="006E4DC9" w:rsidRDefault="006C3DEB" w:rsidP="005A7549">
            <w:pPr>
              <w:pStyle w:val="TableTextCentered"/>
              <w:rPr>
                <w:rFonts w:eastAsia="Calibri"/>
              </w:rPr>
            </w:pPr>
            <w:r w:rsidRPr="006E4DC9">
              <w:t>0.6%</w:t>
            </w:r>
          </w:p>
        </w:tc>
        <w:tc>
          <w:tcPr>
            <w:tcW w:w="1223" w:type="dxa"/>
            <w:tcBorders>
              <w:bottom w:val="single" w:sz="4" w:space="0" w:color="auto"/>
            </w:tcBorders>
            <w:shd w:val="clear" w:color="auto" w:fill="auto"/>
            <w:vAlign w:val="center"/>
          </w:tcPr>
          <w:p w14:paraId="072327D6" w14:textId="77777777" w:rsidR="006C3DEB" w:rsidRPr="006E4DC9" w:rsidRDefault="006C3DEB" w:rsidP="005A7549">
            <w:pPr>
              <w:pStyle w:val="TableTextCentered"/>
              <w:rPr>
                <w:rFonts w:eastAsia="Calibri"/>
              </w:rPr>
            </w:pPr>
            <w:r w:rsidRPr="006E4DC9">
              <w:t>0.3%</w:t>
            </w:r>
          </w:p>
        </w:tc>
        <w:tc>
          <w:tcPr>
            <w:tcW w:w="1054" w:type="dxa"/>
            <w:tcBorders>
              <w:bottom w:val="single" w:sz="4" w:space="0" w:color="auto"/>
            </w:tcBorders>
            <w:shd w:val="clear" w:color="auto" w:fill="auto"/>
            <w:vAlign w:val="center"/>
          </w:tcPr>
          <w:p w14:paraId="6ABC0053" w14:textId="77777777" w:rsidR="006C3DEB" w:rsidRPr="006E4DC9" w:rsidRDefault="006C3DEB" w:rsidP="005A7549">
            <w:pPr>
              <w:pStyle w:val="TableTextCentered"/>
              <w:rPr>
                <w:rFonts w:eastAsia="Calibri"/>
              </w:rPr>
            </w:pPr>
            <w:r w:rsidRPr="006E4DC9">
              <w:t>0.0%</w:t>
            </w:r>
          </w:p>
        </w:tc>
        <w:tc>
          <w:tcPr>
            <w:tcW w:w="1138" w:type="dxa"/>
            <w:tcBorders>
              <w:bottom w:val="single" w:sz="4" w:space="0" w:color="auto"/>
            </w:tcBorders>
            <w:shd w:val="clear" w:color="auto" w:fill="auto"/>
            <w:vAlign w:val="center"/>
          </w:tcPr>
          <w:p w14:paraId="49656A36" w14:textId="77777777" w:rsidR="006C3DEB" w:rsidRPr="006E4DC9" w:rsidRDefault="006C3DEB" w:rsidP="005A7549">
            <w:pPr>
              <w:pStyle w:val="TableTextCentered"/>
              <w:rPr>
                <w:rFonts w:eastAsia="Calibri"/>
              </w:rPr>
            </w:pPr>
            <w:r w:rsidRPr="006E4DC9">
              <w:t>0.3%</w:t>
            </w:r>
          </w:p>
        </w:tc>
        <w:tc>
          <w:tcPr>
            <w:tcW w:w="1138" w:type="dxa"/>
            <w:tcBorders>
              <w:bottom w:val="single" w:sz="4" w:space="0" w:color="auto"/>
            </w:tcBorders>
            <w:shd w:val="clear" w:color="auto" w:fill="auto"/>
            <w:vAlign w:val="center"/>
          </w:tcPr>
          <w:p w14:paraId="52A86F56" w14:textId="77777777" w:rsidR="006C3DEB" w:rsidRPr="006E4DC9" w:rsidRDefault="006C3DEB" w:rsidP="005A7549">
            <w:pPr>
              <w:pStyle w:val="TableTextCentered"/>
              <w:rPr>
                <w:rFonts w:eastAsia="Calibri"/>
                <w:highlight w:val="yellow"/>
              </w:rPr>
            </w:pPr>
            <w:r w:rsidRPr="006E4DC9">
              <w:t>3.0%</w:t>
            </w:r>
          </w:p>
        </w:tc>
        <w:tc>
          <w:tcPr>
            <w:tcW w:w="1158" w:type="dxa"/>
            <w:tcBorders>
              <w:bottom w:val="single" w:sz="4" w:space="0" w:color="auto"/>
            </w:tcBorders>
            <w:shd w:val="clear" w:color="auto" w:fill="auto"/>
            <w:vAlign w:val="center"/>
          </w:tcPr>
          <w:p w14:paraId="22C4084A" w14:textId="77777777" w:rsidR="006C3DEB" w:rsidRPr="006E4DC9" w:rsidRDefault="006C3DEB" w:rsidP="005A7549">
            <w:pPr>
              <w:pStyle w:val="TableTextCentered"/>
              <w:rPr>
                <w:rFonts w:eastAsia="Calibri"/>
              </w:rPr>
            </w:pPr>
            <w:r w:rsidRPr="006E4DC9">
              <w:t>0.0%</w:t>
            </w:r>
          </w:p>
        </w:tc>
      </w:tr>
    </w:tbl>
    <w:p w14:paraId="7DB4A9BB" w14:textId="77777777" w:rsidR="006C3DEB" w:rsidRPr="004A7642" w:rsidRDefault="006C3DEB" w:rsidP="006C3DEB">
      <w:pPr>
        <w:pStyle w:val="Note"/>
      </w:pPr>
      <w:r w:rsidRPr="004A7642">
        <w:t xml:space="preserve">Source: Authors’ calculation based on ATO (2018b) and ABS (2021a, 2021d) data. The unit of </w:t>
      </w:r>
      <w:r w:rsidRPr="004A7642">
        <w:rPr>
          <w:position w:val="-14"/>
        </w:rPr>
        <w:object w:dxaOrig="499" w:dyaOrig="380" w14:anchorId="2F0ECFA6">
          <v:shape id="_x0000_i1550" type="#_x0000_t75" style="width:25.2pt;height:18pt" o:ole="">
            <v:imagedata r:id="rId1077" o:title=""/>
          </v:shape>
          <o:OLEObject Type="Embed" ProgID="Equation.DSMT4" ShapeID="_x0000_i1550" DrawAspect="Content" ObjectID="_1754919101" r:id="rId1078"/>
        </w:object>
      </w:r>
      <w:r w:rsidRPr="004A7642">
        <w:t>is % of GDP.</w:t>
      </w:r>
    </w:p>
    <w:p w14:paraId="38A66478" w14:textId="77777777" w:rsidR="006C3DEB" w:rsidRPr="00EC3303" w:rsidRDefault="006C3DEB" w:rsidP="00EC3303">
      <w:pPr>
        <w:rPr>
          <w:rStyle w:val="IntenseEmphasis"/>
          <w:rFonts w:asciiTheme="majorHAnsi" w:hAnsiTheme="majorHAnsi" w:cs="Arial"/>
          <w:b w:val="0"/>
          <w:kern w:val="32"/>
          <w:szCs w:val="36"/>
        </w:rPr>
      </w:pPr>
      <w:r w:rsidRPr="00BD4409">
        <w:rPr>
          <w:rStyle w:val="IntenseEmphasis"/>
          <w:i w:val="0"/>
          <w:color w:val="000000" w:themeColor="text1"/>
        </w:rPr>
        <w:t>Interest withholding tax</w:t>
      </w:r>
    </w:p>
    <w:p w14:paraId="6269162D" w14:textId="77777777" w:rsidR="006C3DEB" w:rsidRDefault="006C3DEB" w:rsidP="006C3DEB">
      <w:r>
        <w:t>T</w:t>
      </w:r>
      <w:r w:rsidRPr="008A1A8A">
        <w:t xml:space="preserve">he </w:t>
      </w:r>
      <w:r>
        <w:t xml:space="preserve">effective </w:t>
      </w:r>
      <w:r w:rsidRPr="008A1A8A">
        <w:t>withholding tax rate</w:t>
      </w:r>
      <w:r w:rsidRPr="00E670A7">
        <w:rPr>
          <w:position w:val="-12"/>
        </w:rPr>
        <w:object w:dxaOrig="340" w:dyaOrig="380" w14:anchorId="6640CECC">
          <v:shape id="_x0000_i1551" type="#_x0000_t75" style="width:18pt;height:18pt" o:ole="">
            <v:imagedata r:id="rId1079" o:title=""/>
          </v:shape>
          <o:OLEObject Type="Embed" ProgID="Equation.DSMT4" ShapeID="_x0000_i1551" DrawAspect="Content" ObjectID="_1754919102" r:id="rId1080"/>
        </w:object>
      </w:r>
      <w:r w:rsidRPr="008A1A8A">
        <w:t xml:space="preserve">for non-residents </w:t>
      </w:r>
      <w:r>
        <w:t xml:space="preserve">is </w:t>
      </w:r>
      <w:r w:rsidRPr="008A1A8A">
        <w:t xml:space="preserve">set </w:t>
      </w:r>
      <w:r>
        <w:t>to</w:t>
      </w:r>
      <w:r w:rsidRPr="008573BB">
        <w:t xml:space="preserve"> 3 per cent</w:t>
      </w:r>
      <w:r>
        <w:t xml:space="preserve">. </w:t>
      </w:r>
      <w:r w:rsidRPr="008573BB">
        <w:t xml:space="preserve"> </w:t>
      </w:r>
      <w:r>
        <w:t xml:space="preserve">This ensures </w:t>
      </w:r>
      <w:r w:rsidRPr="008A1A8A">
        <w:t xml:space="preserve">interest withholding tax revenue as a percentage of GDP </w:t>
      </w:r>
      <w:r>
        <w:t>matches the estimate in ABS</w:t>
      </w:r>
      <w:r w:rsidRPr="008A1A8A">
        <w:t xml:space="preserve"> (20</w:t>
      </w:r>
      <w:r>
        <w:t>21b</w:t>
      </w:r>
      <w:r w:rsidRPr="008A1A8A">
        <w:t xml:space="preserve">) </w:t>
      </w:r>
      <w:r>
        <w:t xml:space="preserve">of </w:t>
      </w:r>
      <w:r w:rsidRPr="008A1A8A">
        <w:t>0.1 per cent</w:t>
      </w:r>
      <w:r>
        <w:t xml:space="preserve">. This parameter could be thought of as the weighted average of statutory rates for all countries with which Australia does or does not have a preferential tax treatment. </w:t>
      </w:r>
    </w:p>
    <w:p w14:paraId="74849A3B" w14:textId="77777777" w:rsidR="006C3DEB" w:rsidRPr="00BD4409" w:rsidRDefault="006C3DEB" w:rsidP="006C3DEB">
      <w:pPr>
        <w:pStyle w:val="Heading5"/>
        <w:rPr>
          <w:rStyle w:val="IntenseEmphasis"/>
          <w:b/>
          <w:bCs w:val="0"/>
          <w:i w:val="0"/>
          <w:iCs/>
          <w:color w:val="000000" w:themeColor="text1"/>
        </w:rPr>
      </w:pPr>
      <w:r w:rsidRPr="00BD4409">
        <w:rPr>
          <w:rStyle w:val="IntenseEmphasis"/>
          <w:b/>
          <w:bCs w:val="0"/>
          <w:i w:val="0"/>
          <w:iCs/>
          <w:color w:val="000000" w:themeColor="text1"/>
        </w:rPr>
        <w:t>Payroll tax</w:t>
      </w:r>
    </w:p>
    <w:p w14:paraId="1E1DBA21" w14:textId="03BF4959" w:rsidR="006C3DEB" w:rsidRDefault="006C3DEB" w:rsidP="006C3DEB">
      <w:r w:rsidRPr="001D7985">
        <w:t>In reality, payroll tax rates vary by state and only apply to firms above a certain size. However, because we do not model sub-national economies or differentiate firms</w:t>
      </w:r>
      <w:r>
        <w:t xml:space="preserve"> by size, we model payroll tax as</w:t>
      </w:r>
      <w:r w:rsidRPr="001D7985">
        <w:t xml:space="preserve"> </w:t>
      </w:r>
      <w:r>
        <w:t xml:space="preserve">an </w:t>
      </w:r>
      <w:r w:rsidRPr="001D7985">
        <w:t>industry specific effective rate calculated from data on payroll tax paid and compensation of employees (ABS 2018</w:t>
      </w:r>
      <w:r>
        <w:t>a</w:t>
      </w:r>
      <w:r w:rsidRPr="001D7985">
        <w:t xml:space="preserve"> and 20</w:t>
      </w:r>
      <w:r>
        <w:t>20b</w:t>
      </w:r>
      <w:r w:rsidRPr="001D7985">
        <w:t xml:space="preserve">). The effective rates are </w:t>
      </w:r>
      <w:r>
        <w:t xml:space="preserve">reported in </w:t>
      </w:r>
      <w:r w:rsidR="00E00A52">
        <w:t xml:space="preserve">Table </w:t>
      </w:r>
      <w:r w:rsidR="00E00A52">
        <w:rPr>
          <w:noProof/>
        </w:rPr>
        <w:t>14</w:t>
      </w:r>
      <w:r>
        <w:t xml:space="preserve"> below</w:t>
      </w:r>
      <w:r w:rsidRPr="001D7985">
        <w:t xml:space="preserve"> for</w:t>
      </w:r>
      <w:r>
        <w:t xml:space="preserve"> all</w:t>
      </w:r>
      <w:r w:rsidRPr="001D7985">
        <w:t xml:space="preserve"> the sector</w:t>
      </w:r>
      <w:r>
        <w:t>s</w:t>
      </w:r>
      <w:r w:rsidRPr="001D7985">
        <w:t>.</w:t>
      </w:r>
    </w:p>
    <w:p w14:paraId="757A3EA7" w14:textId="197E35A8" w:rsidR="006C3DEB" w:rsidRDefault="006C3DEB" w:rsidP="006C3DEB">
      <w:pPr>
        <w:pStyle w:val="TableMainHeading"/>
      </w:pPr>
      <w:bookmarkStart w:id="36" w:name="_Ref101947381"/>
      <w:r>
        <w:lastRenderedPageBreak/>
        <w:t xml:space="preserve">Table </w:t>
      </w:r>
      <w:r>
        <w:rPr>
          <w:noProof/>
        </w:rPr>
        <w:fldChar w:fldCharType="begin"/>
      </w:r>
      <w:r>
        <w:rPr>
          <w:noProof/>
        </w:rPr>
        <w:instrText xml:space="preserve"> SEQ Table \* ARABIC </w:instrText>
      </w:r>
      <w:r>
        <w:rPr>
          <w:noProof/>
        </w:rPr>
        <w:fldChar w:fldCharType="separate"/>
      </w:r>
      <w:r w:rsidR="00E00A52">
        <w:rPr>
          <w:noProof/>
        </w:rPr>
        <w:t>14</w:t>
      </w:r>
      <w:r>
        <w:rPr>
          <w:noProof/>
        </w:rPr>
        <w:fldChar w:fldCharType="end"/>
      </w:r>
      <w:bookmarkEnd w:id="36"/>
      <w:r>
        <w:t>: Effective payroll tax rates</w:t>
      </w:r>
    </w:p>
    <w:tbl>
      <w:tblPr>
        <w:tblStyle w:val="TableGrid"/>
        <w:tblW w:w="5000" w:type="pct"/>
        <w:jc w:val="center"/>
        <w:shd w:val="clear" w:color="auto" w:fill="EEEEEE" w:themeFill="background2"/>
        <w:tblLayout w:type="fixed"/>
        <w:tblLook w:val="04A0" w:firstRow="1" w:lastRow="0" w:firstColumn="1" w:lastColumn="0" w:noHBand="0" w:noVBand="1"/>
      </w:tblPr>
      <w:tblGrid>
        <w:gridCol w:w="1371"/>
        <w:gridCol w:w="1097"/>
        <w:gridCol w:w="1097"/>
        <w:gridCol w:w="1178"/>
        <w:gridCol w:w="1017"/>
        <w:gridCol w:w="1097"/>
        <w:gridCol w:w="1097"/>
        <w:gridCol w:w="1116"/>
      </w:tblGrid>
      <w:tr w:rsidR="006C3DEB" w14:paraId="249E1C35" w14:textId="77777777" w:rsidTr="00351D21">
        <w:trPr>
          <w:jc w:val="center"/>
        </w:trPr>
        <w:tc>
          <w:tcPr>
            <w:tcW w:w="1425" w:type="dxa"/>
            <w:vMerge w:val="restart"/>
            <w:tcBorders>
              <w:top w:val="single" w:sz="4" w:space="0" w:color="auto"/>
            </w:tcBorders>
            <w:shd w:val="clear" w:color="auto" w:fill="EEEEEE" w:themeFill="background2"/>
            <w:vAlign w:val="center"/>
          </w:tcPr>
          <w:p w14:paraId="6DC2957C" w14:textId="77777777" w:rsidR="006C3DEB" w:rsidRPr="0088277E" w:rsidRDefault="006C3DEB" w:rsidP="005A7549">
            <w:pPr>
              <w:pStyle w:val="TableColumnHeadingLeft"/>
              <w:rPr>
                <w:rFonts w:eastAsia="Calibri"/>
              </w:rPr>
            </w:pPr>
            <w:r w:rsidRPr="0088277E">
              <w:rPr>
                <w:rFonts w:eastAsia="Calibri"/>
              </w:rPr>
              <w:t>Parameter</w:t>
            </w:r>
          </w:p>
        </w:tc>
        <w:tc>
          <w:tcPr>
            <w:tcW w:w="7987" w:type="dxa"/>
            <w:gridSpan w:val="7"/>
            <w:tcBorders>
              <w:top w:val="single" w:sz="4" w:space="0" w:color="auto"/>
              <w:bottom w:val="nil"/>
            </w:tcBorders>
            <w:shd w:val="clear" w:color="auto" w:fill="EEEEEE" w:themeFill="background2"/>
            <w:vAlign w:val="center"/>
          </w:tcPr>
          <w:p w14:paraId="5CEDA9F6" w14:textId="77777777" w:rsidR="006C3DEB" w:rsidRDefault="006C3DEB" w:rsidP="005A7549">
            <w:pPr>
              <w:pStyle w:val="TableColumnHeadingCentred"/>
              <w:rPr>
                <w:rFonts w:eastAsia="Calibri"/>
              </w:rPr>
            </w:pPr>
            <w:r w:rsidRPr="00A0456B">
              <w:rPr>
                <w:rFonts w:eastAsia="Calibri"/>
                <w:i/>
              </w:rPr>
              <w:t>j</w:t>
            </w:r>
            <w:r>
              <w:rPr>
                <w:rFonts w:eastAsia="Calibri"/>
              </w:rPr>
              <w:t xml:space="preserve"> = </w:t>
            </w:r>
          </w:p>
        </w:tc>
      </w:tr>
      <w:tr w:rsidR="006C3DEB" w14:paraId="1CD1CEBE" w14:textId="77777777" w:rsidTr="00351D21">
        <w:trPr>
          <w:jc w:val="center"/>
        </w:trPr>
        <w:tc>
          <w:tcPr>
            <w:tcW w:w="1425" w:type="dxa"/>
            <w:vMerge/>
            <w:tcBorders>
              <w:bottom w:val="single" w:sz="4" w:space="0" w:color="auto"/>
            </w:tcBorders>
            <w:shd w:val="clear" w:color="auto" w:fill="EEEEEE" w:themeFill="background2"/>
          </w:tcPr>
          <w:p w14:paraId="60ACEEED" w14:textId="77777777" w:rsidR="006C3DEB" w:rsidRPr="0088277E" w:rsidRDefault="006C3DEB" w:rsidP="005A7549">
            <w:pPr>
              <w:pStyle w:val="TableColumnHeadingLeft"/>
              <w:rPr>
                <w:rFonts w:eastAsia="Calibri"/>
              </w:rPr>
            </w:pPr>
          </w:p>
        </w:tc>
        <w:tc>
          <w:tcPr>
            <w:tcW w:w="1138" w:type="dxa"/>
            <w:tcBorders>
              <w:top w:val="nil"/>
              <w:bottom w:val="single" w:sz="4" w:space="0" w:color="auto"/>
              <w:right w:val="nil"/>
            </w:tcBorders>
            <w:shd w:val="clear" w:color="auto" w:fill="EEEEEE" w:themeFill="background2"/>
            <w:vAlign w:val="center"/>
          </w:tcPr>
          <w:p w14:paraId="6556D37C" w14:textId="77777777" w:rsidR="006C3DEB" w:rsidRPr="0088277E" w:rsidRDefault="006C3DEB" w:rsidP="005A7549">
            <w:pPr>
              <w:pStyle w:val="TableColumnHeadingCentred"/>
              <w:rPr>
                <w:rFonts w:eastAsia="Calibri"/>
              </w:rPr>
            </w:pPr>
            <w:r>
              <w:rPr>
                <w:rFonts w:eastAsia="Calibri"/>
              </w:rPr>
              <w:t>AGR</w:t>
            </w:r>
          </w:p>
        </w:tc>
        <w:tc>
          <w:tcPr>
            <w:tcW w:w="1138" w:type="dxa"/>
            <w:tcBorders>
              <w:top w:val="nil"/>
              <w:left w:val="nil"/>
              <w:bottom w:val="single" w:sz="4" w:space="0" w:color="auto"/>
              <w:right w:val="nil"/>
            </w:tcBorders>
            <w:shd w:val="clear" w:color="auto" w:fill="EEEEEE" w:themeFill="background2"/>
            <w:vAlign w:val="center"/>
          </w:tcPr>
          <w:p w14:paraId="4EFC30A2" w14:textId="77777777" w:rsidR="006C3DEB" w:rsidRPr="0088277E" w:rsidRDefault="006C3DEB" w:rsidP="005A7549">
            <w:pPr>
              <w:pStyle w:val="TableColumnHeadingCentred"/>
              <w:rPr>
                <w:rFonts w:eastAsia="Calibri"/>
              </w:rPr>
            </w:pPr>
            <w:r>
              <w:rPr>
                <w:rFonts w:eastAsia="Calibri"/>
              </w:rPr>
              <w:t>MIN</w:t>
            </w:r>
          </w:p>
        </w:tc>
        <w:tc>
          <w:tcPr>
            <w:tcW w:w="1223" w:type="dxa"/>
            <w:tcBorders>
              <w:top w:val="nil"/>
              <w:left w:val="nil"/>
              <w:bottom w:val="single" w:sz="4" w:space="0" w:color="auto"/>
              <w:right w:val="nil"/>
            </w:tcBorders>
            <w:shd w:val="clear" w:color="auto" w:fill="EEEEEE" w:themeFill="background2"/>
            <w:vAlign w:val="center"/>
          </w:tcPr>
          <w:p w14:paraId="3BE2A8F8" w14:textId="77777777" w:rsidR="006C3DEB" w:rsidRDefault="006C3DEB" w:rsidP="005A7549">
            <w:pPr>
              <w:pStyle w:val="TableColumnHeadingCentred"/>
              <w:rPr>
                <w:rFonts w:eastAsia="Calibri"/>
              </w:rPr>
            </w:pPr>
            <w:r>
              <w:rPr>
                <w:rFonts w:eastAsia="Calibri"/>
              </w:rPr>
              <w:t>MAN</w:t>
            </w:r>
          </w:p>
        </w:tc>
        <w:tc>
          <w:tcPr>
            <w:tcW w:w="1054" w:type="dxa"/>
            <w:tcBorders>
              <w:top w:val="nil"/>
              <w:left w:val="nil"/>
              <w:bottom w:val="single" w:sz="4" w:space="0" w:color="auto"/>
              <w:right w:val="nil"/>
            </w:tcBorders>
            <w:shd w:val="clear" w:color="auto" w:fill="EEEEEE" w:themeFill="background2"/>
            <w:vAlign w:val="center"/>
          </w:tcPr>
          <w:p w14:paraId="0178FE13" w14:textId="77777777" w:rsidR="006C3DEB" w:rsidRDefault="006C3DEB" w:rsidP="005A7549">
            <w:pPr>
              <w:pStyle w:val="TableColumnHeadingCentred"/>
              <w:rPr>
                <w:rFonts w:eastAsia="Calibri"/>
              </w:rPr>
            </w:pPr>
            <w:r>
              <w:rPr>
                <w:rFonts w:eastAsia="Calibri"/>
              </w:rPr>
              <w:t>UTL</w:t>
            </w:r>
          </w:p>
        </w:tc>
        <w:tc>
          <w:tcPr>
            <w:tcW w:w="1138" w:type="dxa"/>
            <w:tcBorders>
              <w:top w:val="nil"/>
              <w:left w:val="nil"/>
              <w:bottom w:val="single" w:sz="4" w:space="0" w:color="auto"/>
              <w:right w:val="nil"/>
            </w:tcBorders>
            <w:shd w:val="clear" w:color="auto" w:fill="EEEEEE" w:themeFill="background2"/>
            <w:vAlign w:val="center"/>
          </w:tcPr>
          <w:p w14:paraId="19B7D96D" w14:textId="77777777" w:rsidR="006C3DEB" w:rsidRDefault="006C3DEB" w:rsidP="005A7549">
            <w:pPr>
              <w:pStyle w:val="TableColumnHeadingCentred"/>
              <w:rPr>
                <w:rFonts w:eastAsia="Calibri"/>
              </w:rPr>
            </w:pPr>
            <w:r>
              <w:rPr>
                <w:rFonts w:eastAsia="Calibri"/>
              </w:rPr>
              <w:t>CST</w:t>
            </w:r>
          </w:p>
        </w:tc>
        <w:tc>
          <w:tcPr>
            <w:tcW w:w="1138" w:type="dxa"/>
            <w:tcBorders>
              <w:top w:val="nil"/>
              <w:left w:val="nil"/>
              <w:bottom w:val="single" w:sz="4" w:space="0" w:color="auto"/>
              <w:right w:val="nil"/>
            </w:tcBorders>
            <w:shd w:val="clear" w:color="auto" w:fill="EEEEEE" w:themeFill="background2"/>
            <w:vAlign w:val="center"/>
          </w:tcPr>
          <w:p w14:paraId="3D1CD8C1" w14:textId="77777777" w:rsidR="006C3DEB" w:rsidRDefault="006C3DEB" w:rsidP="005A7549">
            <w:pPr>
              <w:pStyle w:val="TableColumnHeadingCentred"/>
              <w:rPr>
                <w:rFonts w:eastAsia="Calibri"/>
              </w:rPr>
            </w:pPr>
            <w:r>
              <w:rPr>
                <w:rFonts w:eastAsia="Calibri"/>
              </w:rPr>
              <w:t>SRV</w:t>
            </w:r>
          </w:p>
        </w:tc>
        <w:tc>
          <w:tcPr>
            <w:tcW w:w="1158" w:type="dxa"/>
            <w:tcBorders>
              <w:top w:val="nil"/>
              <w:left w:val="nil"/>
              <w:bottom w:val="single" w:sz="4" w:space="0" w:color="auto"/>
            </w:tcBorders>
            <w:shd w:val="clear" w:color="auto" w:fill="EEEEEE" w:themeFill="background2"/>
            <w:vAlign w:val="center"/>
          </w:tcPr>
          <w:p w14:paraId="16B44543" w14:textId="77777777" w:rsidR="006C3DEB" w:rsidRDefault="006C3DEB" w:rsidP="005A7549">
            <w:pPr>
              <w:pStyle w:val="TableColumnHeadingCentred"/>
              <w:rPr>
                <w:rFonts w:eastAsia="Calibri"/>
              </w:rPr>
            </w:pPr>
            <w:r>
              <w:rPr>
                <w:rFonts w:eastAsia="Calibri"/>
              </w:rPr>
              <w:t>DWE</w:t>
            </w:r>
          </w:p>
        </w:tc>
      </w:tr>
      <w:tr w:rsidR="006C3DEB" w14:paraId="383E7C1F" w14:textId="77777777" w:rsidTr="00351D21">
        <w:trPr>
          <w:jc w:val="center"/>
        </w:trPr>
        <w:tc>
          <w:tcPr>
            <w:tcW w:w="1425" w:type="dxa"/>
            <w:tcBorders>
              <w:top w:val="single" w:sz="4" w:space="0" w:color="auto"/>
              <w:bottom w:val="single" w:sz="4" w:space="0" w:color="auto"/>
              <w:right w:val="single" w:sz="4" w:space="0" w:color="auto"/>
            </w:tcBorders>
            <w:shd w:val="clear" w:color="auto" w:fill="EEEEEE" w:themeFill="background2"/>
          </w:tcPr>
          <w:p w14:paraId="37F519BA"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380" w:dyaOrig="400" w14:anchorId="5F4A4A7D">
                <v:shape id="_x0000_i1552" type="#_x0000_t75" style="width:18pt;height:20.4pt" o:ole="">
                  <v:imagedata r:id="rId1081" o:title=""/>
                </v:shape>
                <o:OLEObject Type="Embed" ProgID="Equation.DSMT4" ShapeID="_x0000_i1552" DrawAspect="Content" ObjectID="_1754919103" r:id="rId1082"/>
              </w:object>
            </w:r>
          </w:p>
        </w:tc>
        <w:tc>
          <w:tcPr>
            <w:tcW w:w="1138" w:type="dxa"/>
            <w:tcBorders>
              <w:top w:val="single" w:sz="4" w:space="0" w:color="auto"/>
              <w:left w:val="single" w:sz="4" w:space="0" w:color="auto"/>
              <w:bottom w:val="single" w:sz="4" w:space="0" w:color="auto"/>
            </w:tcBorders>
            <w:shd w:val="clear" w:color="auto" w:fill="auto"/>
            <w:vAlign w:val="center"/>
          </w:tcPr>
          <w:p w14:paraId="50E8D215" w14:textId="77777777" w:rsidR="006C3DEB" w:rsidRPr="00BD6083" w:rsidRDefault="006C3DEB" w:rsidP="005A7549">
            <w:pPr>
              <w:pStyle w:val="TableTextCentered"/>
              <w:rPr>
                <w:rFonts w:eastAsia="Calibri"/>
              </w:rPr>
            </w:pPr>
            <w:r w:rsidRPr="004A7642">
              <w:rPr>
                <w:rFonts w:eastAsia="Calibri"/>
              </w:rPr>
              <w:t>0.014</w:t>
            </w:r>
          </w:p>
        </w:tc>
        <w:tc>
          <w:tcPr>
            <w:tcW w:w="1138" w:type="dxa"/>
            <w:tcBorders>
              <w:top w:val="single" w:sz="4" w:space="0" w:color="auto"/>
              <w:bottom w:val="single" w:sz="4" w:space="0" w:color="auto"/>
            </w:tcBorders>
            <w:shd w:val="clear" w:color="auto" w:fill="auto"/>
            <w:vAlign w:val="center"/>
          </w:tcPr>
          <w:p w14:paraId="0ED03D7C" w14:textId="77777777" w:rsidR="006C3DEB" w:rsidRPr="00BD6083" w:rsidRDefault="006C3DEB" w:rsidP="005A7549">
            <w:pPr>
              <w:pStyle w:val="TableTextCentered"/>
              <w:rPr>
                <w:rFonts w:eastAsia="Calibri"/>
              </w:rPr>
            </w:pPr>
            <w:r w:rsidRPr="004A7642">
              <w:rPr>
                <w:rFonts w:eastAsia="Calibri"/>
              </w:rPr>
              <w:t>0.044</w:t>
            </w:r>
          </w:p>
        </w:tc>
        <w:tc>
          <w:tcPr>
            <w:tcW w:w="1223" w:type="dxa"/>
            <w:tcBorders>
              <w:top w:val="single" w:sz="4" w:space="0" w:color="auto"/>
              <w:bottom w:val="single" w:sz="4" w:space="0" w:color="auto"/>
            </w:tcBorders>
            <w:shd w:val="clear" w:color="auto" w:fill="auto"/>
            <w:vAlign w:val="center"/>
          </w:tcPr>
          <w:p w14:paraId="65D366F5" w14:textId="77777777" w:rsidR="006C3DEB" w:rsidRPr="00BD6083" w:rsidRDefault="006C3DEB" w:rsidP="005A7549">
            <w:pPr>
              <w:pStyle w:val="TableTextCentered"/>
              <w:rPr>
                <w:rFonts w:eastAsia="Calibri"/>
              </w:rPr>
            </w:pPr>
            <w:r w:rsidRPr="004A7642">
              <w:rPr>
                <w:rFonts w:eastAsia="Calibri"/>
              </w:rPr>
              <w:t>0.035</w:t>
            </w:r>
          </w:p>
        </w:tc>
        <w:tc>
          <w:tcPr>
            <w:tcW w:w="1054" w:type="dxa"/>
            <w:tcBorders>
              <w:top w:val="single" w:sz="4" w:space="0" w:color="auto"/>
              <w:bottom w:val="single" w:sz="4" w:space="0" w:color="auto"/>
            </w:tcBorders>
            <w:shd w:val="clear" w:color="auto" w:fill="auto"/>
            <w:vAlign w:val="center"/>
          </w:tcPr>
          <w:p w14:paraId="7A21A595" w14:textId="77777777" w:rsidR="006C3DEB" w:rsidRPr="00BD6083" w:rsidRDefault="006C3DEB" w:rsidP="005A7549">
            <w:pPr>
              <w:pStyle w:val="TableTextCentered"/>
              <w:rPr>
                <w:rFonts w:eastAsia="Calibri"/>
              </w:rPr>
            </w:pPr>
            <w:r w:rsidRPr="004A7642">
              <w:rPr>
                <w:rFonts w:eastAsia="Calibri"/>
              </w:rPr>
              <w:t>0.038</w:t>
            </w:r>
          </w:p>
        </w:tc>
        <w:tc>
          <w:tcPr>
            <w:tcW w:w="1138" w:type="dxa"/>
            <w:tcBorders>
              <w:top w:val="single" w:sz="4" w:space="0" w:color="auto"/>
              <w:bottom w:val="single" w:sz="4" w:space="0" w:color="auto"/>
            </w:tcBorders>
            <w:shd w:val="clear" w:color="auto" w:fill="auto"/>
            <w:vAlign w:val="center"/>
          </w:tcPr>
          <w:p w14:paraId="77DA4A80" w14:textId="77777777" w:rsidR="006C3DEB" w:rsidRPr="00BD6083" w:rsidRDefault="006C3DEB" w:rsidP="005A7549">
            <w:pPr>
              <w:pStyle w:val="TableTextCentered"/>
              <w:rPr>
                <w:rFonts w:eastAsia="Calibri"/>
              </w:rPr>
            </w:pPr>
            <w:r w:rsidRPr="004A7642">
              <w:rPr>
                <w:rFonts w:eastAsia="Calibri"/>
              </w:rPr>
              <w:t>0.022</w:t>
            </w:r>
          </w:p>
        </w:tc>
        <w:tc>
          <w:tcPr>
            <w:tcW w:w="1138" w:type="dxa"/>
            <w:tcBorders>
              <w:top w:val="single" w:sz="4" w:space="0" w:color="auto"/>
              <w:bottom w:val="single" w:sz="4" w:space="0" w:color="auto"/>
            </w:tcBorders>
            <w:shd w:val="clear" w:color="auto" w:fill="auto"/>
            <w:vAlign w:val="center"/>
          </w:tcPr>
          <w:p w14:paraId="0C68F6A1" w14:textId="77777777" w:rsidR="006C3DEB" w:rsidRPr="00BD6083" w:rsidRDefault="006C3DEB" w:rsidP="005A7549">
            <w:pPr>
              <w:pStyle w:val="TableTextCentered"/>
              <w:rPr>
                <w:rFonts w:eastAsia="Calibri"/>
              </w:rPr>
            </w:pPr>
            <w:r w:rsidRPr="004A7642">
              <w:rPr>
                <w:rFonts w:eastAsia="Calibri"/>
              </w:rPr>
              <w:t>0.026</w:t>
            </w:r>
          </w:p>
        </w:tc>
        <w:tc>
          <w:tcPr>
            <w:tcW w:w="1158" w:type="dxa"/>
            <w:tcBorders>
              <w:top w:val="single" w:sz="4" w:space="0" w:color="auto"/>
              <w:bottom w:val="single" w:sz="4" w:space="0" w:color="auto"/>
            </w:tcBorders>
            <w:shd w:val="clear" w:color="auto" w:fill="auto"/>
            <w:vAlign w:val="center"/>
          </w:tcPr>
          <w:p w14:paraId="31CA4825" w14:textId="77777777" w:rsidR="006C3DEB" w:rsidRDefault="006C3DEB" w:rsidP="005A7549">
            <w:pPr>
              <w:pStyle w:val="TableTextCentered"/>
              <w:rPr>
                <w:rFonts w:eastAsia="Calibri"/>
              </w:rPr>
            </w:pPr>
            <w:r w:rsidRPr="00346861">
              <w:rPr>
                <w:rFonts w:eastAsia="Calibri"/>
              </w:rPr>
              <w:t>0.0</w:t>
            </w:r>
            <w:r>
              <w:rPr>
                <w:rFonts w:eastAsia="Calibri"/>
              </w:rPr>
              <w:t>00</w:t>
            </w:r>
          </w:p>
        </w:tc>
      </w:tr>
    </w:tbl>
    <w:p w14:paraId="502C9271" w14:textId="77777777" w:rsidR="006C3DEB" w:rsidRPr="0032767F" w:rsidRDefault="006C3DEB" w:rsidP="006C3DEB">
      <w:pPr>
        <w:pStyle w:val="Note"/>
      </w:pPr>
      <w:r w:rsidRPr="0032767F">
        <w:t>Source: Authors’ calculation based on ABS (2018</w:t>
      </w:r>
      <w:r>
        <w:t>a</w:t>
      </w:r>
      <w:r w:rsidRPr="0032767F">
        <w:t xml:space="preserve"> and </w:t>
      </w:r>
      <w:r>
        <w:t>2020b</w:t>
      </w:r>
      <w:r w:rsidRPr="0032767F">
        <w:t>) data.</w:t>
      </w:r>
    </w:p>
    <w:p w14:paraId="58FAE971" w14:textId="77777777" w:rsidR="006C3DEB" w:rsidRPr="00BD4409" w:rsidRDefault="006C3DEB" w:rsidP="006C3DEB">
      <w:pPr>
        <w:pStyle w:val="Heading5"/>
        <w:rPr>
          <w:rStyle w:val="IntenseEmphasis"/>
          <w:b/>
          <w:bCs w:val="0"/>
          <w:i w:val="0"/>
          <w:iCs/>
          <w:color w:val="000000" w:themeColor="text1"/>
        </w:rPr>
      </w:pPr>
      <w:r w:rsidRPr="00BD4409">
        <w:rPr>
          <w:rStyle w:val="IntenseEmphasis"/>
          <w:b/>
          <w:bCs w:val="0"/>
          <w:i w:val="0"/>
          <w:iCs/>
          <w:color w:val="000000" w:themeColor="text1"/>
        </w:rPr>
        <w:t>Goods and services tax</w:t>
      </w:r>
    </w:p>
    <w:p w14:paraId="6A7BC715" w14:textId="4C6378E8" w:rsidR="006C3DEB" w:rsidRDefault="006C3DEB" w:rsidP="006C3DEB">
      <w:r>
        <w:t xml:space="preserve">Consistent with current legislation the statutory GST rate </w:t>
      </w:r>
      <w:r w:rsidRPr="00E670A7">
        <w:rPr>
          <w:position w:val="-12"/>
        </w:rPr>
        <w:object w:dxaOrig="380" w:dyaOrig="380" w14:anchorId="40188A35">
          <v:shape id="_x0000_i1553" type="#_x0000_t75" style="width:18pt;height:18pt" o:ole="">
            <v:imagedata r:id="rId1083" o:title=""/>
          </v:shape>
          <o:OLEObject Type="Embed" ProgID="Equation.DSMT4" ShapeID="_x0000_i1553" DrawAspect="Content" ObjectID="_1754919104" r:id="rId1084"/>
        </w:object>
      </w:r>
      <w:r>
        <w:t>is set to 10 per cent. The GST coverage factors</w:t>
      </w:r>
      <w:r w:rsidRPr="00E670A7">
        <w:rPr>
          <w:position w:val="-14"/>
        </w:rPr>
        <w:object w:dxaOrig="1560" w:dyaOrig="400" w14:anchorId="087AE335">
          <v:shape id="_x0000_i1554" type="#_x0000_t75" style="width:79.2pt;height:20.4pt" o:ole="">
            <v:imagedata r:id="rId1085" o:title=""/>
          </v:shape>
          <o:OLEObject Type="Embed" ProgID="Equation.DSMT4" ShapeID="_x0000_i1554" DrawAspect="Content" ObjectID="_1754919105" r:id="rId1086"/>
        </w:object>
      </w:r>
      <w:r>
        <w:t xml:space="preserve">are calibrated based on the </w:t>
      </w:r>
      <w:r>
        <w:rPr>
          <w:rFonts w:eastAsia="Calibri"/>
        </w:rPr>
        <w:t>ABS (2018a) Input-Output tables, as reported in Table 15 below.</w:t>
      </w:r>
      <w:bookmarkStart w:id="37" w:name="_Ref101947393"/>
    </w:p>
    <w:p w14:paraId="299170E8" w14:textId="0A6A7069" w:rsidR="006C3DEB" w:rsidRDefault="006C3DEB" w:rsidP="006C3DEB">
      <w:pPr>
        <w:pStyle w:val="TableMainHeading"/>
      </w:pPr>
      <w:r>
        <w:t xml:space="preserve">Table </w:t>
      </w:r>
      <w:r>
        <w:rPr>
          <w:noProof/>
        </w:rPr>
        <w:fldChar w:fldCharType="begin"/>
      </w:r>
      <w:r>
        <w:rPr>
          <w:noProof/>
        </w:rPr>
        <w:instrText xml:space="preserve"> SEQ Table \* ARABIC </w:instrText>
      </w:r>
      <w:r>
        <w:rPr>
          <w:noProof/>
        </w:rPr>
        <w:fldChar w:fldCharType="separate"/>
      </w:r>
      <w:r w:rsidR="00E00A52">
        <w:rPr>
          <w:noProof/>
        </w:rPr>
        <w:t>15</w:t>
      </w:r>
      <w:r>
        <w:rPr>
          <w:noProof/>
        </w:rPr>
        <w:fldChar w:fldCharType="end"/>
      </w:r>
      <w:bookmarkEnd w:id="37"/>
      <w:r>
        <w:t>: G</w:t>
      </w:r>
      <w:r w:rsidRPr="0056291B">
        <w:t>oods and services tax</w:t>
      </w:r>
      <w:r>
        <w:t xml:space="preserve"> coverage factors</w:t>
      </w:r>
    </w:p>
    <w:tbl>
      <w:tblPr>
        <w:tblStyle w:val="TableGrid"/>
        <w:tblW w:w="5000" w:type="pct"/>
        <w:jc w:val="center"/>
        <w:shd w:val="clear" w:color="auto" w:fill="EEEEEE" w:themeFill="background2"/>
        <w:tblLayout w:type="fixed"/>
        <w:tblLook w:val="04A0" w:firstRow="1" w:lastRow="0" w:firstColumn="1" w:lastColumn="0" w:noHBand="0" w:noVBand="1"/>
      </w:tblPr>
      <w:tblGrid>
        <w:gridCol w:w="1629"/>
        <w:gridCol w:w="1063"/>
        <w:gridCol w:w="1063"/>
        <w:gridCol w:w="1063"/>
        <w:gridCol w:w="1063"/>
        <w:gridCol w:w="1063"/>
        <w:gridCol w:w="1063"/>
        <w:gridCol w:w="1063"/>
      </w:tblGrid>
      <w:tr w:rsidR="006C3DEB" w14:paraId="450627F7" w14:textId="77777777" w:rsidTr="00351D21">
        <w:trPr>
          <w:jc w:val="center"/>
        </w:trPr>
        <w:tc>
          <w:tcPr>
            <w:tcW w:w="1696" w:type="dxa"/>
            <w:vMerge w:val="restart"/>
            <w:tcBorders>
              <w:top w:val="single" w:sz="4" w:space="0" w:color="auto"/>
            </w:tcBorders>
            <w:shd w:val="clear" w:color="auto" w:fill="EEEEEE" w:themeFill="background2"/>
            <w:vAlign w:val="center"/>
          </w:tcPr>
          <w:p w14:paraId="4BA54CEC" w14:textId="77777777" w:rsidR="006C3DEB" w:rsidRPr="0088277E" w:rsidRDefault="006C3DEB" w:rsidP="005A7549">
            <w:pPr>
              <w:pStyle w:val="TableColumnHeadingLeft"/>
              <w:rPr>
                <w:rFonts w:eastAsia="Calibri"/>
              </w:rPr>
            </w:pPr>
            <w:r w:rsidRPr="0088277E">
              <w:rPr>
                <w:rFonts w:eastAsia="Calibri"/>
              </w:rPr>
              <w:t>Parameter</w:t>
            </w:r>
          </w:p>
        </w:tc>
        <w:tc>
          <w:tcPr>
            <w:tcW w:w="7716" w:type="dxa"/>
            <w:gridSpan w:val="7"/>
            <w:tcBorders>
              <w:top w:val="single" w:sz="4" w:space="0" w:color="auto"/>
              <w:bottom w:val="nil"/>
            </w:tcBorders>
            <w:shd w:val="clear" w:color="auto" w:fill="EEEEEE" w:themeFill="background2"/>
            <w:vAlign w:val="center"/>
          </w:tcPr>
          <w:p w14:paraId="1F84CF01" w14:textId="77777777" w:rsidR="006C3DEB" w:rsidRDefault="006C3DEB" w:rsidP="005A7549">
            <w:pPr>
              <w:pStyle w:val="TableColumnHeadingCentred"/>
              <w:rPr>
                <w:rFonts w:eastAsia="Calibri"/>
              </w:rPr>
            </w:pPr>
            <w:r w:rsidRPr="00A0456B">
              <w:rPr>
                <w:rFonts w:eastAsia="Calibri"/>
                <w:i/>
              </w:rPr>
              <w:t>j</w:t>
            </w:r>
            <w:r>
              <w:rPr>
                <w:rFonts w:eastAsia="Calibri"/>
              </w:rPr>
              <w:t xml:space="preserve"> =</w:t>
            </w:r>
          </w:p>
        </w:tc>
      </w:tr>
      <w:tr w:rsidR="006C3DEB" w14:paraId="3BFE65C1" w14:textId="77777777" w:rsidTr="00351D21">
        <w:trPr>
          <w:jc w:val="center"/>
        </w:trPr>
        <w:tc>
          <w:tcPr>
            <w:tcW w:w="1696" w:type="dxa"/>
            <w:vMerge/>
            <w:tcBorders>
              <w:bottom w:val="single" w:sz="4" w:space="0" w:color="auto"/>
            </w:tcBorders>
            <w:shd w:val="clear" w:color="auto" w:fill="EEEEEE" w:themeFill="background2"/>
          </w:tcPr>
          <w:p w14:paraId="1837F6F7" w14:textId="77777777" w:rsidR="006C3DEB" w:rsidRPr="0088277E" w:rsidRDefault="006C3DEB" w:rsidP="005A7549">
            <w:pPr>
              <w:pStyle w:val="TableColumnHeadingLeft"/>
              <w:rPr>
                <w:rFonts w:eastAsia="Calibri"/>
              </w:rPr>
            </w:pPr>
          </w:p>
        </w:tc>
        <w:tc>
          <w:tcPr>
            <w:tcW w:w="1103" w:type="dxa"/>
            <w:tcBorders>
              <w:top w:val="nil"/>
              <w:bottom w:val="single" w:sz="4" w:space="0" w:color="auto"/>
              <w:right w:val="nil"/>
            </w:tcBorders>
            <w:shd w:val="clear" w:color="auto" w:fill="EEEEEE" w:themeFill="background2"/>
            <w:vAlign w:val="center"/>
          </w:tcPr>
          <w:p w14:paraId="360A191A" w14:textId="77777777" w:rsidR="006C3DEB" w:rsidRPr="0088277E" w:rsidRDefault="006C3DEB" w:rsidP="005A7549">
            <w:pPr>
              <w:pStyle w:val="TableColumnHeadingCentred"/>
              <w:rPr>
                <w:rFonts w:eastAsia="Calibri"/>
              </w:rPr>
            </w:pPr>
            <w:r>
              <w:rPr>
                <w:rFonts w:eastAsia="Calibri"/>
              </w:rPr>
              <w:t>AGR</w:t>
            </w:r>
          </w:p>
        </w:tc>
        <w:tc>
          <w:tcPr>
            <w:tcW w:w="1103" w:type="dxa"/>
            <w:tcBorders>
              <w:top w:val="nil"/>
              <w:left w:val="nil"/>
              <w:bottom w:val="single" w:sz="4" w:space="0" w:color="auto"/>
              <w:right w:val="nil"/>
            </w:tcBorders>
            <w:shd w:val="clear" w:color="auto" w:fill="EEEEEE" w:themeFill="background2"/>
            <w:vAlign w:val="center"/>
          </w:tcPr>
          <w:p w14:paraId="3C71DD34" w14:textId="77777777" w:rsidR="006C3DEB" w:rsidRPr="0088277E" w:rsidRDefault="006C3DEB" w:rsidP="005A7549">
            <w:pPr>
              <w:pStyle w:val="TableColumnHeadingCentred"/>
              <w:rPr>
                <w:rFonts w:eastAsia="Calibri"/>
              </w:rPr>
            </w:pPr>
            <w:r>
              <w:rPr>
                <w:rFonts w:eastAsia="Calibri"/>
              </w:rPr>
              <w:t>MIN</w:t>
            </w:r>
          </w:p>
        </w:tc>
        <w:tc>
          <w:tcPr>
            <w:tcW w:w="1102" w:type="dxa"/>
            <w:tcBorders>
              <w:top w:val="nil"/>
              <w:left w:val="nil"/>
              <w:bottom w:val="single" w:sz="4" w:space="0" w:color="auto"/>
              <w:right w:val="nil"/>
            </w:tcBorders>
            <w:shd w:val="clear" w:color="auto" w:fill="EEEEEE" w:themeFill="background2"/>
            <w:vAlign w:val="center"/>
          </w:tcPr>
          <w:p w14:paraId="773FD6CC" w14:textId="77777777" w:rsidR="006C3DEB" w:rsidRDefault="006C3DEB" w:rsidP="005A7549">
            <w:pPr>
              <w:pStyle w:val="TableColumnHeadingCentred"/>
              <w:rPr>
                <w:rFonts w:eastAsia="Calibri"/>
              </w:rPr>
            </w:pPr>
            <w:r>
              <w:rPr>
                <w:rFonts w:eastAsia="Calibri"/>
              </w:rPr>
              <w:t>MAN</w:t>
            </w:r>
          </w:p>
        </w:tc>
        <w:tc>
          <w:tcPr>
            <w:tcW w:w="1102" w:type="dxa"/>
            <w:tcBorders>
              <w:top w:val="nil"/>
              <w:left w:val="nil"/>
              <w:bottom w:val="single" w:sz="4" w:space="0" w:color="auto"/>
              <w:right w:val="nil"/>
            </w:tcBorders>
            <w:shd w:val="clear" w:color="auto" w:fill="EEEEEE" w:themeFill="background2"/>
            <w:vAlign w:val="center"/>
          </w:tcPr>
          <w:p w14:paraId="6720582D" w14:textId="77777777" w:rsidR="006C3DEB" w:rsidRDefault="006C3DEB" w:rsidP="005A7549">
            <w:pPr>
              <w:pStyle w:val="TableColumnHeadingCentred"/>
              <w:rPr>
                <w:rFonts w:eastAsia="Calibri"/>
              </w:rPr>
            </w:pPr>
            <w:r>
              <w:rPr>
                <w:rFonts w:eastAsia="Calibri"/>
              </w:rPr>
              <w:t>UTL</w:t>
            </w:r>
          </w:p>
        </w:tc>
        <w:tc>
          <w:tcPr>
            <w:tcW w:w="1102" w:type="dxa"/>
            <w:tcBorders>
              <w:top w:val="nil"/>
              <w:left w:val="nil"/>
              <w:bottom w:val="single" w:sz="4" w:space="0" w:color="auto"/>
              <w:right w:val="nil"/>
            </w:tcBorders>
            <w:shd w:val="clear" w:color="auto" w:fill="EEEEEE" w:themeFill="background2"/>
            <w:vAlign w:val="center"/>
          </w:tcPr>
          <w:p w14:paraId="5EE3B127" w14:textId="77777777" w:rsidR="006C3DEB" w:rsidRDefault="006C3DEB" w:rsidP="005A7549">
            <w:pPr>
              <w:pStyle w:val="TableColumnHeadingCentred"/>
              <w:rPr>
                <w:rFonts w:eastAsia="Calibri"/>
              </w:rPr>
            </w:pPr>
            <w:r>
              <w:rPr>
                <w:rFonts w:eastAsia="Calibri"/>
              </w:rPr>
              <w:t>CST</w:t>
            </w:r>
          </w:p>
        </w:tc>
        <w:tc>
          <w:tcPr>
            <w:tcW w:w="1102" w:type="dxa"/>
            <w:tcBorders>
              <w:top w:val="nil"/>
              <w:left w:val="nil"/>
              <w:bottom w:val="single" w:sz="4" w:space="0" w:color="auto"/>
              <w:right w:val="nil"/>
            </w:tcBorders>
            <w:shd w:val="clear" w:color="auto" w:fill="EEEEEE" w:themeFill="background2"/>
            <w:vAlign w:val="center"/>
          </w:tcPr>
          <w:p w14:paraId="60101A34" w14:textId="77777777" w:rsidR="006C3DEB" w:rsidRDefault="006C3DEB" w:rsidP="005A7549">
            <w:pPr>
              <w:pStyle w:val="TableColumnHeadingCentred"/>
              <w:rPr>
                <w:rFonts w:eastAsia="Calibri"/>
              </w:rPr>
            </w:pPr>
            <w:r>
              <w:rPr>
                <w:rFonts w:eastAsia="Calibri"/>
              </w:rPr>
              <w:t>SRV</w:t>
            </w:r>
          </w:p>
        </w:tc>
        <w:tc>
          <w:tcPr>
            <w:tcW w:w="1102" w:type="dxa"/>
            <w:tcBorders>
              <w:top w:val="nil"/>
              <w:left w:val="nil"/>
              <w:bottom w:val="single" w:sz="4" w:space="0" w:color="auto"/>
            </w:tcBorders>
            <w:shd w:val="clear" w:color="auto" w:fill="EEEEEE" w:themeFill="background2"/>
            <w:vAlign w:val="center"/>
          </w:tcPr>
          <w:p w14:paraId="64CA3274" w14:textId="77777777" w:rsidR="006C3DEB" w:rsidRDefault="006C3DEB" w:rsidP="005A7549">
            <w:pPr>
              <w:pStyle w:val="TableColumnHeadingCentred"/>
              <w:rPr>
                <w:rFonts w:eastAsia="Calibri"/>
              </w:rPr>
            </w:pPr>
            <w:r>
              <w:rPr>
                <w:rFonts w:eastAsia="Calibri"/>
              </w:rPr>
              <w:t>DWE</w:t>
            </w:r>
          </w:p>
        </w:tc>
      </w:tr>
      <w:tr w:rsidR="006C3DEB" w14:paraId="12056F9C" w14:textId="77777777" w:rsidTr="00351D21">
        <w:trPr>
          <w:jc w:val="center"/>
        </w:trPr>
        <w:tc>
          <w:tcPr>
            <w:tcW w:w="1696" w:type="dxa"/>
            <w:tcBorders>
              <w:top w:val="single" w:sz="4" w:space="0" w:color="auto"/>
              <w:right w:val="single" w:sz="4" w:space="0" w:color="auto"/>
            </w:tcBorders>
            <w:shd w:val="clear" w:color="auto" w:fill="EEEEEE" w:themeFill="background2"/>
          </w:tcPr>
          <w:p w14:paraId="2992803F"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420" w:dyaOrig="400" w14:anchorId="6D6B1476">
                <v:shape id="_x0000_i1555" type="#_x0000_t75" style="width:19.8pt;height:20.4pt" o:ole="">
                  <v:imagedata r:id="rId1087" o:title=""/>
                </v:shape>
                <o:OLEObject Type="Embed" ProgID="Equation.DSMT4" ShapeID="_x0000_i1555" DrawAspect="Content" ObjectID="_1754919106" r:id="rId1088"/>
              </w:object>
            </w:r>
          </w:p>
        </w:tc>
        <w:tc>
          <w:tcPr>
            <w:tcW w:w="1103" w:type="dxa"/>
            <w:tcBorders>
              <w:top w:val="single" w:sz="4" w:space="0" w:color="auto"/>
              <w:left w:val="single" w:sz="4" w:space="0" w:color="auto"/>
            </w:tcBorders>
            <w:shd w:val="clear" w:color="auto" w:fill="auto"/>
            <w:vAlign w:val="center"/>
          </w:tcPr>
          <w:p w14:paraId="744EB046" w14:textId="77777777" w:rsidR="006C3DEB" w:rsidRPr="00C522F1" w:rsidRDefault="006C3DEB" w:rsidP="005A7549">
            <w:pPr>
              <w:pStyle w:val="TableTextCentered"/>
              <w:rPr>
                <w:rFonts w:eastAsia="Calibri"/>
                <w:szCs w:val="18"/>
              </w:rPr>
            </w:pPr>
            <w:r w:rsidRPr="00C522F1">
              <w:rPr>
                <w:rFonts w:eastAsia="Calibri"/>
                <w:szCs w:val="18"/>
              </w:rPr>
              <w:t>0.0565</w:t>
            </w:r>
          </w:p>
        </w:tc>
        <w:tc>
          <w:tcPr>
            <w:tcW w:w="1103" w:type="dxa"/>
            <w:tcBorders>
              <w:top w:val="single" w:sz="4" w:space="0" w:color="auto"/>
            </w:tcBorders>
            <w:shd w:val="clear" w:color="auto" w:fill="auto"/>
            <w:vAlign w:val="center"/>
          </w:tcPr>
          <w:p w14:paraId="09CD60E6" w14:textId="77777777" w:rsidR="006C3DEB" w:rsidRPr="00C522F1" w:rsidRDefault="006C3DEB" w:rsidP="005A7549">
            <w:pPr>
              <w:pStyle w:val="TableTextCentered"/>
              <w:rPr>
                <w:rFonts w:eastAsia="Calibri"/>
                <w:szCs w:val="18"/>
              </w:rPr>
            </w:pPr>
            <w:r w:rsidRPr="00C522F1">
              <w:rPr>
                <w:rFonts w:eastAsia="Calibri"/>
                <w:szCs w:val="18"/>
              </w:rPr>
              <w:t>0.8954</w:t>
            </w:r>
          </w:p>
        </w:tc>
        <w:tc>
          <w:tcPr>
            <w:tcW w:w="1102" w:type="dxa"/>
            <w:tcBorders>
              <w:top w:val="single" w:sz="4" w:space="0" w:color="auto"/>
            </w:tcBorders>
            <w:shd w:val="clear" w:color="auto" w:fill="auto"/>
            <w:vAlign w:val="center"/>
          </w:tcPr>
          <w:p w14:paraId="270B0796" w14:textId="77777777" w:rsidR="006C3DEB" w:rsidRPr="00C522F1" w:rsidRDefault="006C3DEB" w:rsidP="005A7549">
            <w:pPr>
              <w:pStyle w:val="TableTextCentered"/>
              <w:rPr>
                <w:rFonts w:eastAsia="Calibri"/>
                <w:szCs w:val="18"/>
              </w:rPr>
            </w:pPr>
            <w:r w:rsidRPr="00C522F1">
              <w:rPr>
                <w:rFonts w:eastAsia="Calibri"/>
                <w:szCs w:val="18"/>
              </w:rPr>
              <w:t>0.6829</w:t>
            </w:r>
          </w:p>
        </w:tc>
        <w:tc>
          <w:tcPr>
            <w:tcW w:w="1102" w:type="dxa"/>
            <w:tcBorders>
              <w:top w:val="single" w:sz="4" w:space="0" w:color="auto"/>
            </w:tcBorders>
            <w:shd w:val="clear" w:color="auto" w:fill="auto"/>
            <w:vAlign w:val="center"/>
          </w:tcPr>
          <w:p w14:paraId="6D2EC986" w14:textId="77777777" w:rsidR="006C3DEB" w:rsidRPr="00C522F1" w:rsidRDefault="006C3DEB" w:rsidP="005A7549">
            <w:pPr>
              <w:pStyle w:val="TableTextCentered"/>
              <w:rPr>
                <w:rFonts w:eastAsia="Calibri"/>
                <w:szCs w:val="18"/>
              </w:rPr>
            </w:pPr>
            <w:r w:rsidRPr="00C522F1">
              <w:rPr>
                <w:rFonts w:eastAsia="Calibri"/>
                <w:szCs w:val="18"/>
              </w:rPr>
              <w:t>0.6931</w:t>
            </w:r>
          </w:p>
        </w:tc>
        <w:tc>
          <w:tcPr>
            <w:tcW w:w="1102" w:type="dxa"/>
            <w:tcBorders>
              <w:top w:val="single" w:sz="4" w:space="0" w:color="auto"/>
            </w:tcBorders>
            <w:shd w:val="clear" w:color="auto" w:fill="auto"/>
            <w:vAlign w:val="center"/>
          </w:tcPr>
          <w:p w14:paraId="36F6172F" w14:textId="77777777" w:rsidR="006C3DEB" w:rsidRPr="00C522F1" w:rsidRDefault="006C3DEB" w:rsidP="005A7549">
            <w:pPr>
              <w:pStyle w:val="TableTextCentered"/>
              <w:rPr>
                <w:rFonts w:eastAsia="Calibri"/>
                <w:szCs w:val="18"/>
              </w:rPr>
            </w:pPr>
            <w:r w:rsidRPr="00C522F1">
              <w:rPr>
                <w:rFonts w:eastAsia="Calibri"/>
                <w:szCs w:val="18"/>
              </w:rPr>
              <w:t>0.8369</w:t>
            </w:r>
          </w:p>
        </w:tc>
        <w:tc>
          <w:tcPr>
            <w:tcW w:w="1102" w:type="dxa"/>
            <w:tcBorders>
              <w:top w:val="single" w:sz="4" w:space="0" w:color="auto"/>
            </w:tcBorders>
            <w:shd w:val="clear" w:color="auto" w:fill="auto"/>
            <w:vAlign w:val="center"/>
          </w:tcPr>
          <w:p w14:paraId="19E44982" w14:textId="77777777" w:rsidR="006C3DEB" w:rsidRPr="00C522F1" w:rsidRDefault="006C3DEB" w:rsidP="005A7549">
            <w:pPr>
              <w:pStyle w:val="TableTextCentered"/>
              <w:rPr>
                <w:rFonts w:eastAsia="Calibri"/>
                <w:szCs w:val="18"/>
              </w:rPr>
            </w:pPr>
            <w:r w:rsidRPr="00C522F1">
              <w:rPr>
                <w:rFonts w:eastAsia="Calibri"/>
                <w:szCs w:val="18"/>
              </w:rPr>
              <w:t>0.5523</w:t>
            </w:r>
          </w:p>
        </w:tc>
        <w:tc>
          <w:tcPr>
            <w:tcW w:w="1102" w:type="dxa"/>
            <w:tcBorders>
              <w:top w:val="single" w:sz="4" w:space="0" w:color="auto"/>
            </w:tcBorders>
            <w:shd w:val="clear" w:color="auto" w:fill="auto"/>
            <w:vAlign w:val="center"/>
          </w:tcPr>
          <w:p w14:paraId="65E4B520" w14:textId="77777777" w:rsidR="006C3DEB" w:rsidRPr="00C522F1" w:rsidRDefault="006C3DEB" w:rsidP="005A7549">
            <w:pPr>
              <w:pStyle w:val="TableTextCentered"/>
              <w:rPr>
                <w:rFonts w:eastAsia="Calibri"/>
                <w:szCs w:val="18"/>
              </w:rPr>
            </w:pPr>
            <w:r w:rsidRPr="00C522F1">
              <w:rPr>
                <w:rFonts w:eastAsia="Calibri"/>
                <w:szCs w:val="18"/>
              </w:rPr>
              <w:t>0.0005</w:t>
            </w:r>
          </w:p>
        </w:tc>
      </w:tr>
      <w:tr w:rsidR="006C3DEB" w14:paraId="754D652F" w14:textId="77777777" w:rsidTr="00351D21">
        <w:trPr>
          <w:jc w:val="center"/>
        </w:trPr>
        <w:tc>
          <w:tcPr>
            <w:tcW w:w="1696" w:type="dxa"/>
            <w:tcBorders>
              <w:right w:val="single" w:sz="4" w:space="0" w:color="auto"/>
            </w:tcBorders>
            <w:shd w:val="clear" w:color="auto" w:fill="EEEEEE" w:themeFill="background2"/>
          </w:tcPr>
          <w:p w14:paraId="7597651F" w14:textId="77777777" w:rsidR="006C3DEB" w:rsidRPr="000C2A36" w:rsidRDefault="006C3DEB" w:rsidP="005A7549">
            <w:pPr>
              <w:pStyle w:val="TableColumnHeadingLeft"/>
              <w:rPr>
                <w:rFonts w:eastAsiaTheme="minorHAnsi" w:cstheme="minorBidi"/>
                <w:position w:val="-14"/>
                <w:sz w:val="22"/>
                <w:szCs w:val="22"/>
                <w:lang w:eastAsia="en-US"/>
              </w:rPr>
            </w:pPr>
            <w:r w:rsidRPr="00E670A7">
              <w:rPr>
                <w:rFonts w:eastAsiaTheme="minorHAnsi" w:cstheme="minorBidi"/>
                <w:position w:val="-14"/>
                <w:sz w:val="22"/>
                <w:szCs w:val="22"/>
                <w:lang w:eastAsia="en-US"/>
              </w:rPr>
              <w:object w:dxaOrig="760" w:dyaOrig="400" w14:anchorId="3FFCD326">
                <v:shape id="_x0000_i1556" type="#_x0000_t75" style="width:39pt;height:20.4pt" o:ole="">
                  <v:imagedata r:id="rId1089" o:title=""/>
                </v:shape>
                <o:OLEObject Type="Embed" ProgID="Equation.DSMT4" ShapeID="_x0000_i1556" DrawAspect="Content" ObjectID="_1754919107" r:id="rId1090"/>
              </w:object>
            </w:r>
          </w:p>
        </w:tc>
        <w:tc>
          <w:tcPr>
            <w:tcW w:w="1103" w:type="dxa"/>
            <w:tcBorders>
              <w:left w:val="single" w:sz="4" w:space="0" w:color="auto"/>
            </w:tcBorders>
            <w:shd w:val="clear" w:color="auto" w:fill="auto"/>
            <w:vAlign w:val="center"/>
          </w:tcPr>
          <w:p w14:paraId="4C0F51F8"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Theme="minorHAnsi" w:cstheme="minorBidi"/>
                <w:position w:val="-14"/>
                <w:szCs w:val="18"/>
                <w:lang w:eastAsia="en-US"/>
              </w:rPr>
              <w:t>0.1202</w:t>
            </w:r>
          </w:p>
        </w:tc>
        <w:tc>
          <w:tcPr>
            <w:tcW w:w="1103" w:type="dxa"/>
            <w:shd w:val="clear" w:color="auto" w:fill="auto"/>
            <w:vAlign w:val="center"/>
          </w:tcPr>
          <w:p w14:paraId="02C86CBE"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5E0059BD"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4E7F81A7"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0C9DB3EB"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190C0674"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7D605FF0"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r>
      <w:tr w:rsidR="006C3DEB" w14:paraId="7ECB9FC5" w14:textId="77777777" w:rsidTr="00351D21">
        <w:trPr>
          <w:jc w:val="center"/>
        </w:trPr>
        <w:tc>
          <w:tcPr>
            <w:tcW w:w="1696" w:type="dxa"/>
            <w:tcBorders>
              <w:right w:val="single" w:sz="4" w:space="0" w:color="auto"/>
            </w:tcBorders>
            <w:shd w:val="clear" w:color="auto" w:fill="EEEEEE" w:themeFill="background2"/>
          </w:tcPr>
          <w:p w14:paraId="352FA49A" w14:textId="77777777" w:rsidR="006C3DEB" w:rsidRPr="000C2A36" w:rsidRDefault="006C3DEB" w:rsidP="005A7549">
            <w:pPr>
              <w:pStyle w:val="TableColumnHeadingLeft"/>
              <w:rPr>
                <w:rFonts w:eastAsiaTheme="minorHAnsi" w:cstheme="minorBidi"/>
                <w:position w:val="-14"/>
                <w:sz w:val="22"/>
                <w:szCs w:val="22"/>
                <w:lang w:eastAsia="en-US"/>
              </w:rPr>
            </w:pPr>
            <w:r w:rsidRPr="00E670A7">
              <w:rPr>
                <w:rFonts w:eastAsiaTheme="minorHAnsi" w:cstheme="minorBidi"/>
                <w:position w:val="-14"/>
                <w:sz w:val="22"/>
                <w:szCs w:val="22"/>
                <w:lang w:eastAsia="en-US"/>
              </w:rPr>
              <w:object w:dxaOrig="740" w:dyaOrig="400" w14:anchorId="613D4260">
                <v:shape id="_x0000_i1557" type="#_x0000_t75" style="width:36.6pt;height:20.4pt" o:ole="">
                  <v:imagedata r:id="rId1091" o:title=""/>
                </v:shape>
                <o:OLEObject Type="Embed" ProgID="Equation.DSMT4" ShapeID="_x0000_i1557" DrawAspect="Content" ObjectID="_1754919108" r:id="rId1092"/>
              </w:object>
            </w:r>
          </w:p>
        </w:tc>
        <w:tc>
          <w:tcPr>
            <w:tcW w:w="1103" w:type="dxa"/>
            <w:tcBorders>
              <w:left w:val="single" w:sz="4" w:space="0" w:color="auto"/>
            </w:tcBorders>
            <w:shd w:val="clear" w:color="auto" w:fill="auto"/>
            <w:vAlign w:val="center"/>
          </w:tcPr>
          <w:p w14:paraId="7FCA6A67"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3" w:type="dxa"/>
            <w:shd w:val="clear" w:color="auto" w:fill="auto"/>
            <w:vAlign w:val="center"/>
          </w:tcPr>
          <w:p w14:paraId="1360F60B"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09CBCAF5"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6A35CD00"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2D067B74"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6CBACDAE"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5571836C"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r>
      <w:tr w:rsidR="006C3DEB" w14:paraId="2F5DADA4" w14:textId="77777777" w:rsidTr="00351D21">
        <w:trPr>
          <w:jc w:val="center"/>
        </w:trPr>
        <w:tc>
          <w:tcPr>
            <w:tcW w:w="1696" w:type="dxa"/>
            <w:tcBorders>
              <w:right w:val="single" w:sz="4" w:space="0" w:color="auto"/>
            </w:tcBorders>
            <w:shd w:val="clear" w:color="auto" w:fill="EEEEEE" w:themeFill="background2"/>
          </w:tcPr>
          <w:p w14:paraId="64BD4B17" w14:textId="77777777" w:rsidR="006C3DEB" w:rsidRPr="000C2A36" w:rsidRDefault="006C3DEB" w:rsidP="005A7549">
            <w:pPr>
              <w:pStyle w:val="TableColumnHeadingLeft"/>
              <w:rPr>
                <w:rFonts w:eastAsiaTheme="minorHAnsi" w:cstheme="minorBidi"/>
                <w:position w:val="-14"/>
                <w:sz w:val="22"/>
                <w:szCs w:val="22"/>
                <w:lang w:eastAsia="en-US"/>
              </w:rPr>
            </w:pPr>
            <w:r w:rsidRPr="00E670A7">
              <w:rPr>
                <w:rFonts w:eastAsiaTheme="minorHAnsi" w:cstheme="minorBidi"/>
                <w:position w:val="-14"/>
                <w:sz w:val="22"/>
                <w:szCs w:val="22"/>
                <w:lang w:eastAsia="en-US"/>
              </w:rPr>
              <w:object w:dxaOrig="780" w:dyaOrig="400" w14:anchorId="06285A75">
                <v:shape id="_x0000_i1558" type="#_x0000_t75" style="width:39.6pt;height:20.4pt" o:ole="">
                  <v:imagedata r:id="rId1093" o:title=""/>
                </v:shape>
                <o:OLEObject Type="Embed" ProgID="Equation.DSMT4" ShapeID="_x0000_i1558" DrawAspect="Content" ObjectID="_1754919109" r:id="rId1094"/>
              </w:object>
            </w:r>
          </w:p>
        </w:tc>
        <w:tc>
          <w:tcPr>
            <w:tcW w:w="1103" w:type="dxa"/>
            <w:tcBorders>
              <w:left w:val="single" w:sz="4" w:space="0" w:color="auto"/>
            </w:tcBorders>
            <w:shd w:val="clear" w:color="auto" w:fill="auto"/>
            <w:vAlign w:val="center"/>
          </w:tcPr>
          <w:p w14:paraId="4CF69B61"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3" w:type="dxa"/>
            <w:shd w:val="clear" w:color="auto" w:fill="auto"/>
            <w:vAlign w:val="center"/>
          </w:tcPr>
          <w:p w14:paraId="2BB3B2E7"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27E31984"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4E56AF60"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6E92C838"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1017FE17"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037B61A5"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r>
      <w:tr w:rsidR="006C3DEB" w14:paraId="36D585A4" w14:textId="77777777" w:rsidTr="00351D21">
        <w:trPr>
          <w:jc w:val="center"/>
        </w:trPr>
        <w:tc>
          <w:tcPr>
            <w:tcW w:w="1696" w:type="dxa"/>
            <w:tcBorders>
              <w:right w:val="single" w:sz="4" w:space="0" w:color="auto"/>
            </w:tcBorders>
            <w:shd w:val="clear" w:color="auto" w:fill="EEEEEE" w:themeFill="background2"/>
          </w:tcPr>
          <w:p w14:paraId="37DB36FC" w14:textId="77777777" w:rsidR="006C3DEB" w:rsidRPr="000C2A36" w:rsidRDefault="006C3DEB" w:rsidP="005A7549">
            <w:pPr>
              <w:pStyle w:val="TableColumnHeadingLeft"/>
              <w:rPr>
                <w:rFonts w:eastAsiaTheme="minorHAnsi" w:cstheme="minorBidi"/>
                <w:position w:val="-14"/>
                <w:sz w:val="22"/>
                <w:szCs w:val="22"/>
                <w:lang w:eastAsia="en-US"/>
              </w:rPr>
            </w:pPr>
            <w:r w:rsidRPr="00E670A7">
              <w:rPr>
                <w:rFonts w:eastAsiaTheme="minorHAnsi" w:cstheme="minorBidi"/>
                <w:position w:val="-14"/>
                <w:sz w:val="22"/>
                <w:szCs w:val="22"/>
                <w:lang w:eastAsia="en-US"/>
              </w:rPr>
              <w:object w:dxaOrig="720" w:dyaOrig="400" w14:anchorId="5522FE77">
                <v:shape id="_x0000_i1559" type="#_x0000_t75" style="width:37.8pt;height:20.4pt" o:ole="">
                  <v:imagedata r:id="rId1095" o:title=""/>
                </v:shape>
                <o:OLEObject Type="Embed" ProgID="Equation.DSMT4" ShapeID="_x0000_i1559" DrawAspect="Content" ObjectID="_1754919110" r:id="rId1096"/>
              </w:object>
            </w:r>
          </w:p>
        </w:tc>
        <w:tc>
          <w:tcPr>
            <w:tcW w:w="1103" w:type="dxa"/>
            <w:tcBorders>
              <w:left w:val="single" w:sz="4" w:space="0" w:color="auto"/>
            </w:tcBorders>
            <w:shd w:val="clear" w:color="auto" w:fill="auto"/>
            <w:vAlign w:val="center"/>
          </w:tcPr>
          <w:p w14:paraId="6FD9232E"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3" w:type="dxa"/>
            <w:shd w:val="clear" w:color="auto" w:fill="auto"/>
            <w:vAlign w:val="center"/>
          </w:tcPr>
          <w:p w14:paraId="7827A068"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2341A9FF"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29236AFD"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4ECC2D19"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09EAF2F9"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1577FA99"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r>
      <w:tr w:rsidR="006C3DEB" w14:paraId="32257C05" w14:textId="77777777" w:rsidTr="00351D21">
        <w:trPr>
          <w:jc w:val="center"/>
        </w:trPr>
        <w:tc>
          <w:tcPr>
            <w:tcW w:w="1696" w:type="dxa"/>
            <w:tcBorders>
              <w:right w:val="single" w:sz="4" w:space="0" w:color="auto"/>
            </w:tcBorders>
            <w:shd w:val="clear" w:color="auto" w:fill="EEEEEE" w:themeFill="background2"/>
          </w:tcPr>
          <w:p w14:paraId="3874B80D" w14:textId="77777777" w:rsidR="006C3DEB" w:rsidRPr="000C2A36" w:rsidRDefault="006C3DEB" w:rsidP="005A7549">
            <w:pPr>
              <w:pStyle w:val="TableColumnHeadingLeft"/>
              <w:rPr>
                <w:rFonts w:eastAsiaTheme="minorHAnsi" w:cstheme="minorBidi"/>
                <w:position w:val="-14"/>
                <w:sz w:val="22"/>
                <w:szCs w:val="22"/>
                <w:lang w:eastAsia="en-US"/>
              </w:rPr>
            </w:pPr>
            <w:r w:rsidRPr="00E670A7">
              <w:rPr>
                <w:rFonts w:eastAsiaTheme="minorHAnsi" w:cstheme="minorBidi"/>
                <w:position w:val="-14"/>
                <w:sz w:val="22"/>
                <w:szCs w:val="22"/>
                <w:lang w:eastAsia="en-US"/>
              </w:rPr>
              <w:object w:dxaOrig="720" w:dyaOrig="400" w14:anchorId="3A88EB68">
                <v:shape id="_x0000_i1560" type="#_x0000_t75" style="width:37.8pt;height:20.4pt" o:ole="">
                  <v:imagedata r:id="rId1097" o:title=""/>
                </v:shape>
                <o:OLEObject Type="Embed" ProgID="Equation.DSMT4" ShapeID="_x0000_i1560" DrawAspect="Content" ObjectID="_1754919111" r:id="rId1098"/>
              </w:object>
            </w:r>
          </w:p>
        </w:tc>
        <w:tc>
          <w:tcPr>
            <w:tcW w:w="1103" w:type="dxa"/>
            <w:tcBorders>
              <w:left w:val="single" w:sz="4" w:space="0" w:color="auto"/>
            </w:tcBorders>
            <w:shd w:val="clear" w:color="auto" w:fill="auto"/>
            <w:vAlign w:val="center"/>
          </w:tcPr>
          <w:p w14:paraId="70C58B88"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3" w:type="dxa"/>
            <w:shd w:val="clear" w:color="auto" w:fill="auto"/>
            <w:vAlign w:val="center"/>
          </w:tcPr>
          <w:p w14:paraId="6586E52D"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0312EA75"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07B94EB1"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6B0C9B04"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5DA3DA8F"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72048314"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r>
      <w:tr w:rsidR="006C3DEB" w14:paraId="367F2B54" w14:textId="77777777" w:rsidTr="00351D21">
        <w:trPr>
          <w:jc w:val="center"/>
        </w:trPr>
        <w:tc>
          <w:tcPr>
            <w:tcW w:w="1696" w:type="dxa"/>
            <w:tcBorders>
              <w:right w:val="single" w:sz="4" w:space="0" w:color="auto"/>
            </w:tcBorders>
            <w:shd w:val="clear" w:color="auto" w:fill="EEEEEE" w:themeFill="background2"/>
          </w:tcPr>
          <w:p w14:paraId="63139911" w14:textId="77777777" w:rsidR="006C3DEB" w:rsidRPr="000C2A36" w:rsidRDefault="006C3DEB" w:rsidP="005A7549">
            <w:pPr>
              <w:pStyle w:val="TableColumnHeadingLeft"/>
              <w:rPr>
                <w:rFonts w:eastAsiaTheme="minorHAnsi" w:cstheme="minorBidi"/>
                <w:position w:val="-14"/>
                <w:sz w:val="22"/>
                <w:szCs w:val="22"/>
                <w:lang w:eastAsia="en-US"/>
              </w:rPr>
            </w:pPr>
            <w:r w:rsidRPr="00E670A7">
              <w:rPr>
                <w:rFonts w:eastAsiaTheme="minorHAnsi" w:cstheme="minorBidi"/>
                <w:position w:val="-14"/>
                <w:sz w:val="22"/>
                <w:szCs w:val="22"/>
                <w:lang w:eastAsia="en-US"/>
              </w:rPr>
              <w:object w:dxaOrig="740" w:dyaOrig="400" w14:anchorId="31BBB5E5">
                <v:shape id="_x0000_i1561" type="#_x0000_t75" style="width:36.6pt;height:20.4pt" o:ole="">
                  <v:imagedata r:id="rId1099" o:title=""/>
                </v:shape>
                <o:OLEObject Type="Embed" ProgID="Equation.DSMT4" ShapeID="_x0000_i1561" DrawAspect="Content" ObjectID="_1754919112" r:id="rId1100"/>
              </w:object>
            </w:r>
          </w:p>
        </w:tc>
        <w:tc>
          <w:tcPr>
            <w:tcW w:w="1103" w:type="dxa"/>
            <w:tcBorders>
              <w:left w:val="single" w:sz="4" w:space="0" w:color="auto"/>
            </w:tcBorders>
            <w:shd w:val="clear" w:color="auto" w:fill="auto"/>
            <w:vAlign w:val="center"/>
          </w:tcPr>
          <w:p w14:paraId="01E4056F"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3" w:type="dxa"/>
            <w:shd w:val="clear" w:color="auto" w:fill="auto"/>
            <w:vAlign w:val="center"/>
          </w:tcPr>
          <w:p w14:paraId="23B12827"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5E5E15D1"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Theme="minorHAnsi" w:cstheme="minorBidi"/>
                <w:position w:val="-14"/>
                <w:szCs w:val="18"/>
                <w:lang w:eastAsia="en-US"/>
              </w:rPr>
              <w:t>0.1750</w:t>
            </w:r>
          </w:p>
        </w:tc>
        <w:tc>
          <w:tcPr>
            <w:tcW w:w="1102" w:type="dxa"/>
            <w:shd w:val="clear" w:color="auto" w:fill="auto"/>
            <w:vAlign w:val="center"/>
          </w:tcPr>
          <w:p w14:paraId="5A77E5DD"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44BA418D"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38719823"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Theme="minorHAnsi" w:cstheme="minorBidi"/>
                <w:position w:val="-14"/>
                <w:szCs w:val="18"/>
                <w:lang w:eastAsia="en-US"/>
              </w:rPr>
              <w:t>0.1150</w:t>
            </w:r>
          </w:p>
        </w:tc>
        <w:tc>
          <w:tcPr>
            <w:tcW w:w="1102" w:type="dxa"/>
            <w:shd w:val="clear" w:color="auto" w:fill="auto"/>
            <w:vAlign w:val="center"/>
          </w:tcPr>
          <w:p w14:paraId="78E64F5A"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r>
      <w:tr w:rsidR="006C3DEB" w14:paraId="5C120786" w14:textId="77777777" w:rsidTr="00351D21">
        <w:trPr>
          <w:jc w:val="center"/>
        </w:trPr>
        <w:tc>
          <w:tcPr>
            <w:tcW w:w="1696" w:type="dxa"/>
            <w:tcBorders>
              <w:right w:val="single" w:sz="4" w:space="0" w:color="auto"/>
            </w:tcBorders>
            <w:shd w:val="clear" w:color="auto" w:fill="EEEEEE" w:themeFill="background2"/>
          </w:tcPr>
          <w:p w14:paraId="47AE0444" w14:textId="77777777" w:rsidR="006C3DEB" w:rsidRPr="000C2A36" w:rsidRDefault="006C3DEB" w:rsidP="005A7549">
            <w:pPr>
              <w:pStyle w:val="TableColumnHeadingLeft"/>
              <w:rPr>
                <w:rFonts w:eastAsiaTheme="minorHAnsi" w:cstheme="minorBidi"/>
                <w:position w:val="-14"/>
                <w:sz w:val="22"/>
                <w:szCs w:val="22"/>
                <w:lang w:eastAsia="en-US"/>
              </w:rPr>
            </w:pPr>
            <w:r w:rsidRPr="00E670A7">
              <w:rPr>
                <w:rFonts w:eastAsiaTheme="minorHAnsi" w:cstheme="minorBidi"/>
                <w:position w:val="-14"/>
                <w:sz w:val="22"/>
                <w:szCs w:val="22"/>
                <w:lang w:eastAsia="en-US"/>
              </w:rPr>
              <w:object w:dxaOrig="780" w:dyaOrig="400" w14:anchorId="093DE61D">
                <v:shape id="_x0000_i1562" type="#_x0000_t75" style="width:39.6pt;height:20.4pt" o:ole="">
                  <v:imagedata r:id="rId1101" o:title=""/>
                </v:shape>
                <o:OLEObject Type="Embed" ProgID="Equation.DSMT4" ShapeID="_x0000_i1562" DrawAspect="Content" ObjectID="_1754919113" r:id="rId1102"/>
              </w:object>
            </w:r>
          </w:p>
        </w:tc>
        <w:tc>
          <w:tcPr>
            <w:tcW w:w="1103" w:type="dxa"/>
            <w:tcBorders>
              <w:left w:val="single" w:sz="4" w:space="0" w:color="auto"/>
            </w:tcBorders>
            <w:shd w:val="clear" w:color="auto" w:fill="auto"/>
            <w:vAlign w:val="center"/>
          </w:tcPr>
          <w:p w14:paraId="79E67ADE"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3" w:type="dxa"/>
            <w:shd w:val="clear" w:color="auto" w:fill="auto"/>
            <w:vAlign w:val="center"/>
          </w:tcPr>
          <w:p w14:paraId="1A049282"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3C754272"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7982D23F"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c>
          <w:tcPr>
            <w:tcW w:w="1102" w:type="dxa"/>
            <w:shd w:val="clear" w:color="auto" w:fill="auto"/>
            <w:vAlign w:val="center"/>
          </w:tcPr>
          <w:p w14:paraId="2AC8BBFD"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Theme="minorHAnsi" w:cstheme="minorBidi"/>
                <w:position w:val="-14"/>
                <w:szCs w:val="18"/>
                <w:lang w:eastAsia="en-US"/>
              </w:rPr>
              <w:t>1.0000</w:t>
            </w:r>
          </w:p>
        </w:tc>
        <w:tc>
          <w:tcPr>
            <w:tcW w:w="1102" w:type="dxa"/>
            <w:shd w:val="clear" w:color="auto" w:fill="auto"/>
            <w:vAlign w:val="center"/>
          </w:tcPr>
          <w:p w14:paraId="71E0B18C"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Theme="minorHAnsi" w:cstheme="minorBidi"/>
                <w:position w:val="-14"/>
                <w:szCs w:val="18"/>
                <w:lang w:eastAsia="en-US"/>
              </w:rPr>
              <w:t>0.5830</w:t>
            </w:r>
          </w:p>
        </w:tc>
        <w:tc>
          <w:tcPr>
            <w:tcW w:w="1102" w:type="dxa"/>
            <w:shd w:val="clear" w:color="auto" w:fill="auto"/>
            <w:vAlign w:val="center"/>
          </w:tcPr>
          <w:p w14:paraId="5408437D" w14:textId="77777777" w:rsidR="006C3DEB" w:rsidRPr="00C522F1" w:rsidRDefault="006C3DEB" w:rsidP="005A7549">
            <w:pPr>
              <w:pStyle w:val="TableTextCentered"/>
              <w:rPr>
                <w:rFonts w:eastAsiaTheme="minorHAnsi" w:cstheme="minorBidi"/>
                <w:position w:val="-14"/>
                <w:szCs w:val="18"/>
                <w:lang w:eastAsia="en-US"/>
              </w:rPr>
            </w:pPr>
            <w:r w:rsidRPr="00C522F1">
              <w:rPr>
                <w:rFonts w:eastAsia="Calibri"/>
                <w:szCs w:val="18"/>
              </w:rPr>
              <w:t>0.0000</w:t>
            </w:r>
          </w:p>
        </w:tc>
      </w:tr>
      <w:tr w:rsidR="006C3DEB" w14:paraId="5A6B6CF9" w14:textId="77777777" w:rsidTr="00351D21">
        <w:trPr>
          <w:jc w:val="center"/>
        </w:trPr>
        <w:tc>
          <w:tcPr>
            <w:tcW w:w="1696" w:type="dxa"/>
            <w:tcBorders>
              <w:right w:val="single" w:sz="4" w:space="0" w:color="auto"/>
            </w:tcBorders>
            <w:shd w:val="clear" w:color="auto" w:fill="EEEEEE" w:themeFill="background2"/>
          </w:tcPr>
          <w:p w14:paraId="3AB775D9"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60" w:dyaOrig="400" w14:anchorId="26B1AACC">
                <v:shape id="_x0000_i1563" type="#_x0000_t75" style="width:39pt;height:20.4pt" o:ole="">
                  <v:imagedata r:id="rId1103" o:title=""/>
                </v:shape>
                <o:OLEObject Type="Embed" ProgID="Equation.DSMT4" ShapeID="_x0000_i1563" DrawAspect="Content" ObjectID="_1754919114" r:id="rId1104"/>
              </w:object>
            </w:r>
          </w:p>
        </w:tc>
        <w:tc>
          <w:tcPr>
            <w:tcW w:w="1103" w:type="dxa"/>
            <w:tcBorders>
              <w:left w:val="single" w:sz="4" w:space="0" w:color="auto"/>
            </w:tcBorders>
            <w:shd w:val="clear" w:color="auto" w:fill="auto"/>
            <w:vAlign w:val="center"/>
          </w:tcPr>
          <w:p w14:paraId="2B30DB54"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3" w:type="dxa"/>
            <w:shd w:val="clear" w:color="auto" w:fill="auto"/>
            <w:vAlign w:val="center"/>
          </w:tcPr>
          <w:p w14:paraId="0C5AE2A9"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15B62944"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0859CE34"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784852B7"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099A2EAB" w14:textId="77777777" w:rsidR="006C3DEB" w:rsidRPr="00C522F1" w:rsidRDefault="006C3DEB" w:rsidP="005A7549">
            <w:pPr>
              <w:pStyle w:val="TableTextCentered"/>
              <w:rPr>
                <w:rFonts w:eastAsia="Calibri"/>
                <w:szCs w:val="18"/>
              </w:rPr>
            </w:pPr>
            <w:r w:rsidRPr="00C522F1">
              <w:rPr>
                <w:rFonts w:eastAsia="Calibri"/>
                <w:szCs w:val="18"/>
              </w:rPr>
              <w:t>0.0007</w:t>
            </w:r>
          </w:p>
        </w:tc>
        <w:tc>
          <w:tcPr>
            <w:tcW w:w="1102" w:type="dxa"/>
            <w:shd w:val="clear" w:color="auto" w:fill="auto"/>
            <w:vAlign w:val="center"/>
          </w:tcPr>
          <w:p w14:paraId="7AFD1715" w14:textId="77777777" w:rsidR="006C3DEB" w:rsidRPr="00C522F1" w:rsidRDefault="006C3DEB" w:rsidP="005A7549">
            <w:pPr>
              <w:pStyle w:val="TableTextCentered"/>
              <w:rPr>
                <w:rFonts w:eastAsia="Calibri"/>
                <w:szCs w:val="18"/>
              </w:rPr>
            </w:pPr>
            <w:r w:rsidRPr="00C522F1">
              <w:rPr>
                <w:rFonts w:eastAsia="Calibri"/>
                <w:szCs w:val="18"/>
              </w:rPr>
              <w:t>0.0685</w:t>
            </w:r>
          </w:p>
        </w:tc>
      </w:tr>
      <w:tr w:rsidR="006C3DEB" w14:paraId="5134D64A" w14:textId="77777777" w:rsidTr="00351D21">
        <w:trPr>
          <w:jc w:val="center"/>
        </w:trPr>
        <w:tc>
          <w:tcPr>
            <w:tcW w:w="1696" w:type="dxa"/>
            <w:tcBorders>
              <w:right w:val="single" w:sz="4" w:space="0" w:color="auto"/>
            </w:tcBorders>
            <w:shd w:val="clear" w:color="auto" w:fill="EEEEEE" w:themeFill="background2"/>
          </w:tcPr>
          <w:p w14:paraId="66407F78"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40" w:dyaOrig="400" w14:anchorId="08F219CC">
                <v:shape id="_x0000_i1564" type="#_x0000_t75" style="width:36.6pt;height:20.4pt" o:ole="">
                  <v:imagedata r:id="rId1105" o:title=""/>
                </v:shape>
                <o:OLEObject Type="Embed" ProgID="Equation.DSMT4" ShapeID="_x0000_i1564" DrawAspect="Content" ObjectID="_1754919115" r:id="rId1106"/>
              </w:object>
            </w:r>
          </w:p>
        </w:tc>
        <w:tc>
          <w:tcPr>
            <w:tcW w:w="1103" w:type="dxa"/>
            <w:tcBorders>
              <w:left w:val="single" w:sz="4" w:space="0" w:color="auto"/>
            </w:tcBorders>
            <w:shd w:val="clear" w:color="auto" w:fill="auto"/>
            <w:vAlign w:val="center"/>
          </w:tcPr>
          <w:p w14:paraId="536717D4"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3" w:type="dxa"/>
            <w:shd w:val="clear" w:color="auto" w:fill="auto"/>
            <w:vAlign w:val="center"/>
          </w:tcPr>
          <w:p w14:paraId="3509F5CF"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5A27DF36"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46AB12BA"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2BFA49EE"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3BF2F991" w14:textId="77777777" w:rsidR="006C3DEB" w:rsidRPr="00C522F1" w:rsidRDefault="006C3DEB" w:rsidP="005A7549">
            <w:pPr>
              <w:pStyle w:val="TableTextCentered"/>
              <w:rPr>
                <w:rFonts w:eastAsia="Calibri"/>
                <w:szCs w:val="18"/>
              </w:rPr>
            </w:pPr>
            <w:r w:rsidRPr="00C522F1">
              <w:rPr>
                <w:rFonts w:eastAsia="Calibri"/>
                <w:szCs w:val="18"/>
              </w:rPr>
              <w:t>0.0058</w:t>
            </w:r>
          </w:p>
        </w:tc>
        <w:tc>
          <w:tcPr>
            <w:tcW w:w="1102" w:type="dxa"/>
            <w:shd w:val="clear" w:color="auto" w:fill="auto"/>
            <w:vAlign w:val="center"/>
          </w:tcPr>
          <w:p w14:paraId="735CFBCD" w14:textId="77777777" w:rsidR="006C3DEB" w:rsidRPr="00C522F1" w:rsidRDefault="006C3DEB" w:rsidP="005A7549">
            <w:pPr>
              <w:pStyle w:val="TableTextCentered"/>
              <w:rPr>
                <w:rFonts w:eastAsia="Calibri"/>
                <w:szCs w:val="18"/>
              </w:rPr>
            </w:pPr>
            <w:r w:rsidRPr="00C522F1">
              <w:rPr>
                <w:rFonts w:eastAsia="Calibri"/>
                <w:szCs w:val="18"/>
              </w:rPr>
              <w:t>0.3682</w:t>
            </w:r>
          </w:p>
        </w:tc>
      </w:tr>
      <w:tr w:rsidR="006C3DEB" w14:paraId="516C9254" w14:textId="77777777" w:rsidTr="00351D21">
        <w:trPr>
          <w:jc w:val="center"/>
        </w:trPr>
        <w:tc>
          <w:tcPr>
            <w:tcW w:w="1696" w:type="dxa"/>
            <w:tcBorders>
              <w:right w:val="single" w:sz="4" w:space="0" w:color="auto"/>
            </w:tcBorders>
            <w:shd w:val="clear" w:color="auto" w:fill="EEEEEE" w:themeFill="background2"/>
          </w:tcPr>
          <w:p w14:paraId="730DC798" w14:textId="77777777" w:rsidR="006C3DEB" w:rsidRPr="006C7CDF" w:rsidRDefault="006C3DEB" w:rsidP="005A7549">
            <w:pPr>
              <w:pStyle w:val="TableColumnHeadingLeft"/>
              <w:rPr>
                <w:rFonts w:eastAsia="Calibri"/>
              </w:rPr>
            </w:pPr>
            <w:r w:rsidRPr="00E670A7">
              <w:rPr>
                <w:rFonts w:eastAsiaTheme="minorHAnsi" w:cstheme="minorBidi"/>
                <w:position w:val="-14"/>
                <w:sz w:val="22"/>
                <w:szCs w:val="22"/>
                <w:lang w:eastAsia="en-US"/>
              </w:rPr>
              <w:object w:dxaOrig="780" w:dyaOrig="400" w14:anchorId="4AD457BD">
                <v:shape id="_x0000_i1565" type="#_x0000_t75" style="width:39.6pt;height:20.4pt" o:ole="">
                  <v:imagedata r:id="rId1107" o:title=""/>
                </v:shape>
                <o:OLEObject Type="Embed" ProgID="Equation.DSMT4" ShapeID="_x0000_i1565" DrawAspect="Content" ObjectID="_1754919116" r:id="rId1108"/>
              </w:object>
            </w:r>
          </w:p>
        </w:tc>
        <w:tc>
          <w:tcPr>
            <w:tcW w:w="1103" w:type="dxa"/>
            <w:tcBorders>
              <w:left w:val="single" w:sz="4" w:space="0" w:color="auto"/>
            </w:tcBorders>
            <w:shd w:val="clear" w:color="auto" w:fill="auto"/>
            <w:vAlign w:val="center"/>
          </w:tcPr>
          <w:p w14:paraId="72AF15F1"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3" w:type="dxa"/>
            <w:shd w:val="clear" w:color="auto" w:fill="auto"/>
            <w:vAlign w:val="center"/>
          </w:tcPr>
          <w:p w14:paraId="41E9A4FA"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3B6AF059"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109364E5"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01926183"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67B39A88" w14:textId="77777777" w:rsidR="006C3DEB" w:rsidRPr="00C522F1" w:rsidRDefault="006C3DEB" w:rsidP="005A7549">
            <w:pPr>
              <w:pStyle w:val="TableTextCentered"/>
              <w:rPr>
                <w:rFonts w:eastAsia="Calibri"/>
                <w:szCs w:val="18"/>
              </w:rPr>
            </w:pPr>
            <w:r w:rsidRPr="00C522F1">
              <w:rPr>
                <w:rFonts w:eastAsia="Calibri"/>
                <w:szCs w:val="18"/>
              </w:rPr>
              <w:t>0.0082</w:t>
            </w:r>
          </w:p>
        </w:tc>
        <w:tc>
          <w:tcPr>
            <w:tcW w:w="1102" w:type="dxa"/>
            <w:shd w:val="clear" w:color="auto" w:fill="auto"/>
            <w:vAlign w:val="center"/>
          </w:tcPr>
          <w:p w14:paraId="703C393B" w14:textId="77777777" w:rsidR="006C3DEB" w:rsidRPr="00C522F1" w:rsidRDefault="006C3DEB" w:rsidP="005A7549">
            <w:pPr>
              <w:pStyle w:val="TableTextCentered"/>
              <w:rPr>
                <w:rFonts w:eastAsia="Calibri"/>
                <w:szCs w:val="18"/>
              </w:rPr>
            </w:pPr>
            <w:r w:rsidRPr="00C522F1">
              <w:rPr>
                <w:rFonts w:eastAsia="Calibri"/>
                <w:szCs w:val="18"/>
              </w:rPr>
              <w:t>0.8185</w:t>
            </w:r>
          </w:p>
        </w:tc>
      </w:tr>
      <w:tr w:rsidR="006C3DEB" w14:paraId="63111C49" w14:textId="77777777" w:rsidTr="00351D21">
        <w:trPr>
          <w:jc w:val="center"/>
        </w:trPr>
        <w:tc>
          <w:tcPr>
            <w:tcW w:w="1696" w:type="dxa"/>
            <w:tcBorders>
              <w:right w:val="single" w:sz="4" w:space="0" w:color="auto"/>
            </w:tcBorders>
            <w:shd w:val="clear" w:color="auto" w:fill="EEEEEE" w:themeFill="background2"/>
          </w:tcPr>
          <w:p w14:paraId="4D369122" w14:textId="77777777" w:rsidR="006C3DEB" w:rsidRPr="006C7CDF" w:rsidRDefault="006C3DEB" w:rsidP="005A7549">
            <w:pPr>
              <w:pStyle w:val="TableColumnHeadingLeft"/>
              <w:rPr>
                <w:rFonts w:eastAsia="Calibri"/>
              </w:rPr>
            </w:pPr>
            <w:r w:rsidRPr="00E670A7">
              <w:rPr>
                <w:rFonts w:eastAsiaTheme="minorHAnsi" w:cstheme="minorBidi"/>
                <w:position w:val="-14"/>
                <w:sz w:val="22"/>
                <w:szCs w:val="22"/>
                <w:lang w:eastAsia="en-US"/>
              </w:rPr>
              <w:object w:dxaOrig="720" w:dyaOrig="400" w14:anchorId="4F36C314">
                <v:shape id="_x0000_i1566" type="#_x0000_t75" style="width:37.8pt;height:20.4pt" o:ole="">
                  <v:imagedata r:id="rId1109" o:title=""/>
                </v:shape>
                <o:OLEObject Type="Embed" ProgID="Equation.DSMT4" ShapeID="_x0000_i1566" DrawAspect="Content" ObjectID="_1754919117" r:id="rId1110"/>
              </w:object>
            </w:r>
          </w:p>
        </w:tc>
        <w:tc>
          <w:tcPr>
            <w:tcW w:w="1103" w:type="dxa"/>
            <w:tcBorders>
              <w:left w:val="single" w:sz="4" w:space="0" w:color="auto"/>
            </w:tcBorders>
            <w:shd w:val="clear" w:color="auto" w:fill="auto"/>
            <w:vAlign w:val="center"/>
          </w:tcPr>
          <w:p w14:paraId="416A9F6A"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3" w:type="dxa"/>
            <w:shd w:val="clear" w:color="auto" w:fill="auto"/>
            <w:vAlign w:val="center"/>
          </w:tcPr>
          <w:p w14:paraId="32728C16"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6F74F504"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74E8902A"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18EF82E3"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377CFA09" w14:textId="77777777" w:rsidR="006C3DEB" w:rsidRPr="00C522F1" w:rsidRDefault="006C3DEB" w:rsidP="005A7549">
            <w:pPr>
              <w:pStyle w:val="TableTextCentered"/>
              <w:rPr>
                <w:rFonts w:eastAsia="Calibri"/>
                <w:szCs w:val="18"/>
              </w:rPr>
            </w:pPr>
            <w:r w:rsidRPr="00C522F1">
              <w:rPr>
                <w:rFonts w:eastAsia="Calibri"/>
                <w:szCs w:val="18"/>
              </w:rPr>
              <w:t>0.0116</w:t>
            </w:r>
          </w:p>
        </w:tc>
        <w:tc>
          <w:tcPr>
            <w:tcW w:w="1102" w:type="dxa"/>
            <w:shd w:val="clear" w:color="auto" w:fill="auto"/>
            <w:vAlign w:val="center"/>
          </w:tcPr>
          <w:p w14:paraId="5090EE41" w14:textId="77777777" w:rsidR="006C3DEB" w:rsidRPr="00C522F1" w:rsidRDefault="006C3DEB" w:rsidP="005A7549">
            <w:pPr>
              <w:pStyle w:val="TableTextCentered"/>
              <w:rPr>
                <w:rFonts w:eastAsia="Calibri"/>
                <w:szCs w:val="18"/>
              </w:rPr>
            </w:pPr>
            <w:r w:rsidRPr="00C522F1">
              <w:rPr>
                <w:rFonts w:eastAsia="Calibri"/>
                <w:szCs w:val="18"/>
              </w:rPr>
              <w:t>1.0708</w:t>
            </w:r>
          </w:p>
        </w:tc>
      </w:tr>
      <w:tr w:rsidR="006C3DEB" w14:paraId="686AEC72" w14:textId="77777777" w:rsidTr="00351D21">
        <w:trPr>
          <w:jc w:val="center"/>
        </w:trPr>
        <w:tc>
          <w:tcPr>
            <w:tcW w:w="1696" w:type="dxa"/>
            <w:tcBorders>
              <w:right w:val="single" w:sz="4" w:space="0" w:color="auto"/>
            </w:tcBorders>
            <w:shd w:val="clear" w:color="auto" w:fill="EEEEEE" w:themeFill="background2"/>
          </w:tcPr>
          <w:p w14:paraId="22771335"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20" w:dyaOrig="400" w14:anchorId="02E6B2CE">
                <v:shape id="_x0000_i1567" type="#_x0000_t75" style="width:37.8pt;height:20.4pt" o:ole="">
                  <v:imagedata r:id="rId1111" o:title=""/>
                </v:shape>
                <o:OLEObject Type="Embed" ProgID="Equation.DSMT4" ShapeID="_x0000_i1567" DrawAspect="Content" ObjectID="_1754919118" r:id="rId1112"/>
              </w:object>
            </w:r>
          </w:p>
        </w:tc>
        <w:tc>
          <w:tcPr>
            <w:tcW w:w="1103" w:type="dxa"/>
            <w:tcBorders>
              <w:left w:val="single" w:sz="4" w:space="0" w:color="auto"/>
            </w:tcBorders>
            <w:shd w:val="clear" w:color="auto" w:fill="auto"/>
            <w:vAlign w:val="center"/>
          </w:tcPr>
          <w:p w14:paraId="4D28A74E"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3" w:type="dxa"/>
            <w:shd w:val="clear" w:color="auto" w:fill="auto"/>
            <w:vAlign w:val="center"/>
          </w:tcPr>
          <w:p w14:paraId="2BA72704"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46908976"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31F658DF"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52BC3728"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199CD2B3" w14:textId="77777777" w:rsidR="006C3DEB" w:rsidRPr="00C522F1" w:rsidRDefault="006C3DEB" w:rsidP="005A7549">
            <w:pPr>
              <w:pStyle w:val="TableTextCentered"/>
              <w:rPr>
                <w:rFonts w:eastAsia="Calibri"/>
                <w:szCs w:val="18"/>
              </w:rPr>
            </w:pPr>
            <w:r w:rsidRPr="00C522F1">
              <w:rPr>
                <w:rFonts w:eastAsia="Calibri"/>
                <w:szCs w:val="18"/>
              </w:rPr>
              <w:t>0.0194</w:t>
            </w:r>
          </w:p>
        </w:tc>
        <w:tc>
          <w:tcPr>
            <w:tcW w:w="1102" w:type="dxa"/>
            <w:shd w:val="clear" w:color="auto" w:fill="auto"/>
            <w:vAlign w:val="center"/>
          </w:tcPr>
          <w:p w14:paraId="304BD659" w14:textId="77777777" w:rsidR="006C3DEB" w:rsidRPr="00C522F1" w:rsidRDefault="006C3DEB" w:rsidP="005A7549">
            <w:pPr>
              <w:pStyle w:val="TableTextCentered"/>
              <w:rPr>
                <w:rFonts w:eastAsia="Calibri"/>
                <w:szCs w:val="18"/>
              </w:rPr>
            </w:pPr>
            <w:r w:rsidRPr="00C522F1">
              <w:rPr>
                <w:rFonts w:eastAsia="Calibri"/>
                <w:szCs w:val="18"/>
              </w:rPr>
              <w:t>0.8764</w:t>
            </w:r>
          </w:p>
        </w:tc>
      </w:tr>
      <w:tr w:rsidR="006C3DEB" w14:paraId="17E64119" w14:textId="77777777" w:rsidTr="00351D21">
        <w:trPr>
          <w:jc w:val="center"/>
        </w:trPr>
        <w:tc>
          <w:tcPr>
            <w:tcW w:w="1696" w:type="dxa"/>
            <w:tcBorders>
              <w:right w:val="single" w:sz="4" w:space="0" w:color="auto"/>
            </w:tcBorders>
            <w:shd w:val="clear" w:color="auto" w:fill="EEEEEE" w:themeFill="background2"/>
          </w:tcPr>
          <w:p w14:paraId="68FDC2A1"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40" w:dyaOrig="400" w14:anchorId="676648D3">
                <v:shape id="_x0000_i1568" type="#_x0000_t75" style="width:36.6pt;height:20.4pt" o:ole="">
                  <v:imagedata r:id="rId1113" o:title=""/>
                </v:shape>
                <o:OLEObject Type="Embed" ProgID="Equation.DSMT4" ShapeID="_x0000_i1568" DrawAspect="Content" ObjectID="_1754919119" r:id="rId1114"/>
              </w:object>
            </w:r>
          </w:p>
        </w:tc>
        <w:tc>
          <w:tcPr>
            <w:tcW w:w="1103" w:type="dxa"/>
            <w:tcBorders>
              <w:left w:val="single" w:sz="4" w:space="0" w:color="auto"/>
            </w:tcBorders>
            <w:shd w:val="clear" w:color="auto" w:fill="auto"/>
            <w:vAlign w:val="center"/>
          </w:tcPr>
          <w:p w14:paraId="6A2085EF"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3" w:type="dxa"/>
            <w:shd w:val="clear" w:color="auto" w:fill="auto"/>
            <w:vAlign w:val="center"/>
          </w:tcPr>
          <w:p w14:paraId="7CBF0DCB"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48811B22"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1BFAC0E5"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7DC6C6FD"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shd w:val="clear" w:color="auto" w:fill="auto"/>
            <w:vAlign w:val="center"/>
          </w:tcPr>
          <w:p w14:paraId="4DCCC1C9" w14:textId="77777777" w:rsidR="006C3DEB" w:rsidRPr="00C522F1" w:rsidRDefault="006C3DEB" w:rsidP="005A7549">
            <w:pPr>
              <w:pStyle w:val="TableTextCentered"/>
              <w:rPr>
                <w:rFonts w:eastAsia="Calibri"/>
                <w:szCs w:val="18"/>
              </w:rPr>
            </w:pPr>
            <w:r w:rsidRPr="00C522F1">
              <w:rPr>
                <w:rFonts w:eastAsia="Calibri"/>
                <w:szCs w:val="18"/>
              </w:rPr>
              <w:t>0.0426</w:t>
            </w:r>
          </w:p>
        </w:tc>
        <w:tc>
          <w:tcPr>
            <w:tcW w:w="1102" w:type="dxa"/>
            <w:shd w:val="clear" w:color="auto" w:fill="auto"/>
            <w:vAlign w:val="center"/>
          </w:tcPr>
          <w:p w14:paraId="433308D2" w14:textId="77777777" w:rsidR="006C3DEB" w:rsidRPr="00C522F1" w:rsidRDefault="006C3DEB" w:rsidP="005A7549">
            <w:pPr>
              <w:pStyle w:val="TableTextCentered"/>
              <w:rPr>
                <w:rFonts w:eastAsia="Calibri"/>
                <w:szCs w:val="18"/>
              </w:rPr>
            </w:pPr>
            <w:r w:rsidRPr="00C522F1">
              <w:rPr>
                <w:rFonts w:eastAsia="Calibri"/>
                <w:szCs w:val="18"/>
              </w:rPr>
              <w:t>0.1208</w:t>
            </w:r>
          </w:p>
        </w:tc>
      </w:tr>
      <w:tr w:rsidR="006C3DEB" w14:paraId="7A3A174F" w14:textId="77777777" w:rsidTr="00351D21">
        <w:trPr>
          <w:jc w:val="center"/>
        </w:trPr>
        <w:tc>
          <w:tcPr>
            <w:tcW w:w="1696" w:type="dxa"/>
            <w:tcBorders>
              <w:bottom w:val="single" w:sz="4" w:space="0" w:color="auto"/>
              <w:right w:val="single" w:sz="4" w:space="0" w:color="auto"/>
            </w:tcBorders>
            <w:shd w:val="clear" w:color="auto" w:fill="EEEEEE" w:themeFill="background2"/>
          </w:tcPr>
          <w:p w14:paraId="775C29A1"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80" w:dyaOrig="400" w14:anchorId="5A04A523">
                <v:shape id="_x0000_i1569" type="#_x0000_t75" style="width:39.6pt;height:20.4pt" o:ole="">
                  <v:imagedata r:id="rId1115" o:title=""/>
                </v:shape>
                <o:OLEObject Type="Embed" ProgID="Equation.DSMT4" ShapeID="_x0000_i1569" DrawAspect="Content" ObjectID="_1754919120" r:id="rId1116"/>
              </w:object>
            </w:r>
          </w:p>
        </w:tc>
        <w:tc>
          <w:tcPr>
            <w:tcW w:w="1103" w:type="dxa"/>
            <w:tcBorders>
              <w:left w:val="single" w:sz="4" w:space="0" w:color="auto"/>
              <w:bottom w:val="single" w:sz="4" w:space="0" w:color="auto"/>
            </w:tcBorders>
            <w:shd w:val="clear" w:color="auto" w:fill="auto"/>
            <w:vAlign w:val="center"/>
          </w:tcPr>
          <w:p w14:paraId="25B6059E"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3" w:type="dxa"/>
            <w:tcBorders>
              <w:bottom w:val="single" w:sz="4" w:space="0" w:color="auto"/>
            </w:tcBorders>
            <w:shd w:val="clear" w:color="auto" w:fill="auto"/>
            <w:vAlign w:val="center"/>
          </w:tcPr>
          <w:p w14:paraId="53024940"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tcBorders>
              <w:bottom w:val="single" w:sz="4" w:space="0" w:color="auto"/>
            </w:tcBorders>
            <w:shd w:val="clear" w:color="auto" w:fill="auto"/>
            <w:vAlign w:val="center"/>
          </w:tcPr>
          <w:p w14:paraId="19C107B3"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tcBorders>
              <w:bottom w:val="single" w:sz="4" w:space="0" w:color="auto"/>
            </w:tcBorders>
            <w:shd w:val="clear" w:color="auto" w:fill="auto"/>
            <w:vAlign w:val="center"/>
          </w:tcPr>
          <w:p w14:paraId="1D5123A3"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tcBorders>
              <w:bottom w:val="single" w:sz="4" w:space="0" w:color="auto"/>
            </w:tcBorders>
            <w:shd w:val="clear" w:color="auto" w:fill="auto"/>
            <w:vAlign w:val="center"/>
          </w:tcPr>
          <w:p w14:paraId="4CD0F43D"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tcBorders>
              <w:bottom w:val="single" w:sz="4" w:space="0" w:color="auto"/>
            </w:tcBorders>
            <w:shd w:val="clear" w:color="auto" w:fill="auto"/>
            <w:vAlign w:val="center"/>
          </w:tcPr>
          <w:p w14:paraId="0736A1B4" w14:textId="77777777" w:rsidR="006C3DEB" w:rsidRPr="00C522F1" w:rsidRDefault="006C3DEB" w:rsidP="005A7549">
            <w:pPr>
              <w:pStyle w:val="TableTextCentered"/>
              <w:rPr>
                <w:rFonts w:eastAsia="Calibri"/>
                <w:szCs w:val="18"/>
              </w:rPr>
            </w:pPr>
            <w:r w:rsidRPr="00C522F1">
              <w:rPr>
                <w:rFonts w:eastAsia="Calibri"/>
                <w:szCs w:val="18"/>
              </w:rPr>
              <w:t>0.0000</w:t>
            </w:r>
          </w:p>
        </w:tc>
        <w:tc>
          <w:tcPr>
            <w:tcW w:w="1102" w:type="dxa"/>
            <w:tcBorders>
              <w:bottom w:val="single" w:sz="4" w:space="0" w:color="auto"/>
            </w:tcBorders>
            <w:shd w:val="clear" w:color="auto" w:fill="auto"/>
            <w:vAlign w:val="center"/>
          </w:tcPr>
          <w:p w14:paraId="55E62C30" w14:textId="77777777" w:rsidR="006C3DEB" w:rsidRPr="00C522F1" w:rsidRDefault="006C3DEB" w:rsidP="005A7549">
            <w:pPr>
              <w:pStyle w:val="TableTextCentered"/>
              <w:rPr>
                <w:rFonts w:eastAsia="Calibri"/>
                <w:szCs w:val="18"/>
              </w:rPr>
            </w:pPr>
            <w:r w:rsidRPr="00C522F1">
              <w:rPr>
                <w:rFonts w:eastAsia="Calibri"/>
                <w:szCs w:val="18"/>
              </w:rPr>
              <w:t>0.0000</w:t>
            </w:r>
          </w:p>
        </w:tc>
      </w:tr>
    </w:tbl>
    <w:p w14:paraId="219D24CB" w14:textId="77777777" w:rsidR="006C3DEB" w:rsidRPr="0032767F" w:rsidRDefault="006C3DEB" w:rsidP="006C3DEB">
      <w:pPr>
        <w:pStyle w:val="Note"/>
      </w:pPr>
      <w:r w:rsidRPr="0032767F">
        <w:t>Source: Authors’ calculation based on ABS (2018</w:t>
      </w:r>
      <w:r>
        <w:t>a</w:t>
      </w:r>
      <w:r w:rsidRPr="0032767F">
        <w:t xml:space="preserve">) </w:t>
      </w:r>
      <w:r>
        <w:t xml:space="preserve">and ABS (2020a) </w:t>
      </w:r>
      <w:r w:rsidRPr="0032767F">
        <w:t>data.</w:t>
      </w:r>
    </w:p>
    <w:p w14:paraId="6DF8942D" w14:textId="77777777" w:rsidR="004640A7" w:rsidRDefault="004640A7" w:rsidP="004640A7">
      <w:pPr>
        <w:rPr>
          <w:rFonts w:eastAsia="Calibri"/>
        </w:rPr>
      </w:pPr>
      <w:r>
        <w:rPr>
          <w:rFonts w:eastAsia="Calibri"/>
        </w:rPr>
        <w:t>The GST coverage factors for investment goods by sector have been disaggregated across different purchasing sectors using the same approach as that used to allocate investment goods from different supplying sectors to purchasing sectors.</w:t>
      </w:r>
    </w:p>
    <w:p w14:paraId="24993339" w14:textId="77777777" w:rsidR="006C3DEB" w:rsidRPr="00BD4409" w:rsidRDefault="006C3DEB" w:rsidP="006C3DEB">
      <w:pPr>
        <w:pStyle w:val="Heading5"/>
        <w:rPr>
          <w:rStyle w:val="IntenseEmphasis"/>
          <w:b/>
          <w:bCs w:val="0"/>
          <w:i w:val="0"/>
          <w:iCs/>
          <w:color w:val="000000" w:themeColor="text1"/>
        </w:rPr>
      </w:pPr>
      <w:r w:rsidRPr="00BD4409">
        <w:rPr>
          <w:rStyle w:val="IntenseEmphasis"/>
          <w:b/>
          <w:bCs w:val="0"/>
          <w:i w:val="0"/>
          <w:iCs/>
          <w:color w:val="000000" w:themeColor="text1"/>
        </w:rPr>
        <w:lastRenderedPageBreak/>
        <w:t>Other indirect taxes</w:t>
      </w:r>
    </w:p>
    <w:p w14:paraId="244EE362" w14:textId="77777777" w:rsidR="006C3DEB" w:rsidRDefault="006C3DEB" w:rsidP="006C3DEB">
      <w:pPr>
        <w:rPr>
          <w:rFonts w:eastAsia="Calibri"/>
        </w:rPr>
      </w:pPr>
      <w:r>
        <w:t xml:space="preserve">In a similar vein to the GST coverage factors, effective </w:t>
      </w:r>
      <w:r>
        <w:rPr>
          <w:rFonts w:eastAsia="Calibri"/>
        </w:rPr>
        <w:t xml:space="preserve">ad valorem rates for other indirect taxes such as </w:t>
      </w:r>
      <w:r>
        <w:t>duties and subsidies for various expenditure bundles</w:t>
      </w:r>
      <w:r w:rsidRPr="00E670A7">
        <w:rPr>
          <w:position w:val="-14"/>
        </w:rPr>
        <w:object w:dxaOrig="1520" w:dyaOrig="400" w14:anchorId="7F40226D">
          <v:shape id="_x0000_i1570" type="#_x0000_t75" style="width:76.8pt;height:20.4pt" o:ole="">
            <v:imagedata r:id="rId1117" o:title=""/>
          </v:shape>
          <o:OLEObject Type="Embed" ProgID="Equation.DSMT4" ShapeID="_x0000_i1570" DrawAspect="Content" ObjectID="_1754919121" r:id="rId1118"/>
        </w:object>
      </w:r>
      <w:r>
        <w:t xml:space="preserve">are calibrated based on the </w:t>
      </w:r>
      <w:r>
        <w:rPr>
          <w:rFonts w:eastAsia="Calibri"/>
        </w:rPr>
        <w:t xml:space="preserve">ABS (2018a) </w:t>
      </w:r>
      <w:r w:rsidRPr="008A1A8A">
        <w:rPr>
          <w:rFonts w:eastAsia="Calibri"/>
        </w:rPr>
        <w:t>I</w:t>
      </w:r>
      <w:r>
        <w:rPr>
          <w:rFonts w:eastAsia="Calibri"/>
        </w:rPr>
        <w:t>nput-</w:t>
      </w:r>
      <w:r w:rsidRPr="008A1A8A">
        <w:rPr>
          <w:rFonts w:eastAsia="Calibri"/>
        </w:rPr>
        <w:t>O</w:t>
      </w:r>
      <w:r>
        <w:rPr>
          <w:rFonts w:eastAsia="Calibri"/>
        </w:rPr>
        <w:t>utput</w:t>
      </w:r>
      <w:r w:rsidRPr="008A1A8A">
        <w:rPr>
          <w:rFonts w:eastAsia="Calibri"/>
        </w:rPr>
        <w:t xml:space="preserve"> table</w:t>
      </w:r>
      <w:r>
        <w:rPr>
          <w:rFonts w:eastAsia="Calibri"/>
        </w:rPr>
        <w:t>, as reported in Table 16 below.</w:t>
      </w:r>
    </w:p>
    <w:p w14:paraId="212AC3B7" w14:textId="2801D5CD" w:rsidR="006C3DEB" w:rsidRDefault="006C3DEB" w:rsidP="006C3DEB">
      <w:pPr>
        <w:pStyle w:val="TableMainHeading"/>
      </w:pPr>
      <w:bookmarkStart w:id="38" w:name="_Ref101947426"/>
      <w:r>
        <w:t xml:space="preserve">Table </w:t>
      </w:r>
      <w:r>
        <w:rPr>
          <w:noProof/>
        </w:rPr>
        <w:fldChar w:fldCharType="begin"/>
      </w:r>
      <w:r>
        <w:rPr>
          <w:noProof/>
        </w:rPr>
        <w:instrText xml:space="preserve"> SEQ Table \* ARABIC </w:instrText>
      </w:r>
      <w:r>
        <w:rPr>
          <w:noProof/>
        </w:rPr>
        <w:fldChar w:fldCharType="separate"/>
      </w:r>
      <w:r w:rsidR="00E00A52">
        <w:rPr>
          <w:noProof/>
        </w:rPr>
        <w:t>16</w:t>
      </w:r>
      <w:r>
        <w:rPr>
          <w:noProof/>
        </w:rPr>
        <w:fldChar w:fldCharType="end"/>
      </w:r>
      <w:bookmarkEnd w:id="38"/>
      <w:r>
        <w:t xml:space="preserve">: </w:t>
      </w:r>
      <w:r w:rsidRPr="00D25281">
        <w:t xml:space="preserve">Effective </w:t>
      </w:r>
      <w:r>
        <w:t>indirect</w:t>
      </w:r>
      <w:r w:rsidRPr="00D25281">
        <w:t xml:space="preserve"> tax</w:t>
      </w:r>
      <w:r>
        <w:t xml:space="preserve"> rates</w:t>
      </w:r>
    </w:p>
    <w:tbl>
      <w:tblPr>
        <w:tblStyle w:val="TableGrid"/>
        <w:tblW w:w="5000" w:type="pct"/>
        <w:jc w:val="center"/>
        <w:shd w:val="clear" w:color="auto" w:fill="EEEEEE" w:themeFill="background2"/>
        <w:tblLayout w:type="fixed"/>
        <w:tblLook w:val="04A0" w:firstRow="1" w:lastRow="0" w:firstColumn="1" w:lastColumn="0" w:noHBand="0" w:noVBand="1"/>
      </w:tblPr>
      <w:tblGrid>
        <w:gridCol w:w="1433"/>
        <w:gridCol w:w="1091"/>
        <w:gridCol w:w="1091"/>
        <w:gridCol w:w="1091"/>
        <w:gridCol w:w="1091"/>
        <w:gridCol w:w="1091"/>
        <w:gridCol w:w="1091"/>
        <w:gridCol w:w="1091"/>
      </w:tblGrid>
      <w:tr w:rsidR="006C3DEB" w14:paraId="42BD94F6" w14:textId="77777777" w:rsidTr="00351D21">
        <w:trPr>
          <w:jc w:val="center"/>
        </w:trPr>
        <w:tc>
          <w:tcPr>
            <w:tcW w:w="1489" w:type="dxa"/>
            <w:vMerge w:val="restart"/>
            <w:tcBorders>
              <w:top w:val="single" w:sz="4" w:space="0" w:color="auto"/>
            </w:tcBorders>
            <w:shd w:val="clear" w:color="auto" w:fill="EEEEEE" w:themeFill="background2"/>
            <w:vAlign w:val="center"/>
          </w:tcPr>
          <w:p w14:paraId="00A30F3D" w14:textId="77777777" w:rsidR="006C3DEB" w:rsidRPr="0088277E" w:rsidRDefault="006C3DEB" w:rsidP="005A7549">
            <w:pPr>
              <w:pStyle w:val="TableColumnHeadingLeft"/>
              <w:rPr>
                <w:rFonts w:eastAsia="Calibri"/>
              </w:rPr>
            </w:pPr>
            <w:r w:rsidRPr="0088277E">
              <w:rPr>
                <w:rFonts w:eastAsia="Calibri"/>
              </w:rPr>
              <w:t>Parameter</w:t>
            </w:r>
          </w:p>
        </w:tc>
        <w:tc>
          <w:tcPr>
            <w:tcW w:w="7923" w:type="dxa"/>
            <w:gridSpan w:val="7"/>
            <w:tcBorders>
              <w:top w:val="single" w:sz="4" w:space="0" w:color="auto"/>
              <w:bottom w:val="nil"/>
            </w:tcBorders>
            <w:shd w:val="clear" w:color="auto" w:fill="EEEEEE" w:themeFill="background2"/>
            <w:vAlign w:val="center"/>
          </w:tcPr>
          <w:p w14:paraId="0A8C4847" w14:textId="77777777" w:rsidR="006C3DEB" w:rsidRDefault="006C3DEB" w:rsidP="005A7549">
            <w:pPr>
              <w:pStyle w:val="TableColumnHeadingCentred"/>
              <w:rPr>
                <w:rFonts w:eastAsia="Calibri"/>
              </w:rPr>
            </w:pPr>
            <w:r w:rsidRPr="00A0456B">
              <w:rPr>
                <w:rFonts w:eastAsia="Calibri"/>
                <w:i/>
              </w:rPr>
              <w:t>j</w:t>
            </w:r>
            <w:r>
              <w:rPr>
                <w:rFonts w:eastAsia="Calibri"/>
              </w:rPr>
              <w:t xml:space="preserve"> =</w:t>
            </w:r>
          </w:p>
        </w:tc>
      </w:tr>
      <w:tr w:rsidR="006C3DEB" w14:paraId="7D1C2602" w14:textId="77777777" w:rsidTr="005A3BB0">
        <w:trPr>
          <w:jc w:val="center"/>
        </w:trPr>
        <w:tc>
          <w:tcPr>
            <w:tcW w:w="1489" w:type="dxa"/>
            <w:vMerge/>
            <w:tcBorders>
              <w:bottom w:val="single" w:sz="4" w:space="0" w:color="auto"/>
            </w:tcBorders>
            <w:shd w:val="clear" w:color="auto" w:fill="EEEEEE" w:themeFill="background2"/>
          </w:tcPr>
          <w:p w14:paraId="7E0881CC" w14:textId="77777777" w:rsidR="006C3DEB" w:rsidRPr="0088277E" w:rsidRDefault="006C3DEB" w:rsidP="005A7549">
            <w:pPr>
              <w:pStyle w:val="TableColumnHeadingLeft"/>
              <w:rPr>
                <w:rFonts w:eastAsia="Calibri"/>
              </w:rPr>
            </w:pPr>
          </w:p>
        </w:tc>
        <w:tc>
          <w:tcPr>
            <w:tcW w:w="1131" w:type="dxa"/>
            <w:tcBorders>
              <w:top w:val="nil"/>
              <w:bottom w:val="single" w:sz="4" w:space="0" w:color="auto"/>
              <w:right w:val="nil"/>
            </w:tcBorders>
            <w:shd w:val="clear" w:color="auto" w:fill="EEEEEE" w:themeFill="background2"/>
            <w:vAlign w:val="center"/>
          </w:tcPr>
          <w:p w14:paraId="2768668C" w14:textId="77777777" w:rsidR="006C3DEB" w:rsidRPr="0088277E" w:rsidRDefault="006C3DEB" w:rsidP="005A7549">
            <w:pPr>
              <w:pStyle w:val="TableColumnHeadingCentred"/>
              <w:rPr>
                <w:rFonts w:eastAsia="Calibri"/>
              </w:rPr>
            </w:pPr>
            <w:r>
              <w:rPr>
                <w:rFonts w:eastAsia="Calibri"/>
              </w:rPr>
              <w:t>AGR</w:t>
            </w:r>
          </w:p>
        </w:tc>
        <w:tc>
          <w:tcPr>
            <w:tcW w:w="1132" w:type="dxa"/>
            <w:tcBorders>
              <w:top w:val="nil"/>
              <w:left w:val="nil"/>
              <w:bottom w:val="single" w:sz="4" w:space="0" w:color="auto"/>
              <w:right w:val="nil"/>
            </w:tcBorders>
            <w:shd w:val="clear" w:color="auto" w:fill="EEEEEE" w:themeFill="background2"/>
            <w:vAlign w:val="center"/>
          </w:tcPr>
          <w:p w14:paraId="6B32D103" w14:textId="77777777" w:rsidR="006C3DEB" w:rsidRPr="0088277E" w:rsidRDefault="006C3DEB" w:rsidP="005A7549">
            <w:pPr>
              <w:pStyle w:val="TableColumnHeadingCentred"/>
              <w:rPr>
                <w:rFonts w:eastAsia="Calibri"/>
              </w:rPr>
            </w:pPr>
            <w:r>
              <w:rPr>
                <w:rFonts w:eastAsia="Calibri"/>
              </w:rPr>
              <w:t>MIN</w:t>
            </w:r>
          </w:p>
        </w:tc>
        <w:tc>
          <w:tcPr>
            <w:tcW w:w="1132" w:type="dxa"/>
            <w:tcBorders>
              <w:top w:val="nil"/>
              <w:left w:val="nil"/>
              <w:bottom w:val="single" w:sz="4" w:space="0" w:color="auto"/>
              <w:right w:val="nil"/>
            </w:tcBorders>
            <w:shd w:val="clear" w:color="auto" w:fill="EEEEEE" w:themeFill="background2"/>
            <w:vAlign w:val="center"/>
          </w:tcPr>
          <w:p w14:paraId="17895D39" w14:textId="77777777" w:rsidR="006C3DEB" w:rsidRDefault="006C3DEB" w:rsidP="005A7549">
            <w:pPr>
              <w:pStyle w:val="TableColumnHeadingCentred"/>
              <w:rPr>
                <w:rFonts w:eastAsia="Calibri"/>
              </w:rPr>
            </w:pPr>
            <w:r>
              <w:rPr>
                <w:rFonts w:eastAsia="Calibri"/>
              </w:rPr>
              <w:t>MAN</w:t>
            </w:r>
          </w:p>
        </w:tc>
        <w:tc>
          <w:tcPr>
            <w:tcW w:w="1132" w:type="dxa"/>
            <w:tcBorders>
              <w:top w:val="nil"/>
              <w:left w:val="nil"/>
              <w:bottom w:val="single" w:sz="4" w:space="0" w:color="auto"/>
              <w:right w:val="nil"/>
            </w:tcBorders>
            <w:shd w:val="clear" w:color="auto" w:fill="EEEEEE" w:themeFill="background2"/>
            <w:vAlign w:val="center"/>
          </w:tcPr>
          <w:p w14:paraId="0BCA1460" w14:textId="77777777" w:rsidR="006C3DEB" w:rsidRDefault="006C3DEB" w:rsidP="005A7549">
            <w:pPr>
              <w:pStyle w:val="TableColumnHeadingCentred"/>
              <w:rPr>
                <w:rFonts w:eastAsia="Calibri"/>
              </w:rPr>
            </w:pPr>
            <w:r>
              <w:rPr>
                <w:rFonts w:eastAsia="Calibri"/>
              </w:rPr>
              <w:t>UTL</w:t>
            </w:r>
          </w:p>
        </w:tc>
        <w:tc>
          <w:tcPr>
            <w:tcW w:w="1132" w:type="dxa"/>
            <w:tcBorders>
              <w:top w:val="nil"/>
              <w:left w:val="nil"/>
              <w:bottom w:val="single" w:sz="4" w:space="0" w:color="auto"/>
              <w:right w:val="nil"/>
            </w:tcBorders>
            <w:shd w:val="clear" w:color="auto" w:fill="EEEEEE" w:themeFill="background2"/>
            <w:vAlign w:val="center"/>
          </w:tcPr>
          <w:p w14:paraId="627C50FC" w14:textId="77777777" w:rsidR="006C3DEB" w:rsidRDefault="006C3DEB" w:rsidP="005A7549">
            <w:pPr>
              <w:pStyle w:val="TableColumnHeadingCentred"/>
              <w:rPr>
                <w:rFonts w:eastAsia="Calibri"/>
              </w:rPr>
            </w:pPr>
            <w:r>
              <w:rPr>
                <w:rFonts w:eastAsia="Calibri"/>
              </w:rPr>
              <w:t>CST</w:t>
            </w:r>
          </w:p>
        </w:tc>
        <w:tc>
          <w:tcPr>
            <w:tcW w:w="1132" w:type="dxa"/>
            <w:tcBorders>
              <w:top w:val="nil"/>
              <w:left w:val="nil"/>
              <w:bottom w:val="single" w:sz="4" w:space="0" w:color="auto"/>
              <w:right w:val="nil"/>
            </w:tcBorders>
            <w:shd w:val="clear" w:color="auto" w:fill="EEEEEE" w:themeFill="background2"/>
            <w:vAlign w:val="center"/>
          </w:tcPr>
          <w:p w14:paraId="563BB088" w14:textId="77777777" w:rsidR="006C3DEB" w:rsidRDefault="006C3DEB" w:rsidP="005A7549">
            <w:pPr>
              <w:pStyle w:val="TableColumnHeadingCentred"/>
              <w:rPr>
                <w:rFonts w:eastAsia="Calibri"/>
              </w:rPr>
            </w:pPr>
            <w:r>
              <w:rPr>
                <w:rFonts w:eastAsia="Calibri"/>
              </w:rPr>
              <w:t>SRV</w:t>
            </w:r>
          </w:p>
        </w:tc>
        <w:tc>
          <w:tcPr>
            <w:tcW w:w="1132" w:type="dxa"/>
            <w:tcBorders>
              <w:top w:val="nil"/>
              <w:left w:val="nil"/>
              <w:bottom w:val="single" w:sz="4" w:space="0" w:color="auto"/>
            </w:tcBorders>
            <w:shd w:val="clear" w:color="auto" w:fill="EEEEEE" w:themeFill="background2"/>
            <w:vAlign w:val="center"/>
          </w:tcPr>
          <w:p w14:paraId="4AF03B34" w14:textId="77777777" w:rsidR="006C3DEB" w:rsidRDefault="006C3DEB" w:rsidP="005A7549">
            <w:pPr>
              <w:pStyle w:val="TableColumnHeadingCentred"/>
              <w:rPr>
                <w:rFonts w:eastAsia="Calibri"/>
              </w:rPr>
            </w:pPr>
            <w:r>
              <w:rPr>
                <w:rFonts w:eastAsia="Calibri"/>
              </w:rPr>
              <w:t>DWE</w:t>
            </w:r>
          </w:p>
        </w:tc>
      </w:tr>
      <w:tr w:rsidR="006C3DEB" w14:paraId="7C723CD4" w14:textId="77777777" w:rsidTr="005A3BB0">
        <w:trPr>
          <w:jc w:val="center"/>
        </w:trPr>
        <w:tc>
          <w:tcPr>
            <w:tcW w:w="1489" w:type="dxa"/>
            <w:tcBorders>
              <w:top w:val="single" w:sz="4" w:space="0" w:color="auto"/>
              <w:right w:val="single" w:sz="4" w:space="0" w:color="auto"/>
            </w:tcBorders>
            <w:shd w:val="clear" w:color="auto" w:fill="EEEEEE" w:themeFill="background2"/>
          </w:tcPr>
          <w:p w14:paraId="3BEB1F0D"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460" w:dyaOrig="400" w14:anchorId="5A75B352">
                <v:shape id="_x0000_i1571" type="#_x0000_t75" style="width:24pt;height:20.4pt" o:ole="">
                  <v:imagedata r:id="rId1119" o:title=""/>
                </v:shape>
                <o:OLEObject Type="Embed" ProgID="Equation.DSMT4" ShapeID="_x0000_i1571" DrawAspect="Content" ObjectID="_1754919122" r:id="rId1120"/>
              </w:object>
            </w:r>
          </w:p>
        </w:tc>
        <w:tc>
          <w:tcPr>
            <w:tcW w:w="1131" w:type="dxa"/>
            <w:tcBorders>
              <w:top w:val="single" w:sz="4" w:space="0" w:color="auto"/>
              <w:left w:val="single" w:sz="4" w:space="0" w:color="auto"/>
            </w:tcBorders>
            <w:shd w:val="clear" w:color="auto" w:fill="auto"/>
            <w:vAlign w:val="center"/>
          </w:tcPr>
          <w:p w14:paraId="4613072B" w14:textId="77777777" w:rsidR="006C3DEB" w:rsidRPr="00EB53E7" w:rsidRDefault="006C3DEB" w:rsidP="005A7549">
            <w:pPr>
              <w:pStyle w:val="TableTextCentered"/>
              <w:rPr>
                <w:rFonts w:eastAsia="Calibri"/>
              </w:rPr>
            </w:pPr>
            <w:r w:rsidRPr="00EB53E7">
              <w:rPr>
                <w:rFonts w:eastAsia="Calibri"/>
              </w:rPr>
              <w:t>0.</w:t>
            </w:r>
            <w:r>
              <w:rPr>
                <w:rFonts w:eastAsia="Calibri"/>
              </w:rPr>
              <w:t>0030</w:t>
            </w:r>
          </w:p>
        </w:tc>
        <w:tc>
          <w:tcPr>
            <w:tcW w:w="1132" w:type="dxa"/>
            <w:tcBorders>
              <w:top w:val="single" w:sz="4" w:space="0" w:color="auto"/>
            </w:tcBorders>
            <w:shd w:val="clear" w:color="auto" w:fill="auto"/>
            <w:vAlign w:val="center"/>
          </w:tcPr>
          <w:p w14:paraId="6306E778" w14:textId="77777777" w:rsidR="006C3DEB" w:rsidRPr="00EB53E7" w:rsidRDefault="006C3DEB" w:rsidP="005A7549">
            <w:pPr>
              <w:pStyle w:val="TableTextCentered"/>
              <w:rPr>
                <w:rFonts w:eastAsia="Calibri"/>
              </w:rPr>
            </w:pPr>
            <w:r>
              <w:rPr>
                <w:rFonts w:eastAsia="Calibri"/>
              </w:rPr>
              <w:t>0.0051</w:t>
            </w:r>
          </w:p>
        </w:tc>
        <w:tc>
          <w:tcPr>
            <w:tcW w:w="1132" w:type="dxa"/>
            <w:tcBorders>
              <w:top w:val="single" w:sz="4" w:space="0" w:color="auto"/>
            </w:tcBorders>
            <w:shd w:val="clear" w:color="auto" w:fill="auto"/>
            <w:vAlign w:val="center"/>
          </w:tcPr>
          <w:p w14:paraId="1AEAC12F" w14:textId="77777777" w:rsidR="006C3DEB" w:rsidRPr="00EB53E7" w:rsidRDefault="006C3DEB" w:rsidP="005A7549">
            <w:pPr>
              <w:pStyle w:val="TableTextCentered"/>
              <w:rPr>
                <w:rFonts w:eastAsia="Calibri"/>
              </w:rPr>
            </w:pPr>
            <w:r>
              <w:rPr>
                <w:rFonts w:eastAsia="Calibri"/>
              </w:rPr>
              <w:t>0.0422</w:t>
            </w:r>
          </w:p>
        </w:tc>
        <w:tc>
          <w:tcPr>
            <w:tcW w:w="1132" w:type="dxa"/>
            <w:tcBorders>
              <w:top w:val="single" w:sz="4" w:space="0" w:color="auto"/>
            </w:tcBorders>
            <w:shd w:val="clear" w:color="auto" w:fill="auto"/>
            <w:vAlign w:val="center"/>
          </w:tcPr>
          <w:p w14:paraId="3B01F2B4" w14:textId="77777777" w:rsidR="006C3DEB" w:rsidRDefault="006C3DEB" w:rsidP="005A7549">
            <w:pPr>
              <w:pStyle w:val="TableTextCentered"/>
              <w:rPr>
                <w:rFonts w:eastAsia="Calibri"/>
              </w:rPr>
            </w:pPr>
            <w:r>
              <w:rPr>
                <w:rFonts w:eastAsia="Calibri"/>
              </w:rPr>
              <w:t>-0.0004</w:t>
            </w:r>
          </w:p>
        </w:tc>
        <w:tc>
          <w:tcPr>
            <w:tcW w:w="1132" w:type="dxa"/>
            <w:tcBorders>
              <w:top w:val="single" w:sz="4" w:space="0" w:color="auto"/>
            </w:tcBorders>
            <w:shd w:val="clear" w:color="auto" w:fill="auto"/>
            <w:vAlign w:val="center"/>
          </w:tcPr>
          <w:p w14:paraId="54C8B9EF" w14:textId="77777777" w:rsidR="006C3DEB" w:rsidRDefault="006C3DEB" w:rsidP="005A7549">
            <w:pPr>
              <w:pStyle w:val="TableTextCentered"/>
              <w:rPr>
                <w:rFonts w:eastAsia="Calibri"/>
              </w:rPr>
            </w:pPr>
            <w:r>
              <w:rPr>
                <w:rFonts w:eastAsia="Calibri"/>
              </w:rPr>
              <w:t>0.0000</w:t>
            </w:r>
          </w:p>
        </w:tc>
        <w:tc>
          <w:tcPr>
            <w:tcW w:w="1132" w:type="dxa"/>
            <w:tcBorders>
              <w:top w:val="single" w:sz="4" w:space="0" w:color="auto"/>
            </w:tcBorders>
            <w:shd w:val="clear" w:color="auto" w:fill="auto"/>
            <w:vAlign w:val="center"/>
          </w:tcPr>
          <w:p w14:paraId="3391D7CC" w14:textId="77777777" w:rsidR="006C3DEB" w:rsidRDefault="006C3DEB" w:rsidP="005A7549">
            <w:pPr>
              <w:pStyle w:val="TableTextCentered"/>
              <w:rPr>
                <w:rFonts w:eastAsia="Calibri"/>
              </w:rPr>
            </w:pPr>
            <w:r>
              <w:rPr>
                <w:rFonts w:eastAsia="Calibri"/>
              </w:rPr>
              <w:t>0.0118</w:t>
            </w:r>
          </w:p>
        </w:tc>
        <w:tc>
          <w:tcPr>
            <w:tcW w:w="1132" w:type="dxa"/>
            <w:tcBorders>
              <w:top w:val="single" w:sz="4" w:space="0" w:color="auto"/>
            </w:tcBorders>
            <w:shd w:val="clear" w:color="auto" w:fill="auto"/>
            <w:vAlign w:val="center"/>
          </w:tcPr>
          <w:p w14:paraId="7D107C01" w14:textId="77777777" w:rsidR="006C3DEB" w:rsidRDefault="006C3DEB" w:rsidP="005A7549">
            <w:pPr>
              <w:pStyle w:val="TableTextCentered"/>
              <w:rPr>
                <w:rFonts w:eastAsia="Calibri"/>
              </w:rPr>
            </w:pPr>
            <w:r>
              <w:rPr>
                <w:rFonts w:eastAsia="Calibri"/>
              </w:rPr>
              <w:t>0.0000</w:t>
            </w:r>
          </w:p>
        </w:tc>
      </w:tr>
      <w:tr w:rsidR="006C3DEB" w14:paraId="39464C15" w14:textId="77777777" w:rsidTr="005A3BB0">
        <w:trPr>
          <w:jc w:val="center"/>
        </w:trPr>
        <w:tc>
          <w:tcPr>
            <w:tcW w:w="1489" w:type="dxa"/>
            <w:tcBorders>
              <w:right w:val="single" w:sz="4" w:space="0" w:color="auto"/>
            </w:tcBorders>
            <w:shd w:val="clear" w:color="auto" w:fill="EEEEEE" w:themeFill="background2"/>
          </w:tcPr>
          <w:p w14:paraId="459484A1" w14:textId="77777777" w:rsidR="006C3DEB" w:rsidRPr="006C7CDF" w:rsidRDefault="006C3DEB" w:rsidP="005A7549">
            <w:pPr>
              <w:pStyle w:val="TableColumnHeadingLeft"/>
              <w:rPr>
                <w:rFonts w:eastAsia="Calibri"/>
              </w:rPr>
            </w:pPr>
            <w:r w:rsidRPr="00E670A7">
              <w:rPr>
                <w:rFonts w:eastAsiaTheme="minorHAnsi" w:cstheme="minorBidi"/>
                <w:position w:val="-14"/>
                <w:sz w:val="22"/>
                <w:szCs w:val="22"/>
                <w:lang w:eastAsia="en-US"/>
              </w:rPr>
              <w:object w:dxaOrig="700" w:dyaOrig="400" w14:anchorId="706D3737">
                <v:shape id="_x0000_i1572" type="#_x0000_t75" style="width:34.8pt;height:20.4pt" o:ole="">
                  <v:imagedata r:id="rId1121" o:title=""/>
                </v:shape>
                <o:OLEObject Type="Embed" ProgID="Equation.DSMT4" ShapeID="_x0000_i1572" DrawAspect="Content" ObjectID="_1754919123" r:id="rId1122"/>
              </w:object>
            </w:r>
          </w:p>
        </w:tc>
        <w:tc>
          <w:tcPr>
            <w:tcW w:w="7923" w:type="dxa"/>
            <w:gridSpan w:val="7"/>
            <w:tcBorders>
              <w:left w:val="single" w:sz="4" w:space="0" w:color="auto"/>
            </w:tcBorders>
            <w:shd w:val="clear" w:color="auto" w:fill="auto"/>
            <w:vAlign w:val="center"/>
          </w:tcPr>
          <w:p w14:paraId="6DB0F8D1" w14:textId="77777777" w:rsidR="006C3DEB" w:rsidRDefault="006C3DEB" w:rsidP="005A7549">
            <w:pPr>
              <w:pStyle w:val="TableTextCentered"/>
              <w:rPr>
                <w:rFonts w:eastAsia="Calibri"/>
              </w:rPr>
            </w:pPr>
            <w:r>
              <w:rPr>
                <w:rFonts w:eastAsia="Calibri"/>
              </w:rPr>
              <w:t>0.0016</w:t>
            </w:r>
          </w:p>
        </w:tc>
      </w:tr>
      <w:tr w:rsidR="006C3DEB" w14:paraId="2EAD48B8" w14:textId="77777777" w:rsidTr="005A3BB0">
        <w:trPr>
          <w:jc w:val="center"/>
        </w:trPr>
        <w:tc>
          <w:tcPr>
            <w:tcW w:w="1489" w:type="dxa"/>
            <w:tcBorders>
              <w:right w:val="single" w:sz="4" w:space="0" w:color="auto"/>
            </w:tcBorders>
            <w:shd w:val="clear" w:color="auto" w:fill="EEEEEE" w:themeFill="background2"/>
          </w:tcPr>
          <w:p w14:paraId="58E199AB"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00" w:dyaOrig="400" w14:anchorId="28EC1E6F">
                <v:shape id="_x0000_i1573" type="#_x0000_t75" style="width:34.8pt;height:20.4pt" o:ole="">
                  <v:imagedata r:id="rId1123" o:title=""/>
                </v:shape>
                <o:OLEObject Type="Embed" ProgID="Equation.DSMT4" ShapeID="_x0000_i1573" DrawAspect="Content" ObjectID="_1754919124" r:id="rId1124"/>
              </w:object>
            </w:r>
          </w:p>
        </w:tc>
        <w:tc>
          <w:tcPr>
            <w:tcW w:w="7923" w:type="dxa"/>
            <w:gridSpan w:val="7"/>
            <w:tcBorders>
              <w:left w:val="single" w:sz="4" w:space="0" w:color="auto"/>
            </w:tcBorders>
            <w:shd w:val="clear" w:color="auto" w:fill="auto"/>
            <w:vAlign w:val="center"/>
          </w:tcPr>
          <w:p w14:paraId="61D11F5E" w14:textId="77777777" w:rsidR="006C3DEB" w:rsidRDefault="006C3DEB" w:rsidP="005A7549">
            <w:pPr>
              <w:pStyle w:val="TableTextCentered"/>
              <w:rPr>
                <w:rFonts w:eastAsia="Calibri"/>
              </w:rPr>
            </w:pPr>
            <w:r>
              <w:rPr>
                <w:rFonts w:eastAsia="Calibri"/>
              </w:rPr>
              <w:t>0.0000</w:t>
            </w:r>
          </w:p>
        </w:tc>
      </w:tr>
      <w:tr w:rsidR="006C3DEB" w14:paraId="2E5EBD58" w14:textId="77777777" w:rsidTr="005A3BB0">
        <w:trPr>
          <w:jc w:val="center"/>
        </w:trPr>
        <w:tc>
          <w:tcPr>
            <w:tcW w:w="1489" w:type="dxa"/>
            <w:tcBorders>
              <w:right w:val="single" w:sz="4" w:space="0" w:color="auto"/>
            </w:tcBorders>
            <w:shd w:val="clear" w:color="auto" w:fill="EEEEEE" w:themeFill="background2"/>
          </w:tcPr>
          <w:p w14:paraId="48CB8014"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40" w:dyaOrig="400" w14:anchorId="05586012">
                <v:shape id="_x0000_i1574" type="#_x0000_t75" style="width:36.6pt;height:20.4pt" o:ole="">
                  <v:imagedata r:id="rId1125" o:title=""/>
                </v:shape>
                <o:OLEObject Type="Embed" ProgID="Equation.DSMT4" ShapeID="_x0000_i1574" DrawAspect="Content" ObjectID="_1754919125" r:id="rId1126"/>
              </w:object>
            </w:r>
          </w:p>
        </w:tc>
        <w:tc>
          <w:tcPr>
            <w:tcW w:w="7923" w:type="dxa"/>
            <w:gridSpan w:val="7"/>
            <w:tcBorders>
              <w:left w:val="single" w:sz="4" w:space="0" w:color="auto"/>
            </w:tcBorders>
            <w:shd w:val="clear" w:color="auto" w:fill="auto"/>
            <w:vAlign w:val="center"/>
          </w:tcPr>
          <w:p w14:paraId="41FD52D0" w14:textId="77777777" w:rsidR="006C3DEB" w:rsidRDefault="006C3DEB" w:rsidP="005A7549">
            <w:pPr>
              <w:pStyle w:val="TableTextCentered"/>
              <w:rPr>
                <w:rFonts w:eastAsia="Calibri"/>
              </w:rPr>
            </w:pPr>
            <w:r>
              <w:rPr>
                <w:rFonts w:eastAsia="Calibri"/>
              </w:rPr>
              <w:t>0.0112</w:t>
            </w:r>
          </w:p>
        </w:tc>
      </w:tr>
      <w:tr w:rsidR="006C3DEB" w14:paraId="7B1D3FBE" w14:textId="77777777" w:rsidTr="005A3BB0">
        <w:trPr>
          <w:jc w:val="center"/>
        </w:trPr>
        <w:tc>
          <w:tcPr>
            <w:tcW w:w="1489" w:type="dxa"/>
            <w:tcBorders>
              <w:right w:val="single" w:sz="4" w:space="0" w:color="auto"/>
            </w:tcBorders>
            <w:shd w:val="clear" w:color="auto" w:fill="EEEEEE" w:themeFill="background2"/>
          </w:tcPr>
          <w:p w14:paraId="0392B343"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660" w:dyaOrig="400" w14:anchorId="2A6A3A8D">
                <v:shape id="_x0000_i1575" type="#_x0000_t75" style="width:31.8pt;height:20.4pt" o:ole="">
                  <v:imagedata r:id="rId1127" o:title=""/>
                </v:shape>
                <o:OLEObject Type="Embed" ProgID="Equation.DSMT4" ShapeID="_x0000_i1575" DrawAspect="Content" ObjectID="_1754919126" r:id="rId1128"/>
              </w:object>
            </w:r>
          </w:p>
        </w:tc>
        <w:tc>
          <w:tcPr>
            <w:tcW w:w="7923" w:type="dxa"/>
            <w:gridSpan w:val="7"/>
            <w:tcBorders>
              <w:left w:val="single" w:sz="4" w:space="0" w:color="auto"/>
            </w:tcBorders>
            <w:shd w:val="clear" w:color="auto" w:fill="auto"/>
            <w:vAlign w:val="center"/>
          </w:tcPr>
          <w:p w14:paraId="2DF3C019" w14:textId="77777777" w:rsidR="006C3DEB" w:rsidRDefault="006C3DEB" w:rsidP="005A7549">
            <w:pPr>
              <w:pStyle w:val="TableTextCentered"/>
              <w:rPr>
                <w:rFonts w:eastAsia="Calibri"/>
              </w:rPr>
            </w:pPr>
            <w:r>
              <w:rPr>
                <w:rFonts w:eastAsia="Calibri"/>
              </w:rPr>
              <w:t>0.0000</w:t>
            </w:r>
          </w:p>
        </w:tc>
      </w:tr>
      <w:tr w:rsidR="006C3DEB" w14:paraId="3198D3D3" w14:textId="77777777" w:rsidTr="005A3BB0">
        <w:trPr>
          <w:jc w:val="center"/>
        </w:trPr>
        <w:tc>
          <w:tcPr>
            <w:tcW w:w="1489" w:type="dxa"/>
            <w:tcBorders>
              <w:right w:val="single" w:sz="4" w:space="0" w:color="auto"/>
            </w:tcBorders>
            <w:shd w:val="clear" w:color="auto" w:fill="EEEEEE" w:themeFill="background2"/>
          </w:tcPr>
          <w:p w14:paraId="2C2352DC" w14:textId="77777777" w:rsidR="006C3DEB" w:rsidRPr="006C7CDF" w:rsidRDefault="006C3DEB" w:rsidP="005A7549">
            <w:pPr>
              <w:pStyle w:val="TableColumnHeadingLeft"/>
              <w:rPr>
                <w:rFonts w:eastAsia="Calibri"/>
              </w:rPr>
            </w:pPr>
            <w:r w:rsidRPr="00E670A7">
              <w:rPr>
                <w:rFonts w:eastAsiaTheme="minorHAnsi" w:cstheme="minorBidi"/>
                <w:position w:val="-14"/>
                <w:sz w:val="22"/>
                <w:szCs w:val="22"/>
                <w:lang w:eastAsia="en-US"/>
              </w:rPr>
              <w:object w:dxaOrig="680" w:dyaOrig="400" w14:anchorId="48550CE9">
                <v:shape id="_x0000_i1576" type="#_x0000_t75" style="width:33pt;height:20.4pt" o:ole="">
                  <v:imagedata r:id="rId1129" o:title=""/>
                </v:shape>
                <o:OLEObject Type="Embed" ProgID="Equation.DSMT4" ShapeID="_x0000_i1576" DrawAspect="Content" ObjectID="_1754919127" r:id="rId1130"/>
              </w:object>
            </w:r>
          </w:p>
        </w:tc>
        <w:tc>
          <w:tcPr>
            <w:tcW w:w="7923" w:type="dxa"/>
            <w:gridSpan w:val="7"/>
            <w:tcBorders>
              <w:left w:val="single" w:sz="4" w:space="0" w:color="auto"/>
            </w:tcBorders>
            <w:shd w:val="clear" w:color="auto" w:fill="auto"/>
            <w:vAlign w:val="center"/>
          </w:tcPr>
          <w:p w14:paraId="622E9F0E" w14:textId="77777777" w:rsidR="006C3DEB" w:rsidRDefault="006C3DEB" w:rsidP="005A7549">
            <w:pPr>
              <w:pStyle w:val="TableTextCentered"/>
              <w:rPr>
                <w:rFonts w:eastAsia="Calibri"/>
              </w:rPr>
            </w:pPr>
            <w:r>
              <w:rPr>
                <w:rFonts w:eastAsia="Calibri"/>
              </w:rPr>
              <w:t>0.0701</w:t>
            </w:r>
          </w:p>
        </w:tc>
      </w:tr>
      <w:tr w:rsidR="006C3DEB" w14:paraId="4E91F222" w14:textId="77777777" w:rsidTr="005A3BB0">
        <w:trPr>
          <w:jc w:val="center"/>
        </w:trPr>
        <w:tc>
          <w:tcPr>
            <w:tcW w:w="1489" w:type="dxa"/>
            <w:tcBorders>
              <w:right w:val="single" w:sz="4" w:space="0" w:color="auto"/>
            </w:tcBorders>
            <w:shd w:val="clear" w:color="auto" w:fill="EEEEEE" w:themeFill="background2"/>
          </w:tcPr>
          <w:p w14:paraId="4F03032B"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680" w:dyaOrig="400" w14:anchorId="01DD30BF">
                <v:shape id="_x0000_i1577" type="#_x0000_t75" style="width:33pt;height:20.4pt" o:ole="">
                  <v:imagedata r:id="rId1131" o:title=""/>
                </v:shape>
                <o:OLEObject Type="Embed" ProgID="Equation.DSMT4" ShapeID="_x0000_i1577" DrawAspect="Content" ObjectID="_1754919128" r:id="rId1132"/>
              </w:object>
            </w:r>
          </w:p>
        </w:tc>
        <w:tc>
          <w:tcPr>
            <w:tcW w:w="7923" w:type="dxa"/>
            <w:gridSpan w:val="7"/>
            <w:tcBorders>
              <w:left w:val="single" w:sz="4" w:space="0" w:color="auto"/>
            </w:tcBorders>
            <w:shd w:val="clear" w:color="auto" w:fill="auto"/>
            <w:vAlign w:val="center"/>
          </w:tcPr>
          <w:p w14:paraId="419D6755" w14:textId="77777777" w:rsidR="006C3DEB" w:rsidRDefault="006C3DEB" w:rsidP="005A7549">
            <w:pPr>
              <w:pStyle w:val="TableTextCentered"/>
              <w:rPr>
                <w:rFonts w:eastAsia="Calibri"/>
              </w:rPr>
            </w:pPr>
            <w:r>
              <w:rPr>
                <w:rFonts w:eastAsia="Calibri"/>
              </w:rPr>
              <w:t>0.0125</w:t>
            </w:r>
          </w:p>
        </w:tc>
      </w:tr>
      <w:tr w:rsidR="006C3DEB" w14:paraId="4D05DA05" w14:textId="77777777" w:rsidTr="005A3BB0">
        <w:trPr>
          <w:jc w:val="center"/>
        </w:trPr>
        <w:tc>
          <w:tcPr>
            <w:tcW w:w="1489" w:type="dxa"/>
            <w:tcBorders>
              <w:right w:val="single" w:sz="4" w:space="0" w:color="auto"/>
            </w:tcBorders>
            <w:shd w:val="clear" w:color="auto" w:fill="EEEEEE" w:themeFill="background2"/>
          </w:tcPr>
          <w:p w14:paraId="5002DC6A"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40" w:dyaOrig="400" w14:anchorId="1DA3CAA8">
                <v:shape id="_x0000_i1578" type="#_x0000_t75" style="width:36.6pt;height:20.4pt" o:ole="">
                  <v:imagedata r:id="rId1133" o:title=""/>
                </v:shape>
                <o:OLEObject Type="Embed" ProgID="Equation.DSMT4" ShapeID="_x0000_i1578" DrawAspect="Content" ObjectID="_1754919129" r:id="rId1134"/>
              </w:object>
            </w:r>
          </w:p>
        </w:tc>
        <w:tc>
          <w:tcPr>
            <w:tcW w:w="7923" w:type="dxa"/>
            <w:gridSpan w:val="7"/>
            <w:tcBorders>
              <w:left w:val="single" w:sz="4" w:space="0" w:color="auto"/>
            </w:tcBorders>
            <w:shd w:val="clear" w:color="auto" w:fill="auto"/>
            <w:vAlign w:val="center"/>
          </w:tcPr>
          <w:p w14:paraId="18CEB516" w14:textId="77777777" w:rsidR="006C3DEB" w:rsidRDefault="006C3DEB" w:rsidP="005A7549">
            <w:pPr>
              <w:pStyle w:val="TableTextCentered"/>
              <w:rPr>
                <w:rFonts w:eastAsia="Calibri"/>
              </w:rPr>
            </w:pPr>
            <w:r>
              <w:rPr>
                <w:rFonts w:eastAsia="Calibri"/>
              </w:rPr>
              <w:t>0.0000</w:t>
            </w:r>
          </w:p>
        </w:tc>
      </w:tr>
      <w:tr w:rsidR="006C3DEB" w14:paraId="2F1ED016" w14:textId="77777777" w:rsidTr="005A3BB0">
        <w:trPr>
          <w:jc w:val="center"/>
        </w:trPr>
        <w:tc>
          <w:tcPr>
            <w:tcW w:w="1489" w:type="dxa"/>
            <w:tcBorders>
              <w:right w:val="single" w:sz="4" w:space="0" w:color="auto"/>
            </w:tcBorders>
            <w:shd w:val="clear" w:color="auto" w:fill="EEEEEE" w:themeFill="background2"/>
          </w:tcPr>
          <w:p w14:paraId="7489C12A"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00" w:dyaOrig="400" w14:anchorId="2FA25C83">
                <v:shape id="_x0000_i1579" type="#_x0000_t75" style="width:34.8pt;height:20.4pt" o:ole="">
                  <v:imagedata r:id="rId1135" o:title=""/>
                </v:shape>
                <o:OLEObject Type="Embed" ProgID="Equation.DSMT4" ShapeID="_x0000_i1579" DrawAspect="Content" ObjectID="_1754919130" r:id="rId1136"/>
              </w:object>
            </w:r>
          </w:p>
        </w:tc>
        <w:tc>
          <w:tcPr>
            <w:tcW w:w="1131" w:type="dxa"/>
            <w:tcBorders>
              <w:left w:val="single" w:sz="4" w:space="0" w:color="auto"/>
            </w:tcBorders>
            <w:shd w:val="clear" w:color="auto" w:fill="auto"/>
            <w:vAlign w:val="center"/>
          </w:tcPr>
          <w:p w14:paraId="63C44FCF" w14:textId="77777777" w:rsidR="006C3DEB" w:rsidRPr="00C507DA" w:rsidRDefault="006C3DEB" w:rsidP="005A7549">
            <w:pPr>
              <w:pStyle w:val="TableTextCentered"/>
              <w:rPr>
                <w:rFonts w:eastAsia="Calibri"/>
              </w:rPr>
            </w:pPr>
            <w:r>
              <w:rPr>
                <w:rFonts w:eastAsia="Calibri"/>
              </w:rPr>
              <w:t>0.0030</w:t>
            </w:r>
          </w:p>
        </w:tc>
        <w:tc>
          <w:tcPr>
            <w:tcW w:w="1132" w:type="dxa"/>
            <w:shd w:val="clear" w:color="auto" w:fill="auto"/>
            <w:vAlign w:val="center"/>
          </w:tcPr>
          <w:p w14:paraId="7D36933C" w14:textId="77777777" w:rsidR="006C3DEB" w:rsidRPr="00C507DA" w:rsidRDefault="006C3DEB" w:rsidP="005A7549">
            <w:pPr>
              <w:pStyle w:val="TableTextCentered"/>
              <w:rPr>
                <w:rFonts w:eastAsia="Calibri"/>
              </w:rPr>
            </w:pPr>
            <w:r>
              <w:rPr>
                <w:rFonts w:eastAsia="Calibri"/>
              </w:rPr>
              <w:t>0.0002</w:t>
            </w:r>
          </w:p>
        </w:tc>
        <w:tc>
          <w:tcPr>
            <w:tcW w:w="1132" w:type="dxa"/>
            <w:shd w:val="clear" w:color="auto" w:fill="auto"/>
            <w:vAlign w:val="center"/>
          </w:tcPr>
          <w:p w14:paraId="31BB593D" w14:textId="77777777" w:rsidR="006C3DEB" w:rsidRDefault="006C3DEB" w:rsidP="005A7549">
            <w:pPr>
              <w:pStyle w:val="TableTextCentered"/>
              <w:rPr>
                <w:rFonts w:eastAsia="Calibri"/>
              </w:rPr>
            </w:pPr>
            <w:r>
              <w:rPr>
                <w:rFonts w:eastAsia="Calibri"/>
              </w:rPr>
              <w:t>0.0060</w:t>
            </w:r>
          </w:p>
        </w:tc>
        <w:tc>
          <w:tcPr>
            <w:tcW w:w="1132" w:type="dxa"/>
            <w:shd w:val="clear" w:color="auto" w:fill="auto"/>
            <w:vAlign w:val="center"/>
          </w:tcPr>
          <w:p w14:paraId="7B5B371F" w14:textId="77777777" w:rsidR="006C3DEB" w:rsidRDefault="006C3DEB" w:rsidP="005A7549">
            <w:pPr>
              <w:pStyle w:val="TableTextCentered"/>
              <w:rPr>
                <w:rFonts w:eastAsia="Calibri"/>
              </w:rPr>
            </w:pPr>
            <w:r>
              <w:rPr>
                <w:rFonts w:eastAsia="Calibri"/>
              </w:rPr>
              <w:t>0.0014</w:t>
            </w:r>
          </w:p>
        </w:tc>
        <w:tc>
          <w:tcPr>
            <w:tcW w:w="1132" w:type="dxa"/>
            <w:shd w:val="clear" w:color="auto" w:fill="auto"/>
            <w:vAlign w:val="center"/>
          </w:tcPr>
          <w:p w14:paraId="755EA8C7" w14:textId="77777777" w:rsidR="006C3DEB" w:rsidRDefault="006C3DEB" w:rsidP="005A7549">
            <w:pPr>
              <w:pStyle w:val="TableTextCentered"/>
              <w:rPr>
                <w:rFonts w:eastAsia="Calibri"/>
              </w:rPr>
            </w:pPr>
            <w:r>
              <w:rPr>
                <w:rFonts w:eastAsia="Calibri"/>
              </w:rPr>
              <w:t>0.0017</w:t>
            </w:r>
          </w:p>
        </w:tc>
        <w:tc>
          <w:tcPr>
            <w:tcW w:w="1132" w:type="dxa"/>
            <w:shd w:val="clear" w:color="auto" w:fill="auto"/>
            <w:vAlign w:val="center"/>
          </w:tcPr>
          <w:p w14:paraId="4B7DD8B2" w14:textId="77777777" w:rsidR="006C3DEB" w:rsidRDefault="006C3DEB" w:rsidP="005A7549">
            <w:pPr>
              <w:pStyle w:val="TableTextCentered"/>
              <w:rPr>
                <w:rFonts w:eastAsia="Calibri"/>
              </w:rPr>
            </w:pPr>
            <w:r>
              <w:rPr>
                <w:rFonts w:eastAsia="Calibri"/>
              </w:rPr>
              <w:t>0.0046</w:t>
            </w:r>
          </w:p>
        </w:tc>
        <w:tc>
          <w:tcPr>
            <w:tcW w:w="1132" w:type="dxa"/>
            <w:shd w:val="clear" w:color="auto" w:fill="auto"/>
            <w:vAlign w:val="center"/>
          </w:tcPr>
          <w:p w14:paraId="35EF0EFD" w14:textId="77777777" w:rsidR="006C3DEB" w:rsidRDefault="006C3DEB" w:rsidP="005A7549">
            <w:pPr>
              <w:pStyle w:val="TableTextCentered"/>
              <w:rPr>
                <w:rFonts w:eastAsia="Calibri"/>
              </w:rPr>
            </w:pPr>
            <w:r>
              <w:rPr>
                <w:rFonts w:eastAsia="Calibri"/>
              </w:rPr>
              <w:t>0.0000</w:t>
            </w:r>
          </w:p>
        </w:tc>
      </w:tr>
      <w:tr w:rsidR="006C3DEB" w14:paraId="5AF97DF8" w14:textId="77777777" w:rsidTr="005A3BB0">
        <w:trPr>
          <w:jc w:val="center"/>
        </w:trPr>
        <w:tc>
          <w:tcPr>
            <w:tcW w:w="1489" w:type="dxa"/>
            <w:tcBorders>
              <w:right w:val="single" w:sz="4" w:space="0" w:color="auto"/>
            </w:tcBorders>
            <w:shd w:val="clear" w:color="auto" w:fill="EEEEEE" w:themeFill="background2"/>
          </w:tcPr>
          <w:p w14:paraId="4C219D1B"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00" w:dyaOrig="400" w14:anchorId="02C3D108">
                <v:shape id="_x0000_i1580" type="#_x0000_t75" style="width:34.8pt;height:20.4pt" o:ole="">
                  <v:imagedata r:id="rId1137" o:title=""/>
                </v:shape>
                <o:OLEObject Type="Embed" ProgID="Equation.DSMT4" ShapeID="_x0000_i1580" DrawAspect="Content" ObjectID="_1754919131" r:id="rId1138"/>
              </w:object>
            </w:r>
          </w:p>
        </w:tc>
        <w:tc>
          <w:tcPr>
            <w:tcW w:w="1131" w:type="dxa"/>
            <w:tcBorders>
              <w:left w:val="single" w:sz="4" w:space="0" w:color="auto"/>
            </w:tcBorders>
            <w:shd w:val="clear" w:color="auto" w:fill="auto"/>
            <w:vAlign w:val="center"/>
          </w:tcPr>
          <w:p w14:paraId="4094E8BB" w14:textId="77777777" w:rsidR="006C3DEB" w:rsidRPr="00C507DA" w:rsidRDefault="006C3DEB" w:rsidP="005A7549">
            <w:pPr>
              <w:pStyle w:val="TableTextCentered"/>
              <w:rPr>
                <w:rFonts w:eastAsia="Calibri"/>
              </w:rPr>
            </w:pPr>
            <w:r>
              <w:rPr>
                <w:rFonts w:eastAsia="Calibri"/>
              </w:rPr>
              <w:t>0.0051</w:t>
            </w:r>
          </w:p>
        </w:tc>
        <w:tc>
          <w:tcPr>
            <w:tcW w:w="1132" w:type="dxa"/>
            <w:shd w:val="clear" w:color="auto" w:fill="auto"/>
            <w:vAlign w:val="center"/>
          </w:tcPr>
          <w:p w14:paraId="2BB11232" w14:textId="77777777" w:rsidR="006C3DEB" w:rsidRPr="00C507DA" w:rsidRDefault="006C3DEB" w:rsidP="005A7549">
            <w:pPr>
              <w:pStyle w:val="TableTextCentered"/>
              <w:rPr>
                <w:rFonts w:eastAsia="Calibri"/>
              </w:rPr>
            </w:pPr>
            <w:r>
              <w:rPr>
                <w:rFonts w:eastAsia="Calibri"/>
              </w:rPr>
              <w:t>0.0053</w:t>
            </w:r>
          </w:p>
        </w:tc>
        <w:tc>
          <w:tcPr>
            <w:tcW w:w="1132" w:type="dxa"/>
            <w:shd w:val="clear" w:color="auto" w:fill="auto"/>
            <w:vAlign w:val="center"/>
          </w:tcPr>
          <w:p w14:paraId="4313CDD9" w14:textId="77777777" w:rsidR="006C3DEB" w:rsidRDefault="006C3DEB" w:rsidP="005A7549">
            <w:pPr>
              <w:pStyle w:val="TableTextCentered"/>
              <w:rPr>
                <w:rFonts w:eastAsia="Calibri"/>
              </w:rPr>
            </w:pPr>
            <w:r>
              <w:rPr>
                <w:rFonts w:eastAsia="Calibri"/>
              </w:rPr>
              <w:t>0.0152</w:t>
            </w:r>
          </w:p>
        </w:tc>
        <w:tc>
          <w:tcPr>
            <w:tcW w:w="1132" w:type="dxa"/>
            <w:shd w:val="clear" w:color="auto" w:fill="auto"/>
            <w:vAlign w:val="center"/>
          </w:tcPr>
          <w:p w14:paraId="69CCD4D2" w14:textId="77777777" w:rsidR="006C3DEB" w:rsidRDefault="006C3DEB" w:rsidP="005A7549">
            <w:pPr>
              <w:pStyle w:val="TableTextCentered"/>
              <w:rPr>
                <w:rFonts w:eastAsia="Calibri"/>
              </w:rPr>
            </w:pPr>
            <w:r>
              <w:rPr>
                <w:rFonts w:eastAsia="Calibri"/>
              </w:rPr>
              <w:t>0.0174</w:t>
            </w:r>
          </w:p>
        </w:tc>
        <w:tc>
          <w:tcPr>
            <w:tcW w:w="1132" w:type="dxa"/>
            <w:shd w:val="clear" w:color="auto" w:fill="auto"/>
            <w:vAlign w:val="center"/>
          </w:tcPr>
          <w:p w14:paraId="720D7811" w14:textId="77777777" w:rsidR="006C3DEB" w:rsidRDefault="006C3DEB" w:rsidP="005A7549">
            <w:pPr>
              <w:pStyle w:val="TableTextCentered"/>
              <w:rPr>
                <w:rFonts w:eastAsia="Calibri"/>
              </w:rPr>
            </w:pPr>
            <w:r>
              <w:rPr>
                <w:rFonts w:eastAsia="Calibri"/>
              </w:rPr>
              <w:t>0.0104</w:t>
            </w:r>
          </w:p>
        </w:tc>
        <w:tc>
          <w:tcPr>
            <w:tcW w:w="1132" w:type="dxa"/>
            <w:shd w:val="clear" w:color="auto" w:fill="auto"/>
            <w:vAlign w:val="center"/>
          </w:tcPr>
          <w:p w14:paraId="09C42714" w14:textId="77777777" w:rsidR="006C3DEB" w:rsidRDefault="006C3DEB" w:rsidP="005A7549">
            <w:pPr>
              <w:pStyle w:val="TableTextCentered"/>
              <w:rPr>
                <w:rFonts w:eastAsia="Calibri"/>
              </w:rPr>
            </w:pPr>
            <w:r>
              <w:rPr>
                <w:rFonts w:eastAsia="Calibri"/>
              </w:rPr>
              <w:t>0.0241</w:t>
            </w:r>
          </w:p>
        </w:tc>
        <w:tc>
          <w:tcPr>
            <w:tcW w:w="1132" w:type="dxa"/>
            <w:shd w:val="clear" w:color="auto" w:fill="auto"/>
            <w:vAlign w:val="center"/>
          </w:tcPr>
          <w:p w14:paraId="451BEA54" w14:textId="77777777" w:rsidR="006C3DEB" w:rsidRDefault="006C3DEB" w:rsidP="005A7549">
            <w:pPr>
              <w:pStyle w:val="TableTextCentered"/>
              <w:rPr>
                <w:rFonts w:eastAsia="Calibri"/>
              </w:rPr>
            </w:pPr>
            <w:r>
              <w:rPr>
                <w:rFonts w:eastAsia="Calibri"/>
              </w:rPr>
              <w:t>0.01188</w:t>
            </w:r>
          </w:p>
        </w:tc>
      </w:tr>
      <w:tr w:rsidR="006C3DEB" w14:paraId="3FD998F1" w14:textId="77777777" w:rsidTr="005A3BB0">
        <w:trPr>
          <w:jc w:val="center"/>
        </w:trPr>
        <w:tc>
          <w:tcPr>
            <w:tcW w:w="1489" w:type="dxa"/>
            <w:tcBorders>
              <w:right w:val="single" w:sz="4" w:space="0" w:color="auto"/>
            </w:tcBorders>
            <w:shd w:val="clear" w:color="auto" w:fill="EEEEEE" w:themeFill="background2"/>
          </w:tcPr>
          <w:p w14:paraId="30626AB0"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40" w:dyaOrig="400" w14:anchorId="2D36BF4D">
                <v:shape id="_x0000_i1581" type="#_x0000_t75" style="width:36.6pt;height:20.4pt" o:ole="">
                  <v:imagedata r:id="rId1139" o:title=""/>
                </v:shape>
                <o:OLEObject Type="Embed" ProgID="Equation.DSMT4" ShapeID="_x0000_i1581" DrawAspect="Content" ObjectID="_1754919132" r:id="rId1140"/>
              </w:object>
            </w:r>
          </w:p>
        </w:tc>
        <w:tc>
          <w:tcPr>
            <w:tcW w:w="1131" w:type="dxa"/>
            <w:tcBorders>
              <w:left w:val="single" w:sz="4" w:space="0" w:color="auto"/>
            </w:tcBorders>
            <w:shd w:val="clear" w:color="auto" w:fill="auto"/>
            <w:vAlign w:val="center"/>
          </w:tcPr>
          <w:p w14:paraId="4AA3A260" w14:textId="77777777" w:rsidR="006C3DEB" w:rsidRPr="00C507DA" w:rsidRDefault="006C3DEB" w:rsidP="005A7549">
            <w:pPr>
              <w:pStyle w:val="TableTextCentered"/>
              <w:rPr>
                <w:rFonts w:eastAsia="Calibri"/>
              </w:rPr>
            </w:pPr>
            <w:r>
              <w:rPr>
                <w:rFonts w:eastAsia="Calibri"/>
              </w:rPr>
              <w:t>0.0422</w:t>
            </w:r>
          </w:p>
        </w:tc>
        <w:tc>
          <w:tcPr>
            <w:tcW w:w="1132" w:type="dxa"/>
            <w:shd w:val="clear" w:color="auto" w:fill="auto"/>
            <w:vAlign w:val="center"/>
          </w:tcPr>
          <w:p w14:paraId="02991ECF" w14:textId="77777777" w:rsidR="006C3DEB" w:rsidRPr="00C507DA" w:rsidRDefault="006C3DEB" w:rsidP="005A7549">
            <w:pPr>
              <w:pStyle w:val="TableTextCentered"/>
              <w:rPr>
                <w:rFonts w:eastAsia="Calibri"/>
              </w:rPr>
            </w:pPr>
            <w:r>
              <w:rPr>
                <w:rFonts w:eastAsia="Calibri"/>
              </w:rPr>
              <w:t>0.0278</w:t>
            </w:r>
          </w:p>
        </w:tc>
        <w:tc>
          <w:tcPr>
            <w:tcW w:w="1132" w:type="dxa"/>
            <w:shd w:val="clear" w:color="auto" w:fill="auto"/>
            <w:vAlign w:val="center"/>
          </w:tcPr>
          <w:p w14:paraId="473FAE2F" w14:textId="77777777" w:rsidR="006C3DEB" w:rsidRDefault="006C3DEB" w:rsidP="005A7549">
            <w:pPr>
              <w:pStyle w:val="TableTextCentered"/>
              <w:rPr>
                <w:rFonts w:eastAsia="Calibri"/>
              </w:rPr>
            </w:pPr>
            <w:r>
              <w:rPr>
                <w:rFonts w:eastAsia="Calibri"/>
              </w:rPr>
              <w:t>0.0103</w:t>
            </w:r>
          </w:p>
        </w:tc>
        <w:tc>
          <w:tcPr>
            <w:tcW w:w="1132" w:type="dxa"/>
            <w:shd w:val="clear" w:color="auto" w:fill="auto"/>
            <w:vAlign w:val="center"/>
          </w:tcPr>
          <w:p w14:paraId="710A29C0" w14:textId="77777777" w:rsidR="006C3DEB" w:rsidRDefault="006C3DEB" w:rsidP="005A7549">
            <w:pPr>
              <w:pStyle w:val="TableTextCentered"/>
              <w:rPr>
                <w:rFonts w:eastAsia="Calibri"/>
              </w:rPr>
            </w:pPr>
            <w:r>
              <w:rPr>
                <w:rFonts w:eastAsia="Calibri"/>
              </w:rPr>
              <w:t>0.0413</w:t>
            </w:r>
          </w:p>
        </w:tc>
        <w:tc>
          <w:tcPr>
            <w:tcW w:w="1132" w:type="dxa"/>
            <w:shd w:val="clear" w:color="auto" w:fill="auto"/>
            <w:vAlign w:val="center"/>
          </w:tcPr>
          <w:p w14:paraId="2DF09214" w14:textId="77777777" w:rsidR="006C3DEB" w:rsidRDefault="006C3DEB" w:rsidP="005A7549">
            <w:pPr>
              <w:pStyle w:val="TableTextCentered"/>
              <w:rPr>
                <w:rFonts w:eastAsia="Calibri"/>
              </w:rPr>
            </w:pPr>
            <w:r>
              <w:rPr>
                <w:rFonts w:eastAsia="Calibri"/>
              </w:rPr>
              <w:t>0.0080</w:t>
            </w:r>
          </w:p>
        </w:tc>
        <w:tc>
          <w:tcPr>
            <w:tcW w:w="1132" w:type="dxa"/>
            <w:shd w:val="clear" w:color="auto" w:fill="auto"/>
            <w:vAlign w:val="center"/>
          </w:tcPr>
          <w:p w14:paraId="0120CF54" w14:textId="77777777" w:rsidR="006C3DEB" w:rsidRDefault="006C3DEB" w:rsidP="005A7549">
            <w:pPr>
              <w:pStyle w:val="TableTextCentered"/>
              <w:rPr>
                <w:rFonts w:eastAsia="Calibri"/>
              </w:rPr>
            </w:pPr>
            <w:r>
              <w:rPr>
                <w:rFonts w:eastAsia="Calibri"/>
              </w:rPr>
              <w:t>0.0359</w:t>
            </w:r>
          </w:p>
        </w:tc>
        <w:tc>
          <w:tcPr>
            <w:tcW w:w="1132" w:type="dxa"/>
            <w:shd w:val="clear" w:color="auto" w:fill="auto"/>
            <w:vAlign w:val="center"/>
          </w:tcPr>
          <w:p w14:paraId="62BE769F" w14:textId="77777777" w:rsidR="006C3DEB" w:rsidRDefault="006C3DEB" w:rsidP="005A7549">
            <w:pPr>
              <w:pStyle w:val="TableTextCentered"/>
              <w:rPr>
                <w:rFonts w:eastAsia="Calibri"/>
              </w:rPr>
            </w:pPr>
            <w:r>
              <w:rPr>
                <w:rFonts w:eastAsia="Calibri"/>
              </w:rPr>
              <w:t>0.0059</w:t>
            </w:r>
          </w:p>
        </w:tc>
      </w:tr>
      <w:tr w:rsidR="006C3DEB" w14:paraId="4A18B58B" w14:textId="77777777" w:rsidTr="005A3BB0">
        <w:trPr>
          <w:jc w:val="center"/>
        </w:trPr>
        <w:tc>
          <w:tcPr>
            <w:tcW w:w="1489" w:type="dxa"/>
            <w:tcBorders>
              <w:right w:val="single" w:sz="4" w:space="0" w:color="auto"/>
            </w:tcBorders>
            <w:shd w:val="clear" w:color="auto" w:fill="EEEEEE" w:themeFill="background2"/>
          </w:tcPr>
          <w:p w14:paraId="19CD1910" w14:textId="77777777" w:rsidR="006C3DEB" w:rsidRPr="006C7CDF" w:rsidRDefault="006C3DEB" w:rsidP="005A7549">
            <w:pPr>
              <w:pStyle w:val="TableColumnHeadingLeft"/>
              <w:rPr>
                <w:rFonts w:eastAsia="Calibri"/>
              </w:rPr>
            </w:pPr>
            <w:r w:rsidRPr="00E670A7">
              <w:rPr>
                <w:rFonts w:eastAsiaTheme="minorHAnsi" w:cstheme="minorBidi"/>
                <w:position w:val="-14"/>
                <w:sz w:val="22"/>
                <w:szCs w:val="22"/>
                <w:lang w:eastAsia="en-US"/>
              </w:rPr>
              <w:object w:dxaOrig="660" w:dyaOrig="400" w14:anchorId="2855CAF0">
                <v:shape id="_x0000_i1582" type="#_x0000_t75" style="width:31.8pt;height:20.4pt" o:ole="">
                  <v:imagedata r:id="rId1141" o:title=""/>
                </v:shape>
                <o:OLEObject Type="Embed" ProgID="Equation.DSMT4" ShapeID="_x0000_i1582" DrawAspect="Content" ObjectID="_1754919133" r:id="rId1142"/>
              </w:object>
            </w:r>
          </w:p>
        </w:tc>
        <w:tc>
          <w:tcPr>
            <w:tcW w:w="1131" w:type="dxa"/>
            <w:tcBorders>
              <w:left w:val="single" w:sz="4" w:space="0" w:color="auto"/>
            </w:tcBorders>
            <w:shd w:val="clear" w:color="auto" w:fill="auto"/>
            <w:vAlign w:val="center"/>
          </w:tcPr>
          <w:p w14:paraId="6C474789" w14:textId="77777777" w:rsidR="006C3DEB" w:rsidRPr="00C507DA" w:rsidRDefault="006C3DEB" w:rsidP="005A7549">
            <w:pPr>
              <w:pStyle w:val="TableTextCentered"/>
              <w:rPr>
                <w:rFonts w:eastAsia="Calibri"/>
              </w:rPr>
            </w:pPr>
            <w:r>
              <w:rPr>
                <w:rFonts w:eastAsia="Calibri"/>
              </w:rPr>
              <w:t>-0.0004</w:t>
            </w:r>
          </w:p>
        </w:tc>
        <w:tc>
          <w:tcPr>
            <w:tcW w:w="1132" w:type="dxa"/>
            <w:shd w:val="clear" w:color="auto" w:fill="auto"/>
            <w:vAlign w:val="center"/>
          </w:tcPr>
          <w:p w14:paraId="059052FA" w14:textId="77777777" w:rsidR="006C3DEB" w:rsidRPr="00C507DA" w:rsidRDefault="006C3DEB" w:rsidP="005A7549">
            <w:pPr>
              <w:pStyle w:val="TableTextCentered"/>
              <w:rPr>
                <w:rFonts w:eastAsia="Calibri"/>
              </w:rPr>
            </w:pPr>
            <w:r>
              <w:rPr>
                <w:rFonts w:eastAsia="Calibri"/>
              </w:rPr>
              <w:t>-0.0086</w:t>
            </w:r>
          </w:p>
        </w:tc>
        <w:tc>
          <w:tcPr>
            <w:tcW w:w="1132" w:type="dxa"/>
            <w:shd w:val="clear" w:color="auto" w:fill="auto"/>
            <w:vAlign w:val="center"/>
          </w:tcPr>
          <w:p w14:paraId="0CCBEC35" w14:textId="77777777" w:rsidR="006C3DEB" w:rsidRDefault="006C3DEB" w:rsidP="005A7549">
            <w:pPr>
              <w:pStyle w:val="TableTextCentered"/>
              <w:rPr>
                <w:rFonts w:eastAsia="Calibri"/>
              </w:rPr>
            </w:pPr>
            <w:r>
              <w:rPr>
                <w:rFonts w:eastAsia="Calibri"/>
              </w:rPr>
              <w:t>0.0006</w:t>
            </w:r>
          </w:p>
        </w:tc>
        <w:tc>
          <w:tcPr>
            <w:tcW w:w="1132" w:type="dxa"/>
            <w:shd w:val="clear" w:color="auto" w:fill="auto"/>
            <w:vAlign w:val="center"/>
          </w:tcPr>
          <w:p w14:paraId="06316741" w14:textId="77777777" w:rsidR="006C3DEB" w:rsidRDefault="006C3DEB" w:rsidP="005A7549">
            <w:pPr>
              <w:pStyle w:val="TableTextCentered"/>
              <w:rPr>
                <w:rFonts w:eastAsia="Calibri"/>
              </w:rPr>
            </w:pPr>
            <w:r>
              <w:rPr>
                <w:rFonts w:eastAsia="Calibri"/>
              </w:rPr>
              <w:t>0.0003</w:t>
            </w:r>
          </w:p>
        </w:tc>
        <w:tc>
          <w:tcPr>
            <w:tcW w:w="1132" w:type="dxa"/>
            <w:shd w:val="clear" w:color="auto" w:fill="auto"/>
            <w:vAlign w:val="center"/>
          </w:tcPr>
          <w:p w14:paraId="3052CC5B" w14:textId="77777777" w:rsidR="006C3DEB" w:rsidRDefault="006C3DEB" w:rsidP="005A7549">
            <w:pPr>
              <w:pStyle w:val="TableTextCentered"/>
              <w:rPr>
                <w:rFonts w:eastAsia="Calibri"/>
              </w:rPr>
            </w:pPr>
            <w:r>
              <w:rPr>
                <w:rFonts w:eastAsia="Calibri"/>
              </w:rPr>
              <w:t>0.000</w:t>
            </w:r>
          </w:p>
        </w:tc>
        <w:tc>
          <w:tcPr>
            <w:tcW w:w="1132" w:type="dxa"/>
            <w:shd w:val="clear" w:color="auto" w:fill="auto"/>
            <w:vAlign w:val="center"/>
          </w:tcPr>
          <w:p w14:paraId="73768B2F" w14:textId="77777777" w:rsidR="006C3DEB" w:rsidRDefault="006C3DEB" w:rsidP="005A7549">
            <w:pPr>
              <w:pStyle w:val="TableTextCentered"/>
              <w:rPr>
                <w:rFonts w:eastAsia="Calibri"/>
              </w:rPr>
            </w:pPr>
            <w:r>
              <w:rPr>
                <w:rFonts w:eastAsia="Calibri"/>
              </w:rPr>
              <w:t>-0.0065</w:t>
            </w:r>
          </w:p>
        </w:tc>
        <w:tc>
          <w:tcPr>
            <w:tcW w:w="1132" w:type="dxa"/>
            <w:shd w:val="clear" w:color="auto" w:fill="auto"/>
            <w:vAlign w:val="center"/>
          </w:tcPr>
          <w:p w14:paraId="25C678E5" w14:textId="77777777" w:rsidR="006C3DEB" w:rsidRDefault="006C3DEB" w:rsidP="005A7549">
            <w:pPr>
              <w:pStyle w:val="TableTextCentered"/>
              <w:rPr>
                <w:rFonts w:eastAsia="Calibri"/>
              </w:rPr>
            </w:pPr>
            <w:r>
              <w:rPr>
                <w:rFonts w:eastAsia="Calibri"/>
              </w:rPr>
              <w:t>0.0005</w:t>
            </w:r>
          </w:p>
        </w:tc>
      </w:tr>
      <w:tr w:rsidR="006C3DEB" w14:paraId="4F6F6160" w14:textId="77777777" w:rsidTr="005A3BB0">
        <w:trPr>
          <w:jc w:val="center"/>
        </w:trPr>
        <w:tc>
          <w:tcPr>
            <w:tcW w:w="1489" w:type="dxa"/>
            <w:tcBorders>
              <w:right w:val="single" w:sz="4" w:space="0" w:color="auto"/>
            </w:tcBorders>
            <w:shd w:val="clear" w:color="auto" w:fill="EEEEEE" w:themeFill="background2"/>
          </w:tcPr>
          <w:p w14:paraId="30F972DC" w14:textId="77777777" w:rsidR="006C3DEB" w:rsidRPr="006C7CDF" w:rsidRDefault="006C3DEB" w:rsidP="005A7549">
            <w:pPr>
              <w:pStyle w:val="TableColumnHeadingLeft"/>
              <w:rPr>
                <w:rFonts w:eastAsia="Calibri"/>
              </w:rPr>
            </w:pPr>
            <w:r w:rsidRPr="00E670A7">
              <w:rPr>
                <w:rFonts w:eastAsiaTheme="minorHAnsi" w:cstheme="minorBidi"/>
                <w:position w:val="-14"/>
                <w:sz w:val="22"/>
                <w:szCs w:val="22"/>
                <w:lang w:eastAsia="en-US"/>
              </w:rPr>
              <w:object w:dxaOrig="680" w:dyaOrig="400" w14:anchorId="7E571B1F">
                <v:shape id="_x0000_i1583" type="#_x0000_t75" style="width:33pt;height:20.4pt" o:ole="">
                  <v:imagedata r:id="rId1143" o:title=""/>
                </v:shape>
                <o:OLEObject Type="Embed" ProgID="Equation.DSMT4" ShapeID="_x0000_i1583" DrawAspect="Content" ObjectID="_1754919134" r:id="rId1144"/>
              </w:object>
            </w:r>
          </w:p>
        </w:tc>
        <w:tc>
          <w:tcPr>
            <w:tcW w:w="1131" w:type="dxa"/>
            <w:tcBorders>
              <w:left w:val="single" w:sz="4" w:space="0" w:color="auto"/>
            </w:tcBorders>
            <w:shd w:val="clear" w:color="auto" w:fill="auto"/>
            <w:vAlign w:val="center"/>
          </w:tcPr>
          <w:p w14:paraId="6CB821D5" w14:textId="77777777" w:rsidR="006C3DEB" w:rsidRPr="00C507DA" w:rsidRDefault="006C3DEB" w:rsidP="005A7549">
            <w:pPr>
              <w:pStyle w:val="TableTextCentered"/>
              <w:rPr>
                <w:rFonts w:eastAsia="Calibri"/>
              </w:rPr>
            </w:pPr>
            <w:r>
              <w:rPr>
                <w:rFonts w:eastAsia="Calibri"/>
              </w:rPr>
              <w:t>0.0000</w:t>
            </w:r>
          </w:p>
        </w:tc>
        <w:tc>
          <w:tcPr>
            <w:tcW w:w="1132" w:type="dxa"/>
            <w:shd w:val="clear" w:color="auto" w:fill="auto"/>
            <w:vAlign w:val="center"/>
          </w:tcPr>
          <w:p w14:paraId="6EF6E642" w14:textId="77777777" w:rsidR="006C3DEB" w:rsidRPr="00C507DA" w:rsidRDefault="006C3DEB" w:rsidP="005A7549">
            <w:pPr>
              <w:pStyle w:val="TableTextCentered"/>
              <w:rPr>
                <w:rFonts w:eastAsia="Calibri"/>
              </w:rPr>
            </w:pPr>
            <w:r>
              <w:rPr>
                <w:rFonts w:eastAsia="Calibri"/>
              </w:rPr>
              <w:t>-0.0014</w:t>
            </w:r>
          </w:p>
        </w:tc>
        <w:tc>
          <w:tcPr>
            <w:tcW w:w="1132" w:type="dxa"/>
            <w:shd w:val="clear" w:color="auto" w:fill="auto"/>
            <w:vAlign w:val="center"/>
          </w:tcPr>
          <w:p w14:paraId="10EC51D0" w14:textId="77777777" w:rsidR="006C3DEB" w:rsidRDefault="006C3DEB" w:rsidP="005A7549">
            <w:pPr>
              <w:pStyle w:val="TableTextCentered"/>
              <w:rPr>
                <w:rFonts w:eastAsia="Calibri"/>
              </w:rPr>
            </w:pPr>
            <w:r>
              <w:rPr>
                <w:rFonts w:eastAsia="Calibri"/>
              </w:rPr>
              <w:t>0.0076</w:t>
            </w:r>
          </w:p>
        </w:tc>
        <w:tc>
          <w:tcPr>
            <w:tcW w:w="1132" w:type="dxa"/>
            <w:shd w:val="clear" w:color="auto" w:fill="auto"/>
            <w:vAlign w:val="center"/>
          </w:tcPr>
          <w:p w14:paraId="550B5853" w14:textId="77777777" w:rsidR="006C3DEB" w:rsidRDefault="006C3DEB" w:rsidP="005A7549">
            <w:pPr>
              <w:pStyle w:val="TableTextCentered"/>
              <w:rPr>
                <w:rFonts w:eastAsia="Calibri"/>
              </w:rPr>
            </w:pPr>
            <w:r>
              <w:rPr>
                <w:rFonts w:eastAsia="Calibri"/>
              </w:rPr>
              <w:t>0.0002</w:t>
            </w:r>
          </w:p>
        </w:tc>
        <w:tc>
          <w:tcPr>
            <w:tcW w:w="1132" w:type="dxa"/>
            <w:shd w:val="clear" w:color="auto" w:fill="auto"/>
            <w:vAlign w:val="center"/>
          </w:tcPr>
          <w:p w14:paraId="2F485819" w14:textId="77777777" w:rsidR="006C3DEB" w:rsidRDefault="006C3DEB" w:rsidP="005A7549">
            <w:pPr>
              <w:pStyle w:val="TableTextCentered"/>
              <w:rPr>
                <w:rFonts w:eastAsia="Calibri"/>
              </w:rPr>
            </w:pPr>
            <w:r>
              <w:rPr>
                <w:rFonts w:eastAsia="Calibri"/>
              </w:rPr>
              <w:t>0.0000</w:t>
            </w:r>
          </w:p>
        </w:tc>
        <w:tc>
          <w:tcPr>
            <w:tcW w:w="1132" w:type="dxa"/>
            <w:shd w:val="clear" w:color="auto" w:fill="auto"/>
            <w:vAlign w:val="center"/>
          </w:tcPr>
          <w:p w14:paraId="056878CC" w14:textId="77777777" w:rsidR="006C3DEB" w:rsidRDefault="006C3DEB" w:rsidP="005A7549">
            <w:pPr>
              <w:pStyle w:val="TableTextCentered"/>
              <w:rPr>
                <w:rFonts w:eastAsia="Calibri"/>
              </w:rPr>
            </w:pPr>
            <w:r>
              <w:rPr>
                <w:rFonts w:eastAsia="Calibri"/>
              </w:rPr>
              <w:t>0.0000</w:t>
            </w:r>
          </w:p>
        </w:tc>
        <w:tc>
          <w:tcPr>
            <w:tcW w:w="1132" w:type="dxa"/>
            <w:shd w:val="clear" w:color="auto" w:fill="auto"/>
            <w:vAlign w:val="center"/>
          </w:tcPr>
          <w:p w14:paraId="13EEE90D" w14:textId="77777777" w:rsidR="006C3DEB" w:rsidRDefault="006C3DEB" w:rsidP="005A7549">
            <w:pPr>
              <w:pStyle w:val="TableTextCentered"/>
              <w:rPr>
                <w:rFonts w:eastAsia="Calibri"/>
              </w:rPr>
            </w:pPr>
            <w:r>
              <w:rPr>
                <w:rFonts w:eastAsia="Calibri"/>
              </w:rPr>
              <w:t>0.0000</w:t>
            </w:r>
          </w:p>
        </w:tc>
      </w:tr>
      <w:tr w:rsidR="006C3DEB" w14:paraId="422CC45C" w14:textId="77777777" w:rsidTr="005A3BB0">
        <w:trPr>
          <w:jc w:val="center"/>
        </w:trPr>
        <w:tc>
          <w:tcPr>
            <w:tcW w:w="1489" w:type="dxa"/>
            <w:tcBorders>
              <w:right w:val="single" w:sz="4" w:space="0" w:color="auto"/>
            </w:tcBorders>
            <w:shd w:val="clear" w:color="auto" w:fill="EEEEEE" w:themeFill="background2"/>
          </w:tcPr>
          <w:p w14:paraId="7EF78EEA"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680" w:dyaOrig="400" w14:anchorId="6EB86E78">
                <v:shape id="_x0000_i1584" type="#_x0000_t75" style="width:33pt;height:20.4pt" o:ole="">
                  <v:imagedata r:id="rId1145" o:title=""/>
                </v:shape>
                <o:OLEObject Type="Embed" ProgID="Equation.DSMT4" ShapeID="_x0000_i1584" DrawAspect="Content" ObjectID="_1754919135" r:id="rId1146"/>
              </w:object>
            </w:r>
          </w:p>
        </w:tc>
        <w:tc>
          <w:tcPr>
            <w:tcW w:w="1131" w:type="dxa"/>
            <w:tcBorders>
              <w:left w:val="single" w:sz="4" w:space="0" w:color="auto"/>
            </w:tcBorders>
            <w:shd w:val="clear" w:color="auto" w:fill="auto"/>
            <w:vAlign w:val="center"/>
          </w:tcPr>
          <w:p w14:paraId="7A32AE8D" w14:textId="77777777" w:rsidR="006C3DEB" w:rsidRPr="00C507DA" w:rsidRDefault="006C3DEB" w:rsidP="005A7549">
            <w:pPr>
              <w:pStyle w:val="TableTextCentered"/>
              <w:rPr>
                <w:rFonts w:eastAsia="Calibri"/>
              </w:rPr>
            </w:pPr>
            <w:r w:rsidRPr="00C507DA">
              <w:rPr>
                <w:rFonts w:eastAsia="Calibri"/>
              </w:rPr>
              <w:t>0.0</w:t>
            </w:r>
            <w:r>
              <w:rPr>
                <w:rFonts w:eastAsia="Calibri"/>
              </w:rPr>
              <w:t>118</w:t>
            </w:r>
          </w:p>
        </w:tc>
        <w:tc>
          <w:tcPr>
            <w:tcW w:w="1132" w:type="dxa"/>
            <w:shd w:val="clear" w:color="auto" w:fill="auto"/>
            <w:vAlign w:val="center"/>
          </w:tcPr>
          <w:p w14:paraId="055F47B2" w14:textId="77777777" w:rsidR="006C3DEB" w:rsidRPr="00C507DA" w:rsidRDefault="006C3DEB" w:rsidP="005A7549">
            <w:pPr>
              <w:pStyle w:val="TableTextCentered"/>
              <w:rPr>
                <w:rFonts w:eastAsia="Calibri"/>
              </w:rPr>
            </w:pPr>
            <w:r>
              <w:rPr>
                <w:rFonts w:eastAsia="Calibri"/>
              </w:rPr>
              <w:t>-0.0128</w:t>
            </w:r>
          </w:p>
        </w:tc>
        <w:tc>
          <w:tcPr>
            <w:tcW w:w="1132" w:type="dxa"/>
            <w:shd w:val="clear" w:color="auto" w:fill="auto"/>
            <w:vAlign w:val="center"/>
          </w:tcPr>
          <w:p w14:paraId="334E1D81" w14:textId="77777777" w:rsidR="006C3DEB" w:rsidRPr="00C507DA" w:rsidRDefault="006C3DEB" w:rsidP="005A7549">
            <w:pPr>
              <w:pStyle w:val="TableTextCentered"/>
              <w:rPr>
                <w:rFonts w:eastAsia="Calibri"/>
              </w:rPr>
            </w:pPr>
            <w:r>
              <w:rPr>
                <w:rFonts w:eastAsia="Calibri"/>
              </w:rPr>
              <w:t>0.0045</w:t>
            </w:r>
          </w:p>
        </w:tc>
        <w:tc>
          <w:tcPr>
            <w:tcW w:w="1132" w:type="dxa"/>
            <w:shd w:val="clear" w:color="auto" w:fill="auto"/>
            <w:vAlign w:val="center"/>
          </w:tcPr>
          <w:p w14:paraId="56CEAD49" w14:textId="77777777" w:rsidR="006C3DEB" w:rsidRDefault="006C3DEB" w:rsidP="005A7549">
            <w:pPr>
              <w:pStyle w:val="TableTextCentered"/>
              <w:rPr>
                <w:rFonts w:eastAsia="Calibri"/>
              </w:rPr>
            </w:pPr>
            <w:r>
              <w:rPr>
                <w:rFonts w:eastAsia="Calibri"/>
              </w:rPr>
              <w:t>0.0061</w:t>
            </w:r>
          </w:p>
        </w:tc>
        <w:tc>
          <w:tcPr>
            <w:tcW w:w="1132" w:type="dxa"/>
            <w:shd w:val="clear" w:color="auto" w:fill="auto"/>
            <w:vAlign w:val="center"/>
          </w:tcPr>
          <w:p w14:paraId="51DAB80A" w14:textId="77777777" w:rsidR="006C3DEB" w:rsidRDefault="006C3DEB" w:rsidP="005A7549">
            <w:pPr>
              <w:pStyle w:val="TableTextCentered"/>
              <w:rPr>
                <w:rFonts w:eastAsia="Calibri"/>
              </w:rPr>
            </w:pPr>
            <w:r>
              <w:rPr>
                <w:rFonts w:eastAsia="Calibri"/>
              </w:rPr>
              <w:t>0.0042</w:t>
            </w:r>
          </w:p>
        </w:tc>
        <w:tc>
          <w:tcPr>
            <w:tcW w:w="1132" w:type="dxa"/>
            <w:shd w:val="clear" w:color="auto" w:fill="auto"/>
            <w:vAlign w:val="center"/>
          </w:tcPr>
          <w:p w14:paraId="4ED32E66" w14:textId="77777777" w:rsidR="006C3DEB" w:rsidRDefault="006C3DEB" w:rsidP="005A7549">
            <w:pPr>
              <w:pStyle w:val="TableTextCentered"/>
              <w:rPr>
                <w:rFonts w:eastAsia="Calibri"/>
              </w:rPr>
            </w:pPr>
            <w:r>
              <w:rPr>
                <w:rFonts w:eastAsia="Calibri"/>
              </w:rPr>
              <w:t>0.0046</w:t>
            </w:r>
          </w:p>
        </w:tc>
        <w:tc>
          <w:tcPr>
            <w:tcW w:w="1132" w:type="dxa"/>
            <w:shd w:val="clear" w:color="auto" w:fill="auto"/>
            <w:vAlign w:val="center"/>
          </w:tcPr>
          <w:p w14:paraId="16A7E5EF" w14:textId="77777777" w:rsidR="006C3DEB" w:rsidRDefault="006C3DEB" w:rsidP="005A7549">
            <w:pPr>
              <w:pStyle w:val="TableTextCentered"/>
              <w:rPr>
                <w:rFonts w:eastAsia="Calibri"/>
              </w:rPr>
            </w:pPr>
            <w:r>
              <w:rPr>
                <w:rFonts w:eastAsia="Calibri"/>
              </w:rPr>
              <w:t>0.0110</w:t>
            </w:r>
          </w:p>
        </w:tc>
      </w:tr>
      <w:tr w:rsidR="006C3DEB" w14:paraId="1A3B1ED5" w14:textId="77777777" w:rsidTr="005A3BB0">
        <w:trPr>
          <w:jc w:val="center"/>
        </w:trPr>
        <w:tc>
          <w:tcPr>
            <w:tcW w:w="1489" w:type="dxa"/>
            <w:tcBorders>
              <w:bottom w:val="single" w:sz="4" w:space="0" w:color="auto"/>
              <w:right w:val="single" w:sz="4" w:space="0" w:color="auto"/>
            </w:tcBorders>
            <w:shd w:val="clear" w:color="auto" w:fill="EEEEEE" w:themeFill="background2"/>
          </w:tcPr>
          <w:p w14:paraId="4A75E2A6" w14:textId="77777777" w:rsidR="006C3DEB" w:rsidRDefault="006C3DEB" w:rsidP="005A7549">
            <w:pPr>
              <w:pStyle w:val="TableColumnHeadingLeft"/>
              <w:rPr>
                <w:rFonts w:eastAsia="Calibri"/>
              </w:rPr>
            </w:pPr>
            <w:r w:rsidRPr="00E670A7">
              <w:rPr>
                <w:rFonts w:eastAsiaTheme="minorHAnsi" w:cstheme="minorBidi"/>
                <w:position w:val="-14"/>
                <w:sz w:val="22"/>
                <w:szCs w:val="22"/>
                <w:lang w:eastAsia="en-US"/>
              </w:rPr>
              <w:object w:dxaOrig="740" w:dyaOrig="400" w14:anchorId="3472D553">
                <v:shape id="_x0000_i1585" type="#_x0000_t75" style="width:36.6pt;height:20.4pt" o:ole="">
                  <v:imagedata r:id="rId1147" o:title=""/>
                </v:shape>
                <o:OLEObject Type="Embed" ProgID="Equation.DSMT4" ShapeID="_x0000_i1585" DrawAspect="Content" ObjectID="_1754919136" r:id="rId1148"/>
              </w:object>
            </w:r>
          </w:p>
        </w:tc>
        <w:tc>
          <w:tcPr>
            <w:tcW w:w="1131" w:type="dxa"/>
            <w:tcBorders>
              <w:left w:val="single" w:sz="4" w:space="0" w:color="auto"/>
              <w:bottom w:val="single" w:sz="4" w:space="0" w:color="auto"/>
            </w:tcBorders>
            <w:shd w:val="clear" w:color="auto" w:fill="auto"/>
            <w:vAlign w:val="center"/>
          </w:tcPr>
          <w:p w14:paraId="2784E35B" w14:textId="77777777" w:rsidR="006C3DEB" w:rsidRPr="00C507DA" w:rsidRDefault="006C3DEB" w:rsidP="005A7549">
            <w:pPr>
              <w:pStyle w:val="TableTextCentered"/>
              <w:rPr>
                <w:rFonts w:eastAsia="Calibri"/>
              </w:rPr>
            </w:pPr>
            <w:r w:rsidRPr="00C507DA">
              <w:rPr>
                <w:rFonts w:eastAsia="Calibri"/>
              </w:rPr>
              <w:t>0.</w:t>
            </w:r>
            <w:r>
              <w:rPr>
                <w:rFonts w:eastAsia="Calibri"/>
              </w:rPr>
              <w:t>000</w:t>
            </w:r>
          </w:p>
        </w:tc>
        <w:tc>
          <w:tcPr>
            <w:tcW w:w="1132" w:type="dxa"/>
            <w:tcBorders>
              <w:bottom w:val="single" w:sz="4" w:space="0" w:color="auto"/>
            </w:tcBorders>
            <w:shd w:val="clear" w:color="auto" w:fill="auto"/>
            <w:vAlign w:val="center"/>
          </w:tcPr>
          <w:p w14:paraId="3012E6DD" w14:textId="77777777" w:rsidR="006C3DEB" w:rsidRPr="00C507DA" w:rsidRDefault="006C3DEB" w:rsidP="005A7549">
            <w:pPr>
              <w:pStyle w:val="TableTextCentered"/>
              <w:rPr>
                <w:rFonts w:eastAsia="Calibri"/>
              </w:rPr>
            </w:pPr>
            <w:r>
              <w:rPr>
                <w:rFonts w:eastAsia="Calibri"/>
              </w:rPr>
              <w:t>0.0000</w:t>
            </w:r>
          </w:p>
        </w:tc>
        <w:tc>
          <w:tcPr>
            <w:tcW w:w="1132" w:type="dxa"/>
            <w:tcBorders>
              <w:bottom w:val="single" w:sz="4" w:space="0" w:color="auto"/>
            </w:tcBorders>
            <w:shd w:val="clear" w:color="auto" w:fill="auto"/>
            <w:vAlign w:val="center"/>
          </w:tcPr>
          <w:p w14:paraId="602F66BA" w14:textId="77777777" w:rsidR="006C3DEB" w:rsidRPr="00C507DA" w:rsidRDefault="006C3DEB" w:rsidP="005A7549">
            <w:pPr>
              <w:pStyle w:val="TableTextCentered"/>
              <w:rPr>
                <w:rFonts w:eastAsia="Calibri"/>
              </w:rPr>
            </w:pPr>
            <w:r>
              <w:rPr>
                <w:rFonts w:eastAsia="Calibri"/>
              </w:rPr>
              <w:t>0.000</w:t>
            </w:r>
          </w:p>
        </w:tc>
        <w:tc>
          <w:tcPr>
            <w:tcW w:w="1132" w:type="dxa"/>
            <w:tcBorders>
              <w:bottom w:val="single" w:sz="4" w:space="0" w:color="auto"/>
            </w:tcBorders>
            <w:shd w:val="clear" w:color="auto" w:fill="auto"/>
            <w:vAlign w:val="center"/>
          </w:tcPr>
          <w:p w14:paraId="1584E17D" w14:textId="77777777" w:rsidR="006C3DEB" w:rsidRDefault="006C3DEB" w:rsidP="005A7549">
            <w:pPr>
              <w:pStyle w:val="TableTextCentered"/>
              <w:rPr>
                <w:rFonts w:eastAsia="Calibri"/>
              </w:rPr>
            </w:pPr>
            <w:r>
              <w:rPr>
                <w:rFonts w:eastAsia="Calibri"/>
              </w:rPr>
              <w:t>0.0000</w:t>
            </w:r>
          </w:p>
        </w:tc>
        <w:tc>
          <w:tcPr>
            <w:tcW w:w="1132" w:type="dxa"/>
            <w:tcBorders>
              <w:bottom w:val="single" w:sz="4" w:space="0" w:color="auto"/>
            </w:tcBorders>
            <w:shd w:val="clear" w:color="auto" w:fill="auto"/>
            <w:vAlign w:val="center"/>
          </w:tcPr>
          <w:p w14:paraId="25CB2BD0" w14:textId="77777777" w:rsidR="006C3DEB" w:rsidRDefault="006C3DEB" w:rsidP="005A7549">
            <w:pPr>
              <w:pStyle w:val="TableTextCentered"/>
              <w:rPr>
                <w:rFonts w:eastAsia="Calibri"/>
              </w:rPr>
            </w:pPr>
            <w:r>
              <w:rPr>
                <w:rFonts w:eastAsia="Calibri"/>
              </w:rPr>
              <w:t>0.000</w:t>
            </w:r>
          </w:p>
        </w:tc>
        <w:tc>
          <w:tcPr>
            <w:tcW w:w="1132" w:type="dxa"/>
            <w:tcBorders>
              <w:bottom w:val="single" w:sz="4" w:space="0" w:color="auto"/>
            </w:tcBorders>
            <w:shd w:val="clear" w:color="auto" w:fill="auto"/>
            <w:vAlign w:val="center"/>
          </w:tcPr>
          <w:p w14:paraId="7E5C9543" w14:textId="77777777" w:rsidR="006C3DEB" w:rsidRDefault="006C3DEB" w:rsidP="005A7549">
            <w:pPr>
              <w:pStyle w:val="TableTextCentered"/>
              <w:rPr>
                <w:rFonts w:eastAsia="Calibri"/>
              </w:rPr>
            </w:pPr>
            <w:r>
              <w:rPr>
                <w:rFonts w:eastAsia="Calibri"/>
              </w:rPr>
              <w:t>0.0000</w:t>
            </w:r>
          </w:p>
        </w:tc>
        <w:tc>
          <w:tcPr>
            <w:tcW w:w="1132" w:type="dxa"/>
            <w:tcBorders>
              <w:bottom w:val="single" w:sz="4" w:space="0" w:color="auto"/>
            </w:tcBorders>
            <w:shd w:val="clear" w:color="auto" w:fill="auto"/>
            <w:vAlign w:val="center"/>
          </w:tcPr>
          <w:p w14:paraId="40D72F37" w14:textId="77777777" w:rsidR="006C3DEB" w:rsidRDefault="006C3DEB" w:rsidP="005A7549">
            <w:pPr>
              <w:pStyle w:val="TableTextCentered"/>
              <w:rPr>
                <w:rFonts w:eastAsia="Calibri"/>
              </w:rPr>
            </w:pPr>
            <w:r>
              <w:rPr>
                <w:rFonts w:eastAsia="Calibri"/>
              </w:rPr>
              <w:t>0.0000</w:t>
            </w:r>
          </w:p>
        </w:tc>
      </w:tr>
    </w:tbl>
    <w:p w14:paraId="691AA0A7" w14:textId="77777777" w:rsidR="006C3DEB" w:rsidRPr="0032767F" w:rsidRDefault="006C3DEB" w:rsidP="006C3DEB">
      <w:pPr>
        <w:pStyle w:val="Note"/>
      </w:pPr>
      <w:r w:rsidRPr="0032767F">
        <w:t>Source: Authors’ calculation based on ABS (2018</w:t>
      </w:r>
      <w:r>
        <w:t>a</w:t>
      </w:r>
      <w:r w:rsidRPr="0032767F">
        <w:t>) data.</w:t>
      </w:r>
    </w:p>
    <w:p w14:paraId="3D920740" w14:textId="77777777" w:rsidR="006C3DEB" w:rsidRDefault="006C3DEB" w:rsidP="006C3DEB">
      <w:pPr>
        <w:pStyle w:val="Heading4"/>
      </w:pPr>
      <w:r>
        <w:t>Spending</w:t>
      </w:r>
    </w:p>
    <w:p w14:paraId="262D0143" w14:textId="77777777" w:rsidR="006C3DEB" w:rsidRPr="00111B81" w:rsidRDefault="006C3DEB" w:rsidP="006C3DEB">
      <w:r w:rsidRPr="00041578">
        <w:t>The ratio of government spending to GDP in the initial steady state</w:t>
      </w:r>
      <w:r w:rsidRPr="00E670A7">
        <w:rPr>
          <w:position w:val="-12"/>
        </w:rPr>
        <w:object w:dxaOrig="279" w:dyaOrig="360" w14:anchorId="346EA200">
          <v:shape id="_x0000_i1586" type="#_x0000_t75" style="width:15pt;height:18pt" o:ole="">
            <v:imagedata r:id="rId1149" o:title=""/>
          </v:shape>
          <o:OLEObject Type="Embed" ProgID="Equation.DSMT4" ShapeID="_x0000_i1586" DrawAspect="Content" ObjectID="_1754919137" r:id="rId1150"/>
        </w:object>
      </w:r>
      <w:r w:rsidRPr="00041578">
        <w:t xml:space="preserve">is the level necessary to ensure a stable government debt to GDP ratio. This is calculated as modelled government revenue </w:t>
      </w:r>
      <w:r>
        <w:t>less</w:t>
      </w:r>
      <w:r w:rsidRPr="00041578">
        <w:t xml:space="preserve"> </w:t>
      </w:r>
      <w:r>
        <w:t xml:space="preserve">modelled government </w:t>
      </w:r>
      <w:r w:rsidRPr="00041578">
        <w:t>transfers and the debt stab</w:t>
      </w:r>
      <w:r>
        <w:t>i</w:t>
      </w:r>
      <w:r w:rsidRPr="00041578">
        <w:t>lising primary balance. The implied government spending to GDP ratio is lower than suggested in the data (ABS, 2021e) because there are several state and local government tax</w:t>
      </w:r>
      <w:r>
        <w:t>es</w:t>
      </w:r>
      <w:r w:rsidRPr="00041578">
        <w:t xml:space="preserve"> that are not captured in the model</w:t>
      </w:r>
      <w:r>
        <w:t xml:space="preserve"> and some government </w:t>
      </w:r>
      <w:r w:rsidRPr="00041578">
        <w:t>transfers are modelled to be larger share of GDP than reported in the data.</w:t>
      </w:r>
    </w:p>
    <w:p w14:paraId="46670063" w14:textId="77777777" w:rsidR="006C3DEB" w:rsidRDefault="006C3DEB" w:rsidP="006C3DEB">
      <w:pPr>
        <w:pStyle w:val="Heading4"/>
      </w:pPr>
      <w:r>
        <w:lastRenderedPageBreak/>
        <w:t>Transfers</w:t>
      </w:r>
    </w:p>
    <w:p w14:paraId="7886BE0A" w14:textId="77777777" w:rsidR="006C3DEB" w:rsidRPr="00BD4409" w:rsidRDefault="006C3DEB" w:rsidP="006C3DEB">
      <w:pPr>
        <w:pStyle w:val="Heading5"/>
        <w:rPr>
          <w:rStyle w:val="IntenseEmphasis"/>
          <w:b/>
          <w:bCs w:val="0"/>
          <w:i w:val="0"/>
          <w:iCs/>
          <w:color w:val="000000" w:themeColor="text1"/>
        </w:rPr>
      </w:pPr>
      <w:r w:rsidRPr="00BD4409">
        <w:rPr>
          <w:rStyle w:val="IntenseEmphasis"/>
          <w:b/>
          <w:bCs w:val="0"/>
          <w:i w:val="0"/>
          <w:iCs/>
          <w:color w:val="000000" w:themeColor="text1"/>
        </w:rPr>
        <w:t>Age pension</w:t>
      </w:r>
    </w:p>
    <w:p w14:paraId="64356AEF" w14:textId="24537EDF" w:rsidR="006C3DEB" w:rsidRDefault="006C3DEB" w:rsidP="006C3DEB">
      <w:r>
        <w:t xml:space="preserve">The age pension function parameters including, age eligibility, maximum pension rate, income threshold, income test taper rate, asset threshold, and asset test taper rate, match actual values </w:t>
      </w:r>
      <w:r w:rsidRPr="000B3F32">
        <w:t xml:space="preserve">as of December 2017 (see </w:t>
      </w:r>
      <w:r w:rsidR="00E00A52">
        <w:t xml:space="preserve">Table </w:t>
      </w:r>
      <w:r w:rsidR="00E00A52">
        <w:rPr>
          <w:noProof/>
        </w:rPr>
        <w:t>17</w:t>
      </w:r>
      <w:r w:rsidRPr="000B3F32">
        <w:t>)</w:t>
      </w:r>
      <w:r>
        <w:t>.</w:t>
      </w:r>
    </w:p>
    <w:p w14:paraId="705442D7" w14:textId="77777777" w:rsidR="006C3DEB" w:rsidRDefault="006C3DEB" w:rsidP="006C3DEB">
      <w:r>
        <w:t xml:space="preserve">Under the current system, an individual’s age pension depends on their relationship status, with single payments higher than for those in a couple. We calculate a maximum age pension payment by weighting the rates for single and couple recipients by the proportion of each type of recipients reported by the Department of Social Services (2018). The maximum age pension payment in the model is calibrated to be the same as </w:t>
      </w:r>
      <w:r w:rsidRPr="000B3F32">
        <w:t>of December 2017</w:t>
      </w:r>
      <w:r>
        <w:t xml:space="preserve"> by adjusting the replacement ratio parameter</w:t>
      </w:r>
      <w:r w:rsidRPr="00E670A7">
        <w:rPr>
          <w:position w:val="-12"/>
        </w:rPr>
        <w:object w:dxaOrig="440" w:dyaOrig="380" w14:anchorId="1349B378">
          <v:shape id="_x0000_i1587" type="#_x0000_t75" style="width:21.6pt;height:18pt" o:ole="">
            <v:imagedata r:id="rId1151" o:title=""/>
          </v:shape>
          <o:OLEObject Type="Embed" ProgID="Equation.DSMT4" ShapeID="_x0000_i1587" DrawAspect="Content" ObjectID="_1754919138" r:id="rId1152"/>
        </w:object>
      </w:r>
      <w:r>
        <w:t>.</w:t>
      </w:r>
    </w:p>
    <w:p w14:paraId="6B952126" w14:textId="77777777" w:rsidR="006C3DEB" w:rsidRPr="008573BB" w:rsidRDefault="006C3DEB" w:rsidP="006C3DEB">
      <w:r>
        <w:t>Consistent with the calculation of the maximum age pension payment, the income and asset test thresholds are weighted averages of the single and couple thresholds</w:t>
      </w:r>
      <w:r w:rsidRPr="00BA7CF3">
        <w:rPr>
          <w:rStyle w:val="FootnoteReference"/>
        </w:rPr>
        <w:footnoteReference w:id="9"/>
      </w:r>
      <w:r>
        <w:t>.</w:t>
      </w:r>
    </w:p>
    <w:p w14:paraId="53259023" w14:textId="152A01CA" w:rsidR="006C3DEB" w:rsidRPr="00335DA0" w:rsidRDefault="006C3DEB" w:rsidP="006C3DEB">
      <w:pPr>
        <w:pStyle w:val="TableMainHeading"/>
      </w:pPr>
      <w:bookmarkStart w:id="39" w:name="_Ref101947456"/>
      <w:r>
        <w:t xml:space="preserve">Table </w:t>
      </w:r>
      <w:r>
        <w:rPr>
          <w:noProof/>
        </w:rPr>
        <w:fldChar w:fldCharType="begin"/>
      </w:r>
      <w:r>
        <w:rPr>
          <w:noProof/>
        </w:rPr>
        <w:instrText xml:space="preserve"> SEQ Table \* ARABIC </w:instrText>
      </w:r>
      <w:r>
        <w:rPr>
          <w:noProof/>
        </w:rPr>
        <w:fldChar w:fldCharType="separate"/>
      </w:r>
      <w:r w:rsidR="00E00A52">
        <w:rPr>
          <w:noProof/>
        </w:rPr>
        <w:t>17</w:t>
      </w:r>
      <w:r>
        <w:rPr>
          <w:noProof/>
        </w:rPr>
        <w:fldChar w:fldCharType="end"/>
      </w:r>
      <w:bookmarkEnd w:id="39"/>
      <w:r>
        <w:t>: Age pension parameters</w:t>
      </w:r>
    </w:p>
    <w:tbl>
      <w:tblPr>
        <w:tblStyle w:val="TableGrid"/>
        <w:tblW w:w="5000" w:type="pct"/>
        <w:jc w:val="center"/>
        <w:shd w:val="clear" w:color="auto" w:fill="EEEEEE" w:themeFill="background2"/>
        <w:tblLook w:val="04A0" w:firstRow="1" w:lastRow="0" w:firstColumn="1" w:lastColumn="0" w:noHBand="0" w:noVBand="1"/>
      </w:tblPr>
      <w:tblGrid>
        <w:gridCol w:w="3828"/>
        <w:gridCol w:w="2916"/>
        <w:gridCol w:w="2326"/>
      </w:tblGrid>
      <w:tr w:rsidR="006C3DEB" w14:paraId="1533B183" w14:textId="77777777" w:rsidTr="00281368">
        <w:trPr>
          <w:trHeight w:val="411"/>
          <w:jc w:val="center"/>
        </w:trPr>
        <w:tc>
          <w:tcPr>
            <w:tcW w:w="3828" w:type="dxa"/>
            <w:tcBorders>
              <w:top w:val="single" w:sz="4" w:space="0" w:color="auto"/>
              <w:bottom w:val="single" w:sz="4" w:space="0" w:color="auto"/>
            </w:tcBorders>
            <w:shd w:val="clear" w:color="auto" w:fill="EEEEEE" w:themeFill="background2"/>
            <w:vAlign w:val="center"/>
          </w:tcPr>
          <w:p w14:paraId="631766C1" w14:textId="77777777" w:rsidR="006C3DEB" w:rsidRPr="0088277E" w:rsidRDefault="006C3DEB" w:rsidP="005A7549">
            <w:pPr>
              <w:pStyle w:val="TableColumnHeadingLeft"/>
            </w:pPr>
            <w:r w:rsidRPr="0088277E">
              <w:t>Parameter</w:t>
            </w:r>
          </w:p>
        </w:tc>
        <w:tc>
          <w:tcPr>
            <w:tcW w:w="2916" w:type="dxa"/>
            <w:tcBorders>
              <w:top w:val="single" w:sz="4" w:space="0" w:color="auto"/>
              <w:bottom w:val="single" w:sz="4" w:space="0" w:color="auto"/>
            </w:tcBorders>
            <w:shd w:val="clear" w:color="auto" w:fill="EEEEEE" w:themeFill="background2"/>
            <w:vAlign w:val="center"/>
          </w:tcPr>
          <w:p w14:paraId="13CDE45D" w14:textId="1C91D85F" w:rsidR="006C3DEB" w:rsidRPr="0088277E" w:rsidRDefault="00E316D3" w:rsidP="005A7549">
            <w:pPr>
              <w:pStyle w:val="TableColumnHeadingLeft"/>
            </w:pPr>
            <w:r>
              <w:t>Variable</w:t>
            </w:r>
          </w:p>
        </w:tc>
        <w:tc>
          <w:tcPr>
            <w:tcW w:w="2326" w:type="dxa"/>
            <w:tcBorders>
              <w:top w:val="single" w:sz="4" w:space="0" w:color="auto"/>
              <w:bottom w:val="single" w:sz="4" w:space="0" w:color="auto"/>
            </w:tcBorders>
            <w:shd w:val="clear" w:color="auto" w:fill="EEEEEE" w:themeFill="background2"/>
            <w:vAlign w:val="center"/>
          </w:tcPr>
          <w:p w14:paraId="5CBE8CFD" w14:textId="77777777" w:rsidR="006C3DEB" w:rsidRPr="0088277E" w:rsidRDefault="006C3DEB" w:rsidP="005A7549">
            <w:pPr>
              <w:pStyle w:val="TableColumnHeadingLeft"/>
            </w:pPr>
            <w:r w:rsidRPr="0088277E">
              <w:t>Value</w:t>
            </w:r>
          </w:p>
        </w:tc>
      </w:tr>
      <w:tr w:rsidR="006C3DEB" w14:paraId="2FAD1CA4" w14:textId="77777777" w:rsidTr="00281368">
        <w:trPr>
          <w:trHeight w:val="411"/>
          <w:jc w:val="center"/>
        </w:trPr>
        <w:tc>
          <w:tcPr>
            <w:tcW w:w="3828" w:type="dxa"/>
            <w:tcBorders>
              <w:top w:val="single" w:sz="4" w:space="0" w:color="auto"/>
              <w:right w:val="single" w:sz="4" w:space="0" w:color="auto"/>
            </w:tcBorders>
            <w:shd w:val="clear" w:color="auto" w:fill="EEEEEE" w:themeFill="background2"/>
            <w:vAlign w:val="center"/>
          </w:tcPr>
          <w:p w14:paraId="7B2D9BC5" w14:textId="77777777" w:rsidR="006C3DEB" w:rsidRDefault="006C3DEB" w:rsidP="005A7549">
            <w:pPr>
              <w:pStyle w:val="TableTextLeft"/>
            </w:pPr>
            <w:r>
              <w:t>Eligibility age</w:t>
            </w:r>
          </w:p>
        </w:tc>
        <w:tc>
          <w:tcPr>
            <w:tcW w:w="2916" w:type="dxa"/>
            <w:tcBorders>
              <w:top w:val="single" w:sz="4" w:space="0" w:color="auto"/>
              <w:left w:val="single" w:sz="4" w:space="0" w:color="auto"/>
            </w:tcBorders>
            <w:shd w:val="clear" w:color="auto" w:fill="auto"/>
            <w:vAlign w:val="center"/>
          </w:tcPr>
          <w:p w14:paraId="1FBDC2B7" w14:textId="77777777" w:rsidR="006C3DEB" w:rsidRDefault="006C3DEB" w:rsidP="005A7549">
            <w:pPr>
              <w:pStyle w:val="TableTextLeft"/>
            </w:pPr>
            <w:r w:rsidRPr="00E670A7">
              <w:rPr>
                <w:rFonts w:eastAsiaTheme="minorHAnsi" w:cstheme="minorBidi"/>
                <w:position w:val="-6"/>
                <w:sz w:val="22"/>
                <w:szCs w:val="22"/>
                <w:lang w:eastAsia="en-US"/>
              </w:rPr>
              <w:object w:dxaOrig="200" w:dyaOrig="220" w14:anchorId="0D76B16D">
                <v:shape id="_x0000_i1588" type="#_x0000_t75" style="width:10.8pt;height:10.8pt" o:ole="">
                  <v:imagedata r:id="rId1153" o:title=""/>
                </v:shape>
                <o:OLEObject Type="Embed" ProgID="Equation.DSMT4" ShapeID="_x0000_i1588" DrawAspect="Content" ObjectID="_1754919139" r:id="rId1154"/>
              </w:object>
            </w:r>
          </w:p>
        </w:tc>
        <w:tc>
          <w:tcPr>
            <w:tcW w:w="2326" w:type="dxa"/>
            <w:tcBorders>
              <w:top w:val="single" w:sz="4" w:space="0" w:color="auto"/>
            </w:tcBorders>
            <w:shd w:val="clear" w:color="auto" w:fill="auto"/>
            <w:vAlign w:val="center"/>
          </w:tcPr>
          <w:p w14:paraId="4DE39A8E" w14:textId="77777777" w:rsidR="006C3DEB" w:rsidRDefault="006C3DEB" w:rsidP="005A7549">
            <w:pPr>
              <w:pStyle w:val="TableTextLeft"/>
            </w:pPr>
            <w:r>
              <w:t>66</w:t>
            </w:r>
          </w:p>
        </w:tc>
      </w:tr>
      <w:tr w:rsidR="006C3DEB" w14:paraId="3AD98013" w14:textId="77777777" w:rsidTr="00281368">
        <w:trPr>
          <w:trHeight w:val="411"/>
          <w:jc w:val="center"/>
        </w:trPr>
        <w:tc>
          <w:tcPr>
            <w:tcW w:w="3828" w:type="dxa"/>
            <w:tcBorders>
              <w:right w:val="single" w:sz="4" w:space="0" w:color="auto"/>
            </w:tcBorders>
            <w:shd w:val="clear" w:color="auto" w:fill="EEEEEE" w:themeFill="background2"/>
            <w:vAlign w:val="center"/>
          </w:tcPr>
          <w:p w14:paraId="1F309E5D" w14:textId="77777777" w:rsidR="006C3DEB" w:rsidRPr="005F790E" w:rsidRDefault="006C3DEB" w:rsidP="005A7549">
            <w:pPr>
              <w:pStyle w:val="TableTextLeft"/>
            </w:pPr>
            <w:r>
              <w:t>Maximum benefit-Replacement ratio</w:t>
            </w:r>
          </w:p>
        </w:tc>
        <w:tc>
          <w:tcPr>
            <w:tcW w:w="2916" w:type="dxa"/>
            <w:tcBorders>
              <w:left w:val="single" w:sz="4" w:space="0" w:color="auto"/>
            </w:tcBorders>
            <w:shd w:val="clear" w:color="auto" w:fill="auto"/>
            <w:vAlign w:val="center"/>
          </w:tcPr>
          <w:p w14:paraId="27382702" w14:textId="77777777" w:rsidR="006C3DEB" w:rsidRDefault="006C3DEB" w:rsidP="005A7549">
            <w:pPr>
              <w:pStyle w:val="TableTextLeft"/>
            </w:pPr>
            <w:r w:rsidRPr="00E670A7">
              <w:rPr>
                <w:rFonts w:eastAsiaTheme="minorHAnsi" w:cstheme="minorBidi"/>
                <w:position w:val="-12"/>
                <w:sz w:val="22"/>
                <w:szCs w:val="22"/>
                <w:lang w:eastAsia="en-US"/>
              </w:rPr>
              <w:object w:dxaOrig="440" w:dyaOrig="380" w14:anchorId="1D816A3B">
                <v:shape id="_x0000_i1589" type="#_x0000_t75" style="width:21.6pt;height:18pt" o:ole="">
                  <v:imagedata r:id="rId1155" o:title=""/>
                </v:shape>
                <o:OLEObject Type="Embed" ProgID="Equation.DSMT4" ShapeID="_x0000_i1589" DrawAspect="Content" ObjectID="_1754919140" r:id="rId1156"/>
              </w:object>
            </w:r>
          </w:p>
        </w:tc>
        <w:tc>
          <w:tcPr>
            <w:tcW w:w="2326" w:type="dxa"/>
            <w:shd w:val="clear" w:color="auto" w:fill="auto"/>
            <w:vAlign w:val="center"/>
          </w:tcPr>
          <w:p w14:paraId="303D4DAC" w14:textId="77777777" w:rsidR="006C3DEB" w:rsidRDefault="006C3DEB" w:rsidP="005A7549">
            <w:pPr>
              <w:pStyle w:val="TableTextLeft"/>
            </w:pPr>
            <w:r>
              <w:t>0.26</w:t>
            </w:r>
          </w:p>
        </w:tc>
      </w:tr>
      <w:tr w:rsidR="006C3DEB" w14:paraId="1ACF5D1C" w14:textId="77777777" w:rsidTr="00281368">
        <w:trPr>
          <w:trHeight w:val="411"/>
          <w:jc w:val="center"/>
        </w:trPr>
        <w:tc>
          <w:tcPr>
            <w:tcW w:w="3828" w:type="dxa"/>
            <w:tcBorders>
              <w:right w:val="single" w:sz="4" w:space="0" w:color="auto"/>
            </w:tcBorders>
            <w:shd w:val="clear" w:color="auto" w:fill="EEEEEE" w:themeFill="background2"/>
            <w:vAlign w:val="center"/>
          </w:tcPr>
          <w:p w14:paraId="45132268" w14:textId="77777777" w:rsidR="006C3DEB" w:rsidRPr="00FA3019" w:rsidRDefault="006C3DEB" w:rsidP="005A7549">
            <w:pPr>
              <w:pStyle w:val="TableTextLeft"/>
            </w:pPr>
            <w:r w:rsidRPr="00FA3019">
              <w:t>Maximum age pension payment</w:t>
            </w:r>
          </w:p>
        </w:tc>
        <w:tc>
          <w:tcPr>
            <w:tcW w:w="2916" w:type="dxa"/>
            <w:tcBorders>
              <w:left w:val="single" w:sz="4" w:space="0" w:color="auto"/>
            </w:tcBorders>
            <w:shd w:val="clear" w:color="auto" w:fill="auto"/>
            <w:vAlign w:val="center"/>
          </w:tcPr>
          <w:p w14:paraId="0A1BD0E4" w14:textId="77777777" w:rsidR="006C3DEB" w:rsidRPr="00FA3019" w:rsidRDefault="006C3DEB" w:rsidP="005A7549">
            <w:pPr>
              <w:pStyle w:val="TableTextLeft"/>
            </w:pPr>
            <w:r>
              <w:t>p</w:t>
            </w:r>
            <w:r w:rsidRPr="00FA3019">
              <w:t>max</w:t>
            </w:r>
          </w:p>
        </w:tc>
        <w:tc>
          <w:tcPr>
            <w:tcW w:w="2326" w:type="dxa"/>
            <w:shd w:val="clear" w:color="auto" w:fill="auto"/>
            <w:vAlign w:val="center"/>
          </w:tcPr>
          <w:p w14:paraId="68297DE3" w14:textId="77777777" w:rsidR="006C3DEB" w:rsidRPr="00FA3019" w:rsidRDefault="006C3DEB" w:rsidP="005A7549">
            <w:pPr>
              <w:pStyle w:val="TableTextLeft"/>
            </w:pPr>
            <w:r w:rsidRPr="00FA3019">
              <w:t>$20,414.94</w:t>
            </w:r>
          </w:p>
        </w:tc>
      </w:tr>
      <w:tr w:rsidR="006C3DEB" w14:paraId="52D2B7D4" w14:textId="77777777" w:rsidTr="00281368">
        <w:trPr>
          <w:trHeight w:val="411"/>
          <w:jc w:val="center"/>
        </w:trPr>
        <w:tc>
          <w:tcPr>
            <w:tcW w:w="3828" w:type="dxa"/>
            <w:tcBorders>
              <w:right w:val="single" w:sz="4" w:space="0" w:color="auto"/>
            </w:tcBorders>
            <w:shd w:val="clear" w:color="auto" w:fill="EEEEEE" w:themeFill="background2"/>
            <w:vAlign w:val="center"/>
          </w:tcPr>
          <w:p w14:paraId="2033C760" w14:textId="77777777" w:rsidR="006C3DEB" w:rsidRPr="00AE1FB7" w:rsidRDefault="006C3DEB" w:rsidP="005A7549">
            <w:pPr>
              <w:pStyle w:val="TableTextLeft"/>
            </w:pPr>
            <w:r>
              <w:t>Asset test-lower bound (max benefit)</w:t>
            </w:r>
          </w:p>
        </w:tc>
        <w:tc>
          <w:tcPr>
            <w:tcW w:w="2916" w:type="dxa"/>
            <w:tcBorders>
              <w:left w:val="single" w:sz="4" w:space="0" w:color="auto"/>
            </w:tcBorders>
            <w:shd w:val="clear" w:color="auto" w:fill="auto"/>
            <w:vAlign w:val="center"/>
          </w:tcPr>
          <w:p w14:paraId="7D747D4C" w14:textId="77777777" w:rsidR="006C3DEB" w:rsidRDefault="006C3DEB" w:rsidP="005A7549">
            <w:pPr>
              <w:pStyle w:val="TableTextLeft"/>
            </w:pPr>
            <w:r w:rsidRPr="00E670A7">
              <w:rPr>
                <w:rFonts w:eastAsiaTheme="minorHAnsi" w:cstheme="minorBidi"/>
                <w:position w:val="-14"/>
                <w:sz w:val="22"/>
                <w:szCs w:val="22"/>
                <w:lang w:eastAsia="en-US"/>
              </w:rPr>
              <w:object w:dxaOrig="340" w:dyaOrig="380" w14:anchorId="08D525CA">
                <v:shape id="_x0000_i1590" type="#_x0000_t75" style="width:18pt;height:18pt" o:ole="">
                  <v:imagedata r:id="rId1157" o:title=""/>
                </v:shape>
                <o:OLEObject Type="Embed" ProgID="Equation.DSMT4" ShapeID="_x0000_i1590" DrawAspect="Content" ObjectID="_1754919141" r:id="rId1158"/>
              </w:object>
            </w:r>
          </w:p>
        </w:tc>
        <w:tc>
          <w:tcPr>
            <w:tcW w:w="2326" w:type="dxa"/>
            <w:shd w:val="clear" w:color="auto" w:fill="auto"/>
            <w:vAlign w:val="center"/>
          </w:tcPr>
          <w:p w14:paraId="78F7BB20" w14:textId="77777777" w:rsidR="006C3DEB" w:rsidRDefault="006C3DEB" w:rsidP="005A7549">
            <w:pPr>
              <w:pStyle w:val="TableTextLeft"/>
            </w:pPr>
            <w:r>
              <w:t>$366,379</w:t>
            </w:r>
          </w:p>
        </w:tc>
      </w:tr>
      <w:tr w:rsidR="006C3DEB" w14:paraId="263A8AF6" w14:textId="77777777" w:rsidTr="00281368">
        <w:trPr>
          <w:trHeight w:val="411"/>
          <w:jc w:val="center"/>
        </w:trPr>
        <w:tc>
          <w:tcPr>
            <w:tcW w:w="3828" w:type="dxa"/>
            <w:tcBorders>
              <w:right w:val="single" w:sz="4" w:space="0" w:color="auto"/>
            </w:tcBorders>
            <w:shd w:val="clear" w:color="auto" w:fill="EEEEEE" w:themeFill="background2"/>
            <w:vAlign w:val="center"/>
          </w:tcPr>
          <w:p w14:paraId="78E32DEF" w14:textId="77777777" w:rsidR="006C3DEB" w:rsidRPr="00AE1FB7" w:rsidRDefault="006C3DEB" w:rsidP="005A7549">
            <w:pPr>
              <w:pStyle w:val="TableTextLeft"/>
            </w:pPr>
            <w:r>
              <w:t>Asset test-upper bound (no benefit)</w:t>
            </w:r>
          </w:p>
        </w:tc>
        <w:tc>
          <w:tcPr>
            <w:tcW w:w="2916" w:type="dxa"/>
            <w:tcBorders>
              <w:left w:val="single" w:sz="4" w:space="0" w:color="auto"/>
            </w:tcBorders>
            <w:shd w:val="clear" w:color="auto" w:fill="auto"/>
            <w:vAlign w:val="center"/>
          </w:tcPr>
          <w:p w14:paraId="3E661592" w14:textId="77777777" w:rsidR="006C3DEB" w:rsidRDefault="006C3DEB" w:rsidP="005A7549">
            <w:pPr>
              <w:pStyle w:val="TableTextLeft"/>
            </w:pPr>
            <w:r w:rsidRPr="00E670A7">
              <w:rPr>
                <w:rFonts w:eastAsiaTheme="minorHAnsi" w:cstheme="minorBidi"/>
                <w:position w:val="-14"/>
                <w:sz w:val="22"/>
                <w:szCs w:val="22"/>
                <w:lang w:eastAsia="en-US"/>
              </w:rPr>
              <w:object w:dxaOrig="360" w:dyaOrig="380" w14:anchorId="74176D61">
                <v:shape id="_x0000_i1591" type="#_x0000_t75" style="width:18pt;height:18pt" o:ole="">
                  <v:imagedata r:id="rId1159" o:title=""/>
                </v:shape>
                <o:OLEObject Type="Embed" ProgID="Equation.DSMT4" ShapeID="_x0000_i1591" DrawAspect="Content" ObjectID="_1754919142" r:id="rId1160"/>
              </w:object>
            </w:r>
          </w:p>
        </w:tc>
        <w:tc>
          <w:tcPr>
            <w:tcW w:w="2326" w:type="dxa"/>
            <w:shd w:val="clear" w:color="auto" w:fill="auto"/>
            <w:vAlign w:val="center"/>
          </w:tcPr>
          <w:p w14:paraId="6D5663AB" w14:textId="77777777" w:rsidR="006C3DEB" w:rsidRDefault="006C3DEB" w:rsidP="005A7549">
            <w:pPr>
              <w:pStyle w:val="TableTextLeft"/>
            </w:pPr>
            <w:r>
              <w:t>$621,566</w:t>
            </w:r>
          </w:p>
        </w:tc>
      </w:tr>
      <w:tr w:rsidR="006C3DEB" w14:paraId="05DA0EFC" w14:textId="77777777" w:rsidTr="00281368">
        <w:trPr>
          <w:trHeight w:val="411"/>
          <w:jc w:val="center"/>
        </w:trPr>
        <w:tc>
          <w:tcPr>
            <w:tcW w:w="3828" w:type="dxa"/>
            <w:tcBorders>
              <w:right w:val="single" w:sz="4" w:space="0" w:color="auto"/>
            </w:tcBorders>
            <w:shd w:val="clear" w:color="auto" w:fill="EEEEEE" w:themeFill="background2"/>
            <w:vAlign w:val="center"/>
          </w:tcPr>
          <w:p w14:paraId="2EF1D250" w14:textId="77777777" w:rsidR="006C3DEB" w:rsidRPr="005F790E" w:rsidRDefault="006C3DEB" w:rsidP="005A7549">
            <w:pPr>
              <w:pStyle w:val="TableTextLeft"/>
            </w:pPr>
            <w:r>
              <w:t>Asset test-taper rate</w:t>
            </w:r>
          </w:p>
        </w:tc>
        <w:tc>
          <w:tcPr>
            <w:tcW w:w="2916" w:type="dxa"/>
            <w:tcBorders>
              <w:left w:val="single" w:sz="4" w:space="0" w:color="auto"/>
            </w:tcBorders>
            <w:shd w:val="clear" w:color="auto" w:fill="auto"/>
            <w:vAlign w:val="center"/>
          </w:tcPr>
          <w:p w14:paraId="0E1E23D4" w14:textId="77777777" w:rsidR="006C3DEB" w:rsidRDefault="006C3DEB" w:rsidP="005A7549">
            <w:pPr>
              <w:pStyle w:val="TableTextLeft"/>
            </w:pPr>
            <w:r w:rsidRPr="00E670A7">
              <w:rPr>
                <w:rFonts w:eastAsiaTheme="minorHAnsi" w:cstheme="minorBidi"/>
                <w:position w:val="-12"/>
                <w:sz w:val="22"/>
                <w:szCs w:val="22"/>
                <w:lang w:eastAsia="en-US"/>
              </w:rPr>
              <w:object w:dxaOrig="320" w:dyaOrig="380" w14:anchorId="41CC0884">
                <v:shape id="_x0000_i1592" type="#_x0000_t75" style="width:15.6pt;height:18pt" o:ole="">
                  <v:imagedata r:id="rId1161" o:title=""/>
                </v:shape>
                <o:OLEObject Type="Embed" ProgID="Equation.DSMT4" ShapeID="_x0000_i1592" DrawAspect="Content" ObjectID="_1754919143" r:id="rId1162"/>
              </w:object>
            </w:r>
          </w:p>
        </w:tc>
        <w:tc>
          <w:tcPr>
            <w:tcW w:w="2326" w:type="dxa"/>
            <w:shd w:val="clear" w:color="auto" w:fill="auto"/>
            <w:vAlign w:val="center"/>
          </w:tcPr>
          <w:p w14:paraId="35512A8C" w14:textId="77777777" w:rsidR="006C3DEB" w:rsidRDefault="006C3DEB" w:rsidP="005A7549">
            <w:pPr>
              <w:pStyle w:val="TableTextLeft"/>
            </w:pPr>
            <w:r>
              <w:t>0.08</w:t>
            </w:r>
          </w:p>
        </w:tc>
      </w:tr>
      <w:tr w:rsidR="006C3DEB" w14:paraId="73AC34D4" w14:textId="77777777" w:rsidTr="00281368">
        <w:trPr>
          <w:trHeight w:val="411"/>
          <w:jc w:val="center"/>
        </w:trPr>
        <w:tc>
          <w:tcPr>
            <w:tcW w:w="3828" w:type="dxa"/>
            <w:tcBorders>
              <w:right w:val="single" w:sz="4" w:space="0" w:color="auto"/>
            </w:tcBorders>
            <w:shd w:val="clear" w:color="auto" w:fill="EEEEEE" w:themeFill="background2"/>
            <w:vAlign w:val="center"/>
          </w:tcPr>
          <w:p w14:paraId="197D9006" w14:textId="77777777" w:rsidR="006C3DEB" w:rsidRPr="007B6BEC" w:rsidRDefault="006C3DEB" w:rsidP="005A7549">
            <w:pPr>
              <w:pStyle w:val="TableTextLeft"/>
            </w:pPr>
            <w:r>
              <w:t>Income test-lower bound (max benefit)</w:t>
            </w:r>
          </w:p>
        </w:tc>
        <w:tc>
          <w:tcPr>
            <w:tcW w:w="2916" w:type="dxa"/>
            <w:tcBorders>
              <w:left w:val="single" w:sz="4" w:space="0" w:color="auto"/>
            </w:tcBorders>
            <w:shd w:val="clear" w:color="auto" w:fill="auto"/>
            <w:vAlign w:val="center"/>
          </w:tcPr>
          <w:p w14:paraId="010AEBAF" w14:textId="77777777" w:rsidR="006C3DEB" w:rsidRDefault="006C3DEB" w:rsidP="005A7549">
            <w:pPr>
              <w:pStyle w:val="TableTextLeft"/>
            </w:pPr>
            <w:r w:rsidRPr="00E670A7">
              <w:rPr>
                <w:rFonts w:eastAsiaTheme="minorHAnsi" w:cstheme="minorBidi"/>
                <w:position w:val="-14"/>
                <w:sz w:val="22"/>
                <w:szCs w:val="22"/>
                <w:lang w:eastAsia="en-US"/>
              </w:rPr>
              <w:object w:dxaOrig="499" w:dyaOrig="420" w14:anchorId="4B6F878B">
                <v:shape id="_x0000_i1593" type="#_x0000_t75" style="width:25.2pt;height:19.8pt" o:ole="">
                  <v:imagedata r:id="rId1163" o:title=""/>
                </v:shape>
                <o:OLEObject Type="Embed" ProgID="Equation.DSMT4" ShapeID="_x0000_i1593" DrawAspect="Content" ObjectID="_1754919144" r:id="rId1164"/>
              </w:object>
            </w:r>
          </w:p>
        </w:tc>
        <w:tc>
          <w:tcPr>
            <w:tcW w:w="2326" w:type="dxa"/>
            <w:shd w:val="clear" w:color="auto" w:fill="auto"/>
            <w:vAlign w:val="center"/>
          </w:tcPr>
          <w:p w14:paraId="1B004037" w14:textId="77777777" w:rsidR="006C3DEB" w:rsidRDefault="006C3DEB" w:rsidP="005A7549">
            <w:pPr>
              <w:pStyle w:val="TableTextLeft"/>
            </w:pPr>
            <w:r>
              <w:t>$4,110</w:t>
            </w:r>
          </w:p>
        </w:tc>
      </w:tr>
      <w:tr w:rsidR="006C3DEB" w14:paraId="42E053C8" w14:textId="77777777" w:rsidTr="00281368">
        <w:trPr>
          <w:trHeight w:val="411"/>
          <w:jc w:val="center"/>
        </w:trPr>
        <w:tc>
          <w:tcPr>
            <w:tcW w:w="3828" w:type="dxa"/>
            <w:tcBorders>
              <w:right w:val="single" w:sz="4" w:space="0" w:color="auto"/>
            </w:tcBorders>
            <w:shd w:val="clear" w:color="auto" w:fill="EEEEEE" w:themeFill="background2"/>
            <w:vAlign w:val="center"/>
          </w:tcPr>
          <w:p w14:paraId="30738CDC" w14:textId="77777777" w:rsidR="006C3DEB" w:rsidRPr="007B6BEC" w:rsidRDefault="006C3DEB" w:rsidP="005A7549">
            <w:pPr>
              <w:pStyle w:val="TableTextLeft"/>
            </w:pPr>
            <w:r>
              <w:t>Income test-upper bound (no benefit)</w:t>
            </w:r>
          </w:p>
        </w:tc>
        <w:tc>
          <w:tcPr>
            <w:tcW w:w="2916" w:type="dxa"/>
            <w:tcBorders>
              <w:left w:val="single" w:sz="4" w:space="0" w:color="auto"/>
            </w:tcBorders>
            <w:shd w:val="clear" w:color="auto" w:fill="auto"/>
            <w:vAlign w:val="center"/>
          </w:tcPr>
          <w:p w14:paraId="5BEF9C14" w14:textId="77777777" w:rsidR="006C3DEB" w:rsidRPr="007B6BEC" w:rsidRDefault="006C3DEB" w:rsidP="005A7549">
            <w:pPr>
              <w:pStyle w:val="TableTextLeft"/>
            </w:pPr>
            <w:r w:rsidRPr="00E670A7">
              <w:rPr>
                <w:rFonts w:eastAsiaTheme="minorHAnsi" w:cstheme="minorBidi"/>
                <w:position w:val="-14"/>
                <w:sz w:val="22"/>
                <w:szCs w:val="22"/>
                <w:lang w:eastAsia="en-US"/>
              </w:rPr>
              <w:object w:dxaOrig="520" w:dyaOrig="420" w14:anchorId="10AFC64D">
                <v:shape id="_x0000_i1594" type="#_x0000_t75" style="width:25.8pt;height:19.8pt" o:ole="">
                  <v:imagedata r:id="rId1165" o:title=""/>
                </v:shape>
                <o:OLEObject Type="Embed" ProgID="Equation.DSMT4" ShapeID="_x0000_i1594" DrawAspect="Content" ObjectID="_1754919145" r:id="rId1166"/>
              </w:object>
            </w:r>
          </w:p>
        </w:tc>
        <w:tc>
          <w:tcPr>
            <w:tcW w:w="2326" w:type="dxa"/>
            <w:shd w:val="clear" w:color="auto" w:fill="auto"/>
            <w:vAlign w:val="center"/>
          </w:tcPr>
          <w:p w14:paraId="12438209" w14:textId="77777777" w:rsidR="006C3DEB" w:rsidRDefault="006C3DEB" w:rsidP="005A7549">
            <w:pPr>
              <w:pStyle w:val="TableTextLeft"/>
            </w:pPr>
            <w:r>
              <w:t>$44,940</w:t>
            </w:r>
          </w:p>
        </w:tc>
      </w:tr>
      <w:tr w:rsidR="006C3DEB" w14:paraId="16974BD7" w14:textId="77777777" w:rsidTr="00281368">
        <w:trPr>
          <w:trHeight w:val="411"/>
          <w:jc w:val="center"/>
        </w:trPr>
        <w:tc>
          <w:tcPr>
            <w:tcW w:w="3828" w:type="dxa"/>
            <w:tcBorders>
              <w:right w:val="single" w:sz="4" w:space="0" w:color="auto"/>
            </w:tcBorders>
            <w:shd w:val="clear" w:color="auto" w:fill="EEEEEE" w:themeFill="background2"/>
            <w:vAlign w:val="center"/>
          </w:tcPr>
          <w:p w14:paraId="32FB088F" w14:textId="77777777" w:rsidR="006C3DEB" w:rsidRPr="005F790E" w:rsidRDefault="006C3DEB" w:rsidP="005A7549">
            <w:pPr>
              <w:pStyle w:val="TableTextLeft"/>
            </w:pPr>
            <w:r>
              <w:t>Income test-taper rate</w:t>
            </w:r>
          </w:p>
        </w:tc>
        <w:tc>
          <w:tcPr>
            <w:tcW w:w="2916" w:type="dxa"/>
            <w:tcBorders>
              <w:left w:val="single" w:sz="4" w:space="0" w:color="auto"/>
            </w:tcBorders>
            <w:shd w:val="clear" w:color="auto" w:fill="auto"/>
            <w:vAlign w:val="center"/>
          </w:tcPr>
          <w:p w14:paraId="638414D0" w14:textId="77777777" w:rsidR="006C3DEB" w:rsidRPr="007B6BEC" w:rsidRDefault="006C3DEB" w:rsidP="005A7549">
            <w:pPr>
              <w:pStyle w:val="TableTextLeft"/>
            </w:pPr>
            <w:r w:rsidRPr="00E670A7">
              <w:rPr>
                <w:rFonts w:eastAsiaTheme="minorHAnsi" w:cstheme="minorBidi"/>
                <w:position w:val="-12"/>
                <w:sz w:val="22"/>
                <w:szCs w:val="22"/>
                <w:lang w:eastAsia="en-US"/>
              </w:rPr>
              <w:object w:dxaOrig="320" w:dyaOrig="380" w14:anchorId="4257338A">
                <v:shape id="_x0000_i1595" type="#_x0000_t75" style="width:15.6pt;height:18pt" o:ole="">
                  <v:imagedata r:id="rId1167" o:title=""/>
                </v:shape>
                <o:OLEObject Type="Embed" ProgID="Equation.DSMT4" ShapeID="_x0000_i1595" DrawAspect="Content" ObjectID="_1754919146" r:id="rId1168"/>
              </w:object>
            </w:r>
          </w:p>
        </w:tc>
        <w:tc>
          <w:tcPr>
            <w:tcW w:w="2326" w:type="dxa"/>
            <w:shd w:val="clear" w:color="auto" w:fill="auto"/>
            <w:vAlign w:val="center"/>
          </w:tcPr>
          <w:p w14:paraId="5D1F589C" w14:textId="77777777" w:rsidR="006C3DEB" w:rsidRDefault="006C3DEB" w:rsidP="005A7549">
            <w:pPr>
              <w:pStyle w:val="TableTextLeft"/>
            </w:pPr>
            <w:r>
              <w:t>0.5</w:t>
            </w:r>
          </w:p>
        </w:tc>
      </w:tr>
      <w:tr w:rsidR="006C3DEB" w14:paraId="01539B5F" w14:textId="77777777" w:rsidTr="00281368">
        <w:trPr>
          <w:trHeight w:val="411"/>
          <w:jc w:val="center"/>
        </w:trPr>
        <w:tc>
          <w:tcPr>
            <w:tcW w:w="3828" w:type="dxa"/>
            <w:tcBorders>
              <w:right w:val="single" w:sz="4" w:space="0" w:color="auto"/>
            </w:tcBorders>
            <w:shd w:val="clear" w:color="auto" w:fill="EEEEEE" w:themeFill="background2"/>
            <w:vAlign w:val="center"/>
          </w:tcPr>
          <w:p w14:paraId="4545318D" w14:textId="77777777" w:rsidR="006C3DEB" w:rsidRPr="005F790E" w:rsidRDefault="006C3DEB" w:rsidP="005A7549">
            <w:pPr>
              <w:pStyle w:val="TableTextLeft"/>
            </w:pPr>
            <w:r>
              <w:t xml:space="preserve">Deemed income-threshold </w:t>
            </w:r>
          </w:p>
        </w:tc>
        <w:tc>
          <w:tcPr>
            <w:tcW w:w="2916" w:type="dxa"/>
            <w:tcBorders>
              <w:left w:val="single" w:sz="4" w:space="0" w:color="auto"/>
            </w:tcBorders>
            <w:shd w:val="clear" w:color="auto" w:fill="auto"/>
            <w:vAlign w:val="center"/>
          </w:tcPr>
          <w:p w14:paraId="0A8ABBC7" w14:textId="77777777" w:rsidR="006C3DEB" w:rsidRPr="007B6BEC" w:rsidRDefault="006C3DEB" w:rsidP="005A7549">
            <w:pPr>
              <w:pStyle w:val="TableTextLeft"/>
            </w:pPr>
            <w:r w:rsidRPr="00E670A7">
              <w:rPr>
                <w:rFonts w:eastAsiaTheme="minorHAnsi" w:cstheme="minorBidi"/>
                <w:position w:val="-12"/>
                <w:sz w:val="22"/>
                <w:szCs w:val="22"/>
                <w:lang w:eastAsia="en-US"/>
              </w:rPr>
              <w:object w:dxaOrig="360" w:dyaOrig="380" w14:anchorId="26611E7C">
                <v:shape id="_x0000_i1596" type="#_x0000_t75" style="width:18pt;height:18pt" o:ole="">
                  <v:imagedata r:id="rId1169" o:title=""/>
                </v:shape>
                <o:OLEObject Type="Embed" ProgID="Equation.DSMT4" ShapeID="_x0000_i1596" DrawAspect="Content" ObjectID="_1754919147" r:id="rId1170"/>
              </w:object>
            </w:r>
          </w:p>
        </w:tc>
        <w:tc>
          <w:tcPr>
            <w:tcW w:w="2326" w:type="dxa"/>
            <w:shd w:val="clear" w:color="auto" w:fill="auto"/>
            <w:vAlign w:val="center"/>
          </w:tcPr>
          <w:p w14:paraId="075274B3" w14:textId="77777777" w:rsidR="006C3DEB" w:rsidRDefault="006C3DEB" w:rsidP="005A7549">
            <w:pPr>
              <w:pStyle w:val="TableTextLeft"/>
            </w:pPr>
            <w:r>
              <w:t>$50,200</w:t>
            </w:r>
          </w:p>
        </w:tc>
      </w:tr>
      <w:tr w:rsidR="006C3DEB" w14:paraId="4EB0046E" w14:textId="77777777" w:rsidTr="00281368">
        <w:trPr>
          <w:trHeight w:val="411"/>
          <w:jc w:val="center"/>
        </w:trPr>
        <w:tc>
          <w:tcPr>
            <w:tcW w:w="3828" w:type="dxa"/>
            <w:tcBorders>
              <w:right w:val="single" w:sz="4" w:space="0" w:color="auto"/>
            </w:tcBorders>
            <w:shd w:val="clear" w:color="auto" w:fill="EEEEEE" w:themeFill="background2"/>
            <w:vAlign w:val="center"/>
          </w:tcPr>
          <w:p w14:paraId="7F7C42A8" w14:textId="77777777" w:rsidR="006C3DEB" w:rsidRPr="005F790E" w:rsidRDefault="006C3DEB" w:rsidP="005A7549">
            <w:pPr>
              <w:pStyle w:val="TableTextLeft"/>
            </w:pPr>
            <w:r>
              <w:t>Deemed income-deeming rate below threshold</w:t>
            </w:r>
          </w:p>
        </w:tc>
        <w:tc>
          <w:tcPr>
            <w:tcW w:w="2916" w:type="dxa"/>
            <w:tcBorders>
              <w:left w:val="single" w:sz="4" w:space="0" w:color="auto"/>
            </w:tcBorders>
            <w:shd w:val="clear" w:color="auto" w:fill="auto"/>
            <w:vAlign w:val="center"/>
          </w:tcPr>
          <w:p w14:paraId="5D161B3F" w14:textId="77777777" w:rsidR="006C3DEB" w:rsidRPr="007B6BEC" w:rsidRDefault="006C3DEB" w:rsidP="005A7549">
            <w:pPr>
              <w:pStyle w:val="TableTextLeft"/>
            </w:pPr>
            <w:r w:rsidRPr="00E670A7">
              <w:rPr>
                <w:rFonts w:eastAsiaTheme="minorHAnsi" w:cstheme="minorBidi"/>
                <w:position w:val="-12"/>
                <w:sz w:val="22"/>
                <w:szCs w:val="22"/>
                <w:lang w:eastAsia="en-US"/>
              </w:rPr>
              <w:object w:dxaOrig="480" w:dyaOrig="380" w14:anchorId="76DB3D5B">
                <v:shape id="_x0000_i1597" type="#_x0000_t75" style="width:24pt;height:18pt" o:ole="">
                  <v:imagedata r:id="rId1171" o:title=""/>
                </v:shape>
                <o:OLEObject Type="Embed" ProgID="Equation.DSMT4" ShapeID="_x0000_i1597" DrawAspect="Content" ObjectID="_1754919148" r:id="rId1172"/>
              </w:object>
            </w:r>
          </w:p>
        </w:tc>
        <w:tc>
          <w:tcPr>
            <w:tcW w:w="2326" w:type="dxa"/>
            <w:shd w:val="clear" w:color="auto" w:fill="auto"/>
            <w:vAlign w:val="center"/>
          </w:tcPr>
          <w:p w14:paraId="34201AC7" w14:textId="77777777" w:rsidR="006C3DEB" w:rsidRDefault="006C3DEB" w:rsidP="005A7549">
            <w:pPr>
              <w:pStyle w:val="TableTextLeft"/>
            </w:pPr>
            <w:r>
              <w:t>0.0175</w:t>
            </w:r>
          </w:p>
        </w:tc>
      </w:tr>
      <w:tr w:rsidR="006C3DEB" w14:paraId="5DFC06E3" w14:textId="77777777" w:rsidTr="00281368">
        <w:trPr>
          <w:trHeight w:val="411"/>
          <w:jc w:val="center"/>
        </w:trPr>
        <w:tc>
          <w:tcPr>
            <w:tcW w:w="3828" w:type="dxa"/>
            <w:tcBorders>
              <w:bottom w:val="single" w:sz="4" w:space="0" w:color="auto"/>
              <w:right w:val="single" w:sz="4" w:space="0" w:color="auto"/>
            </w:tcBorders>
            <w:shd w:val="clear" w:color="auto" w:fill="EEEEEE" w:themeFill="background2"/>
            <w:vAlign w:val="center"/>
          </w:tcPr>
          <w:p w14:paraId="51A6DC62" w14:textId="77777777" w:rsidR="006C3DEB" w:rsidRPr="005F790E" w:rsidRDefault="006C3DEB" w:rsidP="005A7549">
            <w:pPr>
              <w:pStyle w:val="TableTextLeft"/>
            </w:pPr>
            <w:r>
              <w:t>Deemed income-deeming rate above threshold</w:t>
            </w:r>
          </w:p>
        </w:tc>
        <w:tc>
          <w:tcPr>
            <w:tcW w:w="2916" w:type="dxa"/>
            <w:tcBorders>
              <w:left w:val="single" w:sz="4" w:space="0" w:color="auto"/>
              <w:bottom w:val="single" w:sz="4" w:space="0" w:color="auto"/>
            </w:tcBorders>
            <w:shd w:val="clear" w:color="auto" w:fill="auto"/>
            <w:vAlign w:val="center"/>
          </w:tcPr>
          <w:p w14:paraId="09616F13" w14:textId="77777777" w:rsidR="006C3DEB" w:rsidRDefault="006C3DEB" w:rsidP="005A7549">
            <w:pPr>
              <w:pStyle w:val="TableTextLeft"/>
            </w:pPr>
            <w:r w:rsidRPr="00E670A7">
              <w:rPr>
                <w:rFonts w:eastAsiaTheme="minorHAnsi" w:cstheme="minorBidi"/>
                <w:position w:val="-12"/>
                <w:sz w:val="22"/>
                <w:szCs w:val="22"/>
                <w:lang w:eastAsia="en-US"/>
              </w:rPr>
              <w:object w:dxaOrig="499" w:dyaOrig="380" w14:anchorId="53CDC2BE">
                <v:shape id="_x0000_i1598" type="#_x0000_t75" style="width:25.2pt;height:18pt" o:ole="">
                  <v:imagedata r:id="rId1173" o:title=""/>
                </v:shape>
                <o:OLEObject Type="Embed" ProgID="Equation.DSMT4" ShapeID="_x0000_i1598" DrawAspect="Content" ObjectID="_1754919149" r:id="rId1174"/>
              </w:object>
            </w:r>
          </w:p>
        </w:tc>
        <w:tc>
          <w:tcPr>
            <w:tcW w:w="2326" w:type="dxa"/>
            <w:tcBorders>
              <w:bottom w:val="single" w:sz="4" w:space="0" w:color="auto"/>
            </w:tcBorders>
            <w:shd w:val="clear" w:color="auto" w:fill="auto"/>
            <w:vAlign w:val="center"/>
          </w:tcPr>
          <w:p w14:paraId="79EEECB6" w14:textId="77777777" w:rsidR="006C3DEB" w:rsidRDefault="006C3DEB" w:rsidP="005A7549">
            <w:pPr>
              <w:pStyle w:val="TableTextLeft"/>
            </w:pPr>
            <w:r>
              <w:t>0.0325</w:t>
            </w:r>
          </w:p>
        </w:tc>
      </w:tr>
    </w:tbl>
    <w:p w14:paraId="18AE7393" w14:textId="77777777" w:rsidR="006C3DEB" w:rsidRPr="00BD4409" w:rsidRDefault="006C3DEB" w:rsidP="006C3DEB">
      <w:pPr>
        <w:pStyle w:val="Heading5"/>
        <w:rPr>
          <w:rStyle w:val="IntenseEmphasis"/>
          <w:b/>
          <w:bCs w:val="0"/>
          <w:i w:val="0"/>
          <w:iCs/>
          <w:color w:val="000000" w:themeColor="text1"/>
        </w:rPr>
      </w:pPr>
      <w:r w:rsidRPr="00BD4409">
        <w:rPr>
          <w:rStyle w:val="IntenseEmphasis"/>
          <w:b/>
          <w:bCs w:val="0"/>
          <w:i w:val="0"/>
          <w:iCs/>
          <w:color w:val="000000" w:themeColor="text1"/>
        </w:rPr>
        <w:t>Other transfers</w:t>
      </w:r>
    </w:p>
    <w:p w14:paraId="77948326" w14:textId="77777777" w:rsidR="006C3DEB" w:rsidRDefault="006C3DEB" w:rsidP="006C3DEB">
      <w:r w:rsidRPr="00EC090C">
        <w:t xml:space="preserve">Other social transfers are calculated from </w:t>
      </w:r>
      <w:r>
        <w:t>SIH (ABS, 2017)</w:t>
      </w:r>
      <w:r w:rsidRPr="00EC090C">
        <w:t xml:space="preserve">. </w:t>
      </w:r>
      <w:r>
        <w:t>These data indicate that individuals in the</w:t>
      </w:r>
      <w:r w:rsidRPr="00EC090C">
        <w:t xml:space="preserve"> bottom income quintile </w:t>
      </w:r>
      <w:r>
        <w:t>who are</w:t>
      </w:r>
      <w:r w:rsidRPr="00EC090C">
        <w:t xml:space="preserve"> close to age pension eligibility generally receive some other transfer payment of similar value. </w:t>
      </w:r>
      <w:r>
        <w:t>In contrast, t</w:t>
      </w:r>
      <w:r w:rsidRPr="00EC090C">
        <w:t>he other social transfer payments to the top three income quintiles are generally low and we set them to zero at all ages.</w:t>
      </w:r>
      <w:r>
        <w:t xml:space="preserve"> In light of this, transfers </w:t>
      </w:r>
      <w:r w:rsidRPr="00EC090C">
        <w:t>payment</w:t>
      </w:r>
      <w:r>
        <w:t>s</w:t>
      </w:r>
      <w:r w:rsidRPr="00EC090C">
        <w:t xml:space="preserve"> received by the lowest household skill type in the year before </w:t>
      </w:r>
      <w:r>
        <w:t>they are eligible for</w:t>
      </w:r>
      <w:r w:rsidRPr="00EC090C">
        <w:t xml:space="preserve"> age pension </w:t>
      </w:r>
      <w:r w:rsidRPr="00EC090C">
        <w:lastRenderedPageBreak/>
        <w:t xml:space="preserve">eligibility is equal to the maximum age pension payment. </w:t>
      </w:r>
      <w:r>
        <w:t>Total o</w:t>
      </w:r>
      <w:r w:rsidRPr="00292C4C">
        <w:t xml:space="preserve">ther social </w:t>
      </w:r>
      <w:r>
        <w:t xml:space="preserve">transfers are around 5 per cent of GDP, consistent with </w:t>
      </w:r>
      <w:r w:rsidRPr="00292C4C">
        <w:t xml:space="preserve">personal benefit payments less age pension expenditure </w:t>
      </w:r>
      <w:r>
        <w:t xml:space="preserve">reported in </w:t>
      </w:r>
      <w:r w:rsidRPr="00292C4C">
        <w:t>government budget outcome</w:t>
      </w:r>
      <w:r>
        <w:t>s</w:t>
      </w:r>
      <w:r w:rsidRPr="00292C4C">
        <w:t xml:space="preserve"> (Commonwealth of Australia</w:t>
      </w:r>
      <w:r>
        <w:t>,</w:t>
      </w:r>
      <w:r w:rsidRPr="00292C4C">
        <w:t xml:space="preserve"> 2016).</w:t>
      </w:r>
    </w:p>
    <w:p w14:paraId="17784437" w14:textId="77777777" w:rsidR="006C3DEB" w:rsidRDefault="006C3DEB" w:rsidP="006C3DEB">
      <w:pPr>
        <w:pStyle w:val="Heading4"/>
      </w:pPr>
      <w:bookmarkStart w:id="40" w:name="_Hlk95155022"/>
      <w:r>
        <w:t>Government’s net debt</w:t>
      </w:r>
      <w:bookmarkEnd w:id="40"/>
    </w:p>
    <w:p w14:paraId="7BDDABBF" w14:textId="77777777" w:rsidR="006C3DEB" w:rsidRDefault="006C3DEB" w:rsidP="006C3DEB">
      <w:r w:rsidRPr="009D7B7B">
        <w:t>The initial steady state government net</w:t>
      </w:r>
      <w:r w:rsidRPr="00042319">
        <w:t xml:space="preserve"> debt to GDP ratio is calibrated to be 2</w:t>
      </w:r>
      <w:r w:rsidRPr="00E925DD">
        <w:t>0 per cent of GDP</w:t>
      </w:r>
      <w:r w:rsidRPr="00090C61">
        <w:t xml:space="preserve">. </w:t>
      </w:r>
      <w:r w:rsidRPr="00A119BD">
        <w:t xml:space="preserve">This is consistent with the </w:t>
      </w:r>
      <w:r w:rsidRPr="009D7B7B">
        <w:t>level of the Commonwealth government’s net debt before the beginning of the COVID-19 pandemic</w:t>
      </w:r>
      <w:r>
        <w:t xml:space="preserve"> (Commonwealth of Australia, 2021a)</w:t>
      </w:r>
      <w:r w:rsidRPr="009D7B7B">
        <w:t>.</w:t>
      </w:r>
    </w:p>
    <w:p w14:paraId="0212C051" w14:textId="77777777" w:rsidR="006C3DEB" w:rsidRDefault="006C3DEB" w:rsidP="006C3DEB">
      <w:pPr>
        <w:pStyle w:val="Heading3"/>
      </w:pPr>
      <w:r>
        <w:t>Financial sector</w:t>
      </w:r>
    </w:p>
    <w:p w14:paraId="246895B4" w14:textId="77777777" w:rsidR="006C3DEB" w:rsidRPr="00272191" w:rsidRDefault="006C3DEB" w:rsidP="006C3DEB">
      <w:pPr>
        <w:rPr>
          <w:lang w:val="en-US"/>
        </w:rPr>
      </w:pPr>
      <w:r>
        <w:rPr>
          <w:lang w:val="en-US"/>
        </w:rPr>
        <w:t xml:space="preserve">As noted above the production and hence financial sector calibration in Version 1.0 of OLGA ignores non-produced assets such as </w:t>
      </w:r>
      <w:r w:rsidRPr="00272191">
        <w:rPr>
          <w:lang w:val="en-US"/>
        </w:rPr>
        <w:t xml:space="preserve">land by only including produced assets. </w:t>
      </w:r>
    </w:p>
    <w:p w14:paraId="5B43EFA9" w14:textId="77777777" w:rsidR="006C3DEB" w:rsidRDefault="006C3DEB" w:rsidP="006C3DEB">
      <w:pPr>
        <w:rPr>
          <w:lang w:val="en-US"/>
        </w:rPr>
      </w:pPr>
      <w:r w:rsidRPr="00272191">
        <w:rPr>
          <w:lang w:val="en-US"/>
        </w:rPr>
        <w:t xml:space="preserve">As previously discussed, we assume that </w:t>
      </w:r>
      <w:r w:rsidRPr="00272191">
        <w:t>firms maintain fixed debt to equity ratios while households hold constant shares of domestic debt and equity assets, and foreign assets.</w:t>
      </w:r>
      <w:r w:rsidRPr="00272191">
        <w:rPr>
          <w:lang w:val="en-US"/>
        </w:rPr>
        <w:t xml:space="preserve"> </w:t>
      </w:r>
      <w:r>
        <w:rPr>
          <w:lang w:val="en-US"/>
        </w:rPr>
        <w:t>Given these assumptions, the calibration of corporate taxes and finance in the incorporated sector of the economy (described above) determines the overall debt-to-equity ratio in the economy. The resulting aggregate debt-to-equity ratio in the model is 0.57, which is close to the 0.63 implied by the ABS Australian National Accounts: Finance and Wealth publication (ABS, 2021c).</w:t>
      </w:r>
    </w:p>
    <w:p w14:paraId="584E0BFF" w14:textId="77777777" w:rsidR="006C3DEB" w:rsidRDefault="006C3DEB" w:rsidP="006C3DEB">
      <w:pPr>
        <w:rPr>
          <w:lang w:val="en-US"/>
        </w:rPr>
      </w:pPr>
      <w:r>
        <w:rPr>
          <w:lang w:val="en-US"/>
        </w:rPr>
        <w:t xml:space="preserve">Subject to this estimate, the remaining rates of return, </w:t>
      </w:r>
      <w:r w:rsidRPr="00272191">
        <w:rPr>
          <w:lang w:val="en-US"/>
        </w:rPr>
        <w:t xml:space="preserve">ratios and shares are calibrated to match </w:t>
      </w:r>
      <w:r>
        <w:rPr>
          <w:lang w:val="en-US"/>
        </w:rPr>
        <w:t xml:space="preserve">historical estimates of the following </w:t>
      </w:r>
      <w:r w:rsidRPr="00272191">
        <w:rPr>
          <w:lang w:val="en-US"/>
        </w:rPr>
        <w:t xml:space="preserve">key financial </w:t>
      </w:r>
      <w:r>
        <w:rPr>
          <w:lang w:val="en-US"/>
        </w:rPr>
        <w:t>variables</w:t>
      </w:r>
      <w:r w:rsidRPr="00272191">
        <w:rPr>
          <w:lang w:val="en-US"/>
        </w:rPr>
        <w:t>:</w:t>
      </w:r>
    </w:p>
    <w:p w14:paraId="452F1B2A" w14:textId="77777777" w:rsidR="006C3DEB" w:rsidRPr="00BD4409" w:rsidRDefault="006C3DEB" w:rsidP="006C3DEB">
      <w:pPr>
        <w:pStyle w:val="Alphanumbered"/>
        <w:numPr>
          <w:ilvl w:val="0"/>
          <w:numId w:val="39"/>
        </w:numPr>
        <w:tabs>
          <w:tab w:val="clear" w:pos="357"/>
        </w:tabs>
        <w:ind w:left="360" w:hanging="360"/>
        <w:rPr>
          <w:lang w:val="en-US"/>
        </w:rPr>
      </w:pPr>
      <w:r w:rsidRPr="00BD4409">
        <w:rPr>
          <w:lang w:val="en-US"/>
        </w:rPr>
        <w:t>Consistent with ABS (2021a) the capital stock to GDP ratio is around 3.2. The global benchmark required rate of return is adjusted to target this ratio;</w:t>
      </w:r>
    </w:p>
    <w:p w14:paraId="3B31F8D1" w14:textId="77777777" w:rsidR="006C3DEB" w:rsidRPr="00B97EE9" w:rsidRDefault="006C3DEB" w:rsidP="006C3DEB">
      <w:pPr>
        <w:pStyle w:val="Alphanumbered"/>
        <w:tabs>
          <w:tab w:val="clear" w:pos="357"/>
        </w:tabs>
        <w:ind w:left="360" w:hanging="360"/>
        <w:rPr>
          <w:lang w:val="en-US"/>
        </w:rPr>
      </w:pPr>
      <w:r>
        <w:rPr>
          <w:lang w:val="en-US"/>
        </w:rPr>
        <w:t xml:space="preserve">Consistent with the ABS (2021c) </w:t>
      </w:r>
      <w:r w:rsidRPr="00B97EE9">
        <w:rPr>
          <w:lang w:val="en-US"/>
        </w:rPr>
        <w:t xml:space="preserve">the foreign ownership </w:t>
      </w:r>
      <w:r>
        <w:rPr>
          <w:lang w:val="en-US"/>
        </w:rPr>
        <w:t>share</w:t>
      </w:r>
      <w:r w:rsidRPr="00B97EE9">
        <w:rPr>
          <w:lang w:val="en-US"/>
        </w:rPr>
        <w:t xml:space="preserve"> of cor</w:t>
      </w:r>
      <w:r>
        <w:rPr>
          <w:lang w:val="en-US"/>
        </w:rPr>
        <w:t>porate bonds is around 0.85;</w:t>
      </w:r>
    </w:p>
    <w:p w14:paraId="07234C9C" w14:textId="77777777" w:rsidR="006C3DEB" w:rsidRDefault="006C3DEB" w:rsidP="006C3DEB">
      <w:pPr>
        <w:pStyle w:val="Alphanumbered"/>
        <w:tabs>
          <w:tab w:val="clear" w:pos="357"/>
        </w:tabs>
        <w:ind w:left="360" w:hanging="360"/>
        <w:rPr>
          <w:lang w:val="en-US"/>
        </w:rPr>
      </w:pPr>
      <w:r>
        <w:rPr>
          <w:lang w:val="en-US"/>
        </w:rPr>
        <w:t xml:space="preserve">Consistent with ABS (2021c) the </w:t>
      </w:r>
      <w:r w:rsidRPr="008D55AA">
        <w:rPr>
          <w:lang w:val="en-US"/>
        </w:rPr>
        <w:t>foreign o</w:t>
      </w:r>
      <w:r>
        <w:rPr>
          <w:lang w:val="en-US"/>
        </w:rPr>
        <w:t>wnership share of equity</w:t>
      </w:r>
      <w:r w:rsidRPr="008D55AA">
        <w:rPr>
          <w:lang w:val="en-US"/>
        </w:rPr>
        <w:t xml:space="preserve"> </w:t>
      </w:r>
      <w:r>
        <w:rPr>
          <w:lang w:val="en-US"/>
        </w:rPr>
        <w:t>is around 0.37. Additional data are used to calibrate the split between capital gains and dividends, with a</w:t>
      </w:r>
      <w:r w:rsidRPr="008D55AA">
        <w:rPr>
          <w:lang w:val="en-US"/>
        </w:rPr>
        <w:t xml:space="preserve">ll </w:t>
      </w:r>
      <w:r>
        <w:rPr>
          <w:lang w:val="en-US"/>
        </w:rPr>
        <w:t xml:space="preserve">earnings accruing to </w:t>
      </w:r>
      <w:r w:rsidRPr="008D55AA">
        <w:rPr>
          <w:lang w:val="en-US"/>
        </w:rPr>
        <w:t>foreign invest</w:t>
      </w:r>
      <w:r>
        <w:rPr>
          <w:lang w:val="en-US"/>
        </w:rPr>
        <w:t>ors are</w:t>
      </w:r>
      <w:r w:rsidRPr="008D55AA">
        <w:rPr>
          <w:lang w:val="en-US"/>
        </w:rPr>
        <w:t xml:space="preserve"> returned </w:t>
      </w:r>
      <w:r>
        <w:rPr>
          <w:lang w:val="en-US"/>
        </w:rPr>
        <w:t>as a</w:t>
      </w:r>
      <w:r w:rsidRPr="008D55AA">
        <w:rPr>
          <w:lang w:val="en-US"/>
        </w:rPr>
        <w:t xml:space="preserve"> capital gain</w:t>
      </w:r>
      <w:r>
        <w:rPr>
          <w:lang w:val="en-US"/>
        </w:rPr>
        <w:t>s;</w:t>
      </w:r>
    </w:p>
    <w:p w14:paraId="703EB89D" w14:textId="77777777" w:rsidR="006C3DEB" w:rsidRPr="00B97EE9" w:rsidRDefault="006C3DEB" w:rsidP="006C3DEB">
      <w:pPr>
        <w:pStyle w:val="Alphanumbered"/>
        <w:tabs>
          <w:tab w:val="clear" w:pos="357"/>
        </w:tabs>
        <w:ind w:left="360" w:hanging="360"/>
        <w:rPr>
          <w:lang w:val="en-US"/>
        </w:rPr>
      </w:pPr>
      <w:r w:rsidRPr="00B97EE9">
        <w:rPr>
          <w:lang w:val="en-US"/>
        </w:rPr>
        <w:t>Consistent with ATO (2018</w:t>
      </w:r>
      <w:r>
        <w:rPr>
          <w:lang w:val="en-US"/>
        </w:rPr>
        <w:t>b</w:t>
      </w:r>
      <w:r w:rsidRPr="00B97EE9">
        <w:rPr>
          <w:lang w:val="en-US"/>
        </w:rPr>
        <w:t>)</w:t>
      </w:r>
      <w:r>
        <w:rPr>
          <w:lang w:val="en-US"/>
        </w:rPr>
        <w:t>,</w:t>
      </w:r>
      <w:r w:rsidRPr="00B97EE9">
        <w:rPr>
          <w:lang w:val="en-US"/>
        </w:rPr>
        <w:t xml:space="preserve"> the domestic split between </w:t>
      </w:r>
      <w:r>
        <w:rPr>
          <w:lang w:val="en-US"/>
        </w:rPr>
        <w:t xml:space="preserve">earnings returned as a </w:t>
      </w:r>
      <w:r w:rsidRPr="00B97EE9">
        <w:rPr>
          <w:lang w:val="en-US"/>
        </w:rPr>
        <w:t xml:space="preserve">capital gain </w:t>
      </w:r>
      <w:r>
        <w:rPr>
          <w:lang w:val="en-US"/>
        </w:rPr>
        <w:t>or</w:t>
      </w:r>
      <w:r w:rsidRPr="00B97EE9">
        <w:rPr>
          <w:lang w:val="en-US"/>
        </w:rPr>
        <w:t xml:space="preserve"> dividend </w:t>
      </w:r>
      <w:r>
        <w:rPr>
          <w:lang w:val="en-US"/>
        </w:rPr>
        <w:t xml:space="preserve">is calibrated to achieve an initial </w:t>
      </w:r>
      <w:r w:rsidRPr="00B97EE9">
        <w:rPr>
          <w:lang w:val="en-US"/>
        </w:rPr>
        <w:t xml:space="preserve">franking credit </w:t>
      </w:r>
      <w:r>
        <w:rPr>
          <w:lang w:val="en-US"/>
        </w:rPr>
        <w:t>share of GDP of roughly one per cent</w:t>
      </w:r>
      <w:r w:rsidRPr="00B97EE9">
        <w:rPr>
          <w:lang w:val="en-US"/>
        </w:rPr>
        <w:t>;</w:t>
      </w:r>
    </w:p>
    <w:p w14:paraId="313D44DD" w14:textId="77777777" w:rsidR="006C3DEB" w:rsidRDefault="006C3DEB" w:rsidP="006C3DEB">
      <w:pPr>
        <w:pStyle w:val="Alphanumbered"/>
        <w:tabs>
          <w:tab w:val="clear" w:pos="357"/>
        </w:tabs>
        <w:ind w:left="360" w:hanging="360"/>
        <w:rPr>
          <w:lang w:val="en-US"/>
        </w:rPr>
      </w:pPr>
      <w:r>
        <w:rPr>
          <w:lang w:val="en-US"/>
        </w:rPr>
        <w:t xml:space="preserve">As noted above, consistent with </w:t>
      </w:r>
      <w:r>
        <w:t>Commonwealth of Australia</w:t>
      </w:r>
      <w:r w:rsidRPr="000B5639">
        <w:t xml:space="preserve"> (</w:t>
      </w:r>
      <w:r>
        <w:t>2021a</w:t>
      </w:r>
      <w:r w:rsidRPr="000B5639">
        <w:t>)</w:t>
      </w:r>
      <w:r>
        <w:rPr>
          <w:lang w:val="en-US"/>
        </w:rPr>
        <w:t xml:space="preserve"> g</w:t>
      </w:r>
      <w:r w:rsidRPr="00ED264B">
        <w:rPr>
          <w:lang w:val="en-US"/>
        </w:rPr>
        <w:t xml:space="preserve">overnment debt </w:t>
      </w:r>
      <w:r>
        <w:rPr>
          <w:lang w:val="en-US"/>
        </w:rPr>
        <w:t xml:space="preserve">is calibrated to </w:t>
      </w:r>
      <w:r w:rsidRPr="00ED264B">
        <w:rPr>
          <w:lang w:val="en-US"/>
        </w:rPr>
        <w:t>2</w:t>
      </w:r>
      <w:r>
        <w:rPr>
          <w:lang w:val="en-US"/>
        </w:rPr>
        <w:t xml:space="preserve">0 per cent of GDP; </w:t>
      </w:r>
    </w:p>
    <w:p w14:paraId="1687A66F" w14:textId="77777777" w:rsidR="006C3DEB" w:rsidRDefault="006C3DEB" w:rsidP="006C3DEB">
      <w:pPr>
        <w:pStyle w:val="Alphanumbered"/>
        <w:tabs>
          <w:tab w:val="clear" w:pos="357"/>
        </w:tabs>
        <w:ind w:left="360" w:hanging="360"/>
        <w:rPr>
          <w:lang w:val="en-US"/>
        </w:rPr>
      </w:pPr>
      <w:r>
        <w:rPr>
          <w:lang w:val="en-US"/>
        </w:rPr>
        <w:t xml:space="preserve">Consistent with </w:t>
      </w:r>
      <w:r w:rsidRPr="00923926">
        <w:rPr>
          <w:lang w:val="en-US"/>
        </w:rPr>
        <w:t>Australian Office of Financial Management</w:t>
      </w:r>
      <w:r w:rsidRPr="000B5639">
        <w:rPr>
          <w:lang w:val="en-US"/>
        </w:rPr>
        <w:t xml:space="preserve"> (</w:t>
      </w:r>
      <w:r>
        <w:rPr>
          <w:lang w:val="en-US"/>
        </w:rPr>
        <w:t>AOFM (</w:t>
      </w:r>
      <w:r w:rsidRPr="000B5639">
        <w:rPr>
          <w:lang w:val="en-US"/>
        </w:rPr>
        <w:t>201</w:t>
      </w:r>
      <w:r>
        <w:rPr>
          <w:lang w:val="en-US"/>
        </w:rPr>
        <w:t>9)</w:t>
      </w:r>
      <w:r w:rsidRPr="000B5639">
        <w:rPr>
          <w:lang w:val="en-US"/>
        </w:rPr>
        <w:t>)</w:t>
      </w:r>
      <w:r>
        <w:rPr>
          <w:lang w:val="en-US"/>
        </w:rPr>
        <w:t xml:space="preserve"> the </w:t>
      </w:r>
      <w:r w:rsidRPr="00ED264B">
        <w:rPr>
          <w:lang w:val="en-US"/>
        </w:rPr>
        <w:t>foreign owne</w:t>
      </w:r>
      <w:r>
        <w:rPr>
          <w:lang w:val="en-US"/>
        </w:rPr>
        <w:t>rship share of government debt is around 0.55;</w:t>
      </w:r>
    </w:p>
    <w:p w14:paraId="6D08A320" w14:textId="77777777" w:rsidR="006C3DEB" w:rsidRDefault="006C3DEB" w:rsidP="006C3DEB">
      <w:pPr>
        <w:pStyle w:val="Alphanumbered"/>
        <w:tabs>
          <w:tab w:val="clear" w:pos="357"/>
        </w:tabs>
        <w:ind w:left="360" w:hanging="360"/>
        <w:rPr>
          <w:lang w:val="en-US"/>
        </w:rPr>
      </w:pPr>
      <w:r>
        <w:rPr>
          <w:lang w:val="en-US"/>
        </w:rPr>
        <w:t>The discount factor</w:t>
      </w:r>
      <w:r w:rsidRPr="00E670A7">
        <w:rPr>
          <w:position w:val="-10"/>
        </w:rPr>
        <w:object w:dxaOrig="240" w:dyaOrig="320" w14:anchorId="17B4E870">
          <v:shape id="_x0000_i1599" type="#_x0000_t75" style="width:14.4pt;height:15.6pt" o:ole="">
            <v:imagedata r:id="rId1175" o:title=""/>
          </v:shape>
          <o:OLEObject Type="Embed" ProgID="Equation.DSMT4" ShapeID="_x0000_i1599" DrawAspect="Content" ObjectID="_1754919150" r:id="rId1176"/>
        </w:object>
      </w:r>
      <w:r>
        <w:rPr>
          <w:rFonts w:eastAsia="Calibri"/>
        </w:rPr>
        <w:t xml:space="preserve">is adjusted so that the </w:t>
      </w:r>
      <w:r>
        <w:rPr>
          <w:lang w:val="en-US"/>
        </w:rPr>
        <w:t>the</w:t>
      </w:r>
      <w:r w:rsidRPr="00ED264B">
        <w:rPr>
          <w:lang w:val="en-US"/>
        </w:rPr>
        <w:t xml:space="preserve"> </w:t>
      </w:r>
      <w:r>
        <w:rPr>
          <w:lang w:val="en-US"/>
        </w:rPr>
        <w:t xml:space="preserve">net foreign liability </w:t>
      </w:r>
      <w:r w:rsidRPr="00ED264B">
        <w:rPr>
          <w:lang w:val="en-US"/>
        </w:rPr>
        <w:t xml:space="preserve">to GDP ratio </w:t>
      </w:r>
      <w:r>
        <w:rPr>
          <w:lang w:val="en-US"/>
        </w:rPr>
        <w:t xml:space="preserve">is consistent with </w:t>
      </w:r>
      <w:r w:rsidRPr="00657D84">
        <w:t>ABS (</w:t>
      </w:r>
      <w:r>
        <w:t>2021f</w:t>
      </w:r>
      <w:r w:rsidRPr="00657D84">
        <w:t>)</w:t>
      </w:r>
      <w:r>
        <w:t>.</w:t>
      </w:r>
      <w:r>
        <w:rPr>
          <w:lang w:val="en-US"/>
        </w:rPr>
        <w:t xml:space="preserve"> A drawback of this approach is that h</w:t>
      </w:r>
      <w:r w:rsidRPr="00F11380">
        <w:rPr>
          <w:lang w:val="en-US"/>
        </w:rPr>
        <w:t xml:space="preserve">ousehold foreign investment is </w:t>
      </w:r>
      <w:r>
        <w:rPr>
          <w:lang w:val="en-US"/>
        </w:rPr>
        <w:t xml:space="preserve">modelled as the </w:t>
      </w:r>
      <w:r w:rsidRPr="00F11380">
        <w:rPr>
          <w:lang w:val="en-US"/>
        </w:rPr>
        <w:t xml:space="preserve">net </w:t>
      </w:r>
      <w:r>
        <w:rPr>
          <w:lang w:val="en-US"/>
        </w:rPr>
        <w:t>rather than gross position</w:t>
      </w:r>
      <w:r w:rsidRPr="00F11380">
        <w:rPr>
          <w:lang w:val="en-US"/>
        </w:rPr>
        <w:t>.</w:t>
      </w:r>
      <w:r>
        <w:rPr>
          <w:lang w:val="en-US"/>
        </w:rPr>
        <w:t xml:space="preserve"> Because the current version of the model ignores the asset value of residential land this approach understates the gross foreign liabilities held abroad by Australian households.</w:t>
      </w:r>
    </w:p>
    <w:p w14:paraId="7F66E24E" w14:textId="7AC459B3" w:rsidR="006C3DEB" w:rsidRDefault="00E00A52" w:rsidP="006C3DEB">
      <w:pPr>
        <w:spacing w:after="200" w:line="276" w:lineRule="auto"/>
        <w:rPr>
          <w:lang w:val="en-US"/>
        </w:rPr>
      </w:pPr>
      <w:r>
        <w:lastRenderedPageBreak/>
        <w:t xml:space="preserve">Table </w:t>
      </w:r>
      <w:r>
        <w:rPr>
          <w:noProof/>
        </w:rPr>
        <w:t>18</w:t>
      </w:r>
      <w:r w:rsidR="006C3DEB">
        <w:rPr>
          <w:lang w:val="en-US"/>
        </w:rPr>
        <w:t xml:space="preserve"> shows the ownership of assets in the steady state calibration. In general, these match the financial ratios reported above well.</w:t>
      </w:r>
    </w:p>
    <w:p w14:paraId="2904C8E4" w14:textId="1D925A97" w:rsidR="006C3DEB" w:rsidRDefault="006C3DEB" w:rsidP="006C3DEB">
      <w:pPr>
        <w:pStyle w:val="TableMainHeading"/>
      </w:pPr>
      <w:bookmarkStart w:id="41" w:name="_Ref101946942"/>
      <w:r>
        <w:t xml:space="preserve">Table </w:t>
      </w:r>
      <w:r>
        <w:rPr>
          <w:noProof/>
        </w:rPr>
        <w:fldChar w:fldCharType="begin"/>
      </w:r>
      <w:r>
        <w:rPr>
          <w:noProof/>
        </w:rPr>
        <w:instrText xml:space="preserve"> SEQ Table \* ARABIC </w:instrText>
      </w:r>
      <w:r>
        <w:rPr>
          <w:noProof/>
        </w:rPr>
        <w:fldChar w:fldCharType="separate"/>
      </w:r>
      <w:r w:rsidR="00E00A52">
        <w:rPr>
          <w:noProof/>
        </w:rPr>
        <w:t>18</w:t>
      </w:r>
      <w:r>
        <w:rPr>
          <w:noProof/>
        </w:rPr>
        <w:fldChar w:fldCharType="end"/>
      </w:r>
      <w:bookmarkEnd w:id="41"/>
      <w:r>
        <w:t xml:space="preserve">: </w:t>
      </w:r>
      <w:r w:rsidRPr="003800BA">
        <w:t>Ownership of assets</w:t>
      </w:r>
      <w:r>
        <w:t xml:space="preserve"> (per cent of GDP)</w:t>
      </w:r>
    </w:p>
    <w:tbl>
      <w:tblPr>
        <w:tblStyle w:val="TableGrid"/>
        <w:tblW w:w="5000" w:type="pct"/>
        <w:jc w:val="center"/>
        <w:shd w:val="clear" w:color="auto" w:fill="EEEEEE" w:themeFill="background2"/>
        <w:tblLayout w:type="fixed"/>
        <w:tblCellMar>
          <w:bottom w:w="57" w:type="dxa"/>
        </w:tblCellMar>
        <w:tblLook w:val="04A0" w:firstRow="1" w:lastRow="0" w:firstColumn="1" w:lastColumn="0" w:noHBand="0" w:noVBand="1"/>
      </w:tblPr>
      <w:tblGrid>
        <w:gridCol w:w="1555"/>
        <w:gridCol w:w="850"/>
        <w:gridCol w:w="851"/>
        <w:gridCol w:w="850"/>
        <w:gridCol w:w="724"/>
        <w:gridCol w:w="705"/>
        <w:gridCol w:w="705"/>
        <w:gridCol w:w="705"/>
        <w:gridCol w:w="705"/>
        <w:gridCol w:w="705"/>
        <w:gridCol w:w="705"/>
      </w:tblGrid>
      <w:tr w:rsidR="006C3DEB" w:rsidRPr="00FD234A" w14:paraId="0CF607BD" w14:textId="77777777" w:rsidTr="005A7549">
        <w:trPr>
          <w:cantSplit/>
          <w:trHeight w:val="317"/>
          <w:jc w:val="center"/>
        </w:trPr>
        <w:tc>
          <w:tcPr>
            <w:tcW w:w="1555"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EEEEEE" w:themeFill="background2"/>
            <w:vAlign w:val="center"/>
            <w:hideMark/>
          </w:tcPr>
          <w:p w14:paraId="379BA4BA" w14:textId="77777777" w:rsidR="006C3DEB" w:rsidRPr="00FD234A" w:rsidRDefault="006C3DEB" w:rsidP="005A7549">
            <w:pPr>
              <w:pStyle w:val="TableColumnHeadingLeft"/>
            </w:pPr>
            <w:r>
              <w:t xml:space="preserve">     </w:t>
            </w:r>
            <w:r w:rsidRPr="00FD234A">
              <w:t>Debtor</w:t>
            </w:r>
          </w:p>
          <w:p w14:paraId="690B3B80" w14:textId="77777777" w:rsidR="006C3DEB" w:rsidRPr="00FD234A" w:rsidRDefault="006C3DEB" w:rsidP="005A7549">
            <w:pPr>
              <w:pStyle w:val="TableColumnHeadingLeft"/>
            </w:pPr>
          </w:p>
          <w:p w14:paraId="6EF685B9" w14:textId="77777777" w:rsidR="006C3DEB" w:rsidRPr="00FD234A" w:rsidRDefault="006C3DEB" w:rsidP="005A7549">
            <w:pPr>
              <w:pStyle w:val="TableColumnHeadingLeft"/>
            </w:pPr>
          </w:p>
          <w:p w14:paraId="0274FD73" w14:textId="77777777" w:rsidR="006C3DEB" w:rsidRPr="00FD234A" w:rsidRDefault="006C3DEB" w:rsidP="005A7549">
            <w:pPr>
              <w:pStyle w:val="TableColumnHeadingLeft"/>
            </w:pPr>
          </w:p>
          <w:p w14:paraId="5D2BE657" w14:textId="77777777" w:rsidR="006C3DEB" w:rsidRPr="00FD234A" w:rsidRDefault="006C3DEB" w:rsidP="005A7549">
            <w:pPr>
              <w:pStyle w:val="TableColumnHeadingLeft"/>
            </w:pPr>
          </w:p>
          <w:p w14:paraId="78306EF9" w14:textId="77777777" w:rsidR="006C3DEB" w:rsidRPr="00FD234A" w:rsidRDefault="006C3DEB" w:rsidP="005A7549">
            <w:pPr>
              <w:pStyle w:val="TableColumnHeadingLeft"/>
            </w:pPr>
          </w:p>
          <w:p w14:paraId="751E2F5B" w14:textId="77777777" w:rsidR="006C3DEB" w:rsidRPr="00FD234A" w:rsidRDefault="006C3DEB" w:rsidP="005A7549">
            <w:pPr>
              <w:pStyle w:val="TableColumnHeadingLeft"/>
            </w:pPr>
          </w:p>
          <w:p w14:paraId="220B9B4A" w14:textId="77777777" w:rsidR="006C3DEB" w:rsidRPr="00FD234A" w:rsidRDefault="006C3DEB" w:rsidP="005A7549">
            <w:pPr>
              <w:pStyle w:val="TableColumnHeadingLeft"/>
            </w:pPr>
          </w:p>
          <w:p w14:paraId="325128A5" w14:textId="77777777" w:rsidR="006C3DEB" w:rsidRPr="00FD234A" w:rsidRDefault="006C3DEB" w:rsidP="005A7549">
            <w:pPr>
              <w:pStyle w:val="TableColumnHeadingLeft"/>
            </w:pPr>
            <w:r w:rsidRPr="00FD234A">
              <w:t>Creditor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EEEEE" w:themeFill="background2"/>
            <w:textDirection w:val="btLr"/>
            <w:vAlign w:val="center"/>
            <w:hideMark/>
          </w:tcPr>
          <w:p w14:paraId="6E9115B5" w14:textId="77777777" w:rsidR="006C3DEB" w:rsidRPr="00FD234A" w:rsidRDefault="006C3DEB" w:rsidP="005A7549">
            <w:pPr>
              <w:pStyle w:val="TableColumnHeadingLeft"/>
            </w:pPr>
            <w:r w:rsidRPr="00FD234A">
              <w:t>Households</w:t>
            </w:r>
          </w:p>
        </w:tc>
        <w:tc>
          <w:tcPr>
            <w:tcW w:w="3835" w:type="dxa"/>
            <w:gridSpan w:val="5"/>
            <w:tcBorders>
              <w:top w:val="single" w:sz="4" w:space="0" w:color="auto"/>
              <w:left w:val="single" w:sz="4" w:space="0" w:color="auto"/>
              <w:bottom w:val="single" w:sz="4" w:space="0" w:color="auto"/>
              <w:right w:val="single" w:sz="4" w:space="0" w:color="auto"/>
            </w:tcBorders>
            <w:shd w:val="clear" w:color="auto" w:fill="D6D6D6" w:themeFill="background2" w:themeFillShade="E6"/>
          </w:tcPr>
          <w:p w14:paraId="4EFAC3CE" w14:textId="77777777" w:rsidR="006C3DEB" w:rsidRPr="00FD234A" w:rsidRDefault="006C3DEB" w:rsidP="005A7549">
            <w:pPr>
              <w:pStyle w:val="TableColumnHeadingCentred"/>
            </w:pPr>
            <w:r w:rsidRPr="00FD234A">
              <w:t>Firms</w:t>
            </w:r>
          </w:p>
        </w:tc>
        <w:tc>
          <w:tcPr>
            <w:tcW w:w="705" w:type="dxa"/>
            <w:vMerge w:val="restart"/>
            <w:tcBorders>
              <w:top w:val="single" w:sz="4" w:space="0" w:color="auto"/>
              <w:left w:val="single" w:sz="4" w:space="0" w:color="auto"/>
              <w:right w:val="single" w:sz="4" w:space="0" w:color="auto"/>
            </w:tcBorders>
            <w:shd w:val="clear" w:color="auto" w:fill="EEEEEE" w:themeFill="background2"/>
            <w:textDirection w:val="btLr"/>
            <w:vAlign w:val="center"/>
            <w:hideMark/>
          </w:tcPr>
          <w:p w14:paraId="053683D7" w14:textId="77777777" w:rsidR="006C3DEB" w:rsidRPr="00FD234A" w:rsidRDefault="006C3DEB" w:rsidP="005A7549">
            <w:pPr>
              <w:pStyle w:val="TableColumnHeadingLeft"/>
            </w:pPr>
            <w:r w:rsidRPr="00FD234A">
              <w:rPr>
                <w:szCs w:val="22"/>
              </w:rPr>
              <w:t>Government</w:t>
            </w:r>
          </w:p>
        </w:tc>
        <w:tc>
          <w:tcPr>
            <w:tcW w:w="705" w:type="dxa"/>
            <w:vMerge w:val="restart"/>
            <w:tcBorders>
              <w:top w:val="single" w:sz="4" w:space="0" w:color="auto"/>
              <w:left w:val="single" w:sz="4" w:space="0" w:color="auto"/>
              <w:right w:val="single" w:sz="4" w:space="0" w:color="auto"/>
            </w:tcBorders>
            <w:shd w:val="clear" w:color="auto" w:fill="EEEEEE" w:themeFill="background2"/>
            <w:textDirection w:val="btLr"/>
            <w:vAlign w:val="center"/>
          </w:tcPr>
          <w:p w14:paraId="176C85F5" w14:textId="77777777" w:rsidR="006C3DEB" w:rsidRPr="00FD234A" w:rsidRDefault="006C3DEB" w:rsidP="005A7549">
            <w:pPr>
              <w:pStyle w:val="TableColumnHeadingLeft"/>
            </w:pPr>
            <w:r w:rsidRPr="00FD234A">
              <w:t>Total</w:t>
            </w:r>
            <w:r>
              <w:t xml:space="preserve"> </w:t>
            </w:r>
            <w:r w:rsidRPr="00FD234A">
              <w:t>Domestic</w:t>
            </w:r>
          </w:p>
        </w:tc>
        <w:tc>
          <w:tcPr>
            <w:tcW w:w="705" w:type="dxa"/>
            <w:vMerge w:val="restart"/>
            <w:tcBorders>
              <w:top w:val="single" w:sz="4" w:space="0" w:color="auto"/>
              <w:left w:val="single" w:sz="4" w:space="0" w:color="auto"/>
              <w:right w:val="single" w:sz="4" w:space="0" w:color="auto"/>
            </w:tcBorders>
            <w:shd w:val="clear" w:color="auto" w:fill="EEEEEE" w:themeFill="background2"/>
            <w:textDirection w:val="btLr"/>
            <w:vAlign w:val="center"/>
            <w:hideMark/>
          </w:tcPr>
          <w:p w14:paraId="395BB9FB" w14:textId="77777777" w:rsidR="006C3DEB" w:rsidRPr="00FD234A" w:rsidRDefault="006C3DEB" w:rsidP="005A7549">
            <w:pPr>
              <w:pStyle w:val="TableColumnHeadingLeft"/>
            </w:pPr>
            <w:r w:rsidRPr="00FD234A">
              <w:t>Total Foreign</w:t>
            </w:r>
          </w:p>
          <w:p w14:paraId="0EFAB1F2" w14:textId="77777777" w:rsidR="006C3DEB" w:rsidRPr="00FD234A" w:rsidRDefault="006C3DEB" w:rsidP="005A7549">
            <w:pPr>
              <w:pStyle w:val="TableColumnHeadingLeft"/>
            </w:pPr>
          </w:p>
        </w:tc>
        <w:tc>
          <w:tcPr>
            <w:tcW w:w="705" w:type="dxa"/>
            <w:vMerge w:val="restart"/>
            <w:tcBorders>
              <w:top w:val="single" w:sz="4" w:space="0" w:color="auto"/>
              <w:left w:val="single" w:sz="4" w:space="0" w:color="auto"/>
              <w:right w:val="single" w:sz="4" w:space="0" w:color="auto"/>
            </w:tcBorders>
            <w:shd w:val="clear" w:color="auto" w:fill="EEEEEE" w:themeFill="background2"/>
            <w:textDirection w:val="btLr"/>
            <w:vAlign w:val="center"/>
          </w:tcPr>
          <w:p w14:paraId="428949A3" w14:textId="77777777" w:rsidR="006C3DEB" w:rsidRPr="00FD234A" w:rsidRDefault="006C3DEB" w:rsidP="005A7549">
            <w:pPr>
              <w:pStyle w:val="TableColumnHeadingLeft"/>
            </w:pPr>
            <w:r w:rsidRPr="00FD234A">
              <w:t>Gross Assets</w:t>
            </w:r>
          </w:p>
          <w:p w14:paraId="27DAB8F3" w14:textId="77777777" w:rsidR="006C3DEB" w:rsidRPr="00FD234A" w:rsidRDefault="006C3DEB" w:rsidP="005A7549">
            <w:pPr>
              <w:pStyle w:val="TableColumnHeadingLeft"/>
            </w:pPr>
          </w:p>
        </w:tc>
      </w:tr>
      <w:tr w:rsidR="006C3DEB" w:rsidRPr="00FD234A" w14:paraId="11E7978C" w14:textId="77777777" w:rsidTr="005A7549">
        <w:trPr>
          <w:trHeight w:val="265"/>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55939FBF" w14:textId="77777777" w:rsidR="006C3DEB" w:rsidRPr="00FD234A" w:rsidRDefault="006C3DEB" w:rsidP="005A7549">
            <w:pPr>
              <w:pStyle w:val="TableColumnHeadingLeft"/>
            </w:pPr>
          </w:p>
        </w:tc>
        <w:tc>
          <w:tcPr>
            <w:tcW w:w="850" w:type="dxa"/>
            <w:vMerge/>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1B64442C" w14:textId="77777777" w:rsidR="006C3DEB" w:rsidRPr="00FD234A" w:rsidRDefault="006C3DEB" w:rsidP="005A7549">
            <w:pPr>
              <w:spacing w:after="0"/>
              <w:rPr>
                <w:b/>
              </w:rPr>
            </w:pPr>
          </w:p>
        </w:tc>
        <w:tc>
          <w:tcPr>
            <w:tcW w:w="851" w:type="dxa"/>
            <w:vMerge w:val="restart"/>
            <w:tcBorders>
              <w:top w:val="single" w:sz="4" w:space="0" w:color="auto"/>
              <w:left w:val="single" w:sz="4" w:space="0" w:color="auto"/>
              <w:right w:val="single" w:sz="4" w:space="0" w:color="auto"/>
            </w:tcBorders>
            <w:shd w:val="clear" w:color="auto" w:fill="D6D6D6" w:themeFill="background2" w:themeFillShade="E6"/>
            <w:textDirection w:val="btLr"/>
            <w:vAlign w:val="center"/>
          </w:tcPr>
          <w:p w14:paraId="70980108" w14:textId="77777777" w:rsidR="006C3DEB" w:rsidRPr="00FD234A" w:rsidRDefault="006C3DEB" w:rsidP="005A7549">
            <w:pPr>
              <w:pStyle w:val="TableColumnHeadingLeft"/>
            </w:pPr>
            <w:r w:rsidRPr="00FD234A">
              <w:t>Bon</w:t>
            </w:r>
            <w:r w:rsidRPr="00FD234A">
              <w:rPr>
                <w:szCs w:val="22"/>
              </w:rPr>
              <w:t>ds</w:t>
            </w:r>
          </w:p>
          <w:p w14:paraId="126C80D4" w14:textId="77777777" w:rsidR="006C3DEB" w:rsidRPr="00FD234A" w:rsidRDefault="006C3DEB" w:rsidP="005A7549">
            <w:pPr>
              <w:pStyle w:val="TableColumnHeadingLeft"/>
            </w:pPr>
          </w:p>
        </w:tc>
        <w:tc>
          <w:tcPr>
            <w:tcW w:w="2279" w:type="dxa"/>
            <w:gridSpan w:val="3"/>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6796EE4D" w14:textId="77777777" w:rsidR="006C3DEB" w:rsidRPr="00FD234A" w:rsidRDefault="006C3DEB" w:rsidP="005A7549">
            <w:pPr>
              <w:pStyle w:val="TableColumnHeadingCentred"/>
            </w:pPr>
            <w:r w:rsidRPr="00FD234A">
              <w:t>Equity</w:t>
            </w:r>
          </w:p>
        </w:tc>
        <w:tc>
          <w:tcPr>
            <w:tcW w:w="705" w:type="dxa"/>
            <w:vMerge w:val="restart"/>
            <w:tcBorders>
              <w:top w:val="single" w:sz="4" w:space="0" w:color="auto"/>
              <w:left w:val="single" w:sz="4" w:space="0" w:color="auto"/>
              <w:right w:val="single" w:sz="4" w:space="0" w:color="auto"/>
            </w:tcBorders>
            <w:shd w:val="clear" w:color="auto" w:fill="D6D6D6" w:themeFill="background2" w:themeFillShade="E6"/>
            <w:textDirection w:val="btLr"/>
            <w:vAlign w:val="center"/>
          </w:tcPr>
          <w:p w14:paraId="2440DD09" w14:textId="77777777" w:rsidR="006C3DEB" w:rsidRPr="00FD234A" w:rsidRDefault="006C3DEB" w:rsidP="005A7549">
            <w:pPr>
              <w:pStyle w:val="TableColumnHeadingLeft"/>
            </w:pPr>
            <w:r w:rsidRPr="00FD234A">
              <w:t>Total</w:t>
            </w:r>
          </w:p>
        </w:tc>
        <w:tc>
          <w:tcPr>
            <w:tcW w:w="705" w:type="dxa"/>
            <w:vMerge/>
            <w:tcBorders>
              <w:left w:val="single" w:sz="4" w:space="0" w:color="auto"/>
              <w:right w:val="single" w:sz="4" w:space="0" w:color="auto"/>
            </w:tcBorders>
            <w:shd w:val="clear" w:color="auto" w:fill="EEEEEE" w:themeFill="background2"/>
            <w:vAlign w:val="center"/>
          </w:tcPr>
          <w:p w14:paraId="676C6CAC" w14:textId="77777777" w:rsidR="006C3DEB" w:rsidRPr="00FD234A" w:rsidRDefault="006C3DEB" w:rsidP="005A7549">
            <w:pPr>
              <w:spacing w:after="0"/>
              <w:rPr>
                <w:b/>
              </w:rPr>
            </w:pPr>
          </w:p>
        </w:tc>
        <w:tc>
          <w:tcPr>
            <w:tcW w:w="705" w:type="dxa"/>
            <w:vMerge/>
            <w:tcBorders>
              <w:left w:val="single" w:sz="4" w:space="0" w:color="auto"/>
              <w:right w:val="single" w:sz="4" w:space="0" w:color="auto"/>
            </w:tcBorders>
            <w:shd w:val="clear" w:color="auto" w:fill="EEEEEE" w:themeFill="background2"/>
          </w:tcPr>
          <w:p w14:paraId="4591EA7C" w14:textId="77777777" w:rsidR="006C3DEB" w:rsidRPr="00FD234A" w:rsidRDefault="006C3DEB" w:rsidP="005A7549">
            <w:pPr>
              <w:spacing w:after="0"/>
              <w:jc w:val="center"/>
              <w:rPr>
                <w:b/>
              </w:rPr>
            </w:pPr>
          </w:p>
        </w:tc>
        <w:tc>
          <w:tcPr>
            <w:tcW w:w="705" w:type="dxa"/>
            <w:vMerge/>
            <w:tcBorders>
              <w:left w:val="single" w:sz="4" w:space="0" w:color="auto"/>
              <w:right w:val="single" w:sz="4" w:space="0" w:color="auto"/>
            </w:tcBorders>
            <w:shd w:val="clear" w:color="auto" w:fill="EEEEEE" w:themeFill="background2"/>
            <w:textDirection w:val="btLr"/>
            <w:vAlign w:val="center"/>
          </w:tcPr>
          <w:p w14:paraId="09DD7563" w14:textId="77777777" w:rsidR="006C3DEB" w:rsidRPr="00FD234A" w:rsidRDefault="006C3DEB" w:rsidP="005A7549">
            <w:pPr>
              <w:spacing w:after="0"/>
              <w:ind w:left="113" w:right="113"/>
              <w:jc w:val="center"/>
              <w:rPr>
                <w:b/>
              </w:rPr>
            </w:pPr>
          </w:p>
        </w:tc>
        <w:tc>
          <w:tcPr>
            <w:tcW w:w="705" w:type="dxa"/>
            <w:vMerge/>
            <w:tcBorders>
              <w:left w:val="single" w:sz="4" w:space="0" w:color="auto"/>
              <w:right w:val="single" w:sz="4" w:space="0" w:color="auto"/>
            </w:tcBorders>
            <w:shd w:val="clear" w:color="auto" w:fill="EEEEEE" w:themeFill="background2"/>
            <w:vAlign w:val="center"/>
          </w:tcPr>
          <w:p w14:paraId="0FECFE61" w14:textId="77777777" w:rsidR="006C3DEB" w:rsidRPr="00FD234A" w:rsidRDefault="006C3DEB" w:rsidP="005A7549">
            <w:pPr>
              <w:spacing w:after="0"/>
              <w:jc w:val="center"/>
              <w:rPr>
                <w:b/>
              </w:rPr>
            </w:pPr>
          </w:p>
        </w:tc>
      </w:tr>
      <w:tr w:rsidR="006C3DEB" w:rsidRPr="00FD234A" w14:paraId="2AC89300" w14:textId="77777777" w:rsidTr="005A7549">
        <w:trPr>
          <w:cantSplit/>
          <w:trHeight w:val="625"/>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EEEEEE" w:themeFill="background2"/>
            <w:vAlign w:val="center"/>
            <w:hideMark/>
          </w:tcPr>
          <w:p w14:paraId="7CAD9432" w14:textId="77777777" w:rsidR="006C3DEB" w:rsidRPr="00FD234A" w:rsidRDefault="006C3DEB" w:rsidP="005A7549">
            <w:pPr>
              <w:pStyle w:val="TableColumnHeadingLeft"/>
            </w:pPr>
          </w:p>
        </w:tc>
        <w:tc>
          <w:tcPr>
            <w:tcW w:w="850" w:type="dxa"/>
            <w:vMerge/>
            <w:tcBorders>
              <w:top w:val="single" w:sz="4" w:space="0" w:color="auto"/>
              <w:left w:val="single" w:sz="4" w:space="0" w:color="auto"/>
              <w:bottom w:val="single" w:sz="4" w:space="0" w:color="auto"/>
              <w:right w:val="single" w:sz="4" w:space="0" w:color="auto"/>
            </w:tcBorders>
            <w:shd w:val="clear" w:color="auto" w:fill="EEEEEE" w:themeFill="background2"/>
            <w:vAlign w:val="center"/>
            <w:hideMark/>
          </w:tcPr>
          <w:p w14:paraId="2A1B472A" w14:textId="77777777" w:rsidR="006C3DEB" w:rsidRPr="00FD234A" w:rsidRDefault="006C3DEB" w:rsidP="005A7549">
            <w:pPr>
              <w:spacing w:after="0"/>
              <w:rPr>
                <w:b/>
              </w:rPr>
            </w:pPr>
          </w:p>
        </w:tc>
        <w:tc>
          <w:tcPr>
            <w:tcW w:w="851" w:type="dxa"/>
            <w:vMerge/>
            <w:tcBorders>
              <w:left w:val="single" w:sz="4" w:space="0" w:color="auto"/>
              <w:bottom w:val="single" w:sz="4" w:space="0" w:color="auto"/>
              <w:right w:val="single" w:sz="4" w:space="0" w:color="auto"/>
            </w:tcBorders>
            <w:shd w:val="clear" w:color="auto" w:fill="D6D6D6" w:themeFill="background2" w:themeFillShade="E6"/>
            <w:vAlign w:val="center"/>
            <w:hideMark/>
          </w:tcPr>
          <w:p w14:paraId="7385D99E" w14:textId="77777777" w:rsidR="006C3DEB" w:rsidRPr="00FD234A" w:rsidRDefault="006C3DEB" w:rsidP="005A7549">
            <w:pPr>
              <w:spacing w:after="0"/>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D6D6D6" w:themeFill="background2" w:themeFillShade="E6"/>
            <w:textDirection w:val="btLr"/>
            <w:vAlign w:val="center"/>
            <w:hideMark/>
          </w:tcPr>
          <w:p w14:paraId="70FA678D" w14:textId="77777777" w:rsidR="006C3DEB" w:rsidRPr="00FD234A" w:rsidRDefault="006C3DEB" w:rsidP="005A7549">
            <w:pPr>
              <w:pStyle w:val="TableColumnHeadingLeft"/>
            </w:pPr>
            <w:r w:rsidRPr="00FD234A">
              <w:t>Dividends</w:t>
            </w:r>
          </w:p>
        </w:tc>
        <w:tc>
          <w:tcPr>
            <w:tcW w:w="724" w:type="dxa"/>
            <w:tcBorders>
              <w:top w:val="single" w:sz="4" w:space="0" w:color="auto"/>
              <w:left w:val="single" w:sz="4" w:space="0" w:color="auto"/>
              <w:bottom w:val="single" w:sz="4" w:space="0" w:color="auto"/>
              <w:right w:val="single" w:sz="4" w:space="0" w:color="auto"/>
            </w:tcBorders>
            <w:shd w:val="clear" w:color="auto" w:fill="D6D6D6" w:themeFill="background2" w:themeFillShade="E6"/>
            <w:textDirection w:val="btLr"/>
            <w:vAlign w:val="center"/>
            <w:hideMark/>
          </w:tcPr>
          <w:p w14:paraId="51636E74" w14:textId="77777777" w:rsidR="006C3DEB" w:rsidRPr="00FD234A" w:rsidRDefault="006C3DEB" w:rsidP="005A7549">
            <w:pPr>
              <w:pStyle w:val="TableColumnHeadingLeft"/>
            </w:pPr>
            <w:r w:rsidRPr="00FD234A">
              <w:t>Capital gain</w:t>
            </w:r>
          </w:p>
        </w:tc>
        <w:tc>
          <w:tcPr>
            <w:tcW w:w="705" w:type="dxa"/>
            <w:tcBorders>
              <w:top w:val="single" w:sz="4" w:space="0" w:color="auto"/>
              <w:left w:val="single" w:sz="4" w:space="0" w:color="auto"/>
              <w:bottom w:val="single" w:sz="4" w:space="0" w:color="auto"/>
              <w:right w:val="single" w:sz="4" w:space="0" w:color="auto"/>
            </w:tcBorders>
            <w:shd w:val="clear" w:color="auto" w:fill="D6D6D6" w:themeFill="background2" w:themeFillShade="E6"/>
            <w:textDirection w:val="btLr"/>
            <w:vAlign w:val="center"/>
          </w:tcPr>
          <w:p w14:paraId="6E913712" w14:textId="77777777" w:rsidR="006C3DEB" w:rsidRPr="00FD234A" w:rsidRDefault="006C3DEB" w:rsidP="005A7549">
            <w:pPr>
              <w:pStyle w:val="TableColumnHeadingLeft"/>
            </w:pPr>
            <w:r w:rsidRPr="00FD234A">
              <w:t>Total</w:t>
            </w:r>
          </w:p>
        </w:tc>
        <w:tc>
          <w:tcPr>
            <w:tcW w:w="705" w:type="dxa"/>
            <w:vMerge/>
            <w:tcBorders>
              <w:left w:val="single" w:sz="4" w:space="0" w:color="auto"/>
              <w:bottom w:val="single" w:sz="4" w:space="0" w:color="auto"/>
              <w:right w:val="single" w:sz="4" w:space="0" w:color="auto"/>
            </w:tcBorders>
            <w:shd w:val="clear" w:color="auto" w:fill="D6D6D6" w:themeFill="background2" w:themeFillShade="E6"/>
            <w:vAlign w:val="center"/>
          </w:tcPr>
          <w:p w14:paraId="53FAB30F" w14:textId="77777777" w:rsidR="006C3DEB" w:rsidRPr="00FD234A" w:rsidRDefault="006C3DEB" w:rsidP="005A7549">
            <w:pPr>
              <w:spacing w:after="0"/>
              <w:rPr>
                <w:b/>
              </w:rPr>
            </w:pPr>
          </w:p>
        </w:tc>
        <w:tc>
          <w:tcPr>
            <w:tcW w:w="705" w:type="dxa"/>
            <w:vMerge/>
            <w:tcBorders>
              <w:left w:val="single" w:sz="4" w:space="0" w:color="auto"/>
              <w:bottom w:val="single" w:sz="4" w:space="0" w:color="auto"/>
              <w:right w:val="single" w:sz="4" w:space="0" w:color="auto"/>
            </w:tcBorders>
            <w:shd w:val="clear" w:color="auto" w:fill="EEEEEE" w:themeFill="background2"/>
            <w:vAlign w:val="center"/>
            <w:hideMark/>
          </w:tcPr>
          <w:p w14:paraId="53B43AAA" w14:textId="77777777" w:rsidR="006C3DEB" w:rsidRPr="00FD234A" w:rsidRDefault="006C3DEB" w:rsidP="005A7549">
            <w:pPr>
              <w:spacing w:after="0"/>
              <w:rPr>
                <w:b/>
              </w:rPr>
            </w:pPr>
          </w:p>
        </w:tc>
        <w:tc>
          <w:tcPr>
            <w:tcW w:w="705" w:type="dxa"/>
            <w:vMerge/>
            <w:tcBorders>
              <w:left w:val="single" w:sz="4" w:space="0" w:color="auto"/>
              <w:bottom w:val="single" w:sz="4" w:space="0" w:color="auto"/>
              <w:right w:val="single" w:sz="4" w:space="0" w:color="auto"/>
            </w:tcBorders>
            <w:shd w:val="clear" w:color="auto" w:fill="EEEEEE" w:themeFill="background2"/>
          </w:tcPr>
          <w:p w14:paraId="443B5B08" w14:textId="77777777" w:rsidR="006C3DEB" w:rsidRPr="00FD234A" w:rsidRDefault="006C3DEB" w:rsidP="005A7549">
            <w:pPr>
              <w:spacing w:after="0"/>
              <w:jc w:val="center"/>
              <w:rPr>
                <w:b/>
              </w:rPr>
            </w:pPr>
          </w:p>
        </w:tc>
        <w:tc>
          <w:tcPr>
            <w:tcW w:w="705" w:type="dxa"/>
            <w:vMerge/>
            <w:tcBorders>
              <w:left w:val="single" w:sz="4" w:space="0" w:color="auto"/>
              <w:bottom w:val="single" w:sz="4" w:space="0" w:color="auto"/>
              <w:right w:val="single" w:sz="4" w:space="0" w:color="auto"/>
            </w:tcBorders>
            <w:shd w:val="clear" w:color="auto" w:fill="EEEEEE" w:themeFill="background2"/>
            <w:vAlign w:val="center"/>
            <w:hideMark/>
          </w:tcPr>
          <w:p w14:paraId="3420227D" w14:textId="77777777" w:rsidR="006C3DEB" w:rsidRPr="00FD234A" w:rsidRDefault="006C3DEB" w:rsidP="005A7549">
            <w:pPr>
              <w:spacing w:after="0"/>
              <w:jc w:val="center"/>
              <w:rPr>
                <w:b/>
              </w:rPr>
            </w:pPr>
          </w:p>
        </w:tc>
        <w:tc>
          <w:tcPr>
            <w:tcW w:w="705" w:type="dxa"/>
            <w:vMerge/>
            <w:tcBorders>
              <w:left w:val="single" w:sz="4" w:space="0" w:color="auto"/>
              <w:bottom w:val="single" w:sz="4" w:space="0" w:color="auto"/>
              <w:right w:val="single" w:sz="4" w:space="0" w:color="auto"/>
            </w:tcBorders>
            <w:shd w:val="clear" w:color="auto" w:fill="EEEEEE" w:themeFill="background2"/>
            <w:vAlign w:val="center"/>
          </w:tcPr>
          <w:p w14:paraId="4FD7F46B" w14:textId="77777777" w:rsidR="006C3DEB" w:rsidRPr="00FD234A" w:rsidRDefault="006C3DEB" w:rsidP="005A7549">
            <w:pPr>
              <w:spacing w:after="0"/>
              <w:jc w:val="center"/>
              <w:rPr>
                <w:b/>
              </w:rPr>
            </w:pPr>
          </w:p>
        </w:tc>
      </w:tr>
      <w:tr w:rsidR="006C3DEB" w:rsidRPr="00FD234A" w14:paraId="0BDEC57A" w14:textId="77777777" w:rsidTr="005A7549">
        <w:trPr>
          <w:trHeight w:val="600"/>
          <w:jc w:val="center"/>
        </w:trPr>
        <w:tc>
          <w:tcPr>
            <w:tcW w:w="1555" w:type="dxa"/>
            <w:tcBorders>
              <w:top w:val="single" w:sz="4" w:space="0" w:color="auto"/>
              <w:left w:val="single" w:sz="4" w:space="0" w:color="auto"/>
              <w:bottom w:val="single" w:sz="4" w:space="0" w:color="auto"/>
              <w:right w:val="single" w:sz="4" w:space="0" w:color="auto"/>
            </w:tcBorders>
            <w:shd w:val="clear" w:color="auto" w:fill="EEEEEE" w:themeFill="background2"/>
            <w:hideMark/>
          </w:tcPr>
          <w:p w14:paraId="6BBC3094" w14:textId="77777777" w:rsidR="006C3DEB" w:rsidRPr="00FD234A" w:rsidRDefault="006C3DEB" w:rsidP="005A7549">
            <w:pPr>
              <w:pStyle w:val="TableColumnHeadingLeft"/>
            </w:pPr>
            <w:r w:rsidRPr="00FD234A">
              <w:t>Households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A085D8" w14:textId="77777777" w:rsidR="006C3DEB" w:rsidRPr="00FD234A" w:rsidRDefault="006C3DEB" w:rsidP="005A7549">
            <w:pPr>
              <w:spacing w:after="0"/>
              <w:jc w:val="left"/>
              <w:rPr>
                <w:sz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23B6E7D" w14:textId="77777777" w:rsidR="006C3DEB" w:rsidRPr="00FD234A" w:rsidRDefault="006C3DEB" w:rsidP="005A7549">
            <w:pPr>
              <w:spacing w:after="0"/>
              <w:jc w:val="left"/>
              <w:rPr>
                <w:sz w:val="18"/>
              </w:rPr>
            </w:pPr>
            <w:r w:rsidRPr="00FD234A">
              <w:rPr>
                <w:sz w:val="18"/>
                <w:szCs w:val="22"/>
              </w:rPr>
              <w:t>3</w:t>
            </w:r>
            <w:r>
              <w:rPr>
                <w:sz w:val="18"/>
                <w:szCs w:val="22"/>
              </w:rPr>
              <w:t>7</w:t>
            </w:r>
            <w:r>
              <w:rPr>
                <w:sz w:val="18"/>
                <w:szCs w:val="22"/>
              </w:rPr>
              <w:br/>
            </w:r>
            <w:r w:rsidRPr="00FD234A">
              <w:rPr>
                <w:sz w:val="18"/>
                <w:szCs w:val="22"/>
              </w:rPr>
              <w:t>(</w:t>
            </w:r>
            <w:r>
              <w:rPr>
                <w:sz w:val="18"/>
                <w:szCs w:val="22"/>
              </w:rPr>
              <w:t>2</w:t>
            </w:r>
            <w:r w:rsidRPr="00FD234A">
              <w:rPr>
                <w:sz w:val="18"/>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D0A5BAC" w14:textId="77777777" w:rsidR="006C3DEB" w:rsidRPr="00FD234A" w:rsidRDefault="006C3DEB" w:rsidP="005A7549">
            <w:pPr>
              <w:spacing w:after="0"/>
              <w:jc w:val="left"/>
              <w:rPr>
                <w:sz w:val="18"/>
              </w:rPr>
            </w:pPr>
            <w:r>
              <w:rPr>
                <w:sz w:val="18"/>
                <w:szCs w:val="22"/>
              </w:rPr>
              <w:t>143</w:t>
            </w:r>
            <w:r>
              <w:rPr>
                <w:sz w:val="18"/>
                <w:szCs w:val="22"/>
              </w:rPr>
              <w:br/>
            </w:r>
            <w:r w:rsidRPr="00FD234A">
              <w:rPr>
                <w:sz w:val="18"/>
              </w:rPr>
              <w:t>(</w:t>
            </w:r>
            <w:r>
              <w:rPr>
                <w:sz w:val="18"/>
                <w:szCs w:val="22"/>
              </w:rPr>
              <w:t>4</w:t>
            </w:r>
            <w:r w:rsidRPr="00FD234A">
              <w:rPr>
                <w:sz w:val="18"/>
                <w:szCs w:val="22"/>
              </w:rPr>
              <w:t>)</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14:paraId="516B9A0C" w14:textId="77777777" w:rsidR="006C3DEB" w:rsidRPr="00FD234A" w:rsidRDefault="006C3DEB" w:rsidP="005A7549">
            <w:pPr>
              <w:spacing w:after="0"/>
              <w:jc w:val="left"/>
              <w:rPr>
                <w:sz w:val="18"/>
              </w:rPr>
            </w:pPr>
            <w:r>
              <w:rPr>
                <w:sz w:val="18"/>
                <w:szCs w:val="22"/>
              </w:rPr>
              <w:t>7</w:t>
            </w:r>
            <w:r>
              <w:rPr>
                <w:sz w:val="18"/>
                <w:szCs w:val="22"/>
              </w:rPr>
              <w:br/>
            </w:r>
            <w:r w:rsidRPr="00FD234A">
              <w:rPr>
                <w:sz w:val="18"/>
                <w:szCs w:val="22"/>
              </w:rPr>
              <w:t>(</w:t>
            </w:r>
            <w:r>
              <w:rPr>
                <w:sz w:val="18"/>
                <w:szCs w:val="22"/>
              </w:rPr>
              <w:t>4</w:t>
            </w:r>
            <w:r w:rsidRPr="00FD234A">
              <w:rPr>
                <w:sz w:val="18"/>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2801908F" w14:textId="77777777" w:rsidR="006C3DEB" w:rsidRPr="00FD234A" w:rsidRDefault="006C3DEB" w:rsidP="005A7549">
            <w:pPr>
              <w:spacing w:after="0"/>
              <w:jc w:val="left"/>
              <w:rPr>
                <w:sz w:val="18"/>
              </w:rPr>
            </w:pPr>
            <w:r>
              <w:rPr>
                <w:sz w:val="18"/>
                <w:szCs w:val="22"/>
              </w:rPr>
              <w:t>150</w:t>
            </w:r>
            <w:r>
              <w:rPr>
                <w:sz w:val="18"/>
                <w:szCs w:val="22"/>
              </w:rPr>
              <w:br/>
            </w:r>
            <w:r w:rsidRPr="00FD234A">
              <w:rPr>
                <w:sz w:val="18"/>
                <w:szCs w:val="22"/>
              </w:rPr>
              <w:t>(</w:t>
            </w:r>
            <w:r>
              <w:rPr>
                <w:sz w:val="18"/>
                <w:szCs w:val="22"/>
              </w:rPr>
              <w:t>3</w:t>
            </w:r>
            <w:r w:rsidRPr="00FD234A">
              <w:rPr>
                <w:sz w:val="18"/>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F137B64" w14:textId="77777777" w:rsidR="006C3DEB" w:rsidRPr="00FD234A" w:rsidRDefault="006C3DEB" w:rsidP="005A7549">
            <w:pPr>
              <w:spacing w:after="0"/>
              <w:jc w:val="left"/>
              <w:rPr>
                <w:sz w:val="18"/>
              </w:rPr>
            </w:pPr>
            <w:r>
              <w:rPr>
                <w:sz w:val="18"/>
                <w:szCs w:val="22"/>
              </w:rPr>
              <w:t>187</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14:paraId="09718313" w14:textId="77777777" w:rsidR="006C3DEB" w:rsidRPr="00FD234A" w:rsidRDefault="006C3DEB" w:rsidP="005A7549">
            <w:pPr>
              <w:spacing w:after="0"/>
              <w:jc w:val="left"/>
              <w:rPr>
                <w:sz w:val="18"/>
              </w:rPr>
            </w:pPr>
            <w:r>
              <w:rPr>
                <w:sz w:val="18"/>
                <w:szCs w:val="22"/>
              </w:rPr>
              <w:t>8</w:t>
            </w:r>
            <w:r>
              <w:rPr>
                <w:sz w:val="18"/>
                <w:szCs w:val="22"/>
              </w:rPr>
              <w:br/>
            </w:r>
            <w:r w:rsidRPr="00FD234A">
              <w:rPr>
                <w:sz w:val="18"/>
              </w:rPr>
              <w:t>(</w:t>
            </w:r>
            <w:r>
              <w:rPr>
                <w:sz w:val="18"/>
                <w:szCs w:val="22"/>
              </w:rPr>
              <w:t>6</w:t>
            </w:r>
            <w:r w:rsidRPr="00FD234A">
              <w:rPr>
                <w:sz w:val="18"/>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2BE17EA" w14:textId="77777777" w:rsidR="006C3DEB" w:rsidRPr="00FD234A" w:rsidRDefault="006C3DEB" w:rsidP="005A7549">
            <w:pPr>
              <w:spacing w:after="0"/>
              <w:jc w:val="left"/>
              <w:rPr>
                <w:sz w:val="18"/>
              </w:rPr>
            </w:pPr>
            <w:r>
              <w:rPr>
                <w:sz w:val="18"/>
                <w:szCs w:val="22"/>
              </w:rPr>
              <w:t>195</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31A845B3" w14:textId="77777777" w:rsidR="006C3DEB" w:rsidRPr="00FD234A" w:rsidRDefault="006C3DEB" w:rsidP="005A7549">
            <w:pPr>
              <w:spacing w:after="0"/>
              <w:jc w:val="left"/>
              <w:rPr>
                <w:sz w:val="18"/>
              </w:rPr>
            </w:pPr>
            <w:r>
              <w:rPr>
                <w:sz w:val="18"/>
                <w:szCs w:val="22"/>
              </w:rPr>
              <w:t>102</w:t>
            </w:r>
            <w:r>
              <w:rPr>
                <w:sz w:val="18"/>
                <w:szCs w:val="22"/>
              </w:rPr>
              <w:br/>
            </w:r>
            <w:r w:rsidRPr="00FD234A">
              <w:rPr>
                <w:sz w:val="18"/>
                <w:szCs w:val="22"/>
              </w:rPr>
              <w:t>(</w:t>
            </w:r>
            <w:r>
              <w:rPr>
                <w:sz w:val="18"/>
                <w:szCs w:val="22"/>
              </w:rPr>
              <w:t>7</w:t>
            </w:r>
            <w:r w:rsidRPr="00FD234A">
              <w:rPr>
                <w:sz w:val="18"/>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F86A7C4" w14:textId="77777777" w:rsidR="006C3DEB" w:rsidRPr="00FD234A" w:rsidRDefault="006C3DEB" w:rsidP="005A7549">
            <w:pPr>
              <w:spacing w:after="0"/>
              <w:jc w:val="left"/>
              <w:rPr>
                <w:sz w:val="18"/>
              </w:rPr>
            </w:pPr>
            <w:r>
              <w:rPr>
                <w:sz w:val="18"/>
                <w:szCs w:val="22"/>
              </w:rPr>
              <w:t>298</w:t>
            </w:r>
          </w:p>
        </w:tc>
      </w:tr>
      <w:tr w:rsidR="006C3DEB" w:rsidRPr="00FD234A" w14:paraId="47E453FC" w14:textId="77777777" w:rsidTr="005A7549">
        <w:trPr>
          <w:trHeight w:val="600"/>
          <w:jc w:val="center"/>
        </w:trPr>
        <w:tc>
          <w:tcPr>
            <w:tcW w:w="1555" w:type="dxa"/>
            <w:tcBorders>
              <w:top w:val="single" w:sz="4" w:space="0" w:color="auto"/>
              <w:left w:val="single" w:sz="4" w:space="0" w:color="auto"/>
              <w:bottom w:val="single" w:sz="4" w:space="0" w:color="auto"/>
              <w:right w:val="single" w:sz="4" w:space="0" w:color="auto"/>
            </w:tcBorders>
            <w:shd w:val="clear" w:color="auto" w:fill="EEEEEE" w:themeFill="background2"/>
            <w:hideMark/>
          </w:tcPr>
          <w:p w14:paraId="7C4A806E" w14:textId="77777777" w:rsidR="006C3DEB" w:rsidRPr="00FD234A" w:rsidRDefault="006C3DEB" w:rsidP="005A7549">
            <w:pPr>
              <w:pStyle w:val="TableColumnHeadingLeft"/>
            </w:pPr>
            <w:r w:rsidRPr="00FD234A">
              <w:t>Firms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2DF51F" w14:textId="77777777" w:rsidR="006C3DEB" w:rsidRPr="00FD234A" w:rsidRDefault="006C3DEB" w:rsidP="005A7549">
            <w:pPr>
              <w:spacing w:after="0"/>
              <w:jc w:val="left"/>
              <w:rPr>
                <w:sz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B217529" w14:textId="77777777" w:rsidR="006C3DEB" w:rsidRPr="00FD234A" w:rsidRDefault="006C3DEB" w:rsidP="005A7549">
            <w:pPr>
              <w:spacing w:after="0"/>
              <w:jc w:val="left"/>
              <w:rPr>
                <w:sz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D9889FF" w14:textId="77777777" w:rsidR="006C3DEB" w:rsidRPr="00FD234A" w:rsidRDefault="006C3DEB" w:rsidP="005A7549">
            <w:pPr>
              <w:spacing w:after="0"/>
              <w:jc w:val="left"/>
              <w:rPr>
                <w:sz w:val="18"/>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14:paraId="5FF2EF40"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5D14E95"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9C065EC"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512E69F"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126646F"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8E7EE22"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24A77947" w14:textId="77777777" w:rsidR="006C3DEB" w:rsidRPr="00FD234A" w:rsidRDefault="006C3DEB" w:rsidP="005A7549">
            <w:pPr>
              <w:spacing w:after="0"/>
              <w:jc w:val="left"/>
              <w:rPr>
                <w:sz w:val="18"/>
              </w:rPr>
            </w:pPr>
          </w:p>
        </w:tc>
      </w:tr>
      <w:tr w:rsidR="006C3DEB" w:rsidRPr="00FD234A" w14:paraId="5724F380" w14:textId="77777777" w:rsidTr="005A7549">
        <w:trPr>
          <w:trHeight w:val="600"/>
          <w:jc w:val="center"/>
        </w:trPr>
        <w:tc>
          <w:tcPr>
            <w:tcW w:w="1555" w:type="dxa"/>
            <w:tcBorders>
              <w:top w:val="single" w:sz="4" w:space="0" w:color="auto"/>
              <w:left w:val="single" w:sz="4" w:space="0" w:color="auto"/>
              <w:bottom w:val="single" w:sz="4" w:space="0" w:color="auto"/>
              <w:right w:val="single" w:sz="4" w:space="0" w:color="auto"/>
            </w:tcBorders>
            <w:shd w:val="clear" w:color="auto" w:fill="EEEEEE" w:themeFill="background2"/>
            <w:hideMark/>
          </w:tcPr>
          <w:p w14:paraId="1D76D76C" w14:textId="77777777" w:rsidR="006C3DEB" w:rsidRPr="00FD234A" w:rsidRDefault="006C3DEB" w:rsidP="005A7549">
            <w:pPr>
              <w:pStyle w:val="TableColumnHeadingLeft"/>
            </w:pPr>
            <w:r w:rsidRPr="00FD234A">
              <w:t>Government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32FAC9" w14:textId="77777777" w:rsidR="006C3DEB" w:rsidRPr="00FD234A" w:rsidRDefault="006C3DEB" w:rsidP="005A7549">
            <w:pPr>
              <w:spacing w:after="0"/>
              <w:jc w:val="left"/>
              <w:rPr>
                <w:sz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CBE5D6" w14:textId="77777777" w:rsidR="006C3DEB" w:rsidRPr="00FD234A" w:rsidRDefault="006C3DEB" w:rsidP="005A7549">
            <w:pPr>
              <w:spacing w:after="0"/>
              <w:jc w:val="left"/>
              <w:rPr>
                <w:sz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3CFD1C" w14:textId="77777777" w:rsidR="006C3DEB" w:rsidRPr="00FD234A" w:rsidRDefault="006C3DEB" w:rsidP="005A7549">
            <w:pPr>
              <w:spacing w:after="0"/>
              <w:jc w:val="left"/>
              <w:rPr>
                <w:sz w:val="18"/>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14:paraId="10C7081F"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3E8F44EF"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9545D18"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4841425"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A05B2A5"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7A350A9"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F5A52BD" w14:textId="77777777" w:rsidR="006C3DEB" w:rsidRPr="00FD234A" w:rsidRDefault="006C3DEB" w:rsidP="005A7549">
            <w:pPr>
              <w:spacing w:after="0"/>
              <w:jc w:val="left"/>
              <w:rPr>
                <w:sz w:val="18"/>
              </w:rPr>
            </w:pPr>
          </w:p>
        </w:tc>
      </w:tr>
      <w:tr w:rsidR="006C3DEB" w:rsidRPr="00FD234A" w14:paraId="3F2B2FEA" w14:textId="77777777" w:rsidTr="005A7549">
        <w:trPr>
          <w:trHeight w:val="600"/>
          <w:jc w:val="center"/>
        </w:trPr>
        <w:tc>
          <w:tcPr>
            <w:tcW w:w="1555" w:type="dxa"/>
            <w:tcBorders>
              <w:top w:val="single" w:sz="4" w:space="0" w:color="auto"/>
              <w:left w:val="single" w:sz="4" w:space="0" w:color="auto"/>
              <w:bottom w:val="single" w:sz="4" w:space="0" w:color="auto"/>
              <w:right w:val="single" w:sz="4" w:space="0" w:color="auto"/>
            </w:tcBorders>
            <w:shd w:val="clear" w:color="auto" w:fill="EEEEEE" w:themeFill="background2"/>
            <w:hideMark/>
          </w:tcPr>
          <w:p w14:paraId="3F9E6358" w14:textId="77777777" w:rsidR="006C3DEB" w:rsidRPr="00FD234A" w:rsidRDefault="006C3DEB" w:rsidP="005A7549">
            <w:pPr>
              <w:pStyle w:val="TableColumnHeadingLeft"/>
            </w:pPr>
            <w:r w:rsidRPr="00FD234A">
              <w:t>Foreign</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560BBF" w14:textId="77777777" w:rsidR="006C3DEB" w:rsidRPr="00FD234A" w:rsidRDefault="006C3DEB" w:rsidP="005A7549">
            <w:pPr>
              <w:spacing w:after="0"/>
              <w:jc w:val="left"/>
              <w:rPr>
                <w:sz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20D83FE" w14:textId="77777777" w:rsidR="006C3DEB" w:rsidRPr="00FD234A" w:rsidRDefault="006C3DEB" w:rsidP="005A7549">
            <w:pPr>
              <w:spacing w:after="0"/>
              <w:jc w:val="left"/>
              <w:rPr>
                <w:sz w:val="18"/>
              </w:rPr>
            </w:pPr>
            <w:r>
              <w:rPr>
                <w:sz w:val="18"/>
                <w:szCs w:val="22"/>
              </w:rPr>
              <w:t>82</w:t>
            </w:r>
            <w:r>
              <w:rPr>
                <w:sz w:val="18"/>
                <w:szCs w:val="22"/>
              </w:rPr>
              <w:br/>
            </w:r>
            <w:r w:rsidRPr="00FD234A">
              <w:rPr>
                <w:sz w:val="18"/>
                <w:szCs w:val="22"/>
              </w:rPr>
              <w:t>(</w:t>
            </w:r>
            <w:r>
              <w:rPr>
                <w:sz w:val="18"/>
                <w:szCs w:val="22"/>
              </w:rPr>
              <w:t>2</w:t>
            </w:r>
            <w:r w:rsidRPr="00FD234A">
              <w:rPr>
                <w:sz w:val="18"/>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B8D6671" w14:textId="77777777" w:rsidR="006C3DEB" w:rsidRPr="00FD234A" w:rsidRDefault="006C3DEB" w:rsidP="005A7549">
            <w:pPr>
              <w:spacing w:after="0"/>
              <w:jc w:val="left"/>
              <w:rPr>
                <w:sz w:val="18"/>
              </w:rPr>
            </w:pP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14:paraId="6A9FB53F" w14:textId="77777777" w:rsidR="006C3DEB" w:rsidRPr="00FD234A" w:rsidRDefault="006C3DEB" w:rsidP="005A7549">
            <w:pPr>
              <w:spacing w:after="0"/>
              <w:jc w:val="left"/>
              <w:rPr>
                <w:sz w:val="18"/>
              </w:rPr>
            </w:pPr>
            <w:r>
              <w:rPr>
                <w:sz w:val="18"/>
              </w:rPr>
              <w:t>59</w:t>
            </w:r>
            <w:r>
              <w:rPr>
                <w:sz w:val="18"/>
              </w:rPr>
              <w:br/>
            </w:r>
            <w:r w:rsidRPr="00FD234A">
              <w:rPr>
                <w:sz w:val="18"/>
                <w:szCs w:val="22"/>
              </w:rPr>
              <w:t>(</w:t>
            </w:r>
            <w:r>
              <w:rPr>
                <w:sz w:val="18"/>
                <w:szCs w:val="22"/>
              </w:rPr>
              <w:t>3</w:t>
            </w:r>
            <w:r w:rsidRPr="00FD234A">
              <w:rPr>
                <w:sz w:val="18"/>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BF91492" w14:textId="77777777" w:rsidR="006C3DEB" w:rsidRPr="00FD234A" w:rsidRDefault="006C3DEB" w:rsidP="005A7549">
            <w:pPr>
              <w:spacing w:after="0"/>
              <w:jc w:val="left"/>
              <w:rPr>
                <w:sz w:val="18"/>
              </w:rPr>
            </w:pPr>
            <w:r>
              <w:rPr>
                <w:sz w:val="18"/>
                <w:szCs w:val="22"/>
              </w:rPr>
              <w:t>59</w:t>
            </w:r>
            <w:r>
              <w:rPr>
                <w:sz w:val="18"/>
                <w:szCs w:val="22"/>
              </w:rPr>
              <w:br/>
            </w:r>
            <w:r w:rsidRPr="00FD234A">
              <w:rPr>
                <w:sz w:val="18"/>
                <w:szCs w:val="22"/>
              </w:rPr>
              <w:t>(</w:t>
            </w:r>
            <w:r>
              <w:rPr>
                <w:sz w:val="18"/>
                <w:szCs w:val="22"/>
              </w:rPr>
              <w:t>3</w:t>
            </w:r>
            <w:r w:rsidRPr="00FD234A">
              <w:rPr>
                <w:sz w:val="18"/>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D96E0FB" w14:textId="77777777" w:rsidR="006C3DEB" w:rsidRPr="00FD234A" w:rsidRDefault="006C3DEB" w:rsidP="005A7549">
            <w:pPr>
              <w:spacing w:after="0"/>
              <w:jc w:val="left"/>
              <w:rPr>
                <w:sz w:val="18"/>
              </w:rPr>
            </w:pPr>
            <w:r>
              <w:rPr>
                <w:sz w:val="18"/>
                <w:szCs w:val="22"/>
              </w:rPr>
              <w:t>141</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14:paraId="5041E303" w14:textId="77777777" w:rsidR="006C3DEB" w:rsidRPr="00FD234A" w:rsidRDefault="006C3DEB" w:rsidP="005A7549">
            <w:pPr>
              <w:spacing w:after="0"/>
              <w:jc w:val="left"/>
              <w:rPr>
                <w:sz w:val="18"/>
              </w:rPr>
            </w:pPr>
            <w:r>
              <w:rPr>
                <w:sz w:val="18"/>
                <w:szCs w:val="22"/>
              </w:rPr>
              <w:t>12</w:t>
            </w:r>
            <w:r>
              <w:rPr>
                <w:sz w:val="18"/>
                <w:szCs w:val="22"/>
              </w:rPr>
              <w:br/>
            </w:r>
            <w:r w:rsidRPr="00FD234A">
              <w:rPr>
                <w:sz w:val="18"/>
              </w:rPr>
              <w:t>(</w:t>
            </w:r>
            <w:r>
              <w:rPr>
                <w:sz w:val="18"/>
                <w:szCs w:val="22"/>
              </w:rPr>
              <w:t>6</w:t>
            </w:r>
            <w:r w:rsidRPr="00FD234A">
              <w:rPr>
                <w:sz w:val="18"/>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AAEBE3D" w14:textId="77777777" w:rsidR="006C3DEB" w:rsidRPr="00FD234A" w:rsidRDefault="006C3DEB" w:rsidP="005A7549">
            <w:pPr>
              <w:spacing w:after="0"/>
              <w:jc w:val="left"/>
              <w:rPr>
                <w:sz w:val="18"/>
              </w:rPr>
            </w:pPr>
            <w:r>
              <w:rPr>
                <w:sz w:val="18"/>
                <w:szCs w:val="22"/>
              </w:rPr>
              <w:t>153</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CC4DCF6"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75DA90D" w14:textId="77777777" w:rsidR="006C3DEB" w:rsidRPr="00FD234A" w:rsidRDefault="006C3DEB" w:rsidP="005A7549">
            <w:pPr>
              <w:spacing w:after="0"/>
              <w:jc w:val="left"/>
              <w:rPr>
                <w:sz w:val="18"/>
              </w:rPr>
            </w:pPr>
          </w:p>
        </w:tc>
      </w:tr>
      <w:tr w:rsidR="006C3DEB" w:rsidRPr="00FD234A" w14:paraId="06736284" w14:textId="77777777" w:rsidTr="005A7549">
        <w:trPr>
          <w:trHeight w:val="600"/>
          <w:jc w:val="center"/>
        </w:trPr>
        <w:tc>
          <w:tcPr>
            <w:tcW w:w="1555" w:type="dxa"/>
            <w:tcBorders>
              <w:top w:val="single" w:sz="4" w:space="0" w:color="auto"/>
              <w:left w:val="single" w:sz="4" w:space="0" w:color="auto"/>
              <w:bottom w:val="single" w:sz="4" w:space="0" w:color="auto"/>
              <w:right w:val="single" w:sz="4" w:space="0" w:color="auto"/>
            </w:tcBorders>
            <w:shd w:val="clear" w:color="auto" w:fill="EEEEEE" w:themeFill="background2"/>
            <w:hideMark/>
          </w:tcPr>
          <w:p w14:paraId="76D9F5D4" w14:textId="77777777" w:rsidR="006C3DEB" w:rsidRPr="00FD234A" w:rsidRDefault="006C3DEB" w:rsidP="005A7549">
            <w:pPr>
              <w:pStyle w:val="TableColumnHeadingLeft"/>
            </w:pPr>
            <w:r w:rsidRPr="00FD234A">
              <w:t>Gross Liabilities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B8AD58" w14:textId="77777777" w:rsidR="006C3DEB" w:rsidRPr="00FD234A" w:rsidRDefault="006C3DEB" w:rsidP="005A7549">
            <w:pPr>
              <w:spacing w:after="0"/>
              <w:jc w:val="left"/>
              <w:rPr>
                <w:sz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1DECF07" w14:textId="77777777" w:rsidR="006C3DEB" w:rsidRDefault="006C3DEB" w:rsidP="005A7549">
            <w:pPr>
              <w:spacing w:after="0"/>
              <w:jc w:val="left"/>
              <w:rPr>
                <w:sz w:val="18"/>
                <w:szCs w:val="22"/>
              </w:rPr>
            </w:pPr>
            <w:r>
              <w:rPr>
                <w:sz w:val="18"/>
                <w:szCs w:val="22"/>
              </w:rPr>
              <w:t>119</w:t>
            </w:r>
          </w:p>
          <w:p w14:paraId="7BB91303" w14:textId="77777777" w:rsidR="006C3DEB" w:rsidRPr="00FD234A" w:rsidRDefault="006C3DEB" w:rsidP="005A7549">
            <w:pPr>
              <w:spacing w:after="0"/>
              <w:jc w:val="left"/>
              <w:rPr>
                <w:sz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61B4145" w14:textId="77777777" w:rsidR="006C3DEB" w:rsidRPr="00FD234A" w:rsidRDefault="006C3DEB" w:rsidP="005A7549">
            <w:pPr>
              <w:spacing w:after="0"/>
              <w:jc w:val="left"/>
              <w:rPr>
                <w:sz w:val="18"/>
              </w:rPr>
            </w:pPr>
            <w:r>
              <w:rPr>
                <w:sz w:val="18"/>
                <w:szCs w:val="22"/>
              </w:rPr>
              <w:t>143</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14:paraId="5EA3AC30" w14:textId="77777777" w:rsidR="006C3DEB" w:rsidRPr="00FD234A" w:rsidRDefault="006C3DEB" w:rsidP="005A7549">
            <w:pPr>
              <w:spacing w:after="0"/>
              <w:jc w:val="left"/>
              <w:rPr>
                <w:sz w:val="18"/>
              </w:rPr>
            </w:pPr>
            <w:r>
              <w:rPr>
                <w:sz w:val="18"/>
                <w:szCs w:val="22"/>
              </w:rPr>
              <w:t>66</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8118926" w14:textId="77777777" w:rsidR="006C3DEB" w:rsidRDefault="006C3DEB" w:rsidP="005A7549">
            <w:pPr>
              <w:spacing w:after="0"/>
              <w:jc w:val="left"/>
              <w:rPr>
                <w:sz w:val="18"/>
                <w:szCs w:val="22"/>
              </w:rPr>
            </w:pPr>
            <w:r w:rsidRPr="00FD234A" w:rsidDel="009A3C36">
              <w:rPr>
                <w:sz w:val="18"/>
                <w:szCs w:val="22"/>
              </w:rPr>
              <w:t xml:space="preserve"> </w:t>
            </w:r>
            <w:r>
              <w:rPr>
                <w:sz w:val="18"/>
                <w:szCs w:val="22"/>
              </w:rPr>
              <w:t>209</w:t>
            </w:r>
          </w:p>
          <w:p w14:paraId="63C75D3B"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25085E2" w14:textId="77777777" w:rsidR="006C3DEB" w:rsidRPr="00FD234A" w:rsidRDefault="006C3DEB" w:rsidP="005A7549">
            <w:pPr>
              <w:spacing w:after="0"/>
              <w:jc w:val="left"/>
              <w:rPr>
                <w:sz w:val="18"/>
              </w:rPr>
            </w:pPr>
            <w:r>
              <w:rPr>
                <w:sz w:val="18"/>
                <w:szCs w:val="22"/>
              </w:rPr>
              <w:t>328</w:t>
            </w:r>
            <w:r>
              <w:rPr>
                <w:sz w:val="18"/>
                <w:szCs w:val="22"/>
              </w:rPr>
              <w:br/>
            </w:r>
            <w:r w:rsidRPr="00FD234A">
              <w:rPr>
                <w:sz w:val="18"/>
              </w:rPr>
              <w:t>(</w:t>
            </w:r>
            <w:r w:rsidRPr="00FD234A">
              <w:rPr>
                <w:sz w:val="18"/>
                <w:szCs w:val="22"/>
              </w:rPr>
              <w:t>1)</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14:paraId="162D2D0F" w14:textId="77777777" w:rsidR="006C3DEB" w:rsidRPr="00FD234A" w:rsidRDefault="006C3DEB" w:rsidP="005A7549">
            <w:pPr>
              <w:spacing w:after="0"/>
              <w:jc w:val="left"/>
              <w:rPr>
                <w:sz w:val="18"/>
              </w:rPr>
            </w:pPr>
            <w:r>
              <w:rPr>
                <w:sz w:val="18"/>
                <w:szCs w:val="22"/>
              </w:rPr>
              <w:t>20</w:t>
            </w:r>
            <w:r>
              <w:rPr>
                <w:sz w:val="18"/>
                <w:szCs w:val="22"/>
              </w:rPr>
              <w:br/>
            </w:r>
            <w:r w:rsidRPr="00FD234A">
              <w:rPr>
                <w:sz w:val="18"/>
              </w:rPr>
              <w:t>(</w:t>
            </w:r>
            <w:r>
              <w:rPr>
                <w:sz w:val="18"/>
                <w:szCs w:val="22"/>
              </w:rPr>
              <w:t>5</w:t>
            </w:r>
            <w:r w:rsidRPr="00FD234A">
              <w:rPr>
                <w:sz w:val="18"/>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E2658F6" w14:textId="77777777" w:rsidR="006C3DEB" w:rsidRPr="00FD234A" w:rsidRDefault="006C3DEB" w:rsidP="005A7549">
            <w:pPr>
              <w:spacing w:after="0"/>
              <w:jc w:val="left"/>
              <w:rPr>
                <w:sz w:val="18"/>
              </w:rPr>
            </w:pPr>
            <w:r>
              <w:rPr>
                <w:sz w:val="18"/>
                <w:szCs w:val="22"/>
              </w:rPr>
              <w:t>348</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02FBE45" w14:textId="77777777" w:rsidR="006C3DEB" w:rsidRPr="00FD234A" w:rsidRDefault="006C3DEB" w:rsidP="005A7549">
            <w:pPr>
              <w:spacing w:after="0"/>
              <w:jc w:val="left"/>
              <w:rPr>
                <w:sz w:val="18"/>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2A31BEE" w14:textId="77777777" w:rsidR="006C3DEB" w:rsidRPr="00FD234A" w:rsidRDefault="006C3DEB" w:rsidP="005A7549">
            <w:pPr>
              <w:spacing w:after="0"/>
              <w:jc w:val="left"/>
              <w:rPr>
                <w:sz w:val="18"/>
              </w:rPr>
            </w:pPr>
            <w:r w:rsidRPr="00FD234A">
              <w:rPr>
                <w:sz w:val="18"/>
                <w:szCs w:val="22"/>
              </w:rPr>
              <w:t>-</w:t>
            </w:r>
            <w:r>
              <w:rPr>
                <w:sz w:val="18"/>
                <w:szCs w:val="22"/>
              </w:rPr>
              <w:t>50</w:t>
            </w:r>
            <w:r w:rsidRPr="00FD234A">
              <w:rPr>
                <w:sz w:val="18"/>
                <w:szCs w:val="22"/>
              </w:rPr>
              <w:t>*</w:t>
            </w:r>
            <w:r>
              <w:rPr>
                <w:sz w:val="18"/>
                <w:szCs w:val="22"/>
              </w:rPr>
              <w:br/>
            </w:r>
            <w:r w:rsidRPr="00FD234A">
              <w:rPr>
                <w:sz w:val="18"/>
                <w:szCs w:val="22"/>
              </w:rPr>
              <w:t>(</w:t>
            </w:r>
            <w:r>
              <w:rPr>
                <w:sz w:val="18"/>
                <w:szCs w:val="22"/>
              </w:rPr>
              <w:t>7</w:t>
            </w:r>
            <w:r w:rsidRPr="00FD234A">
              <w:rPr>
                <w:sz w:val="18"/>
                <w:szCs w:val="22"/>
              </w:rPr>
              <w:t>)</w:t>
            </w:r>
          </w:p>
        </w:tc>
      </w:tr>
    </w:tbl>
    <w:p w14:paraId="139716C8" w14:textId="77777777" w:rsidR="006C3DEB" w:rsidRPr="0032767F" w:rsidRDefault="006C3DEB" w:rsidP="006C3DEB">
      <w:pPr>
        <w:pStyle w:val="Note"/>
      </w:pPr>
      <w:r>
        <w:t xml:space="preserve">Source: Authors’ calculation. </w:t>
      </w:r>
      <w:r w:rsidRPr="0032767F">
        <w:t xml:space="preserve">Note:*denotes Australia’s net foreign asset position. </w:t>
      </w:r>
    </w:p>
    <w:p w14:paraId="2651AC4F" w14:textId="77777777" w:rsidR="006C3DEB" w:rsidRPr="001967BF" w:rsidRDefault="006C3DEB" w:rsidP="006C3DEB">
      <w:pPr>
        <w:pStyle w:val="Heading5"/>
        <w:rPr>
          <w:rStyle w:val="IntenseEmphasis"/>
          <w:bCs w:val="0"/>
          <w:i w:val="0"/>
          <w:color w:val="000000" w:themeColor="text1"/>
        </w:rPr>
      </w:pPr>
      <w:r w:rsidRPr="00B34AB0">
        <w:rPr>
          <w:rStyle w:val="IntenseEmphasis"/>
          <w:b/>
          <w:bCs w:val="0"/>
          <w:i w:val="0"/>
          <w:iCs/>
          <w:color w:val="000000" w:themeColor="text1"/>
        </w:rPr>
        <w:t>Household investment</w:t>
      </w:r>
    </w:p>
    <w:p w14:paraId="264C0846" w14:textId="52CED0EA" w:rsidR="006C3DEB" w:rsidRPr="00272191" w:rsidRDefault="006C3DEB" w:rsidP="006C3DEB">
      <w:r w:rsidRPr="00272191">
        <w:rPr>
          <w:lang w:val="en-US"/>
        </w:rPr>
        <w:t>The domestic</w:t>
      </w:r>
      <w:r>
        <w:rPr>
          <w:lang w:val="en-US"/>
        </w:rPr>
        <w:t xml:space="preserve"> and </w:t>
      </w:r>
      <w:r w:rsidRPr="00272191">
        <w:rPr>
          <w:lang w:val="en-US"/>
        </w:rPr>
        <w:t xml:space="preserve">foreign ownership shares in </w:t>
      </w:r>
      <w:r w:rsidR="00E00A52">
        <w:t xml:space="preserve">Table </w:t>
      </w:r>
      <w:r w:rsidR="00E00A52">
        <w:rPr>
          <w:noProof/>
        </w:rPr>
        <w:t>18</w:t>
      </w:r>
      <w:r w:rsidRPr="00272191">
        <w:rPr>
          <w:lang w:val="en-US"/>
        </w:rPr>
        <w:t xml:space="preserve"> imply the</w:t>
      </w:r>
      <w:r w:rsidRPr="00272191">
        <w:t xml:space="preserve"> share of household savings allocated to non-dwelling assets</w:t>
      </w:r>
      <w:r>
        <w:t xml:space="preserve">, which </w:t>
      </w:r>
      <w:r w:rsidRPr="00272191">
        <w:t>includ</w:t>
      </w:r>
      <w:r>
        <w:t>e</w:t>
      </w:r>
      <w:r w:rsidRPr="00272191">
        <w:t xml:space="preserve"> domestic equity and corporate bonds, government bonds and foreign assets</w:t>
      </w:r>
      <w:r>
        <w:t xml:space="preserve">, </w:t>
      </w:r>
      <w:r w:rsidRPr="00272191">
        <w:t xml:space="preserve">reported in </w:t>
      </w:r>
      <w:r w:rsidR="00E00A52">
        <w:t xml:space="preserve">Table </w:t>
      </w:r>
      <w:r w:rsidR="00E00A52">
        <w:rPr>
          <w:noProof/>
        </w:rPr>
        <w:t>19</w:t>
      </w:r>
      <w:r w:rsidRPr="00272191">
        <w:t xml:space="preserve">. </w:t>
      </w:r>
    </w:p>
    <w:p w14:paraId="4DE63A66" w14:textId="6C339878" w:rsidR="006C3DEB" w:rsidRDefault="006C3DEB" w:rsidP="006C3DEB">
      <w:r w:rsidRPr="00272191">
        <w:rPr>
          <w:lang w:val="en-US"/>
        </w:rPr>
        <w:t>The share of household savings allocated to dwellings in the initial steady state</w:t>
      </w:r>
      <w:r w:rsidRPr="00E670A7">
        <w:rPr>
          <w:position w:val="-14"/>
        </w:rPr>
        <w:object w:dxaOrig="560" w:dyaOrig="400" w14:anchorId="1245DC5E">
          <v:shape id="_x0000_i1600" type="#_x0000_t75" style="width:27pt;height:20.4pt" o:ole="">
            <v:imagedata r:id="rId1177" o:title=""/>
          </v:shape>
          <o:OLEObject Type="Embed" ProgID="Equation.DSMT4" ShapeID="_x0000_i1600" DrawAspect="Content" ObjectID="_1754919151" r:id="rId1178"/>
        </w:object>
      </w:r>
      <w:r w:rsidRPr="00272191">
        <w:rPr>
          <w:lang w:val="en-US"/>
        </w:rPr>
        <w:t>is estimated to be 0.2</w:t>
      </w:r>
      <w:r>
        <w:rPr>
          <w:lang w:val="en-US"/>
        </w:rPr>
        <w:t>7</w:t>
      </w:r>
      <w:r w:rsidRPr="00272191">
        <w:rPr>
          <w:lang w:val="en-US"/>
        </w:rPr>
        <w:t xml:space="preserve">. As noted above, this share ensures that domestic households own all equity in the dwellings sector. Because Version 1.0 of OLGA does not include </w:t>
      </w:r>
      <w:r>
        <w:rPr>
          <w:lang w:val="en-US"/>
        </w:rPr>
        <w:t>non-produced</w:t>
      </w:r>
      <w:r w:rsidRPr="00272191">
        <w:rPr>
          <w:lang w:val="en-US"/>
        </w:rPr>
        <w:t xml:space="preserve"> factors such as </w:t>
      </w:r>
      <w:r>
        <w:rPr>
          <w:lang w:val="en-US"/>
        </w:rPr>
        <w:t>land,</w:t>
      </w:r>
      <w:r w:rsidRPr="00E670A7">
        <w:rPr>
          <w:position w:val="-14"/>
        </w:rPr>
        <w:object w:dxaOrig="760" w:dyaOrig="400" w14:anchorId="1D23C729">
          <v:shape id="_x0000_i1601" type="#_x0000_t75" style="width:39pt;height:20.4pt" o:ole="">
            <v:imagedata r:id="rId1179" o:title=""/>
          </v:shape>
          <o:OLEObject Type="Embed" ProgID="Equation.DSMT4" ShapeID="_x0000_i1601" DrawAspect="Content" ObjectID="_1754919152" r:id="rId1180"/>
        </w:object>
      </w:r>
      <w:r w:rsidRPr="00272191">
        <w:t xml:space="preserve"> only captures the value of dwelling structure</w:t>
      </w:r>
      <w:r>
        <w:t>s</w:t>
      </w:r>
      <w:r w:rsidRPr="00272191">
        <w:t xml:space="preserve"> (produced assets). This assumption will be relaxed in a development module dedicated to modelling the taxation of housing</w:t>
      </w:r>
      <w:r w:rsidR="00EC3303">
        <w:br/>
      </w:r>
    </w:p>
    <w:p w14:paraId="126D202B" w14:textId="77777777" w:rsidR="00EC3303" w:rsidRDefault="00EC3303">
      <w:pPr>
        <w:spacing w:before="0" w:after="200" w:line="276" w:lineRule="auto"/>
      </w:pPr>
      <w:r>
        <w:br w:type="page"/>
      </w:r>
    </w:p>
    <w:p w14:paraId="145B3426" w14:textId="701A3288" w:rsidR="006C3DEB" w:rsidRPr="00653F3B" w:rsidRDefault="006C3DEB" w:rsidP="006C3DEB">
      <w:pPr>
        <w:pStyle w:val="TableMainHeading"/>
      </w:pPr>
      <w:bookmarkStart w:id="42" w:name="_Ref101947514"/>
      <w:r>
        <w:lastRenderedPageBreak/>
        <w:t xml:space="preserve">Table </w:t>
      </w:r>
      <w:r>
        <w:rPr>
          <w:noProof/>
        </w:rPr>
        <w:fldChar w:fldCharType="begin"/>
      </w:r>
      <w:r>
        <w:rPr>
          <w:noProof/>
        </w:rPr>
        <w:instrText xml:space="preserve"> SEQ Table \* ARABIC </w:instrText>
      </w:r>
      <w:r>
        <w:rPr>
          <w:noProof/>
        </w:rPr>
        <w:fldChar w:fldCharType="separate"/>
      </w:r>
      <w:r w:rsidR="00E00A52">
        <w:rPr>
          <w:noProof/>
        </w:rPr>
        <w:t>19</w:t>
      </w:r>
      <w:r>
        <w:rPr>
          <w:noProof/>
        </w:rPr>
        <w:fldChar w:fldCharType="end"/>
      </w:r>
      <w:bookmarkEnd w:id="42"/>
      <w:r w:rsidRPr="00653F3B">
        <w:t>: Allocation of household savings in non-dwellings investment</w:t>
      </w:r>
    </w:p>
    <w:tbl>
      <w:tblPr>
        <w:tblStyle w:val="TableGrid"/>
        <w:tblW w:w="5000" w:type="pct"/>
        <w:jc w:val="center"/>
        <w:shd w:val="clear" w:color="auto" w:fill="EEEEEE" w:themeFill="background2"/>
        <w:tblLook w:val="04A0" w:firstRow="1" w:lastRow="0" w:firstColumn="1" w:lastColumn="0" w:noHBand="0" w:noVBand="1"/>
      </w:tblPr>
      <w:tblGrid>
        <w:gridCol w:w="2584"/>
        <w:gridCol w:w="2332"/>
        <w:gridCol w:w="2019"/>
        <w:gridCol w:w="2125"/>
      </w:tblGrid>
      <w:tr w:rsidR="006C3DEB" w:rsidRPr="003A32B6" w14:paraId="35EA36F7" w14:textId="77777777" w:rsidTr="005A7549">
        <w:trPr>
          <w:trHeight w:val="454"/>
          <w:jc w:val="center"/>
        </w:trPr>
        <w:tc>
          <w:tcPr>
            <w:tcW w:w="1426"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09EC4829" w14:textId="77777777" w:rsidR="006C3DEB" w:rsidRPr="0088277E" w:rsidRDefault="006C3DEB" w:rsidP="005A7549">
            <w:pPr>
              <w:pStyle w:val="TableColumnHeadingLeft"/>
            </w:pPr>
            <w:r w:rsidRPr="0088277E">
              <w:t>Debtor</w:t>
            </w: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489902C5" w14:textId="77777777" w:rsidR="006C3DEB" w:rsidRPr="0088277E" w:rsidRDefault="006C3DEB" w:rsidP="005A7549">
            <w:pPr>
              <w:pStyle w:val="TableColumnHeadingLeft"/>
            </w:pPr>
            <w:r w:rsidRPr="0088277E">
              <w:t>Asset type</w:t>
            </w:r>
          </w:p>
        </w:tc>
        <w:tc>
          <w:tcPr>
            <w:tcW w:w="2287" w:type="pct"/>
            <w:gridSpan w:val="2"/>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310C0A0C" w14:textId="77777777" w:rsidR="006C3DEB" w:rsidRPr="0088277E" w:rsidRDefault="006C3DEB" w:rsidP="005A7549">
            <w:pPr>
              <w:pStyle w:val="TableColumnHeadingLeft"/>
            </w:pPr>
            <w:r>
              <w:t>Portfolio w</w:t>
            </w:r>
            <w:r w:rsidRPr="0088277E">
              <w:t>eight</w:t>
            </w:r>
          </w:p>
        </w:tc>
      </w:tr>
      <w:tr w:rsidR="006C3DEB" w:rsidRPr="003A32B6" w14:paraId="3C596D80" w14:textId="77777777" w:rsidTr="005A7549">
        <w:trPr>
          <w:trHeight w:val="454"/>
          <w:jc w:val="center"/>
        </w:trPr>
        <w:tc>
          <w:tcPr>
            <w:tcW w:w="1426" w:type="pct"/>
            <w:vMerge w:val="restart"/>
            <w:tcBorders>
              <w:top w:val="single" w:sz="4" w:space="0" w:color="auto"/>
              <w:left w:val="single" w:sz="4" w:space="0" w:color="auto"/>
              <w:right w:val="single" w:sz="4" w:space="0" w:color="auto"/>
            </w:tcBorders>
            <w:shd w:val="clear" w:color="auto" w:fill="EEEEEE" w:themeFill="background2"/>
            <w:vAlign w:val="center"/>
            <w:hideMark/>
          </w:tcPr>
          <w:p w14:paraId="754B7BF1" w14:textId="77777777" w:rsidR="006C3DEB" w:rsidRPr="0088277E" w:rsidRDefault="006C3DEB" w:rsidP="005A7549">
            <w:pPr>
              <w:pStyle w:val="TableColumnHeadingLeft"/>
            </w:pPr>
            <w:r w:rsidRPr="0088277E">
              <w:t>Firms</w:t>
            </w: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6BDEC110" w14:textId="77777777" w:rsidR="006C3DEB" w:rsidRPr="0088277E" w:rsidRDefault="006C3DEB" w:rsidP="005A7549">
            <w:pPr>
              <w:pStyle w:val="TableColumnHeadingLeft"/>
            </w:pPr>
            <w:r w:rsidRPr="0088277E">
              <w:t>Total</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BA16E09" w14:textId="77777777" w:rsidR="006C3DEB" w:rsidRDefault="006C3DEB" w:rsidP="005A7549">
            <w:pPr>
              <w:pStyle w:val="TableTextLeft"/>
              <w:rPr>
                <w:szCs w:val="18"/>
              </w:rPr>
            </w:pP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5B072669" w14:textId="77777777" w:rsidR="006C3DEB" w:rsidRPr="0088277E" w:rsidRDefault="006C3DEB" w:rsidP="005A7549">
            <w:pPr>
              <w:pStyle w:val="TableTextLeft"/>
            </w:pPr>
            <w:r w:rsidRPr="0088277E">
              <w:rPr>
                <w:szCs w:val="22"/>
              </w:rPr>
              <w:t>0.</w:t>
            </w:r>
            <w:r>
              <w:rPr>
                <w:szCs w:val="22"/>
              </w:rPr>
              <w:t>49</w:t>
            </w:r>
          </w:p>
        </w:tc>
      </w:tr>
      <w:tr w:rsidR="006C3DEB" w:rsidRPr="003A32B6" w14:paraId="3D90A64A" w14:textId="77777777" w:rsidTr="005A7549">
        <w:trPr>
          <w:trHeight w:val="454"/>
          <w:jc w:val="center"/>
        </w:trPr>
        <w:tc>
          <w:tcPr>
            <w:tcW w:w="1426" w:type="pct"/>
            <w:vMerge/>
            <w:tcBorders>
              <w:left w:val="single" w:sz="4" w:space="0" w:color="auto"/>
              <w:right w:val="single" w:sz="4" w:space="0" w:color="auto"/>
            </w:tcBorders>
            <w:shd w:val="clear" w:color="auto" w:fill="EEEEEE" w:themeFill="background2"/>
            <w:vAlign w:val="center"/>
          </w:tcPr>
          <w:p w14:paraId="4DCA9BCB" w14:textId="77777777" w:rsidR="006C3DEB" w:rsidRPr="0088277E" w:rsidRDefault="006C3DEB" w:rsidP="005A7549">
            <w:pPr>
              <w:pStyle w:val="TableColumnHeadingLeft"/>
            </w:pP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70C7A1D8" w14:textId="77777777" w:rsidR="006C3DEB" w:rsidRPr="0088277E" w:rsidRDefault="006C3DEB" w:rsidP="005A7549">
            <w:pPr>
              <w:pStyle w:val="TableColumnHeadingLeft"/>
            </w:pPr>
            <w:r w:rsidRPr="0088277E">
              <w:t>Bonds</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598D946" w14:textId="77777777" w:rsidR="006C3DEB" w:rsidRDefault="006C3DEB" w:rsidP="005A7549">
            <w:pPr>
              <w:pStyle w:val="TableTextLeft"/>
              <w:rPr>
                <w:szCs w:val="18"/>
              </w:rPr>
            </w:pPr>
            <w:r w:rsidRPr="00E670A7">
              <w:rPr>
                <w:rFonts w:eastAsiaTheme="minorHAnsi" w:cstheme="minorBidi"/>
                <w:position w:val="-12"/>
                <w:szCs w:val="22"/>
                <w:lang w:eastAsia="en-US"/>
              </w:rPr>
              <w:object w:dxaOrig="360" w:dyaOrig="380" w14:anchorId="009C2E8A">
                <v:shape id="_x0000_i1602" type="#_x0000_t75" style="width:18pt;height:18pt" o:ole="">
                  <v:imagedata r:id="rId1181" o:title=""/>
                </v:shape>
                <o:OLEObject Type="Embed" ProgID="Equation.DSMT4" ShapeID="_x0000_i1602" DrawAspect="Content" ObjectID="_1754919153" r:id="rId1182"/>
              </w:objec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43D42B5F" w14:textId="77777777" w:rsidR="006C3DEB" w:rsidRPr="0088277E" w:rsidRDefault="006C3DEB" w:rsidP="005A7549">
            <w:pPr>
              <w:pStyle w:val="TableTextLeft"/>
            </w:pPr>
            <w:r w:rsidRPr="0088277E">
              <w:rPr>
                <w:szCs w:val="22"/>
              </w:rPr>
              <w:t>0.1</w:t>
            </w:r>
            <w:r>
              <w:rPr>
                <w:szCs w:val="22"/>
              </w:rPr>
              <w:t>7</w:t>
            </w:r>
          </w:p>
        </w:tc>
      </w:tr>
      <w:tr w:rsidR="006C3DEB" w:rsidRPr="003A32B6" w14:paraId="66664900" w14:textId="77777777" w:rsidTr="005A7549">
        <w:trPr>
          <w:trHeight w:val="454"/>
          <w:jc w:val="center"/>
        </w:trPr>
        <w:tc>
          <w:tcPr>
            <w:tcW w:w="1426" w:type="pct"/>
            <w:vMerge/>
            <w:tcBorders>
              <w:left w:val="single" w:sz="4" w:space="0" w:color="auto"/>
              <w:right w:val="single" w:sz="4" w:space="0" w:color="auto"/>
            </w:tcBorders>
            <w:shd w:val="clear" w:color="auto" w:fill="EEEEEE" w:themeFill="background2"/>
            <w:vAlign w:val="center"/>
          </w:tcPr>
          <w:p w14:paraId="7148495C" w14:textId="77777777" w:rsidR="006C3DEB" w:rsidRPr="0088277E" w:rsidRDefault="006C3DEB" w:rsidP="005A7549">
            <w:pPr>
              <w:pStyle w:val="TableColumnHeadingLeft"/>
            </w:pP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7D333E83" w14:textId="77777777" w:rsidR="006C3DEB" w:rsidRPr="0088277E" w:rsidRDefault="006C3DEB" w:rsidP="005A7549">
            <w:pPr>
              <w:pStyle w:val="TableColumnHeadingLeft"/>
            </w:pPr>
            <w:r w:rsidRPr="0088277E">
              <w:t>Equity Dividend</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1F21D9A" w14:textId="77777777" w:rsidR="006C3DEB" w:rsidRDefault="006C3DEB" w:rsidP="005A7549">
            <w:pPr>
              <w:pStyle w:val="TableTextLeft"/>
              <w:rPr>
                <w:szCs w:val="18"/>
              </w:rPr>
            </w:pPr>
            <w:r w:rsidRPr="00E670A7">
              <w:rPr>
                <w:rFonts w:eastAsiaTheme="minorHAnsi" w:cstheme="minorBidi"/>
                <w:position w:val="-12"/>
                <w:szCs w:val="22"/>
                <w:lang w:eastAsia="en-US"/>
              </w:rPr>
              <w:object w:dxaOrig="380" w:dyaOrig="380" w14:anchorId="02B211EB">
                <v:shape id="_x0000_i1603" type="#_x0000_t75" style="width:18pt;height:18pt" o:ole="">
                  <v:imagedata r:id="rId1183" o:title=""/>
                </v:shape>
                <o:OLEObject Type="Embed" ProgID="Equation.DSMT4" ShapeID="_x0000_i1603" DrawAspect="Content" ObjectID="_1754919154" r:id="rId1184"/>
              </w:objec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30667A15" w14:textId="77777777" w:rsidR="006C3DEB" w:rsidRPr="0088277E" w:rsidRDefault="006C3DEB" w:rsidP="005A7549">
            <w:pPr>
              <w:pStyle w:val="TableTextLeft"/>
            </w:pPr>
            <w:r w:rsidRPr="0088277E">
              <w:rPr>
                <w:szCs w:val="22"/>
              </w:rPr>
              <w:t>0.</w:t>
            </w:r>
            <w:r>
              <w:rPr>
                <w:szCs w:val="22"/>
              </w:rPr>
              <w:t>29</w:t>
            </w:r>
          </w:p>
        </w:tc>
      </w:tr>
      <w:tr w:rsidR="006C3DEB" w:rsidRPr="003A32B6" w14:paraId="3055F8AC" w14:textId="77777777" w:rsidTr="005A7549">
        <w:trPr>
          <w:trHeight w:val="454"/>
          <w:jc w:val="center"/>
        </w:trPr>
        <w:tc>
          <w:tcPr>
            <w:tcW w:w="1426" w:type="pct"/>
            <w:vMerge/>
            <w:tcBorders>
              <w:left w:val="single" w:sz="4" w:space="0" w:color="auto"/>
              <w:bottom w:val="single" w:sz="4" w:space="0" w:color="auto"/>
              <w:right w:val="single" w:sz="4" w:space="0" w:color="auto"/>
            </w:tcBorders>
            <w:shd w:val="clear" w:color="auto" w:fill="EEEEEE" w:themeFill="background2"/>
            <w:vAlign w:val="center"/>
          </w:tcPr>
          <w:p w14:paraId="7D0B68E0" w14:textId="77777777" w:rsidR="006C3DEB" w:rsidRPr="0088277E" w:rsidRDefault="006C3DEB" w:rsidP="005A7549">
            <w:pPr>
              <w:pStyle w:val="TableColumnHeadingLeft"/>
            </w:pP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39C35E73" w14:textId="77777777" w:rsidR="006C3DEB" w:rsidRPr="0088277E" w:rsidRDefault="006C3DEB" w:rsidP="005A7549">
            <w:pPr>
              <w:pStyle w:val="TableColumnHeadingLeft"/>
            </w:pPr>
            <w:r w:rsidRPr="0088277E">
              <w:t>Equity Capital gain</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170B2C09" w14:textId="77777777" w:rsidR="006C3DEB" w:rsidRDefault="006C3DEB" w:rsidP="005A7549">
            <w:pPr>
              <w:pStyle w:val="TableTextLeft"/>
              <w:rPr>
                <w:szCs w:val="18"/>
              </w:rPr>
            </w:pPr>
            <w:r w:rsidRPr="00E670A7">
              <w:rPr>
                <w:rFonts w:eastAsiaTheme="minorHAnsi" w:cstheme="minorBidi"/>
                <w:position w:val="-12"/>
                <w:szCs w:val="22"/>
                <w:lang w:eastAsia="en-US"/>
              </w:rPr>
              <w:object w:dxaOrig="360" w:dyaOrig="380" w14:anchorId="0466172D">
                <v:shape id="_x0000_i1604" type="#_x0000_t75" style="width:18pt;height:18pt" o:ole="">
                  <v:imagedata r:id="rId1185" o:title=""/>
                </v:shape>
                <o:OLEObject Type="Embed" ProgID="Equation.DSMT4" ShapeID="_x0000_i1604" DrawAspect="Content" ObjectID="_1754919155" r:id="rId1186"/>
              </w:objec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22A508F9" w14:textId="77777777" w:rsidR="006C3DEB" w:rsidRPr="0088277E" w:rsidRDefault="006C3DEB" w:rsidP="005A7549">
            <w:pPr>
              <w:pStyle w:val="TableTextLeft"/>
            </w:pPr>
            <w:r>
              <w:rPr>
                <w:szCs w:val="22"/>
              </w:rPr>
              <w:t>0.03</w:t>
            </w:r>
          </w:p>
        </w:tc>
      </w:tr>
      <w:tr w:rsidR="006C3DEB" w:rsidRPr="003A32B6" w14:paraId="43CBBD41" w14:textId="77777777" w:rsidTr="005A7549">
        <w:trPr>
          <w:trHeight w:val="454"/>
          <w:jc w:val="center"/>
        </w:trPr>
        <w:tc>
          <w:tcPr>
            <w:tcW w:w="1426" w:type="pct"/>
            <w:tcBorders>
              <w:top w:val="single" w:sz="4" w:space="0" w:color="auto"/>
              <w:left w:val="single" w:sz="4" w:space="0" w:color="auto"/>
              <w:bottom w:val="single" w:sz="4" w:space="0" w:color="auto"/>
              <w:right w:val="single" w:sz="4" w:space="0" w:color="auto"/>
            </w:tcBorders>
            <w:shd w:val="clear" w:color="auto" w:fill="EEEEEE" w:themeFill="background2"/>
            <w:vAlign w:val="center"/>
            <w:hideMark/>
          </w:tcPr>
          <w:p w14:paraId="6D31AB82" w14:textId="77777777" w:rsidR="006C3DEB" w:rsidRPr="0088277E" w:rsidRDefault="006C3DEB" w:rsidP="005A7549">
            <w:pPr>
              <w:pStyle w:val="TableColumnHeadingLeft"/>
            </w:pPr>
            <w:r w:rsidRPr="0088277E">
              <w:t>Government</w:t>
            </w: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258D8FF1" w14:textId="77777777" w:rsidR="006C3DEB" w:rsidRPr="0088277E" w:rsidRDefault="006C3DEB" w:rsidP="005A7549">
            <w:pPr>
              <w:pStyle w:val="TableColumnHeadingLeft"/>
            </w:pPr>
            <w:r w:rsidRPr="0088277E">
              <w:t>Bonds</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2D7D1D0" w14:textId="77777777" w:rsidR="006C3DEB" w:rsidRDefault="006C3DEB" w:rsidP="005A7549">
            <w:pPr>
              <w:pStyle w:val="TableTextLeft"/>
              <w:rPr>
                <w:szCs w:val="18"/>
              </w:rPr>
            </w:pPr>
            <w:r w:rsidRPr="00E670A7">
              <w:rPr>
                <w:rFonts w:eastAsiaTheme="minorHAnsi" w:cstheme="minorBidi"/>
                <w:position w:val="-12"/>
                <w:szCs w:val="22"/>
                <w:lang w:eastAsia="en-US"/>
              </w:rPr>
              <w:object w:dxaOrig="380" w:dyaOrig="380" w14:anchorId="5B93DE2A">
                <v:shape id="_x0000_i1605" type="#_x0000_t75" style="width:18pt;height:18pt" o:ole="">
                  <v:imagedata r:id="rId1187" o:title=""/>
                </v:shape>
                <o:OLEObject Type="Embed" ProgID="Equation.DSMT4" ShapeID="_x0000_i1605" DrawAspect="Content" ObjectID="_1754919156" r:id="rId1188"/>
              </w:objec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6C98FA6B" w14:textId="77777777" w:rsidR="006C3DEB" w:rsidRPr="0088277E" w:rsidRDefault="006C3DEB" w:rsidP="005A7549">
            <w:pPr>
              <w:pStyle w:val="TableTextLeft"/>
            </w:pPr>
            <w:r>
              <w:rPr>
                <w:szCs w:val="22"/>
              </w:rPr>
              <w:t>0.04</w:t>
            </w:r>
          </w:p>
        </w:tc>
      </w:tr>
      <w:tr w:rsidR="006C3DEB" w:rsidRPr="003A32B6" w14:paraId="07896C13" w14:textId="77777777" w:rsidTr="005A7549">
        <w:trPr>
          <w:trHeight w:val="454"/>
          <w:jc w:val="center"/>
        </w:trPr>
        <w:tc>
          <w:tcPr>
            <w:tcW w:w="1426"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7A282D1E" w14:textId="77777777" w:rsidR="006C3DEB" w:rsidRDefault="006C3DEB" w:rsidP="005A7549">
            <w:pPr>
              <w:pStyle w:val="TableColumnHeadingLeft"/>
            </w:pPr>
            <w:r w:rsidRPr="004A7642">
              <w:rPr>
                <w:szCs w:val="22"/>
              </w:rPr>
              <w:t>Foreign portfolio</w:t>
            </w: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7257D52D" w14:textId="77777777" w:rsidR="006C3DEB" w:rsidRPr="0088277E" w:rsidRDefault="006C3DEB" w:rsidP="005A7549">
            <w:pPr>
              <w:pStyle w:val="TableColumnHeadingLeft"/>
            </w:pPr>
            <w:r w:rsidRPr="0088277E">
              <w:t>Total</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E9A142A" w14:textId="77777777" w:rsidR="006C3DEB" w:rsidRPr="005407CA" w:rsidRDefault="006C3DEB" w:rsidP="005A7549">
            <w:pPr>
              <w:pStyle w:val="TableTextLeft"/>
            </w:pPr>
            <w:r w:rsidRPr="00E670A7">
              <w:rPr>
                <w:rFonts w:eastAsiaTheme="minorHAnsi" w:cstheme="minorBidi"/>
                <w:position w:val="-12"/>
                <w:szCs w:val="22"/>
                <w:lang w:eastAsia="en-US"/>
              </w:rPr>
              <w:object w:dxaOrig="340" w:dyaOrig="380" w14:anchorId="52BEE764">
                <v:shape id="_x0000_i1606" type="#_x0000_t75" style="width:18pt;height:18pt" o:ole="">
                  <v:imagedata r:id="rId1189" o:title=""/>
                </v:shape>
                <o:OLEObject Type="Embed" ProgID="Equation.DSMT4" ShapeID="_x0000_i1606" DrawAspect="Content" ObjectID="_1754919157" r:id="rId1190"/>
              </w:objec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680449A0" w14:textId="77777777" w:rsidR="006C3DEB" w:rsidRPr="0088277E" w:rsidRDefault="006C3DEB" w:rsidP="005A7549">
            <w:pPr>
              <w:pStyle w:val="TableTextLeft"/>
            </w:pPr>
            <w:r w:rsidRPr="0088277E">
              <w:rPr>
                <w:szCs w:val="22"/>
              </w:rPr>
              <w:t>0.</w:t>
            </w:r>
            <w:r>
              <w:rPr>
                <w:szCs w:val="22"/>
              </w:rPr>
              <w:t>47</w:t>
            </w:r>
          </w:p>
        </w:tc>
      </w:tr>
      <w:tr w:rsidR="006C3DEB" w:rsidRPr="003A32B6" w14:paraId="01975AF8" w14:textId="77777777" w:rsidTr="005A7549">
        <w:trPr>
          <w:trHeight w:val="454"/>
          <w:jc w:val="center"/>
        </w:trPr>
        <w:tc>
          <w:tcPr>
            <w:tcW w:w="1426" w:type="pct"/>
            <w:tcBorders>
              <w:top w:val="single" w:sz="4" w:space="0" w:color="auto"/>
              <w:left w:val="single" w:sz="4" w:space="0" w:color="auto"/>
              <w:bottom w:val="single" w:sz="4" w:space="0" w:color="auto"/>
              <w:right w:val="single" w:sz="4" w:space="0" w:color="auto"/>
            </w:tcBorders>
            <w:shd w:val="clear" w:color="auto" w:fill="EEEEEE" w:themeFill="background2"/>
            <w:vAlign w:val="center"/>
            <w:hideMark/>
          </w:tcPr>
          <w:p w14:paraId="3E03CC6D" w14:textId="77777777" w:rsidR="006C3DEB" w:rsidRPr="0088277E" w:rsidRDefault="006C3DEB" w:rsidP="005A7549">
            <w:pPr>
              <w:pStyle w:val="TableColumnHeadingLeft"/>
            </w:pPr>
            <w:r w:rsidRPr="0088277E">
              <w:t>Total</w:t>
            </w: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32C63BED" w14:textId="77777777" w:rsidR="006C3DEB" w:rsidRPr="0088277E" w:rsidRDefault="006C3DEB" w:rsidP="005A7549">
            <w:pPr>
              <w:pStyle w:val="TableColumnHeadingLeft"/>
            </w:pP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9F5D420" w14:textId="77777777" w:rsidR="006C3DEB" w:rsidRDefault="006C3DEB" w:rsidP="005A7549">
            <w:pPr>
              <w:pStyle w:val="TableTextLeft"/>
              <w:rPr>
                <w:szCs w:val="18"/>
              </w:rPr>
            </w:pP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66D7D871" w14:textId="77777777" w:rsidR="006C3DEB" w:rsidRPr="0088277E" w:rsidRDefault="006C3DEB" w:rsidP="005A7549">
            <w:pPr>
              <w:pStyle w:val="TableTextLeft"/>
            </w:pPr>
            <w:r w:rsidRPr="0088277E">
              <w:rPr>
                <w:szCs w:val="22"/>
              </w:rPr>
              <w:t>1.00</w:t>
            </w:r>
          </w:p>
        </w:tc>
      </w:tr>
    </w:tbl>
    <w:p w14:paraId="26898F7F" w14:textId="77777777" w:rsidR="006C3DEB" w:rsidRPr="0032767F" w:rsidRDefault="006C3DEB" w:rsidP="006C3DEB">
      <w:pPr>
        <w:pStyle w:val="Note"/>
      </w:pPr>
      <w:r w:rsidRPr="00F27C5A">
        <w:t>Source: Authors’ calculation</w:t>
      </w:r>
      <w:r>
        <w:t>.</w:t>
      </w:r>
    </w:p>
    <w:p w14:paraId="0652C5D8" w14:textId="77777777" w:rsidR="006C3DEB" w:rsidRPr="001967BF" w:rsidRDefault="006C3DEB" w:rsidP="006C3DEB">
      <w:pPr>
        <w:pStyle w:val="Heading5"/>
        <w:rPr>
          <w:rStyle w:val="IntenseEmphasis"/>
          <w:bCs w:val="0"/>
          <w:i w:val="0"/>
          <w:color w:val="000000" w:themeColor="text1"/>
        </w:rPr>
      </w:pPr>
      <w:r w:rsidRPr="00B34AB0">
        <w:rPr>
          <w:rStyle w:val="IntenseEmphasis"/>
          <w:b/>
          <w:bCs w:val="0"/>
          <w:i w:val="0"/>
          <w:iCs/>
          <w:color w:val="000000" w:themeColor="text1"/>
        </w:rPr>
        <w:t>Foreign investment</w:t>
      </w:r>
    </w:p>
    <w:p w14:paraId="307CB21E" w14:textId="367788E4" w:rsidR="006C3DEB" w:rsidRDefault="006C3DEB" w:rsidP="006C3DEB">
      <w:r w:rsidRPr="00A92A76">
        <w:t xml:space="preserve">Foreign ownership shares of Australian domestic equity, corporate bonds and government bonds are estimated as a residual. The implied </w:t>
      </w:r>
      <w:r>
        <w:t xml:space="preserve">initial </w:t>
      </w:r>
      <w:r w:rsidRPr="00A92A76">
        <w:t>portfolio</w:t>
      </w:r>
      <w:r>
        <w:t xml:space="preserve"> weights are reported in </w:t>
      </w:r>
      <w:r w:rsidR="00E00A52">
        <w:t xml:space="preserve">Table </w:t>
      </w:r>
      <w:r w:rsidR="00E00A52">
        <w:rPr>
          <w:noProof/>
        </w:rPr>
        <w:t>20</w:t>
      </w:r>
      <w:r w:rsidRPr="00A92A76">
        <w:t>.</w:t>
      </w:r>
    </w:p>
    <w:p w14:paraId="3ACA0566" w14:textId="7FF49B46" w:rsidR="006C3DEB" w:rsidRDefault="006C3DEB" w:rsidP="006C3DEB">
      <w:pPr>
        <w:pStyle w:val="TableMainHeading"/>
      </w:pPr>
      <w:bookmarkStart w:id="43" w:name="_Ref101947537"/>
      <w:r>
        <w:t xml:space="preserve">Table </w:t>
      </w:r>
      <w:r>
        <w:rPr>
          <w:noProof/>
        </w:rPr>
        <w:fldChar w:fldCharType="begin"/>
      </w:r>
      <w:r>
        <w:rPr>
          <w:noProof/>
        </w:rPr>
        <w:instrText xml:space="preserve"> SEQ Table \* ARABIC </w:instrText>
      </w:r>
      <w:r>
        <w:rPr>
          <w:noProof/>
        </w:rPr>
        <w:fldChar w:fldCharType="separate"/>
      </w:r>
      <w:r w:rsidR="00E00A52">
        <w:rPr>
          <w:noProof/>
        </w:rPr>
        <w:t>20</w:t>
      </w:r>
      <w:r>
        <w:rPr>
          <w:noProof/>
        </w:rPr>
        <w:fldChar w:fldCharType="end"/>
      </w:r>
      <w:bookmarkEnd w:id="43"/>
      <w:r>
        <w:t>: Initial allocation of foreign investment</w:t>
      </w:r>
    </w:p>
    <w:tbl>
      <w:tblPr>
        <w:tblStyle w:val="TableGrid"/>
        <w:tblW w:w="5000" w:type="pct"/>
        <w:jc w:val="center"/>
        <w:shd w:val="clear" w:color="auto" w:fill="EEEEEE" w:themeFill="background2"/>
        <w:tblLook w:val="04A0" w:firstRow="1" w:lastRow="0" w:firstColumn="1" w:lastColumn="0" w:noHBand="0" w:noVBand="1"/>
      </w:tblPr>
      <w:tblGrid>
        <w:gridCol w:w="2584"/>
        <w:gridCol w:w="2332"/>
        <w:gridCol w:w="2019"/>
        <w:gridCol w:w="2125"/>
      </w:tblGrid>
      <w:tr w:rsidR="006C3DEB" w:rsidRPr="003A32B6" w14:paraId="08A53EA8" w14:textId="77777777" w:rsidTr="005A7549">
        <w:trPr>
          <w:trHeight w:val="454"/>
          <w:jc w:val="center"/>
        </w:trPr>
        <w:tc>
          <w:tcPr>
            <w:tcW w:w="1426"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733DE9BD" w14:textId="77777777" w:rsidR="006C3DEB" w:rsidRPr="0088277E" w:rsidRDefault="006C3DEB" w:rsidP="005A7549">
            <w:pPr>
              <w:pStyle w:val="TableColumnHeadingLeft"/>
            </w:pPr>
            <w:r w:rsidRPr="0088277E">
              <w:t>Debtor</w:t>
            </w: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293CEB5A" w14:textId="77777777" w:rsidR="006C3DEB" w:rsidRPr="0088277E" w:rsidRDefault="006C3DEB" w:rsidP="005A7549">
            <w:pPr>
              <w:pStyle w:val="TableColumnHeadingLeft"/>
            </w:pPr>
            <w:r w:rsidRPr="0088277E">
              <w:t>Asset type</w:t>
            </w:r>
          </w:p>
        </w:tc>
        <w:tc>
          <w:tcPr>
            <w:tcW w:w="2287" w:type="pct"/>
            <w:gridSpan w:val="2"/>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211DA08E" w14:textId="77777777" w:rsidR="006C3DEB" w:rsidRPr="0088277E" w:rsidRDefault="006C3DEB" w:rsidP="005A7549">
            <w:pPr>
              <w:pStyle w:val="TableColumnHeadingLeft"/>
            </w:pPr>
            <w:r>
              <w:t>Portfolio w</w:t>
            </w:r>
            <w:r w:rsidRPr="0088277E">
              <w:t>eight</w:t>
            </w:r>
          </w:p>
        </w:tc>
      </w:tr>
      <w:tr w:rsidR="006C3DEB" w:rsidRPr="003A32B6" w14:paraId="68B3E760" w14:textId="77777777" w:rsidTr="005A7549">
        <w:trPr>
          <w:trHeight w:val="454"/>
          <w:jc w:val="center"/>
        </w:trPr>
        <w:tc>
          <w:tcPr>
            <w:tcW w:w="1426" w:type="pct"/>
            <w:vMerge w:val="restart"/>
            <w:tcBorders>
              <w:top w:val="single" w:sz="4" w:space="0" w:color="auto"/>
              <w:left w:val="single" w:sz="4" w:space="0" w:color="auto"/>
              <w:right w:val="single" w:sz="4" w:space="0" w:color="auto"/>
            </w:tcBorders>
            <w:shd w:val="clear" w:color="auto" w:fill="EEEEEE" w:themeFill="background2"/>
            <w:vAlign w:val="center"/>
            <w:hideMark/>
          </w:tcPr>
          <w:p w14:paraId="4661690E" w14:textId="77777777" w:rsidR="006C3DEB" w:rsidRPr="0088277E" w:rsidRDefault="006C3DEB" w:rsidP="005A7549">
            <w:pPr>
              <w:pStyle w:val="TableColumnHeadingLeft"/>
            </w:pPr>
            <w:r w:rsidRPr="0088277E">
              <w:t>Firms</w:t>
            </w: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22081681" w14:textId="77777777" w:rsidR="006C3DEB" w:rsidRPr="0088277E" w:rsidRDefault="006C3DEB" w:rsidP="005A7549">
            <w:pPr>
              <w:pStyle w:val="TableColumnHeadingLeft"/>
            </w:pPr>
            <w:r w:rsidRPr="0088277E">
              <w:t>Total</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B54133A" w14:textId="77777777" w:rsidR="006C3DEB" w:rsidRDefault="006C3DEB" w:rsidP="005A7549">
            <w:pPr>
              <w:pStyle w:val="TableTextLeft"/>
            </w:pP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53727308" w14:textId="77777777" w:rsidR="006C3DEB" w:rsidRPr="0088277E" w:rsidRDefault="006C3DEB" w:rsidP="005A7549">
            <w:pPr>
              <w:pStyle w:val="TableTextLeft"/>
            </w:pPr>
            <w:r w:rsidRPr="0088277E">
              <w:rPr>
                <w:szCs w:val="22"/>
              </w:rPr>
              <w:t>0.9</w:t>
            </w:r>
            <w:r>
              <w:rPr>
                <w:szCs w:val="22"/>
              </w:rPr>
              <w:t>2</w:t>
            </w:r>
          </w:p>
        </w:tc>
      </w:tr>
      <w:tr w:rsidR="006C3DEB" w:rsidRPr="003A32B6" w14:paraId="5ED1BA51" w14:textId="77777777" w:rsidTr="005A7549">
        <w:trPr>
          <w:trHeight w:val="454"/>
          <w:jc w:val="center"/>
        </w:trPr>
        <w:tc>
          <w:tcPr>
            <w:tcW w:w="1426" w:type="pct"/>
            <w:vMerge/>
            <w:tcBorders>
              <w:left w:val="single" w:sz="4" w:space="0" w:color="auto"/>
              <w:right w:val="single" w:sz="4" w:space="0" w:color="auto"/>
            </w:tcBorders>
            <w:shd w:val="clear" w:color="auto" w:fill="EEEEEE" w:themeFill="background2"/>
            <w:vAlign w:val="center"/>
          </w:tcPr>
          <w:p w14:paraId="58C0362D" w14:textId="77777777" w:rsidR="006C3DEB" w:rsidRPr="0088277E" w:rsidRDefault="006C3DEB" w:rsidP="005A7549">
            <w:pPr>
              <w:pStyle w:val="TableColumnHeadingLeft"/>
            </w:pP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60EB3031" w14:textId="77777777" w:rsidR="006C3DEB" w:rsidRPr="0088277E" w:rsidRDefault="006C3DEB" w:rsidP="005A7549">
            <w:pPr>
              <w:pStyle w:val="TableColumnHeadingLeft"/>
            </w:pPr>
            <w:r w:rsidRPr="0088277E">
              <w:t>Bonds</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9A4AB75" w14:textId="77777777" w:rsidR="006C3DEB" w:rsidRDefault="006C3DEB" w:rsidP="005A7549">
            <w:pPr>
              <w:pStyle w:val="TableTextLeft"/>
            </w:pPr>
            <w:r w:rsidRPr="00E670A7">
              <w:rPr>
                <w:rFonts w:eastAsiaTheme="minorHAnsi" w:cstheme="minorBidi"/>
                <w:position w:val="-12"/>
                <w:szCs w:val="22"/>
                <w:lang w:eastAsia="en-US"/>
              </w:rPr>
              <w:object w:dxaOrig="440" w:dyaOrig="380" w14:anchorId="00BFCAE9">
                <v:shape id="_x0000_i1607" type="#_x0000_t75" style="width:21.6pt;height:18pt" o:ole="">
                  <v:imagedata r:id="rId1191" o:title=""/>
                </v:shape>
                <o:OLEObject Type="Embed" ProgID="Equation.DSMT4" ShapeID="_x0000_i1607" DrawAspect="Content" ObjectID="_1754919158" r:id="rId1192"/>
              </w:objec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7D52714E" w14:textId="77777777" w:rsidR="006C3DEB" w:rsidRPr="0088277E" w:rsidRDefault="006C3DEB" w:rsidP="005A7549">
            <w:pPr>
              <w:pStyle w:val="TableTextLeft"/>
            </w:pPr>
            <w:r w:rsidRPr="0088277E">
              <w:rPr>
                <w:szCs w:val="22"/>
              </w:rPr>
              <w:t>0.5</w:t>
            </w:r>
            <w:r>
              <w:rPr>
                <w:szCs w:val="22"/>
              </w:rPr>
              <w:t>4</w:t>
            </w:r>
          </w:p>
        </w:tc>
      </w:tr>
      <w:tr w:rsidR="006C3DEB" w:rsidRPr="003A32B6" w14:paraId="615888C9" w14:textId="77777777" w:rsidTr="005A7549">
        <w:trPr>
          <w:trHeight w:val="454"/>
          <w:jc w:val="center"/>
        </w:trPr>
        <w:tc>
          <w:tcPr>
            <w:tcW w:w="1426" w:type="pct"/>
            <w:vMerge/>
            <w:tcBorders>
              <w:left w:val="single" w:sz="4" w:space="0" w:color="auto"/>
              <w:right w:val="single" w:sz="4" w:space="0" w:color="auto"/>
            </w:tcBorders>
            <w:shd w:val="clear" w:color="auto" w:fill="EEEEEE" w:themeFill="background2"/>
            <w:vAlign w:val="center"/>
          </w:tcPr>
          <w:p w14:paraId="2EE58E5E" w14:textId="77777777" w:rsidR="006C3DEB" w:rsidRPr="0088277E" w:rsidRDefault="006C3DEB" w:rsidP="005A7549">
            <w:pPr>
              <w:pStyle w:val="TableColumnHeadingLeft"/>
            </w:pP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379376ED" w14:textId="77777777" w:rsidR="006C3DEB" w:rsidRPr="0088277E" w:rsidRDefault="006C3DEB" w:rsidP="005A7549">
            <w:pPr>
              <w:pStyle w:val="TableColumnHeadingLeft"/>
            </w:pPr>
            <w:r w:rsidRPr="0088277E">
              <w:t>Equity Dividend</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F464694" w14:textId="77777777" w:rsidR="006C3DEB" w:rsidRDefault="006C3DEB" w:rsidP="005A7549">
            <w:pPr>
              <w:pStyle w:val="TableTextLeft"/>
            </w:pPr>
            <w:r w:rsidRPr="00E670A7">
              <w:rPr>
                <w:rFonts w:eastAsiaTheme="minorHAnsi" w:cstheme="minorBidi"/>
                <w:position w:val="-12"/>
                <w:szCs w:val="22"/>
                <w:lang w:eastAsia="en-US"/>
              </w:rPr>
              <w:object w:dxaOrig="440" w:dyaOrig="380" w14:anchorId="58D80F7B">
                <v:shape id="_x0000_i1608" type="#_x0000_t75" style="width:21.6pt;height:18pt" o:ole="">
                  <v:imagedata r:id="rId1193" o:title=""/>
                </v:shape>
                <o:OLEObject Type="Embed" ProgID="Equation.DSMT4" ShapeID="_x0000_i1608" DrawAspect="Content" ObjectID="_1754919159" r:id="rId1194"/>
              </w:objec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360E657F" w14:textId="77777777" w:rsidR="006C3DEB" w:rsidRPr="0088277E" w:rsidRDefault="006C3DEB" w:rsidP="005A7549">
            <w:pPr>
              <w:pStyle w:val="TableTextLeft"/>
            </w:pPr>
            <w:r w:rsidRPr="0088277E">
              <w:t>0</w:t>
            </w:r>
            <w:r>
              <w:t>.00</w:t>
            </w:r>
          </w:p>
        </w:tc>
      </w:tr>
      <w:tr w:rsidR="006C3DEB" w:rsidRPr="003A32B6" w14:paraId="71E4132C" w14:textId="77777777" w:rsidTr="005A7549">
        <w:trPr>
          <w:trHeight w:val="454"/>
          <w:jc w:val="center"/>
        </w:trPr>
        <w:tc>
          <w:tcPr>
            <w:tcW w:w="1426" w:type="pct"/>
            <w:vMerge/>
            <w:tcBorders>
              <w:left w:val="single" w:sz="4" w:space="0" w:color="auto"/>
              <w:bottom w:val="single" w:sz="4" w:space="0" w:color="auto"/>
              <w:right w:val="single" w:sz="4" w:space="0" w:color="auto"/>
            </w:tcBorders>
            <w:shd w:val="clear" w:color="auto" w:fill="EEEEEE" w:themeFill="background2"/>
            <w:vAlign w:val="center"/>
          </w:tcPr>
          <w:p w14:paraId="1C846415" w14:textId="77777777" w:rsidR="006C3DEB" w:rsidRPr="0088277E" w:rsidRDefault="006C3DEB" w:rsidP="005A7549">
            <w:pPr>
              <w:pStyle w:val="TableColumnHeadingLeft"/>
            </w:pP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1E004409" w14:textId="77777777" w:rsidR="006C3DEB" w:rsidRPr="0088277E" w:rsidRDefault="006C3DEB" w:rsidP="005A7549">
            <w:pPr>
              <w:pStyle w:val="TableColumnHeadingLeft"/>
            </w:pPr>
            <w:r w:rsidRPr="0088277E">
              <w:t>Equity Capital gain</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0B3ECEE9" w14:textId="77777777" w:rsidR="006C3DEB" w:rsidRDefault="006C3DEB" w:rsidP="005A7549">
            <w:pPr>
              <w:pStyle w:val="TableTextLeft"/>
            </w:pPr>
            <w:r w:rsidRPr="00E670A7">
              <w:rPr>
                <w:rFonts w:eastAsiaTheme="minorHAnsi" w:cstheme="minorBidi"/>
                <w:position w:val="-12"/>
                <w:szCs w:val="22"/>
                <w:lang w:eastAsia="en-US"/>
              </w:rPr>
              <w:object w:dxaOrig="420" w:dyaOrig="380" w14:anchorId="73D6BC6C">
                <v:shape id="_x0000_i1609" type="#_x0000_t75" style="width:19.8pt;height:18pt" o:ole="">
                  <v:imagedata r:id="rId1195" o:title=""/>
                </v:shape>
                <o:OLEObject Type="Embed" ProgID="Equation.DSMT4" ShapeID="_x0000_i1609" DrawAspect="Content" ObjectID="_1754919160" r:id="rId1196"/>
              </w:objec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0394789F" w14:textId="77777777" w:rsidR="006C3DEB" w:rsidRPr="0088277E" w:rsidRDefault="006C3DEB" w:rsidP="005A7549">
            <w:pPr>
              <w:pStyle w:val="TableTextLeft"/>
            </w:pPr>
            <w:r w:rsidRPr="0088277E">
              <w:rPr>
                <w:szCs w:val="22"/>
              </w:rPr>
              <w:t>0.</w:t>
            </w:r>
            <w:r>
              <w:rPr>
                <w:szCs w:val="22"/>
              </w:rPr>
              <w:t>39</w:t>
            </w:r>
          </w:p>
        </w:tc>
      </w:tr>
      <w:tr w:rsidR="006C3DEB" w:rsidRPr="003A32B6" w14:paraId="07EFE8BF" w14:textId="77777777" w:rsidTr="005A7549">
        <w:trPr>
          <w:trHeight w:val="454"/>
          <w:jc w:val="center"/>
        </w:trPr>
        <w:tc>
          <w:tcPr>
            <w:tcW w:w="1426" w:type="pct"/>
            <w:tcBorders>
              <w:top w:val="single" w:sz="4" w:space="0" w:color="auto"/>
              <w:left w:val="single" w:sz="4" w:space="0" w:color="auto"/>
              <w:bottom w:val="single" w:sz="4" w:space="0" w:color="auto"/>
              <w:right w:val="single" w:sz="4" w:space="0" w:color="auto"/>
            </w:tcBorders>
            <w:shd w:val="clear" w:color="auto" w:fill="EEEEEE" w:themeFill="background2"/>
            <w:vAlign w:val="center"/>
            <w:hideMark/>
          </w:tcPr>
          <w:p w14:paraId="55C06DA7" w14:textId="77777777" w:rsidR="006C3DEB" w:rsidRPr="0088277E" w:rsidRDefault="006C3DEB" w:rsidP="005A7549">
            <w:pPr>
              <w:pStyle w:val="TableColumnHeadingLeft"/>
            </w:pPr>
            <w:r w:rsidRPr="0088277E">
              <w:t>Government</w:t>
            </w: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523B8472" w14:textId="77777777" w:rsidR="006C3DEB" w:rsidRPr="0088277E" w:rsidRDefault="006C3DEB" w:rsidP="005A7549">
            <w:pPr>
              <w:pStyle w:val="TableColumnHeadingLeft"/>
            </w:pPr>
            <w:r w:rsidRPr="0088277E">
              <w:t>Bonds</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5054EF04" w14:textId="77777777" w:rsidR="006C3DEB" w:rsidRDefault="006C3DEB" w:rsidP="005A7549">
            <w:pPr>
              <w:pStyle w:val="TableTextLeft"/>
            </w:pPr>
            <w:r w:rsidRPr="00E670A7">
              <w:rPr>
                <w:rFonts w:eastAsiaTheme="minorHAnsi" w:cstheme="minorBidi"/>
                <w:position w:val="-12"/>
                <w:szCs w:val="22"/>
                <w:lang w:eastAsia="en-US"/>
              </w:rPr>
              <w:object w:dxaOrig="440" w:dyaOrig="380" w14:anchorId="10075F44">
                <v:shape id="_x0000_i1610" type="#_x0000_t75" style="width:21.6pt;height:18pt" o:ole="">
                  <v:imagedata r:id="rId1197" o:title=""/>
                </v:shape>
                <o:OLEObject Type="Embed" ProgID="Equation.DSMT4" ShapeID="_x0000_i1610" DrawAspect="Content" ObjectID="_1754919161" r:id="rId1198"/>
              </w:object>
            </w: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656251FB" w14:textId="77777777" w:rsidR="006C3DEB" w:rsidRPr="0088277E" w:rsidRDefault="006C3DEB" w:rsidP="005A7549">
            <w:pPr>
              <w:pStyle w:val="TableTextLeft"/>
            </w:pPr>
            <w:r w:rsidRPr="0088277E">
              <w:rPr>
                <w:szCs w:val="22"/>
              </w:rPr>
              <w:t>0.0</w:t>
            </w:r>
            <w:r>
              <w:rPr>
                <w:szCs w:val="22"/>
              </w:rPr>
              <w:t>8</w:t>
            </w:r>
          </w:p>
        </w:tc>
      </w:tr>
      <w:tr w:rsidR="006C3DEB" w:rsidRPr="003A32B6" w14:paraId="3524EDD1" w14:textId="77777777" w:rsidTr="005A7549">
        <w:trPr>
          <w:trHeight w:val="454"/>
          <w:jc w:val="center"/>
        </w:trPr>
        <w:tc>
          <w:tcPr>
            <w:tcW w:w="1426" w:type="pct"/>
            <w:tcBorders>
              <w:top w:val="single" w:sz="4" w:space="0" w:color="auto"/>
              <w:left w:val="single" w:sz="4" w:space="0" w:color="auto"/>
              <w:bottom w:val="single" w:sz="4" w:space="0" w:color="auto"/>
              <w:right w:val="single" w:sz="4" w:space="0" w:color="auto"/>
            </w:tcBorders>
            <w:shd w:val="clear" w:color="auto" w:fill="EEEEEE" w:themeFill="background2"/>
            <w:vAlign w:val="center"/>
            <w:hideMark/>
          </w:tcPr>
          <w:p w14:paraId="19C0A3B5" w14:textId="77777777" w:rsidR="006C3DEB" w:rsidRPr="0088277E" w:rsidRDefault="006C3DEB" w:rsidP="005A7549">
            <w:pPr>
              <w:pStyle w:val="TableColumnHeadingLeft"/>
            </w:pPr>
            <w:r w:rsidRPr="0088277E">
              <w:t>Total</w:t>
            </w:r>
          </w:p>
        </w:tc>
        <w:tc>
          <w:tcPr>
            <w:tcW w:w="1287"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0E5512B3" w14:textId="77777777" w:rsidR="006C3DEB" w:rsidRPr="0088277E" w:rsidRDefault="006C3DEB" w:rsidP="005A7549">
            <w:pPr>
              <w:pStyle w:val="TableColumnHeadingLeft"/>
            </w:pP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70BB1C7D" w14:textId="77777777" w:rsidR="006C3DEB" w:rsidRDefault="006C3DEB" w:rsidP="005A7549">
            <w:pPr>
              <w:pStyle w:val="TableTextLeft"/>
            </w:pP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5540E1D8" w14:textId="77777777" w:rsidR="006C3DEB" w:rsidRPr="0088277E" w:rsidRDefault="006C3DEB" w:rsidP="005A7549">
            <w:pPr>
              <w:pStyle w:val="TableTextLeft"/>
            </w:pPr>
            <w:r w:rsidRPr="0088277E">
              <w:rPr>
                <w:szCs w:val="22"/>
              </w:rPr>
              <w:t>1.00</w:t>
            </w:r>
          </w:p>
        </w:tc>
      </w:tr>
    </w:tbl>
    <w:p w14:paraId="64C4364D" w14:textId="77777777" w:rsidR="006C3DEB" w:rsidRDefault="006C3DEB" w:rsidP="006C3DEB">
      <w:pPr>
        <w:pStyle w:val="Note"/>
        <w:rPr>
          <w:rStyle w:val="IntenseEmphasis"/>
        </w:rPr>
      </w:pPr>
      <w:r w:rsidRPr="00F27C5A">
        <w:t>Source: Authors’ calculation</w:t>
      </w:r>
      <w:r>
        <w:t>.</w:t>
      </w:r>
    </w:p>
    <w:p w14:paraId="56641DD5" w14:textId="77777777" w:rsidR="006C3DEB" w:rsidRPr="00853527" w:rsidRDefault="006C3DEB" w:rsidP="006C3DEB">
      <w:pPr>
        <w:pStyle w:val="Heading5"/>
        <w:rPr>
          <w:rStyle w:val="IntenseEmphasis"/>
          <w:b/>
          <w:bCs w:val="0"/>
          <w:i w:val="0"/>
          <w:iCs/>
          <w:color w:val="000000" w:themeColor="text1"/>
        </w:rPr>
      </w:pPr>
      <w:r w:rsidRPr="00853527">
        <w:rPr>
          <w:rStyle w:val="IntenseEmphasis"/>
          <w:b/>
          <w:bCs w:val="0"/>
          <w:i w:val="0"/>
          <w:iCs/>
          <w:color w:val="000000" w:themeColor="text1"/>
        </w:rPr>
        <w:t>Risk free rate and risk premia</w:t>
      </w:r>
    </w:p>
    <w:p w14:paraId="59D969DD" w14:textId="77777777" w:rsidR="006C3DEB" w:rsidRPr="00A92A76" w:rsidRDefault="006C3DEB" w:rsidP="006C3DEB">
      <w:r w:rsidRPr="00A92A76">
        <w:t xml:space="preserve">The small open economy framework implies that the domestic interest rate is exogenous and set by </w:t>
      </w:r>
      <w:r>
        <w:t>the ROW</w:t>
      </w:r>
      <w:r w:rsidRPr="00A92A76">
        <w:t xml:space="preserve">. </w:t>
      </w:r>
      <w:r>
        <w:t>In Version 1.0 the</w:t>
      </w:r>
      <w:r w:rsidRPr="00A92A76">
        <w:t xml:space="preserve"> global required after tax rate of return for sovereign/government debt</w:t>
      </w:r>
      <w:r w:rsidRPr="00E670A7">
        <w:rPr>
          <w:position w:val="-12"/>
        </w:rPr>
        <w:object w:dxaOrig="340" w:dyaOrig="380" w14:anchorId="05DE7A11">
          <v:shape id="_x0000_i1611" type="#_x0000_t75" style="width:18pt;height:18pt" o:ole="">
            <v:imagedata r:id="rId1199" o:title=""/>
          </v:shape>
          <o:OLEObject Type="Embed" ProgID="Equation.DSMT4" ShapeID="_x0000_i1611" DrawAspect="Content" ObjectID="_1754919162" r:id="rId1200"/>
        </w:object>
      </w:r>
      <w:r>
        <w:t>is assumed to be</w:t>
      </w:r>
      <w:r w:rsidRPr="00A92A76">
        <w:t xml:space="preserve"> </w:t>
      </w:r>
      <w:r>
        <w:t>3.0</w:t>
      </w:r>
      <w:r w:rsidRPr="00A92A76">
        <w:t xml:space="preserve"> per cent.</w:t>
      </w:r>
    </w:p>
    <w:p w14:paraId="04BF3C4C" w14:textId="3EE1C273" w:rsidR="006C3DEB" w:rsidRDefault="006C3DEB" w:rsidP="006C3DEB">
      <w:r w:rsidRPr="00A92A76">
        <w:t>The before-tax rates of return of all financial assets are linked to global required after</w:t>
      </w:r>
      <w:r>
        <w:t>-</w:t>
      </w:r>
      <w:r w:rsidRPr="00A92A76">
        <w:t xml:space="preserve">tax rate of return </w:t>
      </w:r>
      <w:r w:rsidRPr="00E670A7">
        <w:rPr>
          <w:position w:val="-12"/>
        </w:rPr>
        <w:object w:dxaOrig="340" w:dyaOrig="380" w14:anchorId="42FD80CB">
          <v:shape id="_x0000_i1612" type="#_x0000_t75" style="width:18pt;height:18pt" o:ole="">
            <v:imagedata r:id="rId1201" o:title=""/>
          </v:shape>
          <o:OLEObject Type="Embed" ProgID="Equation.DSMT4" ShapeID="_x0000_i1612" DrawAspect="Content" ObjectID="_1754919163" r:id="rId1202"/>
        </w:object>
      </w:r>
      <w:r w:rsidRPr="00A92A76">
        <w:t xml:space="preserve">with different risk premia applied (see </w:t>
      </w:r>
      <w:r w:rsidR="00E00A52">
        <w:t xml:space="preserve">Table </w:t>
      </w:r>
      <w:r w:rsidR="00E00A52">
        <w:rPr>
          <w:noProof/>
        </w:rPr>
        <w:t>21</w:t>
      </w:r>
      <w:r w:rsidRPr="00A92A76">
        <w:t xml:space="preserve">). These premia are calibrated to match observed </w:t>
      </w:r>
      <w:r>
        <w:t xml:space="preserve">relative </w:t>
      </w:r>
      <w:r w:rsidRPr="00A92A76">
        <w:t>rates of return on different assets (</w:t>
      </w:r>
      <w:r>
        <w:t>AMP Capital (</w:t>
      </w:r>
      <w:r w:rsidRPr="00A92A76">
        <w:t>201</w:t>
      </w:r>
      <w:r>
        <w:t>7</w:t>
      </w:r>
      <w:r w:rsidRPr="00A92A76">
        <w:t>)</w:t>
      </w:r>
      <w:r>
        <w:t>)</w:t>
      </w:r>
      <w:r w:rsidRPr="00A92A76">
        <w:t>.</w:t>
      </w:r>
    </w:p>
    <w:p w14:paraId="3778F080" w14:textId="477FA294" w:rsidR="006C3DEB" w:rsidRDefault="006C3DEB" w:rsidP="006C3DEB">
      <w:pPr>
        <w:pStyle w:val="TableMainHeading"/>
      </w:pPr>
      <w:bookmarkStart w:id="44" w:name="_Ref101947547"/>
      <w:r>
        <w:lastRenderedPageBreak/>
        <w:t xml:space="preserve">Table </w:t>
      </w:r>
      <w:r>
        <w:rPr>
          <w:noProof/>
        </w:rPr>
        <w:fldChar w:fldCharType="begin"/>
      </w:r>
      <w:r>
        <w:rPr>
          <w:noProof/>
        </w:rPr>
        <w:instrText xml:space="preserve"> SEQ Table \* ARABIC </w:instrText>
      </w:r>
      <w:r>
        <w:rPr>
          <w:noProof/>
        </w:rPr>
        <w:fldChar w:fldCharType="separate"/>
      </w:r>
      <w:r w:rsidR="00E00A52">
        <w:rPr>
          <w:noProof/>
        </w:rPr>
        <w:t>21</w:t>
      </w:r>
      <w:r>
        <w:rPr>
          <w:noProof/>
        </w:rPr>
        <w:fldChar w:fldCharType="end"/>
      </w:r>
      <w:bookmarkEnd w:id="44"/>
      <w:r>
        <w:t>: Risk premia and global required return (per cent)</w:t>
      </w:r>
    </w:p>
    <w:tbl>
      <w:tblPr>
        <w:tblStyle w:val="TableGrid"/>
        <w:tblW w:w="5000" w:type="pct"/>
        <w:jc w:val="center"/>
        <w:shd w:val="clear" w:color="auto" w:fill="EEEEEE" w:themeFill="background2"/>
        <w:tblLook w:val="04A0" w:firstRow="1" w:lastRow="0" w:firstColumn="1" w:lastColumn="0" w:noHBand="0" w:noVBand="1"/>
      </w:tblPr>
      <w:tblGrid>
        <w:gridCol w:w="1556"/>
        <w:gridCol w:w="1587"/>
        <w:gridCol w:w="1776"/>
        <w:gridCol w:w="1218"/>
        <w:gridCol w:w="1415"/>
        <w:gridCol w:w="1508"/>
      </w:tblGrid>
      <w:tr w:rsidR="006C3DEB" w:rsidRPr="003A32B6" w14:paraId="6113710A" w14:textId="77777777" w:rsidTr="005A7549">
        <w:trPr>
          <w:trHeight w:val="454"/>
          <w:jc w:val="center"/>
        </w:trPr>
        <w:tc>
          <w:tcPr>
            <w:tcW w:w="858"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35AF1D84" w14:textId="77777777" w:rsidR="006C3DEB" w:rsidRPr="0088277E" w:rsidRDefault="006C3DEB" w:rsidP="005A7549">
            <w:pPr>
              <w:pStyle w:val="TableColumnHeadingLeft"/>
            </w:pPr>
            <w:r w:rsidRPr="0088277E">
              <w:t>Debtor</w:t>
            </w:r>
          </w:p>
        </w:tc>
        <w:tc>
          <w:tcPr>
            <w:tcW w:w="876"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1A0C2194" w14:textId="77777777" w:rsidR="006C3DEB" w:rsidRPr="0088277E" w:rsidRDefault="006C3DEB" w:rsidP="005A7549">
            <w:pPr>
              <w:pStyle w:val="TableColumnHeadingLeft"/>
            </w:pPr>
            <w:r w:rsidRPr="0088277E">
              <w:t>Asset type</w:t>
            </w:r>
          </w:p>
        </w:tc>
        <w:tc>
          <w:tcPr>
            <w:tcW w:w="1652" w:type="pct"/>
            <w:gridSpan w:val="2"/>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5E70EF53" w14:textId="77777777" w:rsidR="006C3DEB" w:rsidRPr="0088277E" w:rsidRDefault="006C3DEB" w:rsidP="005A7549">
            <w:pPr>
              <w:pStyle w:val="TableColumnHeadingLeft"/>
            </w:pPr>
            <w:r w:rsidRPr="0088277E">
              <w:t>Premium</w:t>
            </w:r>
          </w:p>
        </w:tc>
        <w:tc>
          <w:tcPr>
            <w:tcW w:w="1613" w:type="pct"/>
            <w:gridSpan w:val="2"/>
            <w:tcBorders>
              <w:top w:val="single" w:sz="4" w:space="0" w:color="auto"/>
              <w:left w:val="single" w:sz="4" w:space="0" w:color="auto"/>
              <w:bottom w:val="single" w:sz="4" w:space="0" w:color="auto"/>
              <w:right w:val="single" w:sz="4" w:space="0" w:color="auto"/>
            </w:tcBorders>
            <w:shd w:val="clear" w:color="auto" w:fill="EEEEEE" w:themeFill="background2"/>
          </w:tcPr>
          <w:p w14:paraId="2D9A24B6" w14:textId="77777777" w:rsidR="006C3DEB" w:rsidRPr="0088277E" w:rsidRDefault="006C3DEB" w:rsidP="005A7549">
            <w:pPr>
              <w:pStyle w:val="TableColumnHeadingLeft"/>
            </w:pPr>
          </w:p>
          <w:p w14:paraId="0D7F20A1" w14:textId="77777777" w:rsidR="006C3DEB" w:rsidRPr="0088277E" w:rsidRDefault="006C3DEB" w:rsidP="005A7549">
            <w:pPr>
              <w:pStyle w:val="TableColumnHeadingLeft"/>
            </w:pPr>
            <w:r w:rsidRPr="0088277E">
              <w:t>Global required rate of return</w:t>
            </w:r>
          </w:p>
        </w:tc>
      </w:tr>
      <w:tr w:rsidR="006C3DEB" w14:paraId="6FBAE1DE" w14:textId="77777777" w:rsidTr="005A7549">
        <w:trPr>
          <w:trHeight w:val="454"/>
          <w:jc w:val="center"/>
        </w:trPr>
        <w:tc>
          <w:tcPr>
            <w:tcW w:w="858"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41E48172" w14:textId="77777777" w:rsidR="006C3DEB" w:rsidRPr="0088277E" w:rsidRDefault="006C3DEB" w:rsidP="005A7549">
            <w:pPr>
              <w:pStyle w:val="TableColumnHeadingLeft"/>
            </w:pPr>
            <w:r w:rsidRPr="0088277E">
              <w:t>Foreign</w:t>
            </w:r>
          </w:p>
        </w:tc>
        <w:tc>
          <w:tcPr>
            <w:tcW w:w="876"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7646D312" w14:textId="77777777" w:rsidR="006C3DEB" w:rsidRPr="0088277E" w:rsidRDefault="006C3DEB" w:rsidP="005A7549">
            <w:pPr>
              <w:pStyle w:val="TableColumnHeadingLeft"/>
            </w:pPr>
            <w:r w:rsidRPr="0088277E">
              <w:t>Risk free bonds</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1C3F85" w14:textId="77777777" w:rsidR="006C3DEB" w:rsidRPr="002716F3" w:rsidRDefault="006C3DEB" w:rsidP="005A7549">
            <w:pPr>
              <w:pStyle w:val="TableTextLeft"/>
            </w:pP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54BD8D09" w14:textId="77777777" w:rsidR="006C3DEB" w:rsidRPr="0088277E" w:rsidRDefault="006C3DEB" w:rsidP="005A7549">
            <w:pPr>
              <w:pStyle w:val="TableTextLeft"/>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6D86332" w14:textId="77777777" w:rsidR="006C3DEB" w:rsidRPr="002716F3" w:rsidRDefault="006C3DEB" w:rsidP="005A7549">
            <w:pPr>
              <w:pStyle w:val="TableTextLeft"/>
            </w:pPr>
            <w:r w:rsidRPr="00E670A7">
              <w:rPr>
                <w:rFonts w:eastAsiaTheme="minorHAnsi" w:cstheme="minorBidi"/>
                <w:position w:val="-12"/>
                <w:szCs w:val="22"/>
                <w:lang w:eastAsia="en-US"/>
              </w:rPr>
              <w:object w:dxaOrig="340" w:dyaOrig="380" w14:anchorId="1242C271">
                <v:shape id="_x0000_i1613" type="#_x0000_t75" style="width:18pt;height:18pt" o:ole="">
                  <v:imagedata r:id="rId1203" o:title=""/>
                </v:shape>
                <o:OLEObject Type="Embed" ProgID="Equation.DSMT4" ShapeID="_x0000_i1613" DrawAspect="Content" ObjectID="_1754919164" r:id="rId1204"/>
              </w:objec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36622F3C" w14:textId="77777777" w:rsidR="006C3DEB" w:rsidRPr="0088277E" w:rsidRDefault="006C3DEB" w:rsidP="005A7549">
            <w:pPr>
              <w:pStyle w:val="TableTextLeft"/>
            </w:pPr>
            <w:r>
              <w:rPr>
                <w:szCs w:val="22"/>
              </w:rPr>
              <w:t>3.00</w:t>
            </w:r>
          </w:p>
        </w:tc>
      </w:tr>
      <w:tr w:rsidR="006C3DEB" w14:paraId="200ACC0D" w14:textId="77777777" w:rsidTr="005A7549">
        <w:trPr>
          <w:trHeight w:val="454"/>
          <w:jc w:val="center"/>
        </w:trPr>
        <w:tc>
          <w:tcPr>
            <w:tcW w:w="858"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6F77F004" w14:textId="77777777" w:rsidR="006C3DEB" w:rsidRPr="0088277E" w:rsidRDefault="006C3DEB" w:rsidP="005A7549">
            <w:pPr>
              <w:pStyle w:val="TableColumnHeadingLeft"/>
            </w:pPr>
          </w:p>
        </w:tc>
        <w:tc>
          <w:tcPr>
            <w:tcW w:w="876"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673FB8B8" w14:textId="77777777" w:rsidR="006C3DEB" w:rsidRPr="0088277E" w:rsidRDefault="006C3DEB" w:rsidP="005A7549">
            <w:pPr>
              <w:pStyle w:val="TableColumnHeadingLeft"/>
            </w:pPr>
            <w:r w:rsidRPr="0088277E">
              <w:t>Portfolio</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29E6102" w14:textId="77777777" w:rsidR="006C3DEB" w:rsidRPr="002716F3" w:rsidRDefault="006C3DEB" w:rsidP="005A7549">
            <w:pPr>
              <w:pStyle w:val="TableTextLeft"/>
            </w:pPr>
            <w:r w:rsidRPr="00E670A7">
              <w:rPr>
                <w:rFonts w:eastAsiaTheme="minorHAnsi" w:cstheme="minorBidi"/>
                <w:position w:val="-12"/>
                <w:szCs w:val="22"/>
                <w:lang w:eastAsia="en-US"/>
              </w:rPr>
              <w:object w:dxaOrig="400" w:dyaOrig="380" w14:anchorId="262A2299">
                <v:shape id="_x0000_i1614" type="#_x0000_t75" style="width:20.4pt;height:18pt" o:ole="">
                  <v:imagedata r:id="rId1205" o:title=""/>
                </v:shape>
                <o:OLEObject Type="Embed" ProgID="Equation.DSMT4" ShapeID="_x0000_i1614" DrawAspect="Content" ObjectID="_1754919165" r:id="rId1206"/>
              </w:objec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0FC4E5C" w14:textId="77777777" w:rsidR="006C3DEB" w:rsidRPr="0088277E" w:rsidRDefault="006C3DEB" w:rsidP="005A7549">
            <w:pPr>
              <w:pStyle w:val="TableTextLeft"/>
            </w:pPr>
            <w:r>
              <w:rPr>
                <w:szCs w:val="22"/>
              </w:rPr>
              <w:t>1</w:t>
            </w:r>
            <w:r w:rsidRPr="0088277E">
              <w:rPr>
                <w:szCs w:val="22"/>
              </w:rPr>
              <w:t>.</w:t>
            </w:r>
            <w:r>
              <w:rPr>
                <w:szCs w:val="22"/>
              </w:rPr>
              <w:t>5</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A5707F2" w14:textId="77777777" w:rsidR="006C3DEB" w:rsidRPr="002716F3" w:rsidRDefault="006C3DEB" w:rsidP="005A7549">
            <w:pPr>
              <w:pStyle w:val="TableTextLeft"/>
            </w:pPr>
            <w:r w:rsidRPr="00E670A7">
              <w:rPr>
                <w:rFonts w:eastAsiaTheme="minorHAnsi" w:cstheme="minorBidi"/>
                <w:position w:val="-12"/>
                <w:szCs w:val="22"/>
                <w:lang w:eastAsia="en-US"/>
              </w:rPr>
              <w:object w:dxaOrig="360" w:dyaOrig="380" w14:anchorId="397E0E3D">
                <v:shape id="_x0000_i1615" type="#_x0000_t75" style="width:18pt;height:18pt" o:ole="">
                  <v:imagedata r:id="rId1207" o:title=""/>
                </v:shape>
                <o:OLEObject Type="Embed" ProgID="Equation.DSMT4" ShapeID="_x0000_i1615" DrawAspect="Content" ObjectID="_1754919166" r:id="rId1208"/>
              </w:objec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07D8B7AB" w14:textId="77777777" w:rsidR="006C3DEB" w:rsidRPr="0088277E" w:rsidRDefault="006C3DEB" w:rsidP="005A7549">
            <w:pPr>
              <w:pStyle w:val="TableTextLeft"/>
            </w:pPr>
            <w:r>
              <w:rPr>
                <w:szCs w:val="22"/>
              </w:rPr>
              <w:t>4.50</w:t>
            </w:r>
          </w:p>
        </w:tc>
      </w:tr>
      <w:tr w:rsidR="006C3DEB" w14:paraId="1ADE69DF" w14:textId="77777777" w:rsidTr="005A7549">
        <w:trPr>
          <w:trHeight w:val="454"/>
          <w:jc w:val="center"/>
        </w:trPr>
        <w:tc>
          <w:tcPr>
            <w:tcW w:w="858" w:type="pct"/>
            <w:tcBorders>
              <w:top w:val="single" w:sz="4" w:space="0" w:color="auto"/>
              <w:left w:val="single" w:sz="4" w:space="0" w:color="auto"/>
              <w:bottom w:val="single" w:sz="4" w:space="0" w:color="auto"/>
              <w:right w:val="single" w:sz="4" w:space="0" w:color="auto"/>
            </w:tcBorders>
            <w:shd w:val="clear" w:color="auto" w:fill="EEEEEE" w:themeFill="background2"/>
            <w:vAlign w:val="center"/>
            <w:hideMark/>
          </w:tcPr>
          <w:p w14:paraId="5942D9A6" w14:textId="77777777" w:rsidR="006C3DEB" w:rsidRPr="0088277E" w:rsidRDefault="006C3DEB" w:rsidP="005A7549">
            <w:pPr>
              <w:pStyle w:val="TableColumnHeadingLeft"/>
            </w:pPr>
            <w:r w:rsidRPr="0088277E">
              <w:t>Government</w:t>
            </w:r>
          </w:p>
        </w:tc>
        <w:tc>
          <w:tcPr>
            <w:tcW w:w="876"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74A4A7B8" w14:textId="77777777" w:rsidR="006C3DEB" w:rsidRPr="0088277E" w:rsidRDefault="006C3DEB" w:rsidP="005A7549">
            <w:pPr>
              <w:pStyle w:val="TableColumnHeadingLeft"/>
            </w:pPr>
            <w:r w:rsidRPr="0088277E">
              <w:t>Bonds</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BC325B1" w14:textId="77777777" w:rsidR="006C3DEB" w:rsidRPr="00FC714F" w:rsidRDefault="006C3DEB" w:rsidP="005A7549">
            <w:pPr>
              <w:pStyle w:val="TableTextLeft"/>
            </w:pPr>
            <w:r w:rsidRPr="00E670A7">
              <w:rPr>
                <w:rFonts w:eastAsiaTheme="minorHAnsi" w:cstheme="minorBidi"/>
                <w:position w:val="-12"/>
                <w:szCs w:val="22"/>
                <w:lang w:eastAsia="en-US"/>
              </w:rPr>
              <w:object w:dxaOrig="340" w:dyaOrig="380" w14:anchorId="33F51F04">
                <v:shape id="_x0000_i1616" type="#_x0000_t75" style="width:18pt;height:18pt" o:ole="">
                  <v:imagedata r:id="rId1209" o:title=""/>
                </v:shape>
                <o:OLEObject Type="Embed" ProgID="Equation.DSMT4" ShapeID="_x0000_i1616" DrawAspect="Content" ObjectID="_1754919167" r:id="rId1210"/>
              </w:objec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3889EE36" w14:textId="77777777" w:rsidR="006C3DEB" w:rsidRPr="00FC714F" w:rsidRDefault="006C3DEB" w:rsidP="005A7549">
            <w:pPr>
              <w:pStyle w:val="TableTextLeft"/>
            </w:pPr>
            <w:r>
              <w:t>1.00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E8471A6" w14:textId="77777777" w:rsidR="006C3DEB" w:rsidRPr="00FC714F" w:rsidRDefault="006C3DEB" w:rsidP="005A7549">
            <w:pPr>
              <w:pStyle w:val="TableTextLeft"/>
            </w:pPr>
            <w:r w:rsidRPr="00E670A7">
              <w:rPr>
                <w:rFonts w:eastAsiaTheme="minorHAnsi" w:cstheme="minorBidi"/>
                <w:position w:val="-12"/>
                <w:szCs w:val="22"/>
                <w:lang w:eastAsia="en-US"/>
              </w:rPr>
              <w:object w:dxaOrig="279" w:dyaOrig="380" w14:anchorId="5DB3A2A9">
                <v:shape id="_x0000_i1617" type="#_x0000_t75" style="width:15pt;height:18pt" o:ole="">
                  <v:imagedata r:id="rId1211" o:title=""/>
                </v:shape>
                <o:OLEObject Type="Embed" ProgID="Equation.DSMT4" ShapeID="_x0000_i1617" DrawAspect="Content" ObjectID="_1754919168" r:id="rId1212"/>
              </w:objec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5A08B396" w14:textId="77777777" w:rsidR="006C3DEB" w:rsidRPr="00FC714F" w:rsidRDefault="006C3DEB" w:rsidP="005A7549">
            <w:pPr>
              <w:pStyle w:val="TableTextLeft"/>
            </w:pPr>
            <w:r>
              <w:t>4.12</w:t>
            </w:r>
            <w:r w:rsidRPr="0088277E">
              <w:rPr>
                <w:szCs w:val="22"/>
              </w:rPr>
              <w:t>*</w:t>
            </w:r>
          </w:p>
        </w:tc>
      </w:tr>
      <w:tr w:rsidR="006C3DEB" w:rsidRPr="003A32B6" w14:paraId="5C5691DD" w14:textId="77777777" w:rsidTr="005A7549">
        <w:trPr>
          <w:trHeight w:val="454"/>
          <w:jc w:val="center"/>
        </w:trPr>
        <w:tc>
          <w:tcPr>
            <w:tcW w:w="858"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61904476" w14:textId="77777777" w:rsidR="006C3DEB" w:rsidRPr="0088277E" w:rsidRDefault="006C3DEB" w:rsidP="005A7549">
            <w:pPr>
              <w:pStyle w:val="TableColumnHeadingLeft"/>
            </w:pPr>
            <w:r w:rsidRPr="0088277E">
              <w:t>Firms</w:t>
            </w:r>
          </w:p>
        </w:tc>
        <w:tc>
          <w:tcPr>
            <w:tcW w:w="876"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769F4266" w14:textId="77777777" w:rsidR="006C3DEB" w:rsidRPr="0088277E" w:rsidRDefault="006C3DEB" w:rsidP="005A7549">
            <w:pPr>
              <w:pStyle w:val="TableColumnHeadingLeft"/>
            </w:pPr>
            <w:r w:rsidRPr="0088277E">
              <w:t>Bonds</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6C33399" w14:textId="77777777" w:rsidR="006C3DEB" w:rsidRPr="00FC714F" w:rsidRDefault="006C3DEB" w:rsidP="005A7549">
            <w:pPr>
              <w:pStyle w:val="TableTextLeft"/>
            </w:pPr>
            <w:r w:rsidRPr="00E670A7">
              <w:rPr>
                <w:rFonts w:eastAsiaTheme="minorHAnsi" w:cstheme="minorBidi"/>
                <w:position w:val="-12"/>
                <w:szCs w:val="22"/>
                <w:lang w:eastAsia="en-US"/>
              </w:rPr>
              <w:object w:dxaOrig="820" w:dyaOrig="380" w14:anchorId="4F740ECD">
                <v:shape id="_x0000_i1618" type="#_x0000_t75" style="width:40.8pt;height:18pt" o:ole="">
                  <v:imagedata r:id="rId1213" o:title=""/>
                </v:shape>
                <o:OLEObject Type="Embed" ProgID="Equation.DSMT4" ShapeID="_x0000_i1618" DrawAspect="Content" ObjectID="_1754919169" r:id="rId1214"/>
              </w:objec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199F47D4" w14:textId="77777777" w:rsidR="006C3DEB" w:rsidRPr="00FC714F" w:rsidRDefault="006C3DEB" w:rsidP="005A7549">
            <w:pPr>
              <w:pStyle w:val="TableTextLeft"/>
            </w:pPr>
            <w:r>
              <w:t>1.50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E93624A" w14:textId="77777777" w:rsidR="006C3DEB" w:rsidRPr="00FC714F" w:rsidRDefault="006C3DEB" w:rsidP="005A7549">
            <w:pPr>
              <w:pStyle w:val="TableTextLeft"/>
            </w:pPr>
            <w:r w:rsidRPr="00E670A7">
              <w:rPr>
                <w:rFonts w:eastAsiaTheme="minorHAnsi" w:cstheme="minorBidi"/>
                <w:position w:val="-12"/>
                <w:szCs w:val="22"/>
                <w:lang w:eastAsia="en-US"/>
              </w:rPr>
              <w:object w:dxaOrig="260" w:dyaOrig="380" w14:anchorId="3268AD68">
                <v:shape id="_x0000_i1619" type="#_x0000_t75" style="width:14.4pt;height:18pt" o:ole="">
                  <v:imagedata r:id="rId1215" o:title=""/>
                </v:shape>
                <o:OLEObject Type="Embed" ProgID="Equation.DSMT4" ShapeID="_x0000_i1619" DrawAspect="Content" ObjectID="_1754919170" r:id="rId1216"/>
              </w:objec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472E754B" w14:textId="77777777" w:rsidR="006C3DEB" w:rsidRPr="00FC714F" w:rsidRDefault="006C3DEB" w:rsidP="005A7549">
            <w:pPr>
              <w:pStyle w:val="TableTextLeft"/>
            </w:pPr>
            <w:r>
              <w:t>4.64</w:t>
            </w:r>
            <w:r w:rsidRPr="00FC714F">
              <w:t>*</w:t>
            </w:r>
          </w:p>
        </w:tc>
      </w:tr>
      <w:tr w:rsidR="006C3DEB" w:rsidRPr="003A32B6" w14:paraId="5A2087AC" w14:textId="77777777" w:rsidTr="005A7549">
        <w:trPr>
          <w:trHeight w:val="454"/>
          <w:jc w:val="center"/>
        </w:trPr>
        <w:tc>
          <w:tcPr>
            <w:tcW w:w="858"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0026C067" w14:textId="77777777" w:rsidR="006C3DEB" w:rsidRPr="0088277E" w:rsidRDefault="006C3DEB" w:rsidP="005A7549">
            <w:pPr>
              <w:pStyle w:val="TableColumnHeadingLeft"/>
            </w:pPr>
          </w:p>
        </w:tc>
        <w:tc>
          <w:tcPr>
            <w:tcW w:w="876" w:type="pct"/>
            <w:tcBorders>
              <w:top w:val="single" w:sz="4" w:space="0" w:color="auto"/>
              <w:left w:val="single" w:sz="4" w:space="0" w:color="auto"/>
              <w:bottom w:val="single" w:sz="4" w:space="0" w:color="auto"/>
              <w:right w:val="single" w:sz="4" w:space="0" w:color="auto"/>
            </w:tcBorders>
            <w:shd w:val="clear" w:color="auto" w:fill="EEEEEE" w:themeFill="background2"/>
            <w:vAlign w:val="center"/>
          </w:tcPr>
          <w:p w14:paraId="69AFDF38" w14:textId="77777777" w:rsidR="006C3DEB" w:rsidRPr="0088277E" w:rsidRDefault="006C3DEB" w:rsidP="005A7549">
            <w:pPr>
              <w:pStyle w:val="TableColumnHeadingLeft"/>
            </w:pPr>
            <w:r w:rsidRPr="0088277E">
              <w:t xml:space="preserve">Equity </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B136334" w14:textId="77777777" w:rsidR="006C3DEB" w:rsidRPr="00FC714F" w:rsidRDefault="006C3DEB" w:rsidP="005A7549">
            <w:pPr>
              <w:pStyle w:val="TableTextLeft"/>
            </w:pPr>
            <w:r w:rsidRPr="00E670A7">
              <w:rPr>
                <w:rFonts w:eastAsiaTheme="minorHAnsi" w:cstheme="minorBidi"/>
                <w:position w:val="-12"/>
                <w:szCs w:val="22"/>
                <w:lang w:eastAsia="en-US"/>
              </w:rPr>
              <w:object w:dxaOrig="1300" w:dyaOrig="380" w14:anchorId="74D14DF0">
                <v:shape id="_x0000_i1620" type="#_x0000_t75" style="width:65.4pt;height:22.2pt" o:ole="">
                  <v:imagedata r:id="rId1217" o:title=""/>
                </v:shape>
                <o:OLEObject Type="Embed" ProgID="Equation.DSMT4" ShapeID="_x0000_i1620" DrawAspect="Content" ObjectID="_1754919171" r:id="rId1218"/>
              </w:objec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51D18D6B" w14:textId="77777777" w:rsidR="006C3DEB" w:rsidRPr="00FC714F" w:rsidRDefault="006C3DEB" w:rsidP="005A7549">
            <w:pPr>
              <w:pStyle w:val="TableTextLeft"/>
            </w:pPr>
            <w:r>
              <w:t>2.40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F2B1F4E" w14:textId="77777777" w:rsidR="006C3DEB" w:rsidRPr="00FC714F" w:rsidRDefault="006C3DEB" w:rsidP="005A7549">
            <w:pPr>
              <w:pStyle w:val="TableTextLeft"/>
            </w:pPr>
            <w:r w:rsidRPr="00E670A7">
              <w:rPr>
                <w:rFonts w:eastAsiaTheme="minorHAnsi" w:cstheme="minorBidi"/>
                <w:position w:val="-12"/>
                <w:szCs w:val="22"/>
                <w:lang w:eastAsia="en-US"/>
              </w:rPr>
              <w:object w:dxaOrig="260" w:dyaOrig="380" w14:anchorId="1CA7E441">
                <v:shape id="_x0000_i1621" type="#_x0000_t75" style="width:15pt;height:22.2pt" o:ole="">
                  <v:imagedata r:id="rId1219" o:title=""/>
                </v:shape>
                <o:OLEObject Type="Embed" ProgID="Equation.DSMT4" ShapeID="_x0000_i1621" DrawAspect="Content" ObjectID="_1754919172" r:id="rId1220"/>
              </w:objec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645CE094" w14:textId="77777777" w:rsidR="006C3DEB" w:rsidRPr="00A55302" w:rsidRDefault="006C3DEB" w:rsidP="005A7549">
            <w:pPr>
              <w:pStyle w:val="TableTextLeft"/>
              <w:rPr>
                <w:szCs w:val="22"/>
              </w:rPr>
            </w:pPr>
            <w:r w:rsidRPr="00A55302">
              <w:rPr>
                <w:szCs w:val="22"/>
              </w:rPr>
              <w:t>5.4</w:t>
            </w:r>
          </w:p>
        </w:tc>
      </w:tr>
    </w:tbl>
    <w:p w14:paraId="2D01BFA1" w14:textId="77777777" w:rsidR="006C3DEB" w:rsidRPr="0032767F" w:rsidRDefault="006C3DEB" w:rsidP="006C3DEB">
      <w:pPr>
        <w:pStyle w:val="Note"/>
      </w:pPr>
      <w:r w:rsidRPr="0032767F">
        <w:t xml:space="preserve">Note:*include adjustment for withholding tax. </w:t>
      </w:r>
      <w:r w:rsidRPr="00F27C5A">
        <w:t xml:space="preserve">Source: Authors’ calculation based on </w:t>
      </w:r>
      <w:r w:rsidRPr="0088702C">
        <w:t>AMP Capital (2017) d</w:t>
      </w:r>
      <w:r>
        <w:t>ata.</w:t>
      </w:r>
    </w:p>
    <w:p w14:paraId="37215DC7" w14:textId="77777777" w:rsidR="006C3DEB" w:rsidRDefault="006C3DEB" w:rsidP="006C3DEB">
      <w:pPr>
        <w:pStyle w:val="Heading3"/>
      </w:pPr>
      <w:r>
        <w:t>Model benchmark and performance</w:t>
      </w:r>
    </w:p>
    <w:p w14:paraId="1617706A" w14:textId="77777777" w:rsidR="006C3DEB" w:rsidRDefault="006C3DEB" w:rsidP="006C3DEB">
      <w:r>
        <w:t>A summary of the initial steady state macroeconomic variables from the model is reported in Table 22. Overall, these numbers are well in line with the key</w:t>
      </w:r>
      <w:r w:rsidRPr="006F4CD1">
        <w:t xml:space="preserve"> Australian macroeconomic </w:t>
      </w:r>
      <w:r>
        <w:t>variables</w:t>
      </w:r>
      <w:r w:rsidRPr="006F4CD1">
        <w:t xml:space="preserve"> averaged ove</w:t>
      </w:r>
      <w:r>
        <w:t xml:space="preserve">r the 5-year period to 2015-16. </w:t>
      </w:r>
    </w:p>
    <w:p w14:paraId="1C40532C" w14:textId="77777777" w:rsidR="006C3DEB" w:rsidRDefault="006C3DEB" w:rsidP="006C3DEB">
      <w:r>
        <w:t xml:space="preserve">On the income side, the shares of labour and capital income are very close to their actual values. Total capital stock and hours worked line up well with the observed data, suggesting that returns on capital and wages are finely calibrated. The revenue to GDP ratios for major taxes (such as personal income tax, company income tax, and goods and services tax) also generally match the reported data. </w:t>
      </w:r>
    </w:p>
    <w:p w14:paraId="6AC38F74" w14:textId="77777777" w:rsidR="006C3DEB" w:rsidRDefault="006C3DEB" w:rsidP="006C3DEB">
      <w:r>
        <w:t xml:space="preserve">On the expenditure side, because the model requires a positive trade balance to stabilise its net foreign liabilities position, we cannot match the negative trade balance in actual data. As such, the model-generated private consumption share of GDP is slightly lower than that observed in Australia. The model also generates a slightly higher investment to GDP ratio. This is a by-product of ignoring fixed factors that do not depreciate and overstating the required investment to cover depreciation. </w:t>
      </w:r>
    </w:p>
    <w:p w14:paraId="6B63587D" w14:textId="77777777" w:rsidR="006C3DEB" w:rsidRDefault="006C3DEB" w:rsidP="006C3DEB">
      <w:r>
        <w:t>In terms of government taxation and spending statistics, the model generally matches data well with a few exceptions. First, the model generates higher a</w:t>
      </w:r>
      <w:r w:rsidRPr="007614CC">
        <w:t>ge pension expenditure</w:t>
      </w:r>
      <w:r>
        <w:t xml:space="preserve"> to GDP ratio. This is partly because the model has a larger share of the population over 60 than observed in the data. Second, the model misses a fraction of indirect taxes (such as state and local government stamp duty and land tax), and this leads to lower government tax revenue than the actual data. This is partly offset by personal income tax revenue being higher than in the data. As discussed above, the model generates lower government spending to satisfy the government’s budget constraint. </w:t>
      </w:r>
    </w:p>
    <w:p w14:paraId="5D469D35" w14:textId="77777777" w:rsidR="006C3DEB" w:rsidRDefault="006C3DEB" w:rsidP="006C3DEB">
      <w:r>
        <w:t>Under these macroeconomic settings, the model does a good job in matching the distribution of Australian household income and wealth measured by Gini coefficients.</w:t>
      </w:r>
    </w:p>
    <w:p w14:paraId="7909E65F" w14:textId="77777777" w:rsidR="006C3DEB" w:rsidRDefault="006C3DEB" w:rsidP="006C3DEB">
      <w:pPr>
        <w:spacing w:before="0" w:after="200" w:line="276" w:lineRule="auto"/>
        <w:rPr>
          <w:rFonts w:ascii="Calibri" w:hAnsi="Calibri" w:cs="Arial"/>
          <w:color w:val="4D7861" w:themeColor="accent2"/>
          <w:kern w:val="32"/>
          <w:sz w:val="26"/>
          <w:szCs w:val="26"/>
        </w:rPr>
      </w:pPr>
      <w:bookmarkStart w:id="45" w:name="_Ref101947558"/>
      <w:r>
        <w:br w:type="page"/>
      </w:r>
    </w:p>
    <w:p w14:paraId="0BD7CED7" w14:textId="6A054E0E" w:rsidR="006C3DEB" w:rsidRDefault="006C3DEB" w:rsidP="006C3DEB">
      <w:pPr>
        <w:pStyle w:val="TableMainHeading"/>
      </w:pPr>
      <w:r>
        <w:lastRenderedPageBreak/>
        <w:t xml:space="preserve">Table </w:t>
      </w:r>
      <w:r>
        <w:rPr>
          <w:noProof/>
        </w:rPr>
        <w:fldChar w:fldCharType="begin"/>
      </w:r>
      <w:r>
        <w:rPr>
          <w:noProof/>
        </w:rPr>
        <w:instrText xml:space="preserve"> SEQ Table \* ARABIC </w:instrText>
      </w:r>
      <w:r>
        <w:rPr>
          <w:noProof/>
        </w:rPr>
        <w:fldChar w:fldCharType="separate"/>
      </w:r>
      <w:r w:rsidR="00E00A52">
        <w:rPr>
          <w:noProof/>
        </w:rPr>
        <w:t>22</w:t>
      </w:r>
      <w:r>
        <w:rPr>
          <w:noProof/>
        </w:rPr>
        <w:fldChar w:fldCharType="end"/>
      </w:r>
      <w:bookmarkEnd w:id="45"/>
      <w:r>
        <w:t xml:space="preserve">: </w:t>
      </w:r>
      <w:r w:rsidRPr="00B46A77">
        <w:t>Initial steady state variables</w:t>
      </w:r>
      <w:r>
        <w:t xml:space="preserve"> </w:t>
      </w:r>
    </w:p>
    <w:tbl>
      <w:tblPr>
        <w:tblStyle w:val="TableGrid"/>
        <w:tblW w:w="5000" w:type="pct"/>
        <w:jc w:val="center"/>
        <w:shd w:val="clear" w:color="auto" w:fill="EEEEEE" w:themeFill="background2"/>
        <w:tblCellMar>
          <w:left w:w="102" w:type="dxa"/>
          <w:right w:w="102" w:type="dxa"/>
        </w:tblCellMar>
        <w:tblLook w:val="04A0" w:firstRow="1" w:lastRow="0" w:firstColumn="1" w:lastColumn="0" w:noHBand="0" w:noVBand="1"/>
      </w:tblPr>
      <w:tblGrid>
        <w:gridCol w:w="5140"/>
        <w:gridCol w:w="1972"/>
        <w:gridCol w:w="1958"/>
      </w:tblGrid>
      <w:tr w:rsidR="006C3DEB" w14:paraId="3BCDAD2E" w14:textId="77777777" w:rsidTr="00F071E2">
        <w:trPr>
          <w:trHeight w:val="282"/>
          <w:jc w:val="center"/>
        </w:trPr>
        <w:tc>
          <w:tcPr>
            <w:tcW w:w="5140" w:type="dxa"/>
            <w:tcBorders>
              <w:top w:val="single" w:sz="4" w:space="0" w:color="auto"/>
              <w:bottom w:val="single" w:sz="4" w:space="0" w:color="auto"/>
            </w:tcBorders>
            <w:shd w:val="clear" w:color="auto" w:fill="EEEEEE" w:themeFill="background2"/>
            <w:vAlign w:val="center"/>
          </w:tcPr>
          <w:p w14:paraId="6B9D149D" w14:textId="69E11F94" w:rsidR="006C3DEB" w:rsidRPr="006F4CD1" w:rsidRDefault="00592DD6" w:rsidP="005A7549">
            <w:pPr>
              <w:pStyle w:val="TableColumnHeadingLeft"/>
              <w:rPr>
                <w:rFonts w:eastAsia="Calibri"/>
              </w:rPr>
            </w:pPr>
            <w:r>
              <w:rPr>
                <w:rFonts w:eastAsia="Calibri"/>
              </w:rPr>
              <w:t>Variable</w:t>
            </w:r>
          </w:p>
        </w:tc>
        <w:tc>
          <w:tcPr>
            <w:tcW w:w="1972" w:type="dxa"/>
            <w:tcBorders>
              <w:top w:val="single" w:sz="4" w:space="0" w:color="auto"/>
              <w:bottom w:val="single" w:sz="4" w:space="0" w:color="auto"/>
            </w:tcBorders>
            <w:shd w:val="clear" w:color="auto" w:fill="EEEEEE" w:themeFill="background2"/>
            <w:vAlign w:val="center"/>
          </w:tcPr>
          <w:p w14:paraId="042CC6AC" w14:textId="57059CA3" w:rsidR="006C3DEB" w:rsidRPr="006F4CD1" w:rsidRDefault="006C3DEB" w:rsidP="005A7549">
            <w:pPr>
              <w:pStyle w:val="TableColumnHeadingLeft"/>
              <w:rPr>
                <w:rFonts w:eastAsia="Calibri"/>
              </w:rPr>
            </w:pPr>
            <w:r>
              <w:rPr>
                <w:rFonts w:eastAsia="Calibri"/>
              </w:rPr>
              <w:t>Data</w:t>
            </w:r>
            <w:r w:rsidR="00592DD6">
              <w:rPr>
                <w:rFonts w:eastAsia="Calibri"/>
              </w:rPr>
              <w:t xml:space="preserve"> value</w:t>
            </w:r>
          </w:p>
        </w:tc>
        <w:tc>
          <w:tcPr>
            <w:tcW w:w="1958" w:type="dxa"/>
            <w:tcBorders>
              <w:top w:val="single" w:sz="4" w:space="0" w:color="auto"/>
              <w:bottom w:val="single" w:sz="4" w:space="0" w:color="auto"/>
            </w:tcBorders>
            <w:shd w:val="clear" w:color="auto" w:fill="EEEEEE" w:themeFill="background2"/>
            <w:vAlign w:val="center"/>
          </w:tcPr>
          <w:p w14:paraId="44CE5CDF" w14:textId="0FBA0FF3" w:rsidR="006C3DEB" w:rsidRPr="006F4CD1" w:rsidRDefault="006C3DEB" w:rsidP="005A7549">
            <w:pPr>
              <w:pStyle w:val="TableColumnHeadingLeft"/>
              <w:rPr>
                <w:rFonts w:eastAsia="Calibri"/>
              </w:rPr>
            </w:pPr>
            <w:r w:rsidRPr="006F4CD1">
              <w:rPr>
                <w:rFonts w:eastAsia="Calibri"/>
              </w:rPr>
              <w:t xml:space="preserve">Model </w:t>
            </w:r>
            <w:r w:rsidR="00592DD6">
              <w:rPr>
                <w:rFonts w:eastAsia="Calibri"/>
              </w:rPr>
              <w:t>value</w:t>
            </w:r>
          </w:p>
        </w:tc>
      </w:tr>
      <w:tr w:rsidR="006C3DEB" w14:paraId="68E02D97" w14:textId="77777777" w:rsidTr="00F071E2">
        <w:trPr>
          <w:trHeight w:val="283"/>
          <w:jc w:val="center"/>
        </w:trPr>
        <w:tc>
          <w:tcPr>
            <w:tcW w:w="5140" w:type="dxa"/>
            <w:tcBorders>
              <w:top w:val="single" w:sz="4" w:space="0" w:color="auto"/>
            </w:tcBorders>
            <w:shd w:val="clear" w:color="auto" w:fill="auto"/>
          </w:tcPr>
          <w:p w14:paraId="5C799334" w14:textId="77777777" w:rsidR="006C3DEB" w:rsidRPr="00B06F70" w:rsidRDefault="006C3DEB" w:rsidP="005A7549">
            <w:pPr>
              <w:pStyle w:val="TableColumnHeadingLeft"/>
            </w:pPr>
            <w:r w:rsidRPr="00B06F70">
              <w:t>Factor income</w:t>
            </w:r>
            <w:r>
              <w:t xml:space="preserve"> (% of GDP)</w:t>
            </w:r>
          </w:p>
        </w:tc>
        <w:tc>
          <w:tcPr>
            <w:tcW w:w="1972" w:type="dxa"/>
            <w:tcBorders>
              <w:top w:val="single" w:sz="4" w:space="0" w:color="auto"/>
            </w:tcBorders>
            <w:shd w:val="clear" w:color="auto" w:fill="auto"/>
          </w:tcPr>
          <w:p w14:paraId="3F111565" w14:textId="77777777" w:rsidR="006C3DEB" w:rsidRPr="00F87423" w:rsidRDefault="006C3DEB" w:rsidP="005A7549">
            <w:pPr>
              <w:pStyle w:val="TableColumnHeadingLeft"/>
            </w:pPr>
          </w:p>
        </w:tc>
        <w:tc>
          <w:tcPr>
            <w:tcW w:w="1958" w:type="dxa"/>
            <w:tcBorders>
              <w:top w:val="single" w:sz="4" w:space="0" w:color="auto"/>
            </w:tcBorders>
            <w:shd w:val="clear" w:color="auto" w:fill="auto"/>
          </w:tcPr>
          <w:p w14:paraId="0D6EA5ED" w14:textId="77777777" w:rsidR="006C3DEB" w:rsidRPr="00F87423" w:rsidRDefault="006C3DEB" w:rsidP="005A7549">
            <w:pPr>
              <w:pStyle w:val="TableColumnHeadingLeft"/>
            </w:pPr>
          </w:p>
        </w:tc>
      </w:tr>
      <w:tr w:rsidR="006C3DEB" w14:paraId="4FA0F16E" w14:textId="77777777" w:rsidTr="00592DD6">
        <w:trPr>
          <w:trHeight w:val="283"/>
          <w:jc w:val="center"/>
        </w:trPr>
        <w:tc>
          <w:tcPr>
            <w:tcW w:w="5140" w:type="dxa"/>
            <w:shd w:val="clear" w:color="auto" w:fill="auto"/>
          </w:tcPr>
          <w:p w14:paraId="7B41F868" w14:textId="77777777" w:rsidR="006C3DEB" w:rsidRPr="00B06F70" w:rsidRDefault="006C3DEB" w:rsidP="005A7549">
            <w:pPr>
              <w:pStyle w:val="tabletextminimalspace"/>
            </w:pPr>
            <w:r>
              <w:t xml:space="preserve">  Labour income </w:t>
            </w:r>
          </w:p>
        </w:tc>
        <w:tc>
          <w:tcPr>
            <w:tcW w:w="1972" w:type="dxa"/>
            <w:shd w:val="clear" w:color="auto" w:fill="auto"/>
          </w:tcPr>
          <w:p w14:paraId="2CE3A5F8" w14:textId="77777777" w:rsidR="006C3DEB" w:rsidRPr="00F87423" w:rsidRDefault="006C3DEB" w:rsidP="005A7549">
            <w:pPr>
              <w:pStyle w:val="tabletextminimalspace"/>
            </w:pPr>
            <w:r>
              <w:t>53.5</w:t>
            </w:r>
          </w:p>
        </w:tc>
        <w:tc>
          <w:tcPr>
            <w:tcW w:w="1958" w:type="dxa"/>
            <w:shd w:val="clear" w:color="auto" w:fill="auto"/>
          </w:tcPr>
          <w:p w14:paraId="3462DC0F" w14:textId="77777777" w:rsidR="006C3DEB" w:rsidRPr="00F87423" w:rsidRDefault="006C3DEB" w:rsidP="005A7549">
            <w:pPr>
              <w:pStyle w:val="tabletextminimalspace"/>
            </w:pPr>
            <w:r>
              <w:t>54.5</w:t>
            </w:r>
          </w:p>
        </w:tc>
      </w:tr>
      <w:tr w:rsidR="006C3DEB" w14:paraId="4DAB7567" w14:textId="77777777" w:rsidTr="00592DD6">
        <w:trPr>
          <w:trHeight w:val="283"/>
          <w:jc w:val="center"/>
        </w:trPr>
        <w:tc>
          <w:tcPr>
            <w:tcW w:w="5140" w:type="dxa"/>
            <w:shd w:val="clear" w:color="auto" w:fill="auto"/>
          </w:tcPr>
          <w:p w14:paraId="6C5AFBD3" w14:textId="77777777" w:rsidR="006C3DEB" w:rsidRPr="00B06F70" w:rsidRDefault="006C3DEB" w:rsidP="005A7549">
            <w:pPr>
              <w:pStyle w:val="tabletextminimalspace"/>
            </w:pPr>
            <w:r>
              <w:t xml:space="preserve">  Capital income </w:t>
            </w:r>
          </w:p>
        </w:tc>
        <w:tc>
          <w:tcPr>
            <w:tcW w:w="1972" w:type="dxa"/>
            <w:shd w:val="clear" w:color="auto" w:fill="auto"/>
          </w:tcPr>
          <w:p w14:paraId="797BB8F2" w14:textId="77777777" w:rsidR="006C3DEB" w:rsidRPr="00F87423" w:rsidRDefault="006C3DEB" w:rsidP="005A7549">
            <w:pPr>
              <w:pStyle w:val="tabletextminimalspace"/>
            </w:pPr>
            <w:r>
              <w:t>46.5</w:t>
            </w:r>
          </w:p>
        </w:tc>
        <w:tc>
          <w:tcPr>
            <w:tcW w:w="1958" w:type="dxa"/>
            <w:shd w:val="clear" w:color="auto" w:fill="auto"/>
          </w:tcPr>
          <w:p w14:paraId="1A732051" w14:textId="77777777" w:rsidR="006C3DEB" w:rsidRPr="00F87423" w:rsidRDefault="006C3DEB" w:rsidP="005A7549">
            <w:pPr>
              <w:pStyle w:val="tabletextminimalspace"/>
            </w:pPr>
            <w:r>
              <w:t>45.5</w:t>
            </w:r>
          </w:p>
        </w:tc>
      </w:tr>
      <w:tr w:rsidR="006C3DEB" w14:paraId="79F67EE8" w14:textId="77777777" w:rsidTr="00592DD6">
        <w:trPr>
          <w:trHeight w:val="283"/>
          <w:jc w:val="center"/>
        </w:trPr>
        <w:tc>
          <w:tcPr>
            <w:tcW w:w="5140" w:type="dxa"/>
            <w:shd w:val="clear" w:color="auto" w:fill="auto"/>
          </w:tcPr>
          <w:p w14:paraId="45C3D02D" w14:textId="77777777" w:rsidR="006C3DEB" w:rsidRPr="00B06F70" w:rsidRDefault="006C3DEB" w:rsidP="005A7549">
            <w:pPr>
              <w:pStyle w:val="TableColumnHeadingLeft"/>
            </w:pPr>
            <w:r w:rsidRPr="00B06F70">
              <w:t xml:space="preserve">Factor </w:t>
            </w:r>
            <w:r>
              <w:t>inputs</w:t>
            </w:r>
          </w:p>
        </w:tc>
        <w:tc>
          <w:tcPr>
            <w:tcW w:w="1972" w:type="dxa"/>
            <w:shd w:val="clear" w:color="auto" w:fill="auto"/>
          </w:tcPr>
          <w:p w14:paraId="04162D70" w14:textId="77777777" w:rsidR="006C3DEB" w:rsidRPr="00F87423" w:rsidRDefault="006C3DEB" w:rsidP="005A7549">
            <w:pPr>
              <w:pStyle w:val="TableColumnHeadingLeft"/>
            </w:pPr>
          </w:p>
        </w:tc>
        <w:tc>
          <w:tcPr>
            <w:tcW w:w="1958" w:type="dxa"/>
            <w:shd w:val="clear" w:color="auto" w:fill="auto"/>
          </w:tcPr>
          <w:p w14:paraId="61D9C20E" w14:textId="77777777" w:rsidR="006C3DEB" w:rsidRPr="00F87423" w:rsidRDefault="006C3DEB" w:rsidP="005A7549">
            <w:pPr>
              <w:pStyle w:val="TableColumnHeadingLeft"/>
            </w:pPr>
          </w:p>
        </w:tc>
      </w:tr>
      <w:tr w:rsidR="006C3DEB" w14:paraId="37CD5EFE" w14:textId="77777777" w:rsidTr="00592DD6">
        <w:trPr>
          <w:trHeight w:val="283"/>
          <w:jc w:val="center"/>
        </w:trPr>
        <w:tc>
          <w:tcPr>
            <w:tcW w:w="5140" w:type="dxa"/>
            <w:shd w:val="clear" w:color="auto" w:fill="auto"/>
          </w:tcPr>
          <w:p w14:paraId="006F72BC" w14:textId="77777777" w:rsidR="006C3DEB" w:rsidRPr="00B06F70" w:rsidRDefault="006C3DEB" w:rsidP="005A7549">
            <w:pPr>
              <w:pStyle w:val="tabletextminimalspace"/>
            </w:pPr>
            <w:r>
              <w:t xml:space="preserve">  Capital stock (% of GDP)</w:t>
            </w:r>
          </w:p>
        </w:tc>
        <w:tc>
          <w:tcPr>
            <w:tcW w:w="1972" w:type="dxa"/>
            <w:shd w:val="clear" w:color="auto" w:fill="auto"/>
          </w:tcPr>
          <w:p w14:paraId="4E9151DD" w14:textId="77777777" w:rsidR="006C3DEB" w:rsidRPr="00F87423" w:rsidRDefault="006C3DEB" w:rsidP="005A7549">
            <w:pPr>
              <w:pStyle w:val="tabletextminimalspace"/>
            </w:pPr>
            <w:r>
              <w:t>321</w:t>
            </w:r>
          </w:p>
        </w:tc>
        <w:tc>
          <w:tcPr>
            <w:tcW w:w="1958" w:type="dxa"/>
            <w:shd w:val="clear" w:color="auto" w:fill="auto"/>
          </w:tcPr>
          <w:p w14:paraId="37FE74A3" w14:textId="77777777" w:rsidR="006C3DEB" w:rsidRPr="00F87423" w:rsidRDefault="006C3DEB" w:rsidP="005A7549">
            <w:pPr>
              <w:pStyle w:val="tabletextminimalspace"/>
            </w:pPr>
            <w:r>
              <w:t>328</w:t>
            </w:r>
          </w:p>
        </w:tc>
      </w:tr>
      <w:tr w:rsidR="006C3DEB" w14:paraId="62B3E4B8" w14:textId="77777777" w:rsidTr="00592DD6">
        <w:trPr>
          <w:trHeight w:val="283"/>
          <w:jc w:val="center"/>
        </w:trPr>
        <w:tc>
          <w:tcPr>
            <w:tcW w:w="5140" w:type="dxa"/>
            <w:shd w:val="clear" w:color="auto" w:fill="auto"/>
          </w:tcPr>
          <w:p w14:paraId="5CC1FE94" w14:textId="77777777" w:rsidR="006C3DEB" w:rsidRPr="00B06F70" w:rsidRDefault="006C3DEB" w:rsidP="005A7549">
            <w:pPr>
              <w:pStyle w:val="tabletextminimalspace"/>
            </w:pPr>
            <w:r>
              <w:t xml:space="preserve">  </w:t>
            </w:r>
            <w:r w:rsidRPr="001B0346">
              <w:t>Hours worked</w:t>
            </w:r>
            <w:r>
              <w:t xml:space="preserve"> (billion hours)</w:t>
            </w:r>
          </w:p>
        </w:tc>
        <w:tc>
          <w:tcPr>
            <w:tcW w:w="1972" w:type="dxa"/>
            <w:shd w:val="clear" w:color="auto" w:fill="auto"/>
          </w:tcPr>
          <w:p w14:paraId="19505879" w14:textId="77777777" w:rsidR="006C3DEB" w:rsidRPr="00F87423" w:rsidRDefault="006C3DEB" w:rsidP="005A7549">
            <w:pPr>
              <w:pStyle w:val="tabletextminimalspace"/>
            </w:pPr>
            <w:r w:rsidRPr="00B40EF6">
              <w:t>20.</w:t>
            </w:r>
            <w:r>
              <w:t>5</w:t>
            </w:r>
          </w:p>
        </w:tc>
        <w:tc>
          <w:tcPr>
            <w:tcW w:w="1958" w:type="dxa"/>
            <w:shd w:val="clear" w:color="auto" w:fill="auto"/>
          </w:tcPr>
          <w:p w14:paraId="3A5ED23B" w14:textId="77777777" w:rsidR="006C3DEB" w:rsidRPr="00F87423" w:rsidRDefault="006C3DEB" w:rsidP="005A7549">
            <w:pPr>
              <w:pStyle w:val="tabletextminimalspace"/>
            </w:pPr>
            <w:r>
              <w:t>20.3</w:t>
            </w:r>
          </w:p>
        </w:tc>
      </w:tr>
      <w:tr w:rsidR="006C3DEB" w14:paraId="700062C7" w14:textId="77777777" w:rsidTr="00592DD6">
        <w:trPr>
          <w:trHeight w:val="283"/>
          <w:jc w:val="center"/>
        </w:trPr>
        <w:tc>
          <w:tcPr>
            <w:tcW w:w="5140" w:type="dxa"/>
            <w:shd w:val="clear" w:color="auto" w:fill="auto"/>
            <w:vAlign w:val="center"/>
          </w:tcPr>
          <w:p w14:paraId="2A5A4508" w14:textId="77777777" w:rsidR="006C3DEB" w:rsidRPr="00B06F70" w:rsidRDefault="006C3DEB" w:rsidP="005A7549">
            <w:pPr>
              <w:pStyle w:val="TableColumnHeadingLeft"/>
              <w:rPr>
                <w:color w:val="000000"/>
              </w:rPr>
            </w:pPr>
            <w:r w:rsidRPr="00B06F70">
              <w:t>National accounts</w:t>
            </w:r>
            <w:r>
              <w:t xml:space="preserve"> (% of GDP)</w:t>
            </w:r>
          </w:p>
        </w:tc>
        <w:tc>
          <w:tcPr>
            <w:tcW w:w="1972" w:type="dxa"/>
            <w:shd w:val="clear" w:color="auto" w:fill="auto"/>
          </w:tcPr>
          <w:p w14:paraId="641703BE" w14:textId="77777777" w:rsidR="006C3DEB" w:rsidRPr="00F87423" w:rsidRDefault="006C3DEB" w:rsidP="005A7549">
            <w:pPr>
              <w:pStyle w:val="TableColumnHeadingLeft"/>
            </w:pPr>
          </w:p>
        </w:tc>
        <w:tc>
          <w:tcPr>
            <w:tcW w:w="1958" w:type="dxa"/>
            <w:shd w:val="clear" w:color="auto" w:fill="auto"/>
          </w:tcPr>
          <w:p w14:paraId="61F786EF" w14:textId="77777777" w:rsidR="006C3DEB" w:rsidRPr="00F87423" w:rsidRDefault="006C3DEB" w:rsidP="005A7549">
            <w:pPr>
              <w:pStyle w:val="TableColumnHeadingLeft"/>
            </w:pPr>
          </w:p>
        </w:tc>
      </w:tr>
      <w:tr w:rsidR="006C3DEB" w14:paraId="7BA11430" w14:textId="77777777" w:rsidTr="00592DD6">
        <w:trPr>
          <w:trHeight w:val="283"/>
          <w:jc w:val="center"/>
        </w:trPr>
        <w:tc>
          <w:tcPr>
            <w:tcW w:w="5140" w:type="dxa"/>
            <w:shd w:val="clear" w:color="auto" w:fill="auto"/>
          </w:tcPr>
          <w:p w14:paraId="59DA51F8" w14:textId="77777777" w:rsidR="006C3DEB" w:rsidRPr="00B06F70" w:rsidRDefault="006C3DEB" w:rsidP="005A7549">
            <w:pPr>
              <w:pStyle w:val="tabletextminimalspace"/>
              <w:rPr>
                <w:color w:val="000000"/>
              </w:rPr>
            </w:pPr>
            <w:r>
              <w:t xml:space="preserve">  </w:t>
            </w:r>
            <w:r w:rsidRPr="001B0346">
              <w:t>Consumption</w:t>
            </w:r>
          </w:p>
        </w:tc>
        <w:tc>
          <w:tcPr>
            <w:tcW w:w="1972" w:type="dxa"/>
            <w:shd w:val="clear" w:color="auto" w:fill="auto"/>
          </w:tcPr>
          <w:p w14:paraId="278783AB" w14:textId="77777777" w:rsidR="006C3DEB" w:rsidRPr="00F87423" w:rsidRDefault="006C3DEB" w:rsidP="005A7549">
            <w:pPr>
              <w:pStyle w:val="tabletextminimalspace"/>
            </w:pPr>
            <w:r>
              <w:t>56.3</w:t>
            </w:r>
          </w:p>
        </w:tc>
        <w:tc>
          <w:tcPr>
            <w:tcW w:w="1958" w:type="dxa"/>
            <w:shd w:val="clear" w:color="auto" w:fill="auto"/>
          </w:tcPr>
          <w:p w14:paraId="14D2F22B" w14:textId="77777777" w:rsidR="006C3DEB" w:rsidRPr="00F87423" w:rsidRDefault="006C3DEB" w:rsidP="005A7549">
            <w:pPr>
              <w:pStyle w:val="tabletextminimalspace"/>
            </w:pPr>
            <w:r>
              <w:t>55.3</w:t>
            </w:r>
          </w:p>
        </w:tc>
      </w:tr>
      <w:tr w:rsidR="006C3DEB" w14:paraId="42CD99DA" w14:textId="77777777" w:rsidTr="00592DD6">
        <w:trPr>
          <w:trHeight w:val="283"/>
          <w:jc w:val="center"/>
        </w:trPr>
        <w:tc>
          <w:tcPr>
            <w:tcW w:w="5140" w:type="dxa"/>
            <w:shd w:val="clear" w:color="auto" w:fill="auto"/>
          </w:tcPr>
          <w:p w14:paraId="6D907AF5" w14:textId="77777777" w:rsidR="006C3DEB" w:rsidRPr="00B06F70" w:rsidRDefault="006C3DEB" w:rsidP="005A7549">
            <w:pPr>
              <w:pStyle w:val="tabletextminimalspace"/>
              <w:rPr>
                <w:color w:val="000000"/>
              </w:rPr>
            </w:pPr>
            <w:r>
              <w:t xml:space="preserve">  </w:t>
            </w:r>
            <w:r w:rsidRPr="001B0346">
              <w:t>Investment</w:t>
            </w:r>
          </w:p>
        </w:tc>
        <w:tc>
          <w:tcPr>
            <w:tcW w:w="1972" w:type="dxa"/>
            <w:shd w:val="clear" w:color="auto" w:fill="auto"/>
          </w:tcPr>
          <w:p w14:paraId="5AC9FD37" w14:textId="77777777" w:rsidR="006C3DEB" w:rsidRPr="00F87423" w:rsidRDefault="006C3DEB" w:rsidP="005A7549">
            <w:pPr>
              <w:pStyle w:val="tabletextminimalspace"/>
            </w:pPr>
            <w:r>
              <w:t>26.7</w:t>
            </w:r>
          </w:p>
        </w:tc>
        <w:tc>
          <w:tcPr>
            <w:tcW w:w="1958" w:type="dxa"/>
            <w:shd w:val="clear" w:color="auto" w:fill="auto"/>
          </w:tcPr>
          <w:p w14:paraId="12041CB2" w14:textId="77777777" w:rsidR="006C3DEB" w:rsidRPr="00F87423" w:rsidRDefault="006C3DEB" w:rsidP="005A7549">
            <w:pPr>
              <w:pStyle w:val="tabletextminimalspace"/>
            </w:pPr>
            <w:r>
              <w:t>28.5</w:t>
            </w:r>
          </w:p>
        </w:tc>
      </w:tr>
      <w:tr w:rsidR="006C3DEB" w14:paraId="1100289E" w14:textId="77777777" w:rsidTr="00592DD6">
        <w:trPr>
          <w:trHeight w:val="283"/>
          <w:jc w:val="center"/>
        </w:trPr>
        <w:tc>
          <w:tcPr>
            <w:tcW w:w="5140" w:type="dxa"/>
            <w:shd w:val="clear" w:color="auto" w:fill="auto"/>
            <w:vAlign w:val="center"/>
          </w:tcPr>
          <w:p w14:paraId="64941B15" w14:textId="77777777" w:rsidR="006C3DEB" w:rsidRPr="00B06F70" w:rsidRDefault="006C3DEB" w:rsidP="005A7549">
            <w:pPr>
              <w:pStyle w:val="tabletextminimalspace"/>
              <w:rPr>
                <w:color w:val="000000"/>
              </w:rPr>
            </w:pPr>
            <w:r>
              <w:rPr>
                <w:color w:val="000000"/>
              </w:rPr>
              <w:t xml:space="preserve">  Government spending</w:t>
            </w:r>
          </w:p>
        </w:tc>
        <w:tc>
          <w:tcPr>
            <w:tcW w:w="1972" w:type="dxa"/>
            <w:shd w:val="clear" w:color="auto" w:fill="auto"/>
          </w:tcPr>
          <w:p w14:paraId="20DFDB22" w14:textId="77777777" w:rsidR="006C3DEB" w:rsidRPr="00F87423" w:rsidRDefault="006C3DEB" w:rsidP="005A7549">
            <w:pPr>
              <w:pStyle w:val="tabletextminimalspace"/>
            </w:pPr>
            <w:r>
              <w:t>18</w:t>
            </w:r>
          </w:p>
        </w:tc>
        <w:tc>
          <w:tcPr>
            <w:tcW w:w="1958" w:type="dxa"/>
            <w:shd w:val="clear" w:color="auto" w:fill="auto"/>
          </w:tcPr>
          <w:p w14:paraId="46E66D69" w14:textId="77777777" w:rsidR="006C3DEB" w:rsidRPr="00F87423" w:rsidRDefault="006C3DEB" w:rsidP="005A7549">
            <w:pPr>
              <w:pStyle w:val="tabletextminimalspace"/>
            </w:pPr>
            <w:r>
              <w:t>14.5</w:t>
            </w:r>
          </w:p>
        </w:tc>
      </w:tr>
      <w:tr w:rsidR="006C3DEB" w14:paraId="5E7A8C11" w14:textId="77777777" w:rsidTr="00592DD6">
        <w:trPr>
          <w:trHeight w:val="283"/>
          <w:jc w:val="center"/>
        </w:trPr>
        <w:tc>
          <w:tcPr>
            <w:tcW w:w="5140" w:type="dxa"/>
            <w:shd w:val="clear" w:color="auto" w:fill="auto"/>
          </w:tcPr>
          <w:p w14:paraId="4E22F636" w14:textId="77777777" w:rsidR="006C3DEB" w:rsidRPr="00B06F70" w:rsidRDefault="006C3DEB" w:rsidP="005A7549">
            <w:pPr>
              <w:pStyle w:val="tabletextminimalspace"/>
              <w:rPr>
                <w:color w:val="000000"/>
              </w:rPr>
            </w:pPr>
            <w:r>
              <w:t xml:space="preserve">  </w:t>
            </w:r>
            <w:r w:rsidRPr="001B0346">
              <w:t>Exports</w:t>
            </w:r>
          </w:p>
        </w:tc>
        <w:tc>
          <w:tcPr>
            <w:tcW w:w="1972" w:type="dxa"/>
            <w:shd w:val="clear" w:color="auto" w:fill="auto"/>
          </w:tcPr>
          <w:p w14:paraId="2E4C5407" w14:textId="77777777" w:rsidR="006C3DEB" w:rsidRPr="00F87423" w:rsidRDefault="006C3DEB" w:rsidP="005A7549">
            <w:pPr>
              <w:pStyle w:val="tabletextminimalspace"/>
            </w:pPr>
            <w:r>
              <w:t>20.3</w:t>
            </w:r>
          </w:p>
        </w:tc>
        <w:tc>
          <w:tcPr>
            <w:tcW w:w="1958" w:type="dxa"/>
            <w:shd w:val="clear" w:color="auto" w:fill="auto"/>
          </w:tcPr>
          <w:p w14:paraId="4140654A" w14:textId="77777777" w:rsidR="006C3DEB" w:rsidRPr="00F87423" w:rsidRDefault="006C3DEB" w:rsidP="005A7549">
            <w:pPr>
              <w:pStyle w:val="tabletextminimalspace"/>
            </w:pPr>
            <w:r>
              <w:t>23.4</w:t>
            </w:r>
          </w:p>
        </w:tc>
      </w:tr>
      <w:tr w:rsidR="006C3DEB" w14:paraId="0990A419" w14:textId="77777777" w:rsidTr="00592DD6">
        <w:trPr>
          <w:trHeight w:val="283"/>
          <w:jc w:val="center"/>
        </w:trPr>
        <w:tc>
          <w:tcPr>
            <w:tcW w:w="5140" w:type="dxa"/>
            <w:shd w:val="clear" w:color="auto" w:fill="auto"/>
          </w:tcPr>
          <w:p w14:paraId="1E5C4D42" w14:textId="77777777" w:rsidR="006C3DEB" w:rsidRPr="00B06F70" w:rsidRDefault="006C3DEB" w:rsidP="005A7549">
            <w:pPr>
              <w:pStyle w:val="tabletextminimalspace"/>
              <w:rPr>
                <w:color w:val="000000"/>
              </w:rPr>
            </w:pPr>
            <w:r>
              <w:t xml:space="preserve">  </w:t>
            </w:r>
            <w:r w:rsidRPr="001B0346">
              <w:t>Imports</w:t>
            </w:r>
          </w:p>
        </w:tc>
        <w:tc>
          <w:tcPr>
            <w:tcW w:w="1972" w:type="dxa"/>
            <w:shd w:val="clear" w:color="auto" w:fill="auto"/>
          </w:tcPr>
          <w:p w14:paraId="560C91BA" w14:textId="77777777" w:rsidR="006C3DEB" w:rsidRPr="00F87423" w:rsidRDefault="006C3DEB" w:rsidP="005A7549">
            <w:pPr>
              <w:pStyle w:val="tabletextminimalspace"/>
            </w:pPr>
            <w:r w:rsidRPr="00B40EF6">
              <w:t>21.5</w:t>
            </w:r>
          </w:p>
        </w:tc>
        <w:tc>
          <w:tcPr>
            <w:tcW w:w="1958" w:type="dxa"/>
            <w:shd w:val="clear" w:color="auto" w:fill="auto"/>
          </w:tcPr>
          <w:p w14:paraId="3B3F619D" w14:textId="77777777" w:rsidR="006C3DEB" w:rsidRPr="00F87423" w:rsidRDefault="006C3DEB" w:rsidP="005A7549">
            <w:pPr>
              <w:pStyle w:val="tabletextminimalspace"/>
            </w:pPr>
            <w:r>
              <w:t>21.5</w:t>
            </w:r>
          </w:p>
        </w:tc>
      </w:tr>
      <w:tr w:rsidR="006C3DEB" w14:paraId="71102632" w14:textId="77777777" w:rsidTr="00592DD6">
        <w:trPr>
          <w:trHeight w:val="283"/>
          <w:jc w:val="center"/>
        </w:trPr>
        <w:tc>
          <w:tcPr>
            <w:tcW w:w="5140" w:type="dxa"/>
            <w:shd w:val="clear" w:color="auto" w:fill="auto"/>
          </w:tcPr>
          <w:p w14:paraId="0CF40151" w14:textId="77777777" w:rsidR="006C3DEB" w:rsidRPr="00B06F70" w:rsidRDefault="006C3DEB" w:rsidP="005A7549">
            <w:pPr>
              <w:pStyle w:val="tabletextminimalspace"/>
              <w:rPr>
                <w:color w:val="000000"/>
              </w:rPr>
            </w:pPr>
            <w:r>
              <w:t xml:space="preserve">  </w:t>
            </w:r>
            <w:r w:rsidRPr="001B0346">
              <w:t>Net exports</w:t>
            </w:r>
          </w:p>
        </w:tc>
        <w:tc>
          <w:tcPr>
            <w:tcW w:w="1972" w:type="dxa"/>
            <w:shd w:val="clear" w:color="auto" w:fill="auto"/>
          </w:tcPr>
          <w:p w14:paraId="07E336AD" w14:textId="77777777" w:rsidR="006C3DEB" w:rsidRPr="00F87423" w:rsidRDefault="006C3DEB" w:rsidP="005A7549">
            <w:pPr>
              <w:pStyle w:val="tabletextminimalspace"/>
            </w:pPr>
            <w:r>
              <w:t>-1.2</w:t>
            </w:r>
          </w:p>
        </w:tc>
        <w:tc>
          <w:tcPr>
            <w:tcW w:w="1958" w:type="dxa"/>
            <w:shd w:val="clear" w:color="auto" w:fill="auto"/>
          </w:tcPr>
          <w:p w14:paraId="32B551CE" w14:textId="77777777" w:rsidR="006C3DEB" w:rsidRPr="00F87423" w:rsidRDefault="006C3DEB" w:rsidP="005A7549">
            <w:pPr>
              <w:pStyle w:val="tabletextminimalspace"/>
            </w:pPr>
            <w:r>
              <w:t>1.8</w:t>
            </w:r>
          </w:p>
        </w:tc>
      </w:tr>
      <w:tr w:rsidR="006C3DEB" w14:paraId="4E77F969" w14:textId="77777777" w:rsidTr="00592DD6">
        <w:trPr>
          <w:trHeight w:val="283"/>
          <w:jc w:val="center"/>
        </w:trPr>
        <w:tc>
          <w:tcPr>
            <w:tcW w:w="5140" w:type="dxa"/>
            <w:shd w:val="clear" w:color="auto" w:fill="auto"/>
            <w:vAlign w:val="center"/>
          </w:tcPr>
          <w:p w14:paraId="13964E9E" w14:textId="77777777" w:rsidR="006C3DEB" w:rsidRPr="00B06F70" w:rsidRDefault="006C3DEB" w:rsidP="005A7549">
            <w:pPr>
              <w:pStyle w:val="TableColumnHeadingLeft"/>
            </w:pPr>
            <w:r w:rsidRPr="00B06F70">
              <w:t>Govt</w:t>
            </w:r>
            <w:r>
              <w:t>.</w:t>
            </w:r>
            <w:r w:rsidRPr="00B06F70">
              <w:t xml:space="preserve"> Revenue</w:t>
            </w:r>
            <w:r>
              <w:t xml:space="preserve"> (% of GDP)</w:t>
            </w:r>
          </w:p>
        </w:tc>
        <w:tc>
          <w:tcPr>
            <w:tcW w:w="1972" w:type="dxa"/>
            <w:shd w:val="clear" w:color="auto" w:fill="auto"/>
          </w:tcPr>
          <w:p w14:paraId="0852C005" w14:textId="77777777" w:rsidR="006C3DEB" w:rsidRPr="00F87423" w:rsidRDefault="006C3DEB" w:rsidP="005A7549">
            <w:pPr>
              <w:pStyle w:val="TableColumnHeadingLeft"/>
            </w:pPr>
          </w:p>
        </w:tc>
        <w:tc>
          <w:tcPr>
            <w:tcW w:w="1958" w:type="dxa"/>
            <w:shd w:val="clear" w:color="auto" w:fill="auto"/>
          </w:tcPr>
          <w:p w14:paraId="699D3144" w14:textId="77777777" w:rsidR="006C3DEB" w:rsidRPr="00F87423" w:rsidRDefault="006C3DEB" w:rsidP="005A7549">
            <w:pPr>
              <w:pStyle w:val="TableColumnHeadingLeft"/>
            </w:pPr>
          </w:p>
        </w:tc>
      </w:tr>
      <w:tr w:rsidR="006C3DEB" w14:paraId="5AC356D5" w14:textId="77777777" w:rsidTr="00592DD6">
        <w:trPr>
          <w:trHeight w:val="283"/>
          <w:jc w:val="center"/>
        </w:trPr>
        <w:tc>
          <w:tcPr>
            <w:tcW w:w="5140" w:type="dxa"/>
            <w:shd w:val="clear" w:color="auto" w:fill="auto"/>
            <w:vAlign w:val="center"/>
          </w:tcPr>
          <w:p w14:paraId="6BA806B6" w14:textId="77777777" w:rsidR="006C3DEB" w:rsidRPr="00F367AE" w:rsidRDefault="006C3DEB" w:rsidP="005A7549">
            <w:pPr>
              <w:pStyle w:val="tabletextminimalspace"/>
              <w:rPr>
                <w:rFonts w:eastAsia="Calibri"/>
              </w:rPr>
            </w:pPr>
            <w:r>
              <w:rPr>
                <w:color w:val="000000"/>
                <w:szCs w:val="22"/>
              </w:rPr>
              <w:t xml:space="preserve">  </w:t>
            </w:r>
            <w:r w:rsidRPr="00F367AE">
              <w:rPr>
                <w:color w:val="000000"/>
                <w:szCs w:val="22"/>
              </w:rPr>
              <w:t>Personal income tax</w:t>
            </w:r>
          </w:p>
        </w:tc>
        <w:tc>
          <w:tcPr>
            <w:tcW w:w="1972" w:type="dxa"/>
            <w:shd w:val="clear" w:color="auto" w:fill="auto"/>
          </w:tcPr>
          <w:p w14:paraId="28165E98" w14:textId="77777777" w:rsidR="006C3DEB" w:rsidRPr="00F367AE" w:rsidRDefault="006C3DEB" w:rsidP="005A7549">
            <w:pPr>
              <w:pStyle w:val="tabletextminimalspace"/>
              <w:rPr>
                <w:rFonts w:eastAsia="Calibri"/>
              </w:rPr>
            </w:pPr>
            <w:r>
              <w:t>11.3</w:t>
            </w:r>
          </w:p>
        </w:tc>
        <w:tc>
          <w:tcPr>
            <w:tcW w:w="1958" w:type="dxa"/>
            <w:shd w:val="clear" w:color="auto" w:fill="auto"/>
          </w:tcPr>
          <w:p w14:paraId="7D37A509" w14:textId="77777777" w:rsidR="006C3DEB" w:rsidRPr="00F367AE" w:rsidRDefault="006C3DEB" w:rsidP="005A7549">
            <w:pPr>
              <w:pStyle w:val="tabletextminimalspace"/>
              <w:rPr>
                <w:rFonts w:eastAsia="Calibri"/>
              </w:rPr>
            </w:pPr>
            <w:r>
              <w:t>13.1</w:t>
            </w:r>
          </w:p>
        </w:tc>
      </w:tr>
      <w:tr w:rsidR="006C3DEB" w14:paraId="76059A5D" w14:textId="77777777" w:rsidTr="00592DD6">
        <w:trPr>
          <w:trHeight w:val="283"/>
          <w:jc w:val="center"/>
        </w:trPr>
        <w:tc>
          <w:tcPr>
            <w:tcW w:w="5140" w:type="dxa"/>
            <w:shd w:val="clear" w:color="auto" w:fill="auto"/>
            <w:vAlign w:val="center"/>
          </w:tcPr>
          <w:p w14:paraId="12E7204B" w14:textId="77777777" w:rsidR="006C3DEB" w:rsidRPr="00F367AE" w:rsidRDefault="006C3DEB" w:rsidP="005A7549">
            <w:pPr>
              <w:pStyle w:val="tabletextminimalspace"/>
              <w:rPr>
                <w:color w:val="000000"/>
              </w:rPr>
            </w:pPr>
            <w:r>
              <w:rPr>
                <w:color w:val="000000"/>
                <w:szCs w:val="22"/>
              </w:rPr>
              <w:t xml:space="preserve">  </w:t>
            </w:r>
            <w:r w:rsidRPr="00F367AE">
              <w:rPr>
                <w:color w:val="000000"/>
                <w:szCs w:val="22"/>
              </w:rPr>
              <w:t>Company income tax</w:t>
            </w:r>
          </w:p>
        </w:tc>
        <w:tc>
          <w:tcPr>
            <w:tcW w:w="1972" w:type="dxa"/>
            <w:shd w:val="clear" w:color="auto" w:fill="auto"/>
          </w:tcPr>
          <w:p w14:paraId="47CE9AD6" w14:textId="77777777" w:rsidR="006C3DEB" w:rsidRPr="00F87423" w:rsidRDefault="006C3DEB" w:rsidP="005A7549">
            <w:pPr>
              <w:pStyle w:val="tabletextminimalspace"/>
            </w:pPr>
            <w:r w:rsidRPr="00F87423">
              <w:t>4.</w:t>
            </w:r>
            <w:r>
              <w:t>3</w:t>
            </w:r>
          </w:p>
        </w:tc>
        <w:tc>
          <w:tcPr>
            <w:tcW w:w="1958" w:type="dxa"/>
            <w:shd w:val="clear" w:color="auto" w:fill="auto"/>
          </w:tcPr>
          <w:p w14:paraId="5C16E96B" w14:textId="77777777" w:rsidR="006C3DEB" w:rsidRPr="00F87423" w:rsidRDefault="006C3DEB" w:rsidP="005A7549">
            <w:pPr>
              <w:pStyle w:val="tabletextminimalspace"/>
            </w:pPr>
            <w:r>
              <w:t>4.4</w:t>
            </w:r>
          </w:p>
        </w:tc>
      </w:tr>
      <w:tr w:rsidR="006C3DEB" w14:paraId="76EA390D" w14:textId="77777777" w:rsidTr="00592DD6">
        <w:trPr>
          <w:trHeight w:val="283"/>
          <w:jc w:val="center"/>
        </w:trPr>
        <w:tc>
          <w:tcPr>
            <w:tcW w:w="5140" w:type="dxa"/>
            <w:shd w:val="clear" w:color="auto" w:fill="auto"/>
            <w:vAlign w:val="center"/>
          </w:tcPr>
          <w:p w14:paraId="4FFFE296" w14:textId="77777777" w:rsidR="006C3DEB" w:rsidRDefault="006C3DEB" w:rsidP="005A7549">
            <w:pPr>
              <w:pStyle w:val="tabletextminimalspace"/>
              <w:rPr>
                <w:color w:val="000000"/>
              </w:rPr>
            </w:pPr>
            <w:r>
              <w:rPr>
                <w:color w:val="000000"/>
                <w:szCs w:val="22"/>
              </w:rPr>
              <w:t xml:space="preserve">  </w:t>
            </w:r>
            <w:r w:rsidRPr="00F367AE">
              <w:rPr>
                <w:color w:val="000000"/>
                <w:szCs w:val="22"/>
              </w:rPr>
              <w:t>Goods and services tax</w:t>
            </w:r>
          </w:p>
        </w:tc>
        <w:tc>
          <w:tcPr>
            <w:tcW w:w="1972" w:type="dxa"/>
            <w:shd w:val="clear" w:color="auto" w:fill="auto"/>
          </w:tcPr>
          <w:p w14:paraId="26A477A0" w14:textId="77777777" w:rsidR="006C3DEB" w:rsidRDefault="006C3DEB" w:rsidP="005A7549">
            <w:pPr>
              <w:pStyle w:val="tabletextminimalspace"/>
            </w:pPr>
            <w:r w:rsidRPr="00F87423">
              <w:t>3.</w:t>
            </w:r>
            <w:r>
              <w:t>4</w:t>
            </w:r>
          </w:p>
        </w:tc>
        <w:tc>
          <w:tcPr>
            <w:tcW w:w="1958" w:type="dxa"/>
            <w:shd w:val="clear" w:color="auto" w:fill="auto"/>
          </w:tcPr>
          <w:p w14:paraId="0E8DF485" w14:textId="77777777" w:rsidR="006C3DEB" w:rsidRPr="00F87423" w:rsidRDefault="006C3DEB" w:rsidP="005A7549">
            <w:pPr>
              <w:pStyle w:val="tabletextminimalspace"/>
            </w:pPr>
            <w:r>
              <w:t>3.3</w:t>
            </w:r>
          </w:p>
        </w:tc>
      </w:tr>
      <w:tr w:rsidR="006C3DEB" w14:paraId="37BCF1DA" w14:textId="77777777" w:rsidTr="00592DD6">
        <w:trPr>
          <w:trHeight w:val="283"/>
          <w:jc w:val="center"/>
        </w:trPr>
        <w:tc>
          <w:tcPr>
            <w:tcW w:w="5140" w:type="dxa"/>
            <w:shd w:val="clear" w:color="auto" w:fill="auto"/>
            <w:vAlign w:val="center"/>
          </w:tcPr>
          <w:p w14:paraId="129BA468" w14:textId="77777777" w:rsidR="006C3DEB" w:rsidRDefault="006C3DEB" w:rsidP="005A7549">
            <w:pPr>
              <w:pStyle w:val="tabletextminimalspace"/>
              <w:rPr>
                <w:color w:val="000000"/>
              </w:rPr>
            </w:pPr>
            <w:r>
              <w:rPr>
                <w:color w:val="000000"/>
                <w:szCs w:val="22"/>
              </w:rPr>
              <w:t xml:space="preserve">  </w:t>
            </w:r>
            <w:r w:rsidRPr="00F367AE">
              <w:rPr>
                <w:color w:val="000000"/>
                <w:szCs w:val="22"/>
              </w:rPr>
              <w:t>Interest withholding tax</w:t>
            </w:r>
          </w:p>
        </w:tc>
        <w:tc>
          <w:tcPr>
            <w:tcW w:w="1972" w:type="dxa"/>
            <w:shd w:val="clear" w:color="auto" w:fill="auto"/>
          </w:tcPr>
          <w:p w14:paraId="77FEE6D8" w14:textId="77777777" w:rsidR="006C3DEB" w:rsidRPr="00F87423" w:rsidRDefault="006C3DEB" w:rsidP="005A7549">
            <w:pPr>
              <w:pStyle w:val="tabletextminimalspace"/>
            </w:pPr>
            <w:r w:rsidRPr="00F87423">
              <w:t>0.1</w:t>
            </w:r>
          </w:p>
        </w:tc>
        <w:tc>
          <w:tcPr>
            <w:tcW w:w="1958" w:type="dxa"/>
            <w:shd w:val="clear" w:color="auto" w:fill="auto"/>
          </w:tcPr>
          <w:p w14:paraId="08EAEE19" w14:textId="77777777" w:rsidR="006C3DEB" w:rsidRPr="00F87423" w:rsidRDefault="006C3DEB" w:rsidP="005A7549">
            <w:pPr>
              <w:pStyle w:val="tabletextminimalspace"/>
            </w:pPr>
            <w:r>
              <w:t>0.1</w:t>
            </w:r>
          </w:p>
        </w:tc>
      </w:tr>
      <w:tr w:rsidR="006C3DEB" w14:paraId="1A680634" w14:textId="77777777" w:rsidTr="00592DD6">
        <w:trPr>
          <w:trHeight w:val="283"/>
          <w:jc w:val="center"/>
        </w:trPr>
        <w:tc>
          <w:tcPr>
            <w:tcW w:w="5140" w:type="dxa"/>
            <w:shd w:val="clear" w:color="auto" w:fill="auto"/>
            <w:vAlign w:val="center"/>
          </w:tcPr>
          <w:p w14:paraId="6696F795" w14:textId="77777777" w:rsidR="006C3DEB" w:rsidRDefault="006C3DEB" w:rsidP="005A7549">
            <w:pPr>
              <w:pStyle w:val="tabletextminimalspace"/>
              <w:rPr>
                <w:color w:val="000000"/>
              </w:rPr>
            </w:pPr>
            <w:r>
              <w:rPr>
                <w:color w:val="000000"/>
                <w:szCs w:val="22"/>
              </w:rPr>
              <w:t xml:space="preserve">  </w:t>
            </w:r>
            <w:r w:rsidRPr="00F367AE">
              <w:rPr>
                <w:color w:val="000000"/>
                <w:szCs w:val="22"/>
              </w:rPr>
              <w:t>Payroll tax</w:t>
            </w:r>
          </w:p>
        </w:tc>
        <w:tc>
          <w:tcPr>
            <w:tcW w:w="1972" w:type="dxa"/>
            <w:shd w:val="clear" w:color="auto" w:fill="auto"/>
          </w:tcPr>
          <w:p w14:paraId="48A50298" w14:textId="77777777" w:rsidR="006C3DEB" w:rsidRPr="00F87423" w:rsidRDefault="006C3DEB" w:rsidP="005A7549">
            <w:pPr>
              <w:pStyle w:val="tabletextminimalspace"/>
            </w:pPr>
            <w:r w:rsidRPr="00F87423">
              <w:t>1.</w:t>
            </w:r>
            <w:r>
              <w:t>3</w:t>
            </w:r>
          </w:p>
        </w:tc>
        <w:tc>
          <w:tcPr>
            <w:tcW w:w="1958" w:type="dxa"/>
            <w:shd w:val="clear" w:color="auto" w:fill="auto"/>
          </w:tcPr>
          <w:p w14:paraId="7D615788" w14:textId="77777777" w:rsidR="006C3DEB" w:rsidRPr="00F87423" w:rsidRDefault="006C3DEB" w:rsidP="005A7549">
            <w:pPr>
              <w:pStyle w:val="tabletextminimalspace"/>
            </w:pPr>
            <w:r>
              <w:t>1.4</w:t>
            </w:r>
          </w:p>
        </w:tc>
      </w:tr>
      <w:tr w:rsidR="006C3DEB" w14:paraId="5B144D91" w14:textId="77777777" w:rsidTr="00592DD6">
        <w:trPr>
          <w:trHeight w:val="283"/>
          <w:jc w:val="center"/>
        </w:trPr>
        <w:tc>
          <w:tcPr>
            <w:tcW w:w="5140" w:type="dxa"/>
            <w:shd w:val="clear" w:color="auto" w:fill="auto"/>
            <w:vAlign w:val="center"/>
          </w:tcPr>
          <w:p w14:paraId="23C2ADDE" w14:textId="77777777" w:rsidR="006C3DEB" w:rsidRPr="00F367AE" w:rsidRDefault="006C3DEB" w:rsidP="005A7549">
            <w:pPr>
              <w:pStyle w:val="tabletextminimalspace"/>
              <w:rPr>
                <w:rFonts w:eastAsia="Calibri"/>
              </w:rPr>
            </w:pPr>
            <w:r>
              <w:rPr>
                <w:color w:val="000000"/>
                <w:szCs w:val="22"/>
              </w:rPr>
              <w:t xml:space="preserve">  </w:t>
            </w:r>
            <w:r w:rsidRPr="00F367AE">
              <w:rPr>
                <w:color w:val="000000"/>
                <w:szCs w:val="22"/>
              </w:rPr>
              <w:t>Other indirect taxes</w:t>
            </w:r>
          </w:p>
        </w:tc>
        <w:tc>
          <w:tcPr>
            <w:tcW w:w="1972" w:type="dxa"/>
            <w:shd w:val="clear" w:color="auto" w:fill="auto"/>
          </w:tcPr>
          <w:p w14:paraId="7E94E13B" w14:textId="77777777" w:rsidR="006C3DEB" w:rsidRPr="00F367AE" w:rsidRDefault="006C3DEB" w:rsidP="005A7549">
            <w:pPr>
              <w:pStyle w:val="tabletextminimalspace"/>
              <w:rPr>
                <w:rFonts w:eastAsia="Calibri"/>
              </w:rPr>
            </w:pPr>
            <w:r w:rsidRPr="00F87423">
              <w:t>3.</w:t>
            </w:r>
            <w:r>
              <w:t>3</w:t>
            </w:r>
          </w:p>
        </w:tc>
        <w:tc>
          <w:tcPr>
            <w:tcW w:w="1958" w:type="dxa"/>
            <w:shd w:val="clear" w:color="auto" w:fill="auto"/>
          </w:tcPr>
          <w:p w14:paraId="30918E7E" w14:textId="77777777" w:rsidR="006C3DEB" w:rsidRPr="00F367AE" w:rsidRDefault="006C3DEB" w:rsidP="005A7549">
            <w:pPr>
              <w:pStyle w:val="tabletextminimalspace"/>
              <w:rPr>
                <w:rFonts w:eastAsia="Calibri"/>
              </w:rPr>
            </w:pPr>
            <w:r>
              <w:t>2.5</w:t>
            </w:r>
          </w:p>
        </w:tc>
      </w:tr>
      <w:tr w:rsidR="006C3DEB" w14:paraId="7CF3ACF2" w14:textId="77777777" w:rsidTr="00592DD6">
        <w:trPr>
          <w:trHeight w:val="283"/>
          <w:jc w:val="center"/>
        </w:trPr>
        <w:tc>
          <w:tcPr>
            <w:tcW w:w="5140" w:type="dxa"/>
            <w:shd w:val="clear" w:color="auto" w:fill="auto"/>
            <w:vAlign w:val="center"/>
          </w:tcPr>
          <w:p w14:paraId="34F08CB1" w14:textId="77777777" w:rsidR="006C3DEB" w:rsidRPr="00B06F70" w:rsidRDefault="006C3DEB" w:rsidP="005A7549">
            <w:pPr>
              <w:pStyle w:val="TableColumnHeadingLeft"/>
            </w:pPr>
            <w:r w:rsidRPr="00B06F70">
              <w:t>Govt. Payments</w:t>
            </w:r>
            <w:r>
              <w:t xml:space="preserve"> (% of GDP)</w:t>
            </w:r>
          </w:p>
        </w:tc>
        <w:tc>
          <w:tcPr>
            <w:tcW w:w="1972" w:type="dxa"/>
            <w:shd w:val="clear" w:color="auto" w:fill="auto"/>
          </w:tcPr>
          <w:p w14:paraId="0B52340D" w14:textId="77777777" w:rsidR="006C3DEB" w:rsidRPr="00F87423" w:rsidRDefault="006C3DEB" w:rsidP="005A7549">
            <w:pPr>
              <w:pStyle w:val="TableColumnHeadingLeft"/>
            </w:pPr>
          </w:p>
        </w:tc>
        <w:tc>
          <w:tcPr>
            <w:tcW w:w="1958" w:type="dxa"/>
            <w:shd w:val="clear" w:color="auto" w:fill="auto"/>
          </w:tcPr>
          <w:p w14:paraId="6BA390B7" w14:textId="77777777" w:rsidR="006C3DEB" w:rsidRPr="00F87423" w:rsidRDefault="006C3DEB" w:rsidP="005A7549">
            <w:pPr>
              <w:pStyle w:val="tabletextminimalspace"/>
            </w:pPr>
          </w:p>
        </w:tc>
      </w:tr>
      <w:tr w:rsidR="006C3DEB" w14:paraId="0B3DD12D" w14:textId="77777777" w:rsidTr="00592DD6">
        <w:trPr>
          <w:trHeight w:val="283"/>
          <w:jc w:val="center"/>
        </w:trPr>
        <w:tc>
          <w:tcPr>
            <w:tcW w:w="5140" w:type="dxa"/>
            <w:shd w:val="clear" w:color="auto" w:fill="auto"/>
            <w:vAlign w:val="center"/>
          </w:tcPr>
          <w:p w14:paraId="2B3EB27B" w14:textId="77777777" w:rsidR="006C3DEB" w:rsidRPr="00F367AE" w:rsidRDefault="006C3DEB" w:rsidP="005A7549">
            <w:pPr>
              <w:pStyle w:val="tabletextminimalspace"/>
              <w:rPr>
                <w:color w:val="000000"/>
              </w:rPr>
            </w:pPr>
            <w:r>
              <w:rPr>
                <w:color w:val="000000"/>
                <w:szCs w:val="22"/>
              </w:rPr>
              <w:t xml:space="preserve">  Franking credits</w:t>
            </w:r>
          </w:p>
        </w:tc>
        <w:tc>
          <w:tcPr>
            <w:tcW w:w="1972" w:type="dxa"/>
            <w:shd w:val="clear" w:color="auto" w:fill="auto"/>
          </w:tcPr>
          <w:p w14:paraId="1F51E82F" w14:textId="77777777" w:rsidR="006C3DEB" w:rsidRDefault="006C3DEB" w:rsidP="005A7549">
            <w:pPr>
              <w:pStyle w:val="tabletextminimalspace"/>
            </w:pPr>
            <w:r>
              <w:t>1.0</w:t>
            </w:r>
          </w:p>
        </w:tc>
        <w:tc>
          <w:tcPr>
            <w:tcW w:w="1958" w:type="dxa"/>
            <w:shd w:val="clear" w:color="auto" w:fill="auto"/>
          </w:tcPr>
          <w:p w14:paraId="24452233" w14:textId="77777777" w:rsidR="006C3DEB" w:rsidRPr="00F87423" w:rsidRDefault="006C3DEB" w:rsidP="005A7549">
            <w:pPr>
              <w:pStyle w:val="tabletextminimalspace"/>
            </w:pPr>
            <w:r>
              <w:t>1.1</w:t>
            </w:r>
          </w:p>
        </w:tc>
      </w:tr>
      <w:tr w:rsidR="006C3DEB" w14:paraId="3E4F0204" w14:textId="77777777" w:rsidTr="00592DD6">
        <w:trPr>
          <w:trHeight w:val="283"/>
          <w:jc w:val="center"/>
        </w:trPr>
        <w:tc>
          <w:tcPr>
            <w:tcW w:w="5140" w:type="dxa"/>
            <w:shd w:val="clear" w:color="auto" w:fill="auto"/>
            <w:vAlign w:val="center"/>
          </w:tcPr>
          <w:p w14:paraId="5D8E6C3C" w14:textId="77777777" w:rsidR="006C3DEB" w:rsidRPr="00F367AE" w:rsidRDefault="006C3DEB" w:rsidP="005A7549">
            <w:pPr>
              <w:pStyle w:val="tabletextminimalspace"/>
              <w:rPr>
                <w:rFonts w:eastAsia="Calibri"/>
              </w:rPr>
            </w:pPr>
            <w:r>
              <w:rPr>
                <w:color w:val="000000"/>
                <w:szCs w:val="22"/>
              </w:rPr>
              <w:t xml:space="preserve">  </w:t>
            </w:r>
            <w:r w:rsidRPr="00F367AE">
              <w:rPr>
                <w:color w:val="000000"/>
                <w:szCs w:val="22"/>
              </w:rPr>
              <w:t>Age pension expenditure</w:t>
            </w:r>
          </w:p>
        </w:tc>
        <w:tc>
          <w:tcPr>
            <w:tcW w:w="1972" w:type="dxa"/>
            <w:shd w:val="clear" w:color="auto" w:fill="auto"/>
          </w:tcPr>
          <w:p w14:paraId="3BDB1F2D" w14:textId="77777777" w:rsidR="006C3DEB" w:rsidRPr="00F367AE" w:rsidRDefault="006C3DEB" w:rsidP="005A7549">
            <w:pPr>
              <w:pStyle w:val="tabletextminimalspace"/>
              <w:rPr>
                <w:rFonts w:eastAsia="Calibri"/>
              </w:rPr>
            </w:pPr>
            <w:r w:rsidRPr="00F87423">
              <w:t>2.</w:t>
            </w:r>
            <w:r>
              <w:t>5</w:t>
            </w:r>
          </w:p>
        </w:tc>
        <w:tc>
          <w:tcPr>
            <w:tcW w:w="1958" w:type="dxa"/>
            <w:shd w:val="clear" w:color="auto" w:fill="auto"/>
          </w:tcPr>
          <w:p w14:paraId="6047D1F8" w14:textId="77777777" w:rsidR="006C3DEB" w:rsidRPr="00F367AE" w:rsidRDefault="006C3DEB" w:rsidP="005A7549">
            <w:pPr>
              <w:pStyle w:val="tabletextminimalspace"/>
              <w:rPr>
                <w:rFonts w:eastAsia="Calibri"/>
              </w:rPr>
            </w:pPr>
            <w:r>
              <w:t>4.1</w:t>
            </w:r>
          </w:p>
        </w:tc>
      </w:tr>
      <w:tr w:rsidR="006C3DEB" w14:paraId="2659DAD3" w14:textId="77777777" w:rsidTr="00592DD6">
        <w:trPr>
          <w:trHeight w:val="283"/>
          <w:jc w:val="center"/>
        </w:trPr>
        <w:tc>
          <w:tcPr>
            <w:tcW w:w="5140" w:type="dxa"/>
            <w:shd w:val="clear" w:color="auto" w:fill="auto"/>
            <w:vAlign w:val="center"/>
          </w:tcPr>
          <w:p w14:paraId="780D3502" w14:textId="77777777" w:rsidR="006C3DEB" w:rsidRPr="00F367AE" w:rsidRDefault="006C3DEB" w:rsidP="005A7549">
            <w:pPr>
              <w:pStyle w:val="tabletextminimalspace"/>
              <w:rPr>
                <w:rFonts w:eastAsia="Calibri"/>
              </w:rPr>
            </w:pPr>
            <w:r>
              <w:rPr>
                <w:color w:val="000000"/>
                <w:szCs w:val="22"/>
              </w:rPr>
              <w:t xml:space="preserve">  </w:t>
            </w:r>
            <w:r w:rsidRPr="00F367AE">
              <w:rPr>
                <w:color w:val="000000"/>
                <w:szCs w:val="22"/>
              </w:rPr>
              <w:t>Other government benefits</w:t>
            </w:r>
          </w:p>
        </w:tc>
        <w:tc>
          <w:tcPr>
            <w:tcW w:w="1972" w:type="dxa"/>
            <w:shd w:val="clear" w:color="auto" w:fill="auto"/>
          </w:tcPr>
          <w:p w14:paraId="2DB77A99" w14:textId="77777777" w:rsidR="006C3DEB" w:rsidRPr="00F367AE" w:rsidRDefault="006C3DEB" w:rsidP="005A7549">
            <w:pPr>
              <w:pStyle w:val="tabletextminimalspace"/>
              <w:rPr>
                <w:rFonts w:eastAsia="Calibri"/>
              </w:rPr>
            </w:pPr>
            <w:r>
              <w:t>5.3</w:t>
            </w:r>
          </w:p>
        </w:tc>
        <w:tc>
          <w:tcPr>
            <w:tcW w:w="1958" w:type="dxa"/>
            <w:shd w:val="clear" w:color="auto" w:fill="auto"/>
          </w:tcPr>
          <w:p w14:paraId="72E71692" w14:textId="77777777" w:rsidR="006C3DEB" w:rsidRPr="00F367AE" w:rsidRDefault="006C3DEB" w:rsidP="005A7549">
            <w:pPr>
              <w:pStyle w:val="tabletextminimalspace"/>
              <w:rPr>
                <w:rFonts w:eastAsia="Calibri"/>
              </w:rPr>
            </w:pPr>
            <w:r>
              <w:t>5.0</w:t>
            </w:r>
          </w:p>
        </w:tc>
      </w:tr>
      <w:tr w:rsidR="006C3DEB" w14:paraId="6833DF8B" w14:textId="77777777" w:rsidTr="00592DD6">
        <w:trPr>
          <w:trHeight w:val="283"/>
          <w:jc w:val="center"/>
        </w:trPr>
        <w:tc>
          <w:tcPr>
            <w:tcW w:w="5140" w:type="dxa"/>
            <w:shd w:val="clear" w:color="auto" w:fill="auto"/>
            <w:vAlign w:val="center"/>
          </w:tcPr>
          <w:p w14:paraId="602C86D3" w14:textId="77777777" w:rsidR="006C3DEB" w:rsidRPr="00255E4B" w:rsidRDefault="006C3DEB" w:rsidP="005A7549">
            <w:pPr>
              <w:pStyle w:val="TableColumnHeadingLeft"/>
            </w:pPr>
            <w:r w:rsidRPr="00255E4B">
              <w:t xml:space="preserve">Government </w:t>
            </w:r>
            <w:r>
              <w:t xml:space="preserve">net </w:t>
            </w:r>
            <w:r w:rsidRPr="00255E4B">
              <w:t>debt</w:t>
            </w:r>
            <w:r>
              <w:t xml:space="preserve"> (% of GDP)</w:t>
            </w:r>
          </w:p>
        </w:tc>
        <w:tc>
          <w:tcPr>
            <w:tcW w:w="1972" w:type="dxa"/>
            <w:shd w:val="clear" w:color="auto" w:fill="auto"/>
          </w:tcPr>
          <w:p w14:paraId="273D3302" w14:textId="77777777" w:rsidR="006C3DEB" w:rsidRPr="00F87423" w:rsidRDefault="006C3DEB" w:rsidP="005A7549">
            <w:pPr>
              <w:pStyle w:val="TableColumnHeadingLeft"/>
            </w:pPr>
            <w:r>
              <w:t>20</w:t>
            </w:r>
          </w:p>
        </w:tc>
        <w:tc>
          <w:tcPr>
            <w:tcW w:w="1958" w:type="dxa"/>
            <w:shd w:val="clear" w:color="auto" w:fill="auto"/>
          </w:tcPr>
          <w:p w14:paraId="71DA8BD8" w14:textId="77777777" w:rsidR="006C3DEB" w:rsidRDefault="006C3DEB" w:rsidP="005A7549">
            <w:pPr>
              <w:pStyle w:val="TableColumnHeadingLeft"/>
            </w:pPr>
            <w:r>
              <w:t>20.0</w:t>
            </w:r>
          </w:p>
        </w:tc>
      </w:tr>
      <w:tr w:rsidR="006C3DEB" w14:paraId="6211846B" w14:textId="77777777" w:rsidTr="00592DD6">
        <w:trPr>
          <w:trHeight w:val="283"/>
          <w:jc w:val="center"/>
        </w:trPr>
        <w:tc>
          <w:tcPr>
            <w:tcW w:w="5140" w:type="dxa"/>
            <w:shd w:val="clear" w:color="auto" w:fill="auto"/>
          </w:tcPr>
          <w:p w14:paraId="2913BDED" w14:textId="77777777" w:rsidR="006C3DEB" w:rsidRDefault="006C3DEB" w:rsidP="005A7549">
            <w:pPr>
              <w:pStyle w:val="TableColumnHeadingLeft"/>
            </w:pPr>
            <w:r>
              <w:t>Net foreign liabilities (% of GDP)</w:t>
            </w:r>
          </w:p>
        </w:tc>
        <w:tc>
          <w:tcPr>
            <w:tcW w:w="1972" w:type="dxa"/>
            <w:shd w:val="clear" w:color="auto" w:fill="auto"/>
          </w:tcPr>
          <w:p w14:paraId="7569EC2F" w14:textId="77777777" w:rsidR="006C3DEB" w:rsidRDefault="006C3DEB" w:rsidP="005A7549">
            <w:pPr>
              <w:pStyle w:val="TableColumnHeadingLeft"/>
            </w:pPr>
            <w:r>
              <w:t>54.7</w:t>
            </w:r>
          </w:p>
        </w:tc>
        <w:tc>
          <w:tcPr>
            <w:tcW w:w="1958" w:type="dxa"/>
            <w:shd w:val="clear" w:color="auto" w:fill="auto"/>
          </w:tcPr>
          <w:p w14:paraId="7B96C506" w14:textId="77777777" w:rsidR="006C3DEB" w:rsidRPr="00B40EF6" w:rsidRDefault="006C3DEB" w:rsidP="005A7549">
            <w:pPr>
              <w:pStyle w:val="TableColumnHeadingLeft"/>
            </w:pPr>
            <w:r>
              <w:t>50.3</w:t>
            </w:r>
          </w:p>
        </w:tc>
      </w:tr>
      <w:tr w:rsidR="006C3DEB" w14:paraId="097DE61E" w14:textId="77777777" w:rsidTr="00592DD6">
        <w:trPr>
          <w:trHeight w:val="283"/>
          <w:jc w:val="center"/>
        </w:trPr>
        <w:tc>
          <w:tcPr>
            <w:tcW w:w="5140" w:type="dxa"/>
            <w:shd w:val="clear" w:color="auto" w:fill="auto"/>
          </w:tcPr>
          <w:p w14:paraId="5511E5D8" w14:textId="77777777" w:rsidR="006C3DEB" w:rsidRDefault="006C3DEB" w:rsidP="005A7549">
            <w:pPr>
              <w:pStyle w:val="TableColumnHeadingLeft"/>
            </w:pPr>
            <w:r>
              <w:t>Net i</w:t>
            </w:r>
            <w:r w:rsidRPr="00B06F70">
              <w:t xml:space="preserve">ncome </w:t>
            </w:r>
            <w:r>
              <w:t>shares by income quintile</w:t>
            </w:r>
          </w:p>
        </w:tc>
        <w:tc>
          <w:tcPr>
            <w:tcW w:w="1972" w:type="dxa"/>
            <w:shd w:val="clear" w:color="auto" w:fill="auto"/>
          </w:tcPr>
          <w:p w14:paraId="2AAB7BAB" w14:textId="77777777" w:rsidR="006C3DEB" w:rsidRDefault="006C3DEB" w:rsidP="005A7549">
            <w:pPr>
              <w:pStyle w:val="TableColumnHeadingLeft"/>
            </w:pPr>
          </w:p>
        </w:tc>
        <w:tc>
          <w:tcPr>
            <w:tcW w:w="1958" w:type="dxa"/>
            <w:shd w:val="clear" w:color="auto" w:fill="auto"/>
          </w:tcPr>
          <w:p w14:paraId="0FB40DB1" w14:textId="77777777" w:rsidR="006C3DEB" w:rsidRPr="00B40EF6" w:rsidRDefault="006C3DEB" w:rsidP="005A7549">
            <w:pPr>
              <w:pStyle w:val="TableColumnHeadingLeft"/>
            </w:pPr>
          </w:p>
        </w:tc>
      </w:tr>
      <w:tr w:rsidR="006C3DEB" w14:paraId="110766E1" w14:textId="77777777" w:rsidTr="00592DD6">
        <w:trPr>
          <w:trHeight w:val="283"/>
          <w:jc w:val="center"/>
        </w:trPr>
        <w:tc>
          <w:tcPr>
            <w:tcW w:w="5140" w:type="dxa"/>
            <w:shd w:val="clear" w:color="auto" w:fill="auto"/>
          </w:tcPr>
          <w:p w14:paraId="3DF1C3D2" w14:textId="77777777" w:rsidR="006C3DEB" w:rsidRDefault="006C3DEB" w:rsidP="005A7549">
            <w:pPr>
              <w:pStyle w:val="tabletextminimalspace"/>
            </w:pPr>
            <w:r>
              <w:t xml:space="preserve">  Low</w:t>
            </w:r>
          </w:p>
        </w:tc>
        <w:tc>
          <w:tcPr>
            <w:tcW w:w="1972" w:type="dxa"/>
            <w:shd w:val="clear" w:color="auto" w:fill="auto"/>
          </w:tcPr>
          <w:p w14:paraId="7EF22E98" w14:textId="77777777" w:rsidR="006C3DEB" w:rsidRDefault="006C3DEB" w:rsidP="005A7549">
            <w:pPr>
              <w:pStyle w:val="tabletextminimalspace"/>
            </w:pPr>
            <w:r>
              <w:t>0.08</w:t>
            </w:r>
          </w:p>
        </w:tc>
        <w:tc>
          <w:tcPr>
            <w:tcW w:w="1958" w:type="dxa"/>
            <w:shd w:val="clear" w:color="auto" w:fill="auto"/>
          </w:tcPr>
          <w:p w14:paraId="2BF27F39" w14:textId="77777777" w:rsidR="006C3DEB" w:rsidRDefault="006C3DEB" w:rsidP="005A7549">
            <w:pPr>
              <w:pStyle w:val="tabletextminimalspace"/>
            </w:pPr>
            <w:r>
              <w:t>0.08</w:t>
            </w:r>
          </w:p>
        </w:tc>
      </w:tr>
      <w:tr w:rsidR="006C3DEB" w14:paraId="1C947F1D" w14:textId="77777777" w:rsidTr="00592DD6">
        <w:trPr>
          <w:trHeight w:val="283"/>
          <w:jc w:val="center"/>
        </w:trPr>
        <w:tc>
          <w:tcPr>
            <w:tcW w:w="5140" w:type="dxa"/>
            <w:shd w:val="clear" w:color="auto" w:fill="auto"/>
          </w:tcPr>
          <w:p w14:paraId="64028FEA" w14:textId="77777777" w:rsidR="006C3DEB" w:rsidRDefault="006C3DEB" w:rsidP="005A7549">
            <w:pPr>
              <w:pStyle w:val="tabletextminimalspace"/>
            </w:pPr>
            <w:r>
              <w:t xml:space="preserve">  Lower middle </w:t>
            </w:r>
          </w:p>
        </w:tc>
        <w:tc>
          <w:tcPr>
            <w:tcW w:w="1972" w:type="dxa"/>
            <w:shd w:val="clear" w:color="auto" w:fill="auto"/>
          </w:tcPr>
          <w:p w14:paraId="5157FD77" w14:textId="77777777" w:rsidR="006C3DEB" w:rsidRDefault="006C3DEB" w:rsidP="005A7549">
            <w:pPr>
              <w:pStyle w:val="tabletextminimalspace"/>
            </w:pPr>
            <w:r>
              <w:t>0.13</w:t>
            </w:r>
          </w:p>
        </w:tc>
        <w:tc>
          <w:tcPr>
            <w:tcW w:w="1958" w:type="dxa"/>
            <w:shd w:val="clear" w:color="auto" w:fill="auto"/>
          </w:tcPr>
          <w:p w14:paraId="37A3A8EE" w14:textId="77777777" w:rsidR="006C3DEB" w:rsidRDefault="006C3DEB" w:rsidP="005A7549">
            <w:pPr>
              <w:pStyle w:val="tabletextminimalspace"/>
            </w:pPr>
            <w:r>
              <w:t>0.11</w:t>
            </w:r>
          </w:p>
        </w:tc>
      </w:tr>
      <w:tr w:rsidR="006C3DEB" w14:paraId="1399C39F" w14:textId="77777777" w:rsidTr="00592DD6">
        <w:trPr>
          <w:trHeight w:val="283"/>
          <w:jc w:val="center"/>
        </w:trPr>
        <w:tc>
          <w:tcPr>
            <w:tcW w:w="5140" w:type="dxa"/>
            <w:shd w:val="clear" w:color="auto" w:fill="auto"/>
          </w:tcPr>
          <w:p w14:paraId="07DD4E69" w14:textId="77777777" w:rsidR="006C3DEB" w:rsidRDefault="006C3DEB" w:rsidP="005A7549">
            <w:pPr>
              <w:pStyle w:val="tabletextminimalspace"/>
            </w:pPr>
            <w:r>
              <w:t xml:space="preserve">  Middle</w:t>
            </w:r>
          </w:p>
        </w:tc>
        <w:tc>
          <w:tcPr>
            <w:tcW w:w="1972" w:type="dxa"/>
            <w:shd w:val="clear" w:color="auto" w:fill="auto"/>
          </w:tcPr>
          <w:p w14:paraId="5015C193" w14:textId="77777777" w:rsidR="006C3DEB" w:rsidRDefault="006C3DEB" w:rsidP="005A7549">
            <w:pPr>
              <w:pStyle w:val="tabletextminimalspace"/>
            </w:pPr>
            <w:r>
              <w:t>0.17</w:t>
            </w:r>
          </w:p>
        </w:tc>
        <w:tc>
          <w:tcPr>
            <w:tcW w:w="1958" w:type="dxa"/>
            <w:shd w:val="clear" w:color="auto" w:fill="auto"/>
          </w:tcPr>
          <w:p w14:paraId="6DAFFD6A" w14:textId="77777777" w:rsidR="006C3DEB" w:rsidRDefault="006C3DEB" w:rsidP="005A7549">
            <w:pPr>
              <w:pStyle w:val="tabletextminimalspace"/>
            </w:pPr>
            <w:r>
              <w:t>0.14</w:t>
            </w:r>
          </w:p>
        </w:tc>
      </w:tr>
      <w:tr w:rsidR="006C3DEB" w14:paraId="1B0B4CA3" w14:textId="77777777" w:rsidTr="00592DD6">
        <w:trPr>
          <w:trHeight w:val="283"/>
          <w:jc w:val="center"/>
        </w:trPr>
        <w:tc>
          <w:tcPr>
            <w:tcW w:w="5140" w:type="dxa"/>
            <w:shd w:val="clear" w:color="auto" w:fill="auto"/>
          </w:tcPr>
          <w:p w14:paraId="0CF264D6" w14:textId="77777777" w:rsidR="006C3DEB" w:rsidRDefault="006C3DEB" w:rsidP="005A7549">
            <w:pPr>
              <w:pStyle w:val="tabletextminimalspace"/>
            </w:pPr>
            <w:r>
              <w:t xml:space="preserve">  Upper middle</w:t>
            </w:r>
          </w:p>
        </w:tc>
        <w:tc>
          <w:tcPr>
            <w:tcW w:w="1972" w:type="dxa"/>
            <w:shd w:val="clear" w:color="auto" w:fill="auto"/>
          </w:tcPr>
          <w:p w14:paraId="4A131073" w14:textId="77777777" w:rsidR="006C3DEB" w:rsidRDefault="006C3DEB" w:rsidP="005A7549">
            <w:pPr>
              <w:pStyle w:val="tabletextminimalspace"/>
            </w:pPr>
            <w:r>
              <w:t>0.23</w:t>
            </w:r>
          </w:p>
        </w:tc>
        <w:tc>
          <w:tcPr>
            <w:tcW w:w="1958" w:type="dxa"/>
            <w:shd w:val="clear" w:color="auto" w:fill="auto"/>
          </w:tcPr>
          <w:p w14:paraId="586AFA25" w14:textId="77777777" w:rsidR="006C3DEB" w:rsidRDefault="006C3DEB" w:rsidP="005A7549">
            <w:pPr>
              <w:pStyle w:val="tabletextminimalspace"/>
            </w:pPr>
            <w:r>
              <w:t>0.22</w:t>
            </w:r>
          </w:p>
        </w:tc>
      </w:tr>
      <w:tr w:rsidR="006C3DEB" w14:paraId="65CA2CA4" w14:textId="77777777" w:rsidTr="00592DD6">
        <w:trPr>
          <w:trHeight w:val="283"/>
          <w:jc w:val="center"/>
        </w:trPr>
        <w:tc>
          <w:tcPr>
            <w:tcW w:w="5140" w:type="dxa"/>
            <w:shd w:val="clear" w:color="auto" w:fill="auto"/>
          </w:tcPr>
          <w:p w14:paraId="1B87D1F9" w14:textId="77777777" w:rsidR="006C3DEB" w:rsidRDefault="006C3DEB" w:rsidP="005A7549">
            <w:pPr>
              <w:pStyle w:val="tabletextminimalspace"/>
            </w:pPr>
            <w:r>
              <w:t xml:space="preserve">  High</w:t>
            </w:r>
          </w:p>
        </w:tc>
        <w:tc>
          <w:tcPr>
            <w:tcW w:w="1972" w:type="dxa"/>
            <w:shd w:val="clear" w:color="auto" w:fill="auto"/>
          </w:tcPr>
          <w:p w14:paraId="448EFF3E" w14:textId="77777777" w:rsidR="006C3DEB" w:rsidRDefault="006C3DEB" w:rsidP="005A7549">
            <w:pPr>
              <w:pStyle w:val="tabletextminimalspace"/>
            </w:pPr>
            <w:r>
              <w:t>0.40</w:t>
            </w:r>
          </w:p>
        </w:tc>
        <w:tc>
          <w:tcPr>
            <w:tcW w:w="1958" w:type="dxa"/>
            <w:shd w:val="clear" w:color="auto" w:fill="auto"/>
          </w:tcPr>
          <w:p w14:paraId="3CE2D9CC" w14:textId="77777777" w:rsidR="006C3DEB" w:rsidRDefault="006C3DEB" w:rsidP="005A7549">
            <w:pPr>
              <w:pStyle w:val="tabletextminimalspace"/>
            </w:pPr>
            <w:r>
              <w:t>0.44</w:t>
            </w:r>
          </w:p>
        </w:tc>
      </w:tr>
      <w:tr w:rsidR="006C3DEB" w14:paraId="76311D15" w14:textId="77777777" w:rsidTr="00592DD6">
        <w:trPr>
          <w:trHeight w:val="283"/>
          <w:jc w:val="center"/>
        </w:trPr>
        <w:tc>
          <w:tcPr>
            <w:tcW w:w="5140" w:type="dxa"/>
            <w:shd w:val="clear" w:color="auto" w:fill="auto"/>
          </w:tcPr>
          <w:p w14:paraId="181F7F00" w14:textId="77777777" w:rsidR="006C3DEB" w:rsidRPr="00C13DCB" w:rsidRDefault="006C3DEB" w:rsidP="005A7549">
            <w:pPr>
              <w:pStyle w:val="TableColumnHeadingLeft"/>
            </w:pPr>
            <w:r w:rsidRPr="00C13DCB">
              <w:t>Income Gini Coefficient</w:t>
            </w:r>
          </w:p>
        </w:tc>
        <w:tc>
          <w:tcPr>
            <w:tcW w:w="1972" w:type="dxa"/>
            <w:shd w:val="clear" w:color="auto" w:fill="auto"/>
          </w:tcPr>
          <w:p w14:paraId="0B57DA4D" w14:textId="77777777" w:rsidR="006C3DEB" w:rsidRPr="00057440" w:rsidRDefault="006C3DEB" w:rsidP="005A7549">
            <w:pPr>
              <w:pStyle w:val="TableColumnHeadingLeft"/>
            </w:pPr>
            <w:r>
              <w:t>0.32</w:t>
            </w:r>
          </w:p>
        </w:tc>
        <w:tc>
          <w:tcPr>
            <w:tcW w:w="1958" w:type="dxa"/>
            <w:shd w:val="clear" w:color="auto" w:fill="auto"/>
          </w:tcPr>
          <w:p w14:paraId="445E7166" w14:textId="77777777" w:rsidR="006C3DEB" w:rsidRPr="00057440" w:rsidRDefault="006C3DEB" w:rsidP="005A7549">
            <w:pPr>
              <w:pStyle w:val="TableColumnHeadingLeft"/>
            </w:pPr>
            <w:r w:rsidRPr="00057440">
              <w:t>0.3</w:t>
            </w:r>
            <w:r>
              <w:t>5</w:t>
            </w:r>
          </w:p>
        </w:tc>
      </w:tr>
      <w:tr w:rsidR="006C3DEB" w14:paraId="3E74CBEE" w14:textId="77777777" w:rsidTr="00592DD6">
        <w:trPr>
          <w:trHeight w:val="283"/>
          <w:jc w:val="center"/>
        </w:trPr>
        <w:tc>
          <w:tcPr>
            <w:tcW w:w="5140" w:type="dxa"/>
            <w:shd w:val="clear" w:color="auto" w:fill="auto"/>
          </w:tcPr>
          <w:p w14:paraId="5535B653" w14:textId="77777777" w:rsidR="006C3DEB" w:rsidRPr="00057440" w:rsidRDefault="006C3DEB" w:rsidP="005A7549">
            <w:pPr>
              <w:pStyle w:val="TableColumnHeadingLeft"/>
            </w:pPr>
            <w:r>
              <w:t>Wealth</w:t>
            </w:r>
            <w:r w:rsidRPr="00B06F70">
              <w:t xml:space="preserve"> </w:t>
            </w:r>
            <w:r>
              <w:t>shares by income quintile</w:t>
            </w:r>
          </w:p>
        </w:tc>
        <w:tc>
          <w:tcPr>
            <w:tcW w:w="1972" w:type="dxa"/>
            <w:shd w:val="clear" w:color="auto" w:fill="auto"/>
          </w:tcPr>
          <w:p w14:paraId="08A06632" w14:textId="77777777" w:rsidR="006C3DEB" w:rsidRPr="00057440" w:rsidRDefault="006C3DEB" w:rsidP="005A7549">
            <w:pPr>
              <w:pStyle w:val="TableColumnHeadingLeft"/>
            </w:pPr>
          </w:p>
        </w:tc>
        <w:tc>
          <w:tcPr>
            <w:tcW w:w="1958" w:type="dxa"/>
            <w:shd w:val="clear" w:color="auto" w:fill="auto"/>
          </w:tcPr>
          <w:p w14:paraId="0C7D500D" w14:textId="77777777" w:rsidR="006C3DEB" w:rsidRPr="00057440" w:rsidRDefault="006C3DEB" w:rsidP="005A7549">
            <w:pPr>
              <w:pStyle w:val="TableColumnHeadingLeft"/>
            </w:pPr>
          </w:p>
        </w:tc>
      </w:tr>
      <w:tr w:rsidR="006C3DEB" w14:paraId="3CFF8C58" w14:textId="77777777" w:rsidTr="00592DD6">
        <w:trPr>
          <w:trHeight w:val="283"/>
          <w:jc w:val="center"/>
        </w:trPr>
        <w:tc>
          <w:tcPr>
            <w:tcW w:w="5140" w:type="dxa"/>
            <w:shd w:val="clear" w:color="auto" w:fill="auto"/>
          </w:tcPr>
          <w:p w14:paraId="21C02EB2" w14:textId="77777777" w:rsidR="006C3DEB" w:rsidRPr="00057440" w:rsidRDefault="006C3DEB" w:rsidP="005A7549">
            <w:pPr>
              <w:pStyle w:val="tabletextminimalspace"/>
            </w:pPr>
            <w:r>
              <w:t xml:space="preserve">  Low</w:t>
            </w:r>
          </w:p>
        </w:tc>
        <w:tc>
          <w:tcPr>
            <w:tcW w:w="1972" w:type="dxa"/>
            <w:shd w:val="clear" w:color="auto" w:fill="auto"/>
          </w:tcPr>
          <w:p w14:paraId="64CC3635" w14:textId="77777777" w:rsidR="006C3DEB" w:rsidRPr="00057440" w:rsidRDefault="006C3DEB" w:rsidP="005A7549">
            <w:pPr>
              <w:pStyle w:val="tabletextminimalspace"/>
            </w:pPr>
            <w:r>
              <w:t>0.01</w:t>
            </w:r>
          </w:p>
        </w:tc>
        <w:tc>
          <w:tcPr>
            <w:tcW w:w="1958" w:type="dxa"/>
            <w:shd w:val="clear" w:color="auto" w:fill="auto"/>
          </w:tcPr>
          <w:p w14:paraId="09487D67" w14:textId="77777777" w:rsidR="006C3DEB" w:rsidRPr="00057440" w:rsidRDefault="006C3DEB" w:rsidP="005A7549">
            <w:pPr>
              <w:pStyle w:val="tabletextminimalspace"/>
            </w:pPr>
            <w:r>
              <w:t>0.05</w:t>
            </w:r>
          </w:p>
        </w:tc>
      </w:tr>
      <w:tr w:rsidR="006C3DEB" w14:paraId="4D23B3DE" w14:textId="77777777" w:rsidTr="00592DD6">
        <w:trPr>
          <w:trHeight w:val="283"/>
          <w:jc w:val="center"/>
        </w:trPr>
        <w:tc>
          <w:tcPr>
            <w:tcW w:w="5140" w:type="dxa"/>
            <w:shd w:val="clear" w:color="auto" w:fill="auto"/>
          </w:tcPr>
          <w:p w14:paraId="32B7E117" w14:textId="77777777" w:rsidR="006C3DEB" w:rsidRPr="00057440" w:rsidRDefault="006C3DEB" w:rsidP="005A7549">
            <w:pPr>
              <w:pStyle w:val="tabletextminimalspace"/>
            </w:pPr>
            <w:r>
              <w:t xml:space="preserve">  Lower middle </w:t>
            </w:r>
          </w:p>
        </w:tc>
        <w:tc>
          <w:tcPr>
            <w:tcW w:w="1972" w:type="dxa"/>
            <w:shd w:val="clear" w:color="auto" w:fill="auto"/>
          </w:tcPr>
          <w:p w14:paraId="5342F005" w14:textId="77777777" w:rsidR="006C3DEB" w:rsidRPr="00057440" w:rsidRDefault="006C3DEB" w:rsidP="005A7549">
            <w:pPr>
              <w:pStyle w:val="tabletextminimalspace"/>
            </w:pPr>
            <w:r>
              <w:t>0.05</w:t>
            </w:r>
          </w:p>
        </w:tc>
        <w:tc>
          <w:tcPr>
            <w:tcW w:w="1958" w:type="dxa"/>
            <w:shd w:val="clear" w:color="auto" w:fill="auto"/>
          </w:tcPr>
          <w:p w14:paraId="49FEC04A" w14:textId="77777777" w:rsidR="006C3DEB" w:rsidRPr="00057440" w:rsidRDefault="006C3DEB" w:rsidP="005A7549">
            <w:pPr>
              <w:pStyle w:val="tabletextminimalspace"/>
            </w:pPr>
            <w:r>
              <w:t>0.11</w:t>
            </w:r>
          </w:p>
        </w:tc>
      </w:tr>
      <w:tr w:rsidR="006C3DEB" w14:paraId="58983A1A" w14:textId="77777777" w:rsidTr="00592DD6">
        <w:trPr>
          <w:trHeight w:val="283"/>
          <w:jc w:val="center"/>
        </w:trPr>
        <w:tc>
          <w:tcPr>
            <w:tcW w:w="5140" w:type="dxa"/>
            <w:shd w:val="clear" w:color="auto" w:fill="auto"/>
          </w:tcPr>
          <w:p w14:paraId="6DB83572" w14:textId="77777777" w:rsidR="006C3DEB" w:rsidRPr="00057440" w:rsidRDefault="006C3DEB" w:rsidP="005A7549">
            <w:pPr>
              <w:pStyle w:val="tabletextminimalspace"/>
            </w:pPr>
            <w:r>
              <w:t xml:space="preserve">  Middle</w:t>
            </w:r>
          </w:p>
        </w:tc>
        <w:tc>
          <w:tcPr>
            <w:tcW w:w="1972" w:type="dxa"/>
            <w:shd w:val="clear" w:color="auto" w:fill="auto"/>
          </w:tcPr>
          <w:p w14:paraId="4EE74289" w14:textId="77777777" w:rsidR="006C3DEB" w:rsidRPr="00057440" w:rsidRDefault="006C3DEB" w:rsidP="005A7549">
            <w:pPr>
              <w:pStyle w:val="tabletextminimalspace"/>
            </w:pPr>
            <w:r>
              <w:t>0.11</w:t>
            </w:r>
          </w:p>
        </w:tc>
        <w:tc>
          <w:tcPr>
            <w:tcW w:w="1958" w:type="dxa"/>
            <w:shd w:val="clear" w:color="auto" w:fill="auto"/>
          </w:tcPr>
          <w:p w14:paraId="18F05FCF" w14:textId="77777777" w:rsidR="006C3DEB" w:rsidRPr="00057440" w:rsidRDefault="006C3DEB" w:rsidP="005A7549">
            <w:pPr>
              <w:pStyle w:val="tabletextminimalspace"/>
            </w:pPr>
            <w:r>
              <w:t>0.15</w:t>
            </w:r>
          </w:p>
        </w:tc>
      </w:tr>
      <w:tr w:rsidR="006C3DEB" w14:paraId="2D8DF730" w14:textId="77777777" w:rsidTr="00592DD6">
        <w:trPr>
          <w:trHeight w:val="283"/>
          <w:jc w:val="center"/>
        </w:trPr>
        <w:tc>
          <w:tcPr>
            <w:tcW w:w="5140" w:type="dxa"/>
            <w:shd w:val="clear" w:color="auto" w:fill="auto"/>
          </w:tcPr>
          <w:p w14:paraId="62F9D03C" w14:textId="77777777" w:rsidR="006C3DEB" w:rsidRPr="00057440" w:rsidRDefault="006C3DEB" w:rsidP="005A7549">
            <w:pPr>
              <w:pStyle w:val="tabletextminimalspace"/>
            </w:pPr>
            <w:r>
              <w:t xml:space="preserve">  Upper middle</w:t>
            </w:r>
          </w:p>
        </w:tc>
        <w:tc>
          <w:tcPr>
            <w:tcW w:w="1972" w:type="dxa"/>
            <w:shd w:val="clear" w:color="auto" w:fill="auto"/>
          </w:tcPr>
          <w:p w14:paraId="24B67101" w14:textId="77777777" w:rsidR="006C3DEB" w:rsidRPr="00057440" w:rsidRDefault="006C3DEB" w:rsidP="005A7549">
            <w:pPr>
              <w:pStyle w:val="tabletextminimalspace"/>
            </w:pPr>
            <w:r>
              <w:t>0.21</w:t>
            </w:r>
          </w:p>
        </w:tc>
        <w:tc>
          <w:tcPr>
            <w:tcW w:w="1958" w:type="dxa"/>
            <w:shd w:val="clear" w:color="auto" w:fill="auto"/>
          </w:tcPr>
          <w:p w14:paraId="0619F9BA" w14:textId="77777777" w:rsidR="006C3DEB" w:rsidRPr="00057440" w:rsidRDefault="006C3DEB" w:rsidP="005A7549">
            <w:pPr>
              <w:pStyle w:val="tabletextminimalspace"/>
            </w:pPr>
            <w:r>
              <w:t>0.21</w:t>
            </w:r>
          </w:p>
        </w:tc>
      </w:tr>
      <w:tr w:rsidR="006C3DEB" w14:paraId="4AA86A78" w14:textId="77777777" w:rsidTr="00F071E2">
        <w:trPr>
          <w:trHeight w:val="283"/>
          <w:jc w:val="center"/>
        </w:trPr>
        <w:tc>
          <w:tcPr>
            <w:tcW w:w="5140" w:type="dxa"/>
            <w:shd w:val="clear" w:color="auto" w:fill="auto"/>
          </w:tcPr>
          <w:p w14:paraId="3A50C321" w14:textId="77777777" w:rsidR="006C3DEB" w:rsidRDefault="006C3DEB" w:rsidP="005A7549">
            <w:pPr>
              <w:pStyle w:val="tabletextminimalspace"/>
            </w:pPr>
            <w:r>
              <w:t xml:space="preserve">  High</w:t>
            </w:r>
          </w:p>
        </w:tc>
        <w:tc>
          <w:tcPr>
            <w:tcW w:w="1972" w:type="dxa"/>
            <w:shd w:val="clear" w:color="auto" w:fill="auto"/>
          </w:tcPr>
          <w:p w14:paraId="475AA8E5" w14:textId="77777777" w:rsidR="006C3DEB" w:rsidRDefault="006C3DEB" w:rsidP="005A7549">
            <w:pPr>
              <w:pStyle w:val="tabletextminimalspace"/>
            </w:pPr>
            <w:r>
              <w:t>0.62</w:t>
            </w:r>
          </w:p>
        </w:tc>
        <w:tc>
          <w:tcPr>
            <w:tcW w:w="1958" w:type="dxa"/>
            <w:shd w:val="clear" w:color="auto" w:fill="auto"/>
          </w:tcPr>
          <w:p w14:paraId="7C0E4635" w14:textId="77777777" w:rsidR="006C3DEB" w:rsidRPr="00B40EF6" w:rsidRDefault="006C3DEB" w:rsidP="005A7549">
            <w:pPr>
              <w:pStyle w:val="tabletextminimalspace"/>
            </w:pPr>
            <w:r>
              <w:t>0.49</w:t>
            </w:r>
          </w:p>
        </w:tc>
      </w:tr>
      <w:tr w:rsidR="006C3DEB" w14:paraId="48469BDD" w14:textId="77777777" w:rsidTr="00F071E2">
        <w:trPr>
          <w:trHeight w:val="283"/>
          <w:jc w:val="center"/>
        </w:trPr>
        <w:tc>
          <w:tcPr>
            <w:tcW w:w="5140" w:type="dxa"/>
            <w:tcBorders>
              <w:bottom w:val="single" w:sz="4" w:space="0" w:color="auto"/>
            </w:tcBorders>
            <w:shd w:val="clear" w:color="auto" w:fill="auto"/>
          </w:tcPr>
          <w:p w14:paraId="3A096A51" w14:textId="77777777" w:rsidR="006C3DEB" w:rsidRPr="00C13DCB" w:rsidRDefault="006C3DEB" w:rsidP="005A7549">
            <w:pPr>
              <w:pStyle w:val="TableColumnHeadingLeft"/>
            </w:pPr>
            <w:r w:rsidRPr="00C13DCB">
              <w:t>Wealth Gini Coefficient</w:t>
            </w:r>
          </w:p>
        </w:tc>
        <w:tc>
          <w:tcPr>
            <w:tcW w:w="1972" w:type="dxa"/>
            <w:tcBorders>
              <w:bottom w:val="single" w:sz="4" w:space="0" w:color="auto"/>
            </w:tcBorders>
            <w:shd w:val="clear" w:color="auto" w:fill="auto"/>
          </w:tcPr>
          <w:p w14:paraId="16406E69" w14:textId="77777777" w:rsidR="006C3DEB" w:rsidRPr="00B40EF6" w:rsidRDefault="006C3DEB" w:rsidP="005A7549">
            <w:pPr>
              <w:pStyle w:val="TableColumnHeadingLeft"/>
            </w:pPr>
            <w:r w:rsidRPr="00057440">
              <w:t>0.</w:t>
            </w:r>
            <w:r>
              <w:t>60</w:t>
            </w:r>
          </w:p>
        </w:tc>
        <w:tc>
          <w:tcPr>
            <w:tcW w:w="1958" w:type="dxa"/>
            <w:tcBorders>
              <w:bottom w:val="single" w:sz="4" w:space="0" w:color="auto"/>
            </w:tcBorders>
            <w:shd w:val="clear" w:color="auto" w:fill="auto"/>
          </w:tcPr>
          <w:p w14:paraId="40D86279" w14:textId="77777777" w:rsidR="006C3DEB" w:rsidRPr="00B40EF6" w:rsidRDefault="006C3DEB" w:rsidP="005A7549">
            <w:pPr>
              <w:pStyle w:val="TableColumnHeadingLeft"/>
            </w:pPr>
            <w:r>
              <w:t>0.60</w:t>
            </w:r>
          </w:p>
        </w:tc>
      </w:tr>
    </w:tbl>
    <w:p w14:paraId="57D65A4E" w14:textId="77777777" w:rsidR="006C3DEB" w:rsidRDefault="006C3DEB" w:rsidP="006C3DEB">
      <w:pPr>
        <w:pStyle w:val="Note"/>
      </w:pPr>
      <w:r w:rsidRPr="00853527">
        <w:t xml:space="preserve">Source: Authors’ calculation based on ABS (2019b, 2021a, 2021b, 2021c, 2021e, 2021f), ATO (2018b) and Commonwealth of Australia (2016). </w:t>
      </w:r>
    </w:p>
    <w:p w14:paraId="55534730" w14:textId="77777777" w:rsidR="006C3DEB" w:rsidRDefault="006C3DEB" w:rsidP="006C3DEB">
      <w:pPr>
        <w:spacing w:before="0" w:after="200" w:line="276" w:lineRule="auto"/>
        <w:rPr>
          <w:color w:val="000000"/>
          <w:sz w:val="18"/>
        </w:rPr>
      </w:pPr>
      <w:r>
        <w:br w:type="page"/>
      </w:r>
    </w:p>
    <w:p w14:paraId="609DD322" w14:textId="77777777" w:rsidR="006C3DEB" w:rsidRDefault="006C3DEB" w:rsidP="006C3DEB">
      <w:pPr>
        <w:pStyle w:val="Heading1"/>
      </w:pPr>
      <w:r>
        <w:lastRenderedPageBreak/>
        <w:t>Welfare analysis for policy evaluation</w:t>
      </w:r>
    </w:p>
    <w:p w14:paraId="21B99E4A" w14:textId="77777777" w:rsidR="006C3DEB" w:rsidRDefault="006C3DEB" w:rsidP="006C3DEB">
      <w:r w:rsidRPr="002C002B">
        <w:t xml:space="preserve">As noted at the beginning of this paper, OLGA like other overlapping generations models has several desirable features which means they are well suited to fiscal policy analysis. Households in OLGA are rational and forward-looking. They have explicit objective functions that are consistent with their expectation of the </w:t>
      </w:r>
      <w:r>
        <w:t xml:space="preserve">future path of policy and associated </w:t>
      </w:r>
      <w:r w:rsidRPr="002C002B">
        <w:t>macroeconomic aggregates. This allows an explicit comparison of household welfare across alternative fiscal policies. Moreover, households in OLGA are heterogeneous in their age, skill types, income</w:t>
      </w:r>
      <w:r>
        <w:t xml:space="preserve">, </w:t>
      </w:r>
      <w:r w:rsidRPr="002C002B">
        <w:t xml:space="preserve">and wealth. As such, we can move beyond the macroeconomic aggregates and undertake an individual assessment of each household. This allows </w:t>
      </w:r>
      <w:r>
        <w:t>Treasury</w:t>
      </w:r>
      <w:r w:rsidRPr="002C002B">
        <w:t xml:space="preserve"> to investigate the distributional and intergenerational effect of fiscal policies.  </w:t>
      </w:r>
    </w:p>
    <w:p w14:paraId="68FA35AD" w14:textId="77777777" w:rsidR="006C3DEB" w:rsidRDefault="006C3DEB" w:rsidP="006C3DEB">
      <w:r>
        <w:t>Following Fehr and Kindermann (</w:t>
      </w:r>
      <w:r w:rsidRPr="00514689">
        <w:t>201</w:t>
      </w:r>
      <w:r>
        <w:t>8), and Kudrna and Tran (2018), we measure welfare gains and losses for a household associated with a policy change using a dynamic version of the Hicksian Equivalent Variation (HEV) approach. This approach essentially measures the change in lifetime utility (measured in terms of initial consumption prices and wages) that would leave the household indifferent to the change in policy. If the policy change increases their lifetime utility, the HEV will be positive, and the household will be deemed to be better off.</w:t>
      </w:r>
    </w:p>
    <w:p w14:paraId="61EA21E9" w14:textId="77777777" w:rsidR="006C3DEB" w:rsidRDefault="006C3DEB" w:rsidP="006C3DEB">
      <w:r>
        <w:t>Let</w:t>
      </w:r>
      <w:r w:rsidRPr="00E670A7">
        <w:rPr>
          <w:position w:val="-6"/>
        </w:rPr>
        <w:object w:dxaOrig="180" w:dyaOrig="220" w14:anchorId="6FEC5306">
          <v:shape id="_x0000_i1622" type="#_x0000_t75" style="width:7.2pt;height:15pt" o:ole="">
            <v:imagedata r:id="rId1221" o:title=""/>
          </v:shape>
          <o:OLEObject Type="Embed" ProgID="Equation.DSMT4" ShapeID="_x0000_i1622" DrawAspect="Content" ObjectID="_1754919173" r:id="rId1222"/>
        </w:object>
      </w:r>
      <w:r>
        <w:t xml:space="preserve"> be the age of the household when the policy change is announced at time</w:t>
      </w:r>
      <w:r w:rsidRPr="00E670A7">
        <w:rPr>
          <w:position w:val="-6"/>
        </w:rPr>
        <w:object w:dxaOrig="139" w:dyaOrig="240" w14:anchorId="5839FCF9">
          <v:shape id="_x0000_i1623" type="#_x0000_t75" style="width:6.6pt;height:15pt" o:ole="">
            <v:imagedata r:id="rId1223" o:title=""/>
          </v:shape>
          <o:OLEObject Type="Embed" ProgID="Equation.DSMT4" ShapeID="_x0000_i1623" DrawAspect="Content" ObjectID="_1754919174" r:id="rId1224"/>
        </w:object>
      </w:r>
      <w:r>
        <w:t>,</w:t>
      </w:r>
      <w:r w:rsidRPr="00E670A7">
        <w:rPr>
          <w:position w:val="-18"/>
        </w:rPr>
        <w:object w:dxaOrig="1960" w:dyaOrig="499" w14:anchorId="43AAB699">
          <v:shape id="_x0000_i1624" type="#_x0000_t75" style="width:101.4pt;height:22.8pt" o:ole="">
            <v:imagedata r:id="rId1225" o:title=""/>
          </v:shape>
          <o:OLEObject Type="Embed" ProgID="Equation.DSMT4" ShapeID="_x0000_i1624" DrawAspect="Content" ObjectID="_1754919175" r:id="rId1226"/>
        </w:object>
      </w:r>
      <w:r>
        <w:t xml:space="preserve">be </w:t>
      </w:r>
      <w:r w:rsidRPr="00514689">
        <w:t>the household’s level of consumption and leisure</w:t>
      </w:r>
      <w:r>
        <w:t xml:space="preserve"> assuming no policy change (which is typically the steady state path) for their remaining life and</w:t>
      </w:r>
      <w:r w:rsidRPr="00E670A7">
        <w:rPr>
          <w:position w:val="-18"/>
        </w:rPr>
        <w:object w:dxaOrig="1960" w:dyaOrig="520" w14:anchorId="072BD2C5">
          <v:shape id="_x0000_i1625" type="#_x0000_t75" style="width:101.4pt;height:29.4pt" o:ole="">
            <v:imagedata r:id="rId1227" o:title=""/>
          </v:shape>
          <o:OLEObject Type="Embed" ProgID="Equation.DSMT4" ShapeID="_x0000_i1625" DrawAspect="Content" ObjectID="_1754919176" r:id="rId1228"/>
        </w:object>
      </w:r>
      <w:r>
        <w:t xml:space="preserve">be </w:t>
      </w:r>
      <w:r w:rsidRPr="00514689">
        <w:t>the household’s level of consumption and leisure</w:t>
      </w:r>
      <w:r>
        <w:t xml:space="preserve"> under the policy change for their remaining life. Note that this includes households not yet born (that is,</w:t>
      </w:r>
      <w:r w:rsidRPr="00E670A7">
        <w:rPr>
          <w:position w:val="-6"/>
        </w:rPr>
        <w:object w:dxaOrig="660" w:dyaOrig="279" w14:anchorId="3741721C">
          <v:shape id="_x0000_i1626" type="#_x0000_t75" style="width:37.2pt;height:15pt" o:ole="">
            <v:imagedata r:id="rId1229" o:title=""/>
          </v:shape>
          <o:OLEObject Type="Embed" ProgID="Equation.DSMT4" ShapeID="_x0000_i1626" DrawAspect="Content" ObjectID="_1754919177" r:id="rId1230"/>
        </w:object>
      </w:r>
      <w:r>
        <w:t>). W</w:t>
      </w:r>
      <w:r w:rsidRPr="00514689">
        <w:t xml:space="preserve">e </w:t>
      </w:r>
      <w:r>
        <w:t>estimate the HEV via</w:t>
      </w:r>
      <w:r w:rsidRPr="00514689">
        <w:t xml:space="preserve"> </w:t>
      </w:r>
      <w:r w:rsidRPr="00025957">
        <w:rPr>
          <w:position w:val="-4"/>
        </w:rPr>
        <w:object w:dxaOrig="220" w:dyaOrig="260" w14:anchorId="64C36BE5">
          <v:shape id="_x0000_i1627" type="#_x0000_t75" style="width:15pt;height:15pt" o:ole="">
            <v:imagedata r:id="rId1231" o:title=""/>
          </v:shape>
          <o:OLEObject Type="Embed" ProgID="Equation.DSMT4" ShapeID="_x0000_i1627" DrawAspect="Content" ObjectID="_1754919178" r:id="rId1232"/>
        </w:object>
      </w:r>
      <w:r>
        <w:t xml:space="preserve"> which is the permanent change in the household’s consumption and leisure over their remaining lifetime sufficient to yield the same utility as under the policy change:</w:t>
      </w:r>
    </w:p>
    <w:p w14:paraId="6E23CF58" w14:textId="43A9F655" w:rsidR="006C3DEB" w:rsidRDefault="006C3DEB" w:rsidP="006C3DEB">
      <w:pPr>
        <w:pStyle w:val="MTDisplayEquation"/>
      </w:pPr>
      <w:r>
        <w:tab/>
      </w:r>
      <w:r w:rsidRPr="00E670A7">
        <w:rPr>
          <w:position w:val="-28"/>
        </w:rPr>
        <w:object w:dxaOrig="6500" w:dyaOrig="680" w14:anchorId="380F1439">
          <v:shape id="_x0000_i1628" type="#_x0000_t75" style="width:324.6pt;height:37.8pt" o:ole="">
            <v:imagedata r:id="rId1233" o:title=""/>
          </v:shape>
          <o:OLEObject Type="Embed" ProgID="Equation.DSMT4" ShapeID="_x0000_i1628" DrawAspect="Content" ObjectID="_1754919179" r:id="rId123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52</w:instrText>
      </w:r>
      <w:r>
        <w:rPr>
          <w:noProof/>
        </w:rPr>
        <w:fldChar w:fldCharType="end"/>
      </w:r>
      <w:r>
        <w:instrText>)</w:instrText>
      </w:r>
      <w:r>
        <w:fldChar w:fldCharType="end"/>
      </w:r>
    </w:p>
    <w:p w14:paraId="6ED64BCA" w14:textId="77777777" w:rsidR="006C3DEB" w:rsidRDefault="006C3DEB" w:rsidP="006C3DEB">
      <w:r>
        <w:t>If</w:t>
      </w:r>
      <w:r w:rsidRPr="00025957">
        <w:rPr>
          <w:position w:val="-4"/>
        </w:rPr>
        <w:object w:dxaOrig="220" w:dyaOrig="260" w14:anchorId="358794FE">
          <v:shape id="_x0000_i1629" type="#_x0000_t75" style="width:15pt;height:15pt" o:ole="">
            <v:imagedata r:id="rId1235" o:title=""/>
          </v:shape>
          <o:OLEObject Type="Embed" ProgID="Equation.DSMT4" ShapeID="_x0000_i1629" DrawAspect="Content" ObjectID="_1754919180" r:id="rId1236"/>
        </w:object>
      </w:r>
      <w:r w:rsidRPr="00BB4AB3">
        <w:t>is positive the household is better off under the p</w:t>
      </w:r>
      <w:r>
        <w:t>olicy change. Alternatively, if</w:t>
      </w:r>
      <w:r w:rsidRPr="00025957">
        <w:rPr>
          <w:position w:val="-4"/>
        </w:rPr>
        <w:object w:dxaOrig="220" w:dyaOrig="260" w14:anchorId="2D6B9649">
          <v:shape id="_x0000_i1630" type="#_x0000_t75" style="width:15pt;height:15pt" o:ole="">
            <v:imagedata r:id="rId1237" o:title=""/>
          </v:shape>
          <o:OLEObject Type="Embed" ProgID="Equation.DSMT4" ShapeID="_x0000_i1630" DrawAspect="Content" ObjectID="_1754919181" r:id="rId1238"/>
        </w:object>
      </w:r>
      <w:r w:rsidRPr="00BB4AB3">
        <w:t xml:space="preserve">is negative the household is worse off under the policy change. This </w:t>
      </w:r>
      <w:r>
        <w:t xml:space="preserve">approach </w:t>
      </w:r>
      <w:r w:rsidRPr="00BB4AB3">
        <w:t xml:space="preserve">is similar to the </w:t>
      </w:r>
      <w:r>
        <w:t>‘</w:t>
      </w:r>
      <w:r w:rsidRPr="00BB4AB3">
        <w:t>consumption equivalence</w:t>
      </w:r>
      <w:r>
        <w:t>’ measure adopted by Nishiyama and Reichling</w:t>
      </w:r>
      <w:r w:rsidRPr="00BB4AB3">
        <w:t xml:space="preserve"> </w:t>
      </w:r>
      <w:r>
        <w:t>(</w:t>
      </w:r>
      <w:r w:rsidRPr="00BB4AB3">
        <w:t>2015).</w:t>
      </w:r>
    </w:p>
    <w:p w14:paraId="2E268915" w14:textId="77777777" w:rsidR="006C3DEB" w:rsidRDefault="006C3DEB" w:rsidP="006C3DEB">
      <w:pPr>
        <w:spacing w:before="0" w:after="200" w:line="276" w:lineRule="auto"/>
      </w:pPr>
      <w:r>
        <w:br w:type="page"/>
      </w:r>
    </w:p>
    <w:p w14:paraId="346315F5" w14:textId="77777777" w:rsidR="006C3DEB" w:rsidRDefault="006C3DEB" w:rsidP="006C3DEB">
      <w:pPr>
        <w:pStyle w:val="Heading1"/>
      </w:pPr>
      <w:r>
        <w:lastRenderedPageBreak/>
        <w:t>Conclusion</w:t>
      </w:r>
    </w:p>
    <w:p w14:paraId="584E3896" w14:textId="77777777" w:rsidR="006C3DEB" w:rsidRDefault="006C3DEB" w:rsidP="006C3DEB">
      <w:r>
        <w:t>The overlapping generations model of the Australian economy (OLGA) described in this paper reflects a significant capability in both physical and human capital. This capability is intended to meet the needs of all Treasury’s stakeholders today and well into the future. With tools such as OLGA, Treasury’s modelling capability is now on par with recognised international fiscal agencies such as the US CBO and JCT.</w:t>
      </w:r>
    </w:p>
    <w:p w14:paraId="4BDDB180" w14:textId="77777777" w:rsidR="006C3DEB" w:rsidRDefault="006C3DEB" w:rsidP="006C3DEB">
      <w:r>
        <w:t xml:space="preserve">OLGA is intended to support Treasury’s economy-wide counterfactual fiscal policy analysis. It provides a rigorous tool to quantify the general equilibrium effects of fiscal policy proposals. </w:t>
      </w:r>
      <w:r w:rsidRPr="001B79BD">
        <w:t>By including the indirect effects of a policy</w:t>
      </w:r>
      <w:r>
        <w:t xml:space="preserve"> proposal</w:t>
      </w:r>
      <w:r w:rsidRPr="001B79BD">
        <w:t xml:space="preserve">, </w:t>
      </w:r>
      <w:r>
        <w:t>OLGA provides a</w:t>
      </w:r>
      <w:r w:rsidRPr="001B79BD">
        <w:t xml:space="preserve"> comprehensive </w:t>
      </w:r>
      <w:r>
        <w:t>assessment of the so-called dynamic cost of a policy proposal</w:t>
      </w:r>
      <w:r w:rsidRPr="001B79BD">
        <w:t>. It captures the macroeconomic effect</w:t>
      </w:r>
      <w:r>
        <w:t>s</w:t>
      </w:r>
      <w:r w:rsidRPr="001B79BD">
        <w:t xml:space="preserve"> of how a </w:t>
      </w:r>
      <w:r>
        <w:t>proposal</w:t>
      </w:r>
      <w:r w:rsidRPr="001B79BD">
        <w:t xml:space="preserve"> is financed.</w:t>
      </w:r>
      <w:r w:rsidRPr="004B54F5">
        <w:t xml:space="preserve"> </w:t>
      </w:r>
      <w:r w:rsidRPr="001B79BD">
        <w:t xml:space="preserve">And it helps </w:t>
      </w:r>
      <w:r>
        <w:t>Treasury</w:t>
      </w:r>
      <w:r w:rsidRPr="001B79BD">
        <w:t xml:space="preserve"> better understand who ends up gaining or losing from the policy – that is, how it affects the welfare of different types of households</w:t>
      </w:r>
      <w:r>
        <w:t xml:space="preserve"> by age, income, and wealth.</w:t>
      </w:r>
    </w:p>
    <w:p w14:paraId="12EF61A1" w14:textId="77777777" w:rsidR="006C3DEB" w:rsidRPr="002C002B" w:rsidRDefault="006C3DEB" w:rsidP="006C3DEB">
      <w:r>
        <w:t xml:space="preserve">The version of OLGA presented in this paper is referred to as Version 1.0. This version of the model essentially encompasses all the functionality of Treasury’s previous fiscal models. But it overcomes several of the limitations of earlier models. OLGA Version 1.0 has also </w:t>
      </w:r>
      <w:r w:rsidRPr="002C002B">
        <w:t>been designed so that it can be enhanced through discrete development modules. To deliver on the needs of stakeholders, Treasury will continue to develop the model</w:t>
      </w:r>
      <w:r>
        <w:t xml:space="preserve"> to meet specific needs.</w:t>
      </w:r>
    </w:p>
    <w:p w14:paraId="04812712" w14:textId="77777777" w:rsidR="006C3DEB" w:rsidRDefault="006C3DEB" w:rsidP="006C3DEB"/>
    <w:p w14:paraId="69C49F40" w14:textId="77777777" w:rsidR="006C3DEB" w:rsidRDefault="006C3DEB" w:rsidP="006C3DEB">
      <w:pPr>
        <w:sectPr w:rsidR="006C3DEB" w:rsidSect="00B7535E">
          <w:headerReference w:type="even" r:id="rId1239"/>
          <w:headerReference w:type="default" r:id="rId1240"/>
          <w:headerReference w:type="first" r:id="rId1241"/>
          <w:footerReference w:type="first" r:id="rId1242"/>
          <w:pgSz w:w="11906" w:h="16838" w:code="9"/>
          <w:pgMar w:top="1843" w:right="1418" w:bottom="1418" w:left="1418" w:header="709" w:footer="709" w:gutter="0"/>
          <w:pgNumType w:start="1"/>
          <w:cols w:space="708"/>
          <w:titlePg/>
          <w:docGrid w:linePitch="360"/>
        </w:sectPr>
      </w:pPr>
    </w:p>
    <w:p w14:paraId="371E3F8E" w14:textId="77777777" w:rsidR="006C3DEB" w:rsidRPr="00225317" w:rsidRDefault="006C3DEB" w:rsidP="006C3DEB">
      <w:pPr>
        <w:pStyle w:val="Heading1"/>
      </w:pPr>
      <w:r w:rsidRPr="006E3D3C">
        <w:lastRenderedPageBreak/>
        <w:t>References</w:t>
      </w:r>
    </w:p>
    <w:p w14:paraId="1E78F43E" w14:textId="77777777" w:rsidR="006C3DEB" w:rsidRPr="00CC4880" w:rsidRDefault="006C3DEB" w:rsidP="006C3DEB">
      <w:pPr>
        <w:rPr>
          <w:rFonts w:cs="Calibri Light"/>
          <w:sz w:val="28"/>
          <w:szCs w:val="24"/>
        </w:rPr>
      </w:pPr>
      <w:r w:rsidRPr="00CC4880">
        <w:rPr>
          <w:rFonts w:cs="Calibri Light"/>
          <w:color w:val="000000"/>
          <w:szCs w:val="22"/>
          <w:shd w:val="clear" w:color="auto" w:fill="FFFFFF"/>
        </w:rPr>
        <w:t>Aguiar A, Chepeliev M, Corong E, McDougall R, van der Mensbrugghe D 2019. “The GTAP Data Base: Version 10”, Journal of Global Economic Analysis, 4(1), 1-27.</w:t>
      </w:r>
    </w:p>
    <w:p w14:paraId="213EB735" w14:textId="77777777" w:rsidR="006C3DEB" w:rsidRDefault="006C3DEB" w:rsidP="006C3DEB">
      <w:r w:rsidRPr="00514689">
        <w:t>Auerbach AJ, Kotlikoff LJ 1987. Dynamic Fiscal Policy. Cambridge University Press, Cambridge, U.K.</w:t>
      </w:r>
    </w:p>
    <w:p w14:paraId="7E072712" w14:textId="77777777" w:rsidR="006C3DEB" w:rsidRDefault="006C3DEB" w:rsidP="006C3DEB">
      <w:r w:rsidRPr="000541DC">
        <w:t xml:space="preserve">Australian Bureau of </w:t>
      </w:r>
      <w:r w:rsidRPr="00984CCC">
        <w:t>Statistics [</w:t>
      </w:r>
      <w:r>
        <w:t>ABS]</w:t>
      </w:r>
      <w:r w:rsidRPr="00984CCC">
        <w:t xml:space="preserve"> </w:t>
      </w:r>
      <w:r>
        <w:t xml:space="preserve">2017. </w:t>
      </w:r>
      <w:r w:rsidRPr="005A3A2D">
        <w:t xml:space="preserve">Household Expenditure Survey and Survey of Income and Housing, User Guide, </w:t>
      </w:r>
      <w:r>
        <w:t xml:space="preserve">Australia, 2015-16, Cat. No. 6503.0. Australian Government Publishing Service, Canberra.  </w:t>
      </w:r>
      <w:r w:rsidRPr="005A3A2D">
        <w:t xml:space="preserve"> </w:t>
      </w:r>
    </w:p>
    <w:p w14:paraId="7372CDEE" w14:textId="77777777" w:rsidR="006C3DEB" w:rsidRDefault="006C3DEB" w:rsidP="006C3DEB">
      <w:r>
        <w:t>ABS</w:t>
      </w:r>
      <w:r w:rsidRPr="00984CCC">
        <w:t xml:space="preserve"> 201</w:t>
      </w:r>
      <w:r>
        <w:t>8a</w:t>
      </w:r>
      <w:r w:rsidRPr="00984CCC">
        <w:t xml:space="preserve">. </w:t>
      </w:r>
      <w:r w:rsidRPr="00634308">
        <w:t>Australian National Accounts: Input-Output Tables</w:t>
      </w:r>
      <w:r>
        <w:t>, Cat. no. 5209.0.55.001. Australian Government Publishing Service, Canberra.</w:t>
      </w:r>
    </w:p>
    <w:p w14:paraId="16530EFC" w14:textId="77777777" w:rsidR="006C3DEB" w:rsidRDefault="006C3DEB" w:rsidP="006C3DEB">
      <w:r>
        <w:t xml:space="preserve">ABS </w:t>
      </w:r>
      <w:r w:rsidRPr="00984CCC">
        <w:t>201</w:t>
      </w:r>
      <w:r>
        <w:t>9a</w:t>
      </w:r>
      <w:r w:rsidRPr="00984CCC">
        <w:t>. Life Tables,</w:t>
      </w:r>
      <w:r w:rsidRPr="000541DC">
        <w:t xml:space="preserve"> States, Territories and Austra</w:t>
      </w:r>
      <w:r>
        <w:t xml:space="preserve">lia, Cat. no. 3302.0.55.001. Australian Government Publishing Service, Canberra. </w:t>
      </w:r>
    </w:p>
    <w:p w14:paraId="0B72A634" w14:textId="77777777" w:rsidR="006C3DEB" w:rsidRDefault="006C3DEB" w:rsidP="006C3DEB">
      <w:r>
        <w:t xml:space="preserve">ABS 2019b. </w:t>
      </w:r>
      <w:r w:rsidRPr="00897F89">
        <w:t>Household Incom</w:t>
      </w:r>
      <w:r>
        <w:t>e and Wealth, Australia, Cat. No. 6523.0. Australian Government Publishing Service, Canberra.</w:t>
      </w:r>
    </w:p>
    <w:p w14:paraId="485EC566" w14:textId="77777777" w:rsidR="006C3DEB" w:rsidRDefault="006C3DEB" w:rsidP="006C3DEB">
      <w:r>
        <w:t xml:space="preserve">ABS 2020a. </w:t>
      </w:r>
      <w:r w:rsidRPr="000D2A6E">
        <w:t>National, state and territory population</w:t>
      </w:r>
      <w:r>
        <w:t>, Cat. no. 3101. Australian Government Publishing Service, Canberra.</w:t>
      </w:r>
    </w:p>
    <w:p w14:paraId="76C7AFD8" w14:textId="77777777" w:rsidR="006C3DEB" w:rsidRDefault="006C3DEB" w:rsidP="006C3DEB">
      <w:r>
        <w:t>ABS 2020b. Australian Industry, Cat. no. 8155. Australian Government Publishing Service, Canberra.</w:t>
      </w:r>
    </w:p>
    <w:p w14:paraId="65B1F0D8" w14:textId="77777777" w:rsidR="006C3DEB" w:rsidRDefault="006C3DEB" w:rsidP="006C3DEB">
      <w:r>
        <w:t>ABS 2021a. Australian System of National Accounts, Cat. no. 5204.0. Australian Government Publishing Service, Canberra.</w:t>
      </w:r>
    </w:p>
    <w:p w14:paraId="76718693" w14:textId="77777777" w:rsidR="006C3DEB" w:rsidRDefault="006C3DEB" w:rsidP="006C3DEB">
      <w:r>
        <w:t>ABS 2021b. Taxation Revenue, Australia, Cat. no. 5506.0. Australian Government Publishing Service, Canberra.</w:t>
      </w:r>
    </w:p>
    <w:p w14:paraId="7C44BC1F" w14:textId="77777777" w:rsidR="006C3DEB" w:rsidRDefault="006C3DEB" w:rsidP="006C3DEB">
      <w:r>
        <w:t>ABS</w:t>
      </w:r>
      <w:r w:rsidRPr="00984CCC">
        <w:t xml:space="preserve"> 20</w:t>
      </w:r>
      <w:r>
        <w:t>21c</w:t>
      </w:r>
      <w:r w:rsidRPr="00984CCC">
        <w:t xml:space="preserve">. </w:t>
      </w:r>
      <w:r w:rsidRPr="00410802">
        <w:t>Australian National Accounts: Finance and Wealth</w:t>
      </w:r>
      <w:r>
        <w:t xml:space="preserve">, Cat. no. </w:t>
      </w:r>
      <w:r w:rsidRPr="00410802">
        <w:t>5232.0</w:t>
      </w:r>
      <w:r>
        <w:t>. Australian Government Publishing Service, Canberra.</w:t>
      </w:r>
    </w:p>
    <w:p w14:paraId="73F1E1E0" w14:textId="77777777" w:rsidR="006C3DEB" w:rsidRDefault="006C3DEB" w:rsidP="006C3DEB">
      <w:r>
        <w:t>ABS 2021d. Estimates of Industry Multifactor Productivity, Australia, Cat. no. 5260.0. Australian Government Publishing Service, Canberra.</w:t>
      </w:r>
    </w:p>
    <w:p w14:paraId="21734EE1" w14:textId="77777777" w:rsidR="006C3DEB" w:rsidRDefault="006C3DEB" w:rsidP="006C3DEB">
      <w:r>
        <w:t>ABS</w:t>
      </w:r>
      <w:r w:rsidRPr="00984CCC">
        <w:t xml:space="preserve"> 20</w:t>
      </w:r>
      <w:r>
        <w:t>21e</w:t>
      </w:r>
      <w:r w:rsidRPr="00984CCC">
        <w:t>. Australian National Accounts: National Income, Expenditure and Product</w:t>
      </w:r>
      <w:r>
        <w:t xml:space="preserve">, Cat. no. </w:t>
      </w:r>
      <w:r w:rsidRPr="00984CCC">
        <w:t>5206.0</w:t>
      </w:r>
      <w:r>
        <w:t xml:space="preserve">. Australian Government Publishing Service, Canberra.   </w:t>
      </w:r>
    </w:p>
    <w:p w14:paraId="5FA5D4FE" w14:textId="77777777" w:rsidR="006C3DEB" w:rsidRDefault="006C3DEB" w:rsidP="006C3DEB">
      <w:r>
        <w:t xml:space="preserve">ABS 2021f. </w:t>
      </w:r>
      <w:r w:rsidRPr="00B219BB">
        <w:t>Balance of Payments and International Investment Position, Australia</w:t>
      </w:r>
      <w:r>
        <w:t>, Cat. no. 5302.0. Australian Government Publishing Service, Canberra.</w:t>
      </w:r>
    </w:p>
    <w:p w14:paraId="77E90A82" w14:textId="77777777" w:rsidR="006C3DEB" w:rsidRDefault="006C3DEB" w:rsidP="006C3DEB">
      <w:pPr>
        <w:pStyle w:val="Normal-beforehyperlink"/>
      </w:pPr>
      <w:r w:rsidRPr="006D5836">
        <w:t>Australian Office of Financial Management [AOFM] 2019. Investor Handout Budget 2019-20 Update.</w:t>
      </w:r>
    </w:p>
    <w:p w14:paraId="42450F31" w14:textId="77777777" w:rsidR="006C3DEB" w:rsidRPr="006D5836" w:rsidRDefault="009B2CE5" w:rsidP="006C3DEB">
      <w:pPr>
        <w:pStyle w:val="Hyperlink1"/>
      </w:pPr>
      <w:hyperlink r:id="rId1243" w:history="1">
        <w:r w:rsidR="006C3DEB" w:rsidRPr="006D5836">
          <w:rPr>
            <w:rStyle w:val="Hyperlink"/>
            <w:color w:val="5D779D" w:themeColor="accent3"/>
            <w:u w:val="single"/>
          </w:rPr>
          <w:t>https://www.aofm.gov.au/sites/default/files/2019-05/Chart-Pack-Budget-2019-20-Update.pdf</w:t>
        </w:r>
      </w:hyperlink>
    </w:p>
    <w:p w14:paraId="6E64AF47" w14:textId="77777777" w:rsidR="006C3DEB" w:rsidRDefault="006C3DEB" w:rsidP="006C3DEB">
      <w:pPr>
        <w:pStyle w:val="Normal-beforehyperlink"/>
      </w:pPr>
      <w:r>
        <w:t xml:space="preserve">AMP Capital 2017. </w:t>
      </w:r>
      <w:r w:rsidRPr="00135CC2">
        <w:t xml:space="preserve">The </w:t>
      </w:r>
      <w:r>
        <w:t>M</w:t>
      </w:r>
      <w:r w:rsidRPr="00135CC2">
        <w:t xml:space="preserve">edium </w:t>
      </w:r>
      <w:r>
        <w:t>T</w:t>
      </w:r>
      <w:r w:rsidRPr="00135CC2">
        <w:t xml:space="preserve">erm </w:t>
      </w:r>
      <w:r>
        <w:t>I</w:t>
      </w:r>
      <w:r w:rsidRPr="00135CC2">
        <w:t xml:space="preserve">nvestment </w:t>
      </w:r>
      <w:r>
        <w:t>R</w:t>
      </w:r>
      <w:r w:rsidRPr="00135CC2">
        <w:t xml:space="preserve">eturn </w:t>
      </w:r>
      <w:r>
        <w:t>R</w:t>
      </w:r>
      <w:r w:rsidRPr="00135CC2">
        <w:t xml:space="preserve">emains </w:t>
      </w:r>
      <w:r>
        <w:t>C</w:t>
      </w:r>
      <w:r w:rsidRPr="00135CC2">
        <w:t>onstrained</w:t>
      </w:r>
      <w:r>
        <w:t xml:space="preserve">. </w:t>
      </w:r>
    </w:p>
    <w:p w14:paraId="27A526E3" w14:textId="77777777" w:rsidR="006C3DEB" w:rsidRPr="006D5836" w:rsidRDefault="009B2CE5" w:rsidP="006C3DEB">
      <w:pPr>
        <w:pStyle w:val="Hyperlink1"/>
      </w:pPr>
      <w:hyperlink r:id="rId1244" w:history="1">
        <w:r w:rsidR="006C3DEB" w:rsidRPr="006D5836">
          <w:t>https://www.ampcapital.com/africa/en/insights-hub/articles/2017/November/olivers-insights-the-medium-term-investment-return-remains-constrained</w:t>
        </w:r>
      </w:hyperlink>
    </w:p>
    <w:p w14:paraId="05D1A21E" w14:textId="77777777" w:rsidR="006C3DEB" w:rsidRDefault="006C3DEB" w:rsidP="006C3DEB">
      <w:pPr>
        <w:pStyle w:val="Normal-beforehyperlink"/>
      </w:pPr>
      <w:r>
        <w:lastRenderedPageBreak/>
        <w:t xml:space="preserve">Australian Tax Office [ATO] 2022. </w:t>
      </w:r>
      <w:r w:rsidRPr="007D6D6E">
        <w:t>How GST works</w:t>
      </w:r>
      <w:r>
        <w:t xml:space="preserve">. </w:t>
      </w:r>
    </w:p>
    <w:p w14:paraId="56450F98" w14:textId="77777777" w:rsidR="006C3DEB" w:rsidRPr="006D5836" w:rsidRDefault="009B2CE5" w:rsidP="006C3DEB">
      <w:pPr>
        <w:pStyle w:val="Hyperlink1"/>
      </w:pPr>
      <w:hyperlink r:id="rId1245" w:history="1">
        <w:r w:rsidR="006C3DEB" w:rsidRPr="006D5836">
          <w:rPr>
            <w:rStyle w:val="Hyperlink"/>
            <w:color w:val="5D779D" w:themeColor="accent3"/>
            <w:u w:val="single"/>
          </w:rPr>
          <w:t>https://www.ato.gov.au/Business/GST/How-GST-works/</w:t>
        </w:r>
      </w:hyperlink>
      <w:r w:rsidR="006C3DEB" w:rsidRPr="006D5836">
        <w:t xml:space="preserve">  </w:t>
      </w:r>
    </w:p>
    <w:p w14:paraId="32742AFD" w14:textId="77777777" w:rsidR="006C3DEB" w:rsidRDefault="006C3DEB" w:rsidP="006C3DEB">
      <w:pPr>
        <w:pStyle w:val="Normal-beforehyperlink"/>
      </w:pPr>
      <w:r w:rsidRPr="009903F0">
        <w:t>ATO 2018b. Taxation Statistics 2016–17</w:t>
      </w:r>
    </w:p>
    <w:p w14:paraId="2DA1ED8C" w14:textId="77777777" w:rsidR="006C3DEB" w:rsidRPr="006D5836" w:rsidRDefault="009B2CE5" w:rsidP="006C3DEB">
      <w:pPr>
        <w:pStyle w:val="Hyperlink1"/>
      </w:pPr>
      <w:hyperlink r:id="rId1246" w:history="1">
        <w:r w:rsidR="006C3DEB" w:rsidRPr="006D5836">
          <w:t>https://www.ato.gov.au/About-ATO/Research-and-statistics/In-detail/Taxation-statistics/Taxation-statistics---previous-editions/Taxation-statistics-2016-17/</w:t>
        </w:r>
      </w:hyperlink>
    </w:p>
    <w:p w14:paraId="3822F232" w14:textId="77777777" w:rsidR="006C3DEB" w:rsidRPr="00514689" w:rsidRDefault="006C3DEB" w:rsidP="006C3DEB">
      <w:r w:rsidRPr="006A5D98">
        <w:rPr>
          <w:lang w:val="sv-SE"/>
        </w:rPr>
        <w:t xml:space="preserve">Barro RJ, Sala-i-Martin X 2004. </w:t>
      </w:r>
      <w:r>
        <w:t>Economic Growth. MIT Press, Cambridge, Massachusetts, U.S.</w:t>
      </w:r>
    </w:p>
    <w:p w14:paraId="2FB235F1" w14:textId="77777777" w:rsidR="006C3DEB" w:rsidRPr="002731F5" w:rsidRDefault="006C3DEB" w:rsidP="006C3DEB">
      <w:r w:rsidRPr="00CC4880">
        <w:t xml:space="preserve">Bullen J, Conigrave B, Elderfield A, Karmel C, Lucas L, Murphy C, Ruberl H, Stoney N, Yao H 2021. The Treasury Macroeconometric Model of Australia: Modelling Approach, </w:t>
      </w:r>
      <w:r>
        <w:t>Treasury Working Paper, 2021-09, The Australian Government.</w:t>
      </w:r>
    </w:p>
    <w:p w14:paraId="62CC26DB" w14:textId="77777777" w:rsidR="006C3DEB" w:rsidRDefault="006C3DEB" w:rsidP="006C3DEB">
      <w:r>
        <w:t>Cao L, Hosking A, Kouparitsas M, Mullaly D, Rimmer X, Shi Q, Stark W, Wende S 2015. Understanding the Economy-wide Efficiency and Incidence of Major Australian Taxes, Treasury Working Paper, 2015-01, The Australian Government.</w:t>
      </w:r>
    </w:p>
    <w:p w14:paraId="4CFB8443" w14:textId="7D0FBD4B" w:rsidR="006C3DEB" w:rsidRDefault="006C3DEB" w:rsidP="006C3DEB">
      <w:r w:rsidRPr="0088702C">
        <w:t xml:space="preserve">Carlton F, </w:t>
      </w:r>
      <w:r w:rsidR="0014265D">
        <w:t xml:space="preserve">Gustafsson L, </w:t>
      </w:r>
      <w:r w:rsidRPr="0088702C">
        <w:t xml:space="preserve">Hinson M, Jaensch J, </w:t>
      </w:r>
      <w:r w:rsidR="00835CCD">
        <w:t xml:space="preserve">Kouparitsas M, </w:t>
      </w:r>
      <w:r w:rsidRPr="0088702C">
        <w:t xml:space="preserve">Quach K, Peat N, Wende S, Womack P </w:t>
      </w:r>
      <w:r w:rsidRPr="00334880">
        <w:t>2023. Modelling Industry Specific Policy with TIM: Treasury’s multi-sector dynamic general equilibrium model of the Australian economy</w:t>
      </w:r>
      <w:r w:rsidRPr="0088702C">
        <w:t xml:space="preserve">, Treasury Working Paper, </w:t>
      </w:r>
      <w:r w:rsidRPr="00592DD6">
        <w:t>2023-</w:t>
      </w:r>
      <w:r w:rsidR="00592DD6" w:rsidRPr="00592DD6">
        <w:t>03</w:t>
      </w:r>
      <w:r w:rsidRPr="0088702C">
        <w:t>, The Australian Government.</w:t>
      </w:r>
    </w:p>
    <w:p w14:paraId="680DDCF9" w14:textId="77777777" w:rsidR="006C3DEB" w:rsidRDefault="006C3DEB" w:rsidP="006C3DEB">
      <w:r>
        <w:t>Commonwealth of Australia 2016. 2015-16</w:t>
      </w:r>
      <w:r w:rsidRPr="00526176">
        <w:t xml:space="preserve"> Final Budget Outcome</w:t>
      </w:r>
      <w:r>
        <w:t>, Australian Treasury, Canberra.</w:t>
      </w:r>
    </w:p>
    <w:p w14:paraId="76E3261A" w14:textId="77777777" w:rsidR="006C3DEB" w:rsidRDefault="006C3DEB" w:rsidP="006C3DEB">
      <w:r>
        <w:t>Commonwealth of Australia 2021a. 2020-21</w:t>
      </w:r>
      <w:r w:rsidRPr="00526176">
        <w:t xml:space="preserve"> Final Budget Outcome</w:t>
      </w:r>
      <w:r>
        <w:t>, Australian Treasury, Canberra.</w:t>
      </w:r>
    </w:p>
    <w:p w14:paraId="0339B7FF" w14:textId="77777777" w:rsidR="006C3DEB" w:rsidRDefault="006C3DEB" w:rsidP="006C3DEB">
      <w:r>
        <w:t xml:space="preserve">Commonwealth of Australia 2021b. </w:t>
      </w:r>
      <w:r w:rsidRPr="00EB6130">
        <w:t>2021 Intergen</w:t>
      </w:r>
      <w:r w:rsidRPr="00353BA0">
        <w:t>erational Report</w:t>
      </w:r>
      <w:r>
        <w:t>, Australian Treasury, Canberra.</w:t>
      </w:r>
    </w:p>
    <w:p w14:paraId="5854718D" w14:textId="77777777" w:rsidR="006C3DEB" w:rsidRPr="0044590C" w:rsidRDefault="006C3DEB" w:rsidP="006C3DEB">
      <w:r>
        <w:t xml:space="preserve">Department of Social Services 2018. </w:t>
      </w:r>
      <w:r w:rsidRPr="00EF045B">
        <w:t>DSS Demographics March 2018</w:t>
      </w:r>
      <w:r>
        <w:t>.</w:t>
      </w:r>
    </w:p>
    <w:p w14:paraId="3A9505BE" w14:textId="77777777" w:rsidR="006C3DEB" w:rsidRDefault="006C3DEB" w:rsidP="006C3DEB">
      <w:r w:rsidRPr="00514689">
        <w:t>De Nardi M 2004. “Wealth inequality and intergenerational links”</w:t>
      </w:r>
      <w:r>
        <w:t>,</w:t>
      </w:r>
      <w:r w:rsidRPr="00514689">
        <w:t xml:space="preserve"> Review of Economic Studies, 71, pp. 743-768.</w:t>
      </w:r>
    </w:p>
    <w:p w14:paraId="020A1A80" w14:textId="77777777" w:rsidR="006C3DEB" w:rsidRPr="00514689" w:rsidRDefault="006C3DEB" w:rsidP="006C3DEB">
      <w:r>
        <w:t>Fehr H 2000.</w:t>
      </w:r>
      <w:r w:rsidRPr="00BA32BC">
        <w:t xml:space="preserve"> </w:t>
      </w:r>
      <w:r>
        <w:t>“</w:t>
      </w:r>
      <w:r w:rsidRPr="00BA32BC">
        <w:t>Pension</w:t>
      </w:r>
      <w:r>
        <w:t xml:space="preserve"> Reform during the Demographic T</w:t>
      </w:r>
      <w:r w:rsidRPr="00BA32BC">
        <w:t>ransition</w:t>
      </w:r>
      <w:r>
        <w:t>”,</w:t>
      </w:r>
      <w:r w:rsidRPr="00BA32BC">
        <w:t xml:space="preserve"> Scandinavian Journal of Economics, 102, </w:t>
      </w:r>
      <w:r>
        <w:t>pp. 419-</w:t>
      </w:r>
      <w:r w:rsidRPr="00BA32BC">
        <w:t>443.</w:t>
      </w:r>
    </w:p>
    <w:p w14:paraId="58A7571F" w14:textId="77777777" w:rsidR="006C3DEB" w:rsidRPr="00514689" w:rsidRDefault="006C3DEB" w:rsidP="006C3DEB">
      <w:r>
        <w:t>Fehr H,</w:t>
      </w:r>
      <w:r w:rsidRPr="00514689">
        <w:t xml:space="preserve"> Kindermann F 201</w:t>
      </w:r>
      <w:r>
        <w:t>8</w:t>
      </w:r>
      <w:r w:rsidRPr="00514689">
        <w:t>. Introduct</w:t>
      </w:r>
      <w:r>
        <w:t>ion to Computational Economics U</w:t>
      </w:r>
      <w:r w:rsidRPr="00514689">
        <w:t xml:space="preserve">sing FORTRAN. </w:t>
      </w:r>
      <w:r>
        <w:t>p</w:t>
      </w:r>
      <w:r w:rsidRPr="00514689">
        <w:t xml:space="preserve">p. </w:t>
      </w:r>
      <w:r>
        <w:t>527-5</w:t>
      </w:r>
      <w:r w:rsidRPr="00514689">
        <w:t>3</w:t>
      </w:r>
      <w:r>
        <w:t>8</w:t>
      </w:r>
      <w:r w:rsidRPr="00514689">
        <w:t>.</w:t>
      </w:r>
    </w:p>
    <w:p w14:paraId="26C62A11" w14:textId="77777777" w:rsidR="006C3DEB" w:rsidRDefault="006C3DEB" w:rsidP="006C3DEB">
      <w:r>
        <w:t xml:space="preserve">Fink G, </w:t>
      </w:r>
      <w:r w:rsidRPr="005D7EA4">
        <w:t>Redaelli</w:t>
      </w:r>
      <w:r>
        <w:t xml:space="preserve"> S 2005.</w:t>
      </w:r>
      <w:r w:rsidRPr="005D7EA4">
        <w:t xml:space="preserve"> “Understanding Bequest Motives</w:t>
      </w:r>
      <w:r>
        <w:t>:</w:t>
      </w:r>
      <w:r w:rsidRPr="005D7EA4">
        <w:t xml:space="preserve"> An Empirical Analysis of Intergenerational Transfers”, DNB Working Paper 042, Netherlands Central Bank.</w:t>
      </w:r>
    </w:p>
    <w:p w14:paraId="1B488494" w14:textId="77777777" w:rsidR="006C3DEB" w:rsidRDefault="006C3DEB" w:rsidP="006C3DEB">
      <w:r w:rsidRPr="00514689">
        <w:t>Heer B, Maussner A 2009. Dynamic General Equilibrium Modeling: Computational Methods and Applications. Springer.</w:t>
      </w:r>
    </w:p>
    <w:p w14:paraId="4812D04C" w14:textId="77777777" w:rsidR="006C3DEB" w:rsidRDefault="006C3DEB" w:rsidP="006C3DEB">
      <w:r>
        <w:t xml:space="preserve">Hertel T (eds) 1997. Global Trade Analysis: Modelling and Applications. Cambridge University Press. </w:t>
      </w:r>
    </w:p>
    <w:p w14:paraId="14CDC5BC" w14:textId="77777777" w:rsidR="006C3DEB" w:rsidRDefault="006C3DEB" w:rsidP="006C3DEB">
      <w:r>
        <w:t xml:space="preserve">Hutchings R, Kouparitsas M 2012. Modelling Aggregate Labour Demand, Treasury Working Paper, 2012-02, The Australian Government.  </w:t>
      </w:r>
    </w:p>
    <w:p w14:paraId="352773C5" w14:textId="77777777" w:rsidR="006C3DEB" w:rsidRDefault="006C3DEB" w:rsidP="006C3DEB">
      <w:r w:rsidRPr="00695B3E">
        <w:t xml:space="preserve">Imbs </w:t>
      </w:r>
      <w:r>
        <w:t xml:space="preserve">J, </w:t>
      </w:r>
      <w:r w:rsidRPr="00695B3E">
        <w:t>Méjean</w:t>
      </w:r>
      <w:r>
        <w:t xml:space="preserve"> I 2010. Trade Elasticities: A final report for the European Commission. Economic Papers 432. European Commission.</w:t>
      </w:r>
    </w:p>
    <w:p w14:paraId="4591286E" w14:textId="77777777" w:rsidR="006C3DEB" w:rsidRDefault="006C3DEB" w:rsidP="006C3DEB">
      <w:r>
        <w:lastRenderedPageBreak/>
        <w:t xml:space="preserve">Joint Committee on Taxation [JCT] 2018. </w:t>
      </w:r>
      <w:r w:rsidRPr="00B225FF">
        <w:t xml:space="preserve">Macroeconomic </w:t>
      </w:r>
      <w:r>
        <w:t>A</w:t>
      </w:r>
      <w:r w:rsidRPr="00B225FF">
        <w:t xml:space="preserve">nalysis of H.R. </w:t>
      </w:r>
      <w:r>
        <w:t>6760, the “Protecting Family and Small Business Tax Cuts A</w:t>
      </w:r>
      <w:r w:rsidRPr="00B225FF">
        <w:t xml:space="preserve">ct of 2018” as </w:t>
      </w:r>
      <w:r>
        <w:t>Reported by the Committee on Ways and M</w:t>
      </w:r>
      <w:r w:rsidRPr="00B225FF">
        <w:t>eans</w:t>
      </w:r>
      <w:r>
        <w:t xml:space="preserve">. </w:t>
      </w:r>
      <w:r w:rsidRPr="0055319D">
        <w:t>JCX-79-18</w:t>
      </w:r>
      <w:r>
        <w:t xml:space="preserve">. </w:t>
      </w:r>
    </w:p>
    <w:p w14:paraId="6CC8D1F5" w14:textId="77777777" w:rsidR="006C3DEB" w:rsidRDefault="006C3DEB" w:rsidP="006C3DEB">
      <w:r>
        <w:t xml:space="preserve">Keane M P 2011. “Labor supply and taxes: a survey”, Journal of Economic Literature, 49(4), pp. 961-1075.  </w:t>
      </w:r>
    </w:p>
    <w:p w14:paraId="6F2BA793" w14:textId="77777777" w:rsidR="006C3DEB" w:rsidRDefault="006C3DEB" w:rsidP="006C3DEB">
      <w:r>
        <w:t>King RG, Plosser C I, Rebelo S T</w:t>
      </w:r>
      <w:r w:rsidRPr="008964B3">
        <w:t xml:space="preserve"> 1988. </w:t>
      </w:r>
      <w:r>
        <w:t>“</w:t>
      </w:r>
      <w:r w:rsidRPr="008964B3">
        <w:t>Production, growth and business cycles: I</w:t>
      </w:r>
      <w:r>
        <w:t>. The basic neoclassical model”,</w:t>
      </w:r>
      <w:r w:rsidRPr="008964B3">
        <w:t xml:space="preserve"> Journal of Monetary Economics, </w:t>
      </w:r>
      <w:r>
        <w:t>21(2-3), pp.</w:t>
      </w:r>
      <w:r w:rsidRPr="008964B3">
        <w:t xml:space="preserve"> 195-232.</w:t>
      </w:r>
    </w:p>
    <w:p w14:paraId="78C8B11A" w14:textId="77777777" w:rsidR="006C3DEB" w:rsidRDefault="006C3DEB" w:rsidP="006C3DEB">
      <w:r>
        <w:t xml:space="preserve">Kudrna G, Woodland A 2010. </w:t>
      </w:r>
      <w:r w:rsidRPr="008874B0">
        <w:t xml:space="preserve">Simulating Policy Change Using a Dynamic Overlapping Generations </w:t>
      </w:r>
      <w:r>
        <w:t>Model of the Australian Economy.</w:t>
      </w:r>
      <w:r w:rsidRPr="008874B0">
        <w:t xml:space="preserve"> University of New South Wales, Sydney.</w:t>
      </w:r>
    </w:p>
    <w:p w14:paraId="463F38A4" w14:textId="77777777" w:rsidR="006C3DEB" w:rsidRDefault="006C3DEB" w:rsidP="006C3DEB">
      <w:r>
        <w:t>KPMG 2016. Modelling the Macroeconomic Impact of Lowering the Company Tax Rate in Australia.</w:t>
      </w:r>
    </w:p>
    <w:p w14:paraId="026CD1B6" w14:textId="77777777" w:rsidR="006C3DEB" w:rsidRDefault="006C3DEB" w:rsidP="006C3DEB">
      <w:r>
        <w:t xml:space="preserve">Kudrna G, Tran C, </w:t>
      </w:r>
      <w:r w:rsidRPr="00C033E5">
        <w:t>Woodland</w:t>
      </w:r>
      <w:r>
        <w:t xml:space="preserve"> A 2015. “The Dynamic Fiscal Effects of Demographic Shift: The C</w:t>
      </w:r>
      <w:r w:rsidRPr="00C033E5">
        <w:t xml:space="preserve">ase of Australia”, Economic Modelling, 50, </w:t>
      </w:r>
      <w:r>
        <w:t xml:space="preserve">pp. </w:t>
      </w:r>
      <w:r w:rsidRPr="00C033E5">
        <w:t>105-122.</w:t>
      </w:r>
    </w:p>
    <w:p w14:paraId="23B5D656" w14:textId="77777777" w:rsidR="006C3DEB" w:rsidRDefault="006C3DEB" w:rsidP="006C3DEB">
      <w:r>
        <w:t>Kudrna G, Tran C 2018. “Comparing Budget Repair Measures for a Small Open Economy with Growing Debt”, Journal of Macroeconomics, 55, pp. 162-183.</w:t>
      </w:r>
    </w:p>
    <w:p w14:paraId="11EC62F6" w14:textId="77777777" w:rsidR="006C3DEB" w:rsidRDefault="006C3DEB" w:rsidP="006C3DEB">
      <w:r>
        <w:t>Lucas R 1967. “Optimal Investment Policy and the Flexible Accelerator”, International Economic Review, 8(1), pp. 78-85.</w:t>
      </w:r>
    </w:p>
    <w:p w14:paraId="349D26F3" w14:textId="77777777" w:rsidR="006C3DEB" w:rsidRPr="00514689" w:rsidRDefault="006C3DEB" w:rsidP="006C3DEB">
      <w:r w:rsidRPr="00514689">
        <w:t xml:space="preserve">Ludwig A 2007. </w:t>
      </w:r>
      <w:r>
        <w:t>“</w:t>
      </w:r>
      <w:r w:rsidRPr="007A62C3">
        <w:t>The Gauss–Seidel–quasi-Newton method: A hybrid algorithm for solving dynamic economic models</w:t>
      </w:r>
      <w:r>
        <w:t>”</w:t>
      </w:r>
      <w:r w:rsidRPr="007A62C3">
        <w:t>, Journal of Economic Dynamics and Control, 31 (5), pp</w:t>
      </w:r>
      <w:r>
        <w:t>.</w:t>
      </w:r>
      <w:r w:rsidRPr="007A62C3">
        <w:t xml:space="preserve"> 1610-1632</w:t>
      </w:r>
      <w:r>
        <w:t>.</w:t>
      </w:r>
    </w:p>
    <w:p w14:paraId="0BEBF8DE" w14:textId="77777777" w:rsidR="006C3DEB" w:rsidRDefault="006C3DEB" w:rsidP="006C3DEB">
      <w:r>
        <w:t>McKibbin W, Wilcoxen P 1998. "The Theoretical and Empirical Structure of the G-Cubed M</w:t>
      </w:r>
      <w:r w:rsidRPr="00F52A5B">
        <w:t>ode,"</w:t>
      </w:r>
      <w:r>
        <w:t>,</w:t>
      </w:r>
      <w:r w:rsidRPr="00F52A5B">
        <w:t xml:space="preserve"> Economic Modell</w:t>
      </w:r>
      <w:r>
        <w:t>ing, 16(1), pp.</w:t>
      </w:r>
      <w:r w:rsidRPr="00F52A5B">
        <w:t xml:space="preserve"> 123-148</w:t>
      </w:r>
      <w:r>
        <w:t>.</w:t>
      </w:r>
    </w:p>
    <w:p w14:paraId="76B72626" w14:textId="77777777" w:rsidR="006C3DEB" w:rsidRDefault="006C3DEB" w:rsidP="006C3DEB">
      <w:r>
        <w:t>Mendoza EG, Tesar LL 1998. “The International Ramification of Tax Reforms: Supply-Side Economics in a Global Economy”, American Economic Review, 88 (1), pp. 226-245.</w:t>
      </w:r>
    </w:p>
    <w:p w14:paraId="6B3F8746" w14:textId="77777777" w:rsidR="006C3DEB" w:rsidRDefault="006C3DEB" w:rsidP="006C3DEB">
      <w:r>
        <w:t>Mendoza EG, Tesar LL 2005. “Why hasn’t tax competition triggered a race to the bottom? Some quantitative lessons from the EU”, Journal of Monetary Economics, 52, pp. 163-204.</w:t>
      </w:r>
    </w:p>
    <w:p w14:paraId="7F3571DA" w14:textId="77777777" w:rsidR="006C3DEB" w:rsidRDefault="006C3DEB" w:rsidP="006C3DEB">
      <w:r w:rsidRPr="00975442">
        <w:t>Murphy, C 2016</w:t>
      </w:r>
      <w:r>
        <w:t>.</w:t>
      </w:r>
      <w:r w:rsidRPr="00975442">
        <w:t xml:space="preserve"> Company</w:t>
      </w:r>
      <w:r>
        <w:t xml:space="preserve"> tax scenario: Report prepared for the Department of the Treasury.</w:t>
      </w:r>
    </w:p>
    <w:p w14:paraId="405DA7EA" w14:textId="77777777" w:rsidR="006C3DEB" w:rsidRDefault="006C3DEB" w:rsidP="006C3DEB">
      <w:r>
        <w:t>Musgrave R 1959. The Theory of Public Finance: A Study in Public Economy. New York: McGraw-Hill.</w:t>
      </w:r>
    </w:p>
    <w:p w14:paraId="63FF8F40" w14:textId="77777777" w:rsidR="006C3DEB" w:rsidRPr="00514689" w:rsidRDefault="006C3DEB" w:rsidP="006C3DEB">
      <w:r>
        <w:t>Nishiyama S, Reichling F 2015</w:t>
      </w:r>
      <w:r w:rsidRPr="00514689">
        <w:t>. “The Costs to Different Generations of Policies That Close the Fiscal Gap”, US Congressional Budget Office (CBO) Working Paper 2015–10.</w:t>
      </w:r>
      <w:r>
        <w:t xml:space="preserve"> </w:t>
      </w:r>
    </w:p>
    <w:p w14:paraId="5E2782E2" w14:textId="77777777" w:rsidR="006C3DEB" w:rsidRDefault="006C3DEB" w:rsidP="006C3DEB">
      <w:r>
        <w:t>Nishiyama S, Smetters K 2007</w:t>
      </w:r>
      <w:r w:rsidRPr="007A6848">
        <w:t xml:space="preserve">. </w:t>
      </w:r>
      <w:r>
        <w:t>“</w:t>
      </w:r>
      <w:r w:rsidRPr="007A6848">
        <w:t>Does Social Security Privatization Produce Efficiency Gains?</w:t>
      </w:r>
      <w:r>
        <w:t>”</w:t>
      </w:r>
      <w:r w:rsidRPr="007A6848">
        <w:t xml:space="preserve"> The Quarterly Journal of Economics, 122(4),</w:t>
      </w:r>
      <w:r>
        <w:t xml:space="preserve"> pp.</w:t>
      </w:r>
      <w:r w:rsidRPr="007A6848">
        <w:t xml:space="preserve"> 1677-1719.</w:t>
      </w:r>
    </w:p>
    <w:p w14:paraId="2CD502E0" w14:textId="77777777" w:rsidR="006C3DEB" w:rsidRDefault="006C3DEB" w:rsidP="006C3DEB">
      <w:r>
        <w:t xml:space="preserve">Obstfeld M, Rogoff K 1996. Foundations of International Macroeconomics. MIT Press. Cambridge, U.S. </w:t>
      </w:r>
    </w:p>
    <w:p w14:paraId="02DC1F00" w14:textId="77777777" w:rsidR="006C3DEB" w:rsidRDefault="006C3DEB" w:rsidP="006C3DEB">
      <w:r>
        <w:t xml:space="preserve">Productivity Commission 2021. Wealth transfers and their economic effect. </w:t>
      </w:r>
      <w:r w:rsidRPr="00A71B5F">
        <w:t>Productivity Commission</w:t>
      </w:r>
      <w:r>
        <w:t xml:space="preserve"> </w:t>
      </w:r>
      <w:r w:rsidRPr="00A71B5F">
        <w:t>Research Paper</w:t>
      </w:r>
      <w:r>
        <w:t>.</w:t>
      </w:r>
    </w:p>
    <w:p w14:paraId="519DEB63" w14:textId="18572842" w:rsidR="006C3DEB" w:rsidRDefault="006C3DEB" w:rsidP="006C3DEB">
      <w:pPr>
        <w:pStyle w:val="Normal-beforehyperlink"/>
      </w:pPr>
      <w:r w:rsidRPr="006F47EC">
        <w:lastRenderedPageBreak/>
        <w:t>He</w:t>
      </w:r>
      <w:r>
        <w:t xml:space="preserve"> Z, </w:t>
      </w:r>
      <w:r w:rsidRPr="006F47EC">
        <w:t>Huntley</w:t>
      </w:r>
      <w:r>
        <w:t xml:space="preserve"> J</w:t>
      </w:r>
      <w:r w:rsidR="00857200">
        <w:t>,</w:t>
      </w:r>
      <w:r w:rsidR="00857200" w:rsidRPr="006F47EC">
        <w:t xml:space="preserve"> </w:t>
      </w:r>
      <w:r w:rsidRPr="006F47EC">
        <w:t>Ricco</w:t>
      </w:r>
      <w:r>
        <w:t xml:space="preserve"> J 2019. </w:t>
      </w:r>
      <w:r w:rsidRPr="006F47EC">
        <w:t>Senator Elizabeth Warren’s Wealth Tax: Projected Budgetary and Economic Effects</w:t>
      </w:r>
      <w:r>
        <w:t>. The Penn Wharton Budget M</w:t>
      </w:r>
      <w:r w:rsidRPr="005E6261">
        <w:t>odel</w:t>
      </w:r>
      <w:r>
        <w:t xml:space="preserve"> (PWBM). </w:t>
      </w:r>
      <w:r w:rsidRPr="005E6261">
        <w:t>University of Pennsylvania</w:t>
      </w:r>
      <w:r>
        <w:t>.</w:t>
      </w:r>
      <w:r w:rsidRPr="005E6261">
        <w:t xml:space="preserve"> </w:t>
      </w:r>
    </w:p>
    <w:p w14:paraId="325C0B23" w14:textId="77777777" w:rsidR="006C3DEB" w:rsidRPr="006D5836" w:rsidRDefault="009B2CE5" w:rsidP="006C3DEB">
      <w:pPr>
        <w:pStyle w:val="Hyperlink1"/>
      </w:pPr>
      <w:hyperlink r:id="rId1247" w:history="1">
        <w:r w:rsidR="006C3DEB" w:rsidRPr="006D5836">
          <w:rPr>
            <w:rStyle w:val="Hyperlink"/>
            <w:color w:val="5D779D" w:themeColor="accent3"/>
            <w:u w:val="single"/>
          </w:rPr>
          <w:t>https://budgetmodel.wharton.upenn.edu/issues/2019/12/12/senator-elizabeth-warrens-wealth-tax-projected-budgetary-and-economic-effects</w:t>
        </w:r>
      </w:hyperlink>
    </w:p>
    <w:p w14:paraId="102403DA" w14:textId="77777777" w:rsidR="006C3DEB" w:rsidRDefault="006C3DEB" w:rsidP="006C3DEB">
      <w:r>
        <w:t>Stachurski John 2009. Economic Dynamics: Theory and Computation. MIT Press. Cambridge, U.S.</w:t>
      </w:r>
    </w:p>
    <w:p w14:paraId="50B47645" w14:textId="77777777" w:rsidR="006C3DEB" w:rsidRDefault="006C3DEB" w:rsidP="006C3DEB">
      <w:r>
        <w:t xml:space="preserve">Sundaram RK 2009. A First Course in Optimization Theory. </w:t>
      </w:r>
      <w:r w:rsidRPr="00514689">
        <w:t>Cambridge University Press, Cambridge, U.K.</w:t>
      </w:r>
    </w:p>
    <w:p w14:paraId="362A181F" w14:textId="77777777" w:rsidR="006C3DEB" w:rsidRDefault="006C3DEB" w:rsidP="006C3DEB">
      <w:r>
        <w:t>Tran C, Woodland A 2011. “Trade-Offs in Means Tested Pension Design,” Journal of Economic Dynamics and Control, 47 (C), pp. 72-93.</w:t>
      </w:r>
    </w:p>
    <w:p w14:paraId="07EC3C0D" w14:textId="77777777" w:rsidR="006C3DEB" w:rsidRDefault="006C3DEB" w:rsidP="006C3DEB">
      <w:r>
        <w:t xml:space="preserve">Varela P, Husek N, Williams T, Maher R, Kennedy D 2021. </w:t>
      </w:r>
      <w:r w:rsidRPr="007D0D47">
        <w:t>The lifetime fiscal impact of the Australian permanent migration program</w:t>
      </w:r>
      <w:r>
        <w:t>, Treasury Working Paper, The Australian Government.</w:t>
      </w:r>
    </w:p>
    <w:p w14:paraId="0CC86996" w14:textId="77777777" w:rsidR="006C3DEB" w:rsidRDefault="006C3DEB" w:rsidP="006C3DEB"/>
    <w:p w14:paraId="7F874F11" w14:textId="77777777" w:rsidR="006C3DEB" w:rsidRDefault="006C3DEB" w:rsidP="006C3DEB">
      <w:pPr>
        <w:sectPr w:rsidR="006C3DEB" w:rsidSect="00B7535E">
          <w:pgSz w:w="11906" w:h="16838" w:code="9"/>
          <w:pgMar w:top="1843" w:right="1418" w:bottom="1418" w:left="1418" w:header="709" w:footer="709" w:gutter="0"/>
          <w:cols w:space="708"/>
          <w:titlePg/>
          <w:docGrid w:linePitch="360"/>
        </w:sectPr>
      </w:pPr>
    </w:p>
    <w:p w14:paraId="04F14C7F" w14:textId="77777777" w:rsidR="006C3DEB" w:rsidRDefault="006C3DEB" w:rsidP="006C3DEB">
      <w:pPr>
        <w:pStyle w:val="Heading1"/>
      </w:pPr>
      <w:r>
        <w:lastRenderedPageBreak/>
        <w:t>Appendix A: An overview of OLGA</w:t>
      </w:r>
    </w:p>
    <w:p w14:paraId="3810476E" w14:textId="77777777" w:rsidR="006C3DEB" w:rsidRDefault="006C3DEB" w:rsidP="006C3DEB">
      <w:r w:rsidRPr="00FD4438">
        <w:t>OLGA is a dynamic general equilibrium model with heterogeneous demographic structure and multiple production sectors</w:t>
      </w:r>
      <w:r>
        <w:t xml:space="preserve">. There are </w:t>
      </w:r>
      <w:r w:rsidRPr="002272FE">
        <w:t>75 overlapping generations of households</w:t>
      </w:r>
      <w:r>
        <w:t xml:space="preserve"> in the model. </w:t>
      </w:r>
      <w:r w:rsidRPr="002272FE">
        <w:t xml:space="preserve">Households are assumed to be uniformly distributed across five skill types. Households </w:t>
      </w:r>
      <w:r>
        <w:t>provide labour and savings to the production sectors.</w:t>
      </w:r>
      <w:r w:rsidRPr="002272FE">
        <w:t xml:space="preserve"> Firms</w:t>
      </w:r>
      <w:r>
        <w:t xml:space="preserve"> in the production sectors</w:t>
      </w:r>
      <w:r w:rsidRPr="002272FE">
        <w:t xml:space="preserve"> employ labour, capital, and intermediate inputs to produce final and intermediate goods and services for domestic use or export. Domestically </w:t>
      </w:r>
      <w:r>
        <w:t xml:space="preserve">produced </w:t>
      </w:r>
      <w:r w:rsidRPr="002272FE">
        <w:t xml:space="preserve">goods compete with differentiated </w:t>
      </w:r>
      <w:r>
        <w:t>goods and services</w:t>
      </w:r>
      <w:r w:rsidRPr="002272FE">
        <w:t xml:space="preserve"> supplied by foreign producers. Firms manage capital investment decisions, and source funds via a notional funds manager from households and foreign investors. There is a government that collects revenue from households and firms via taxes on production, income</w:t>
      </w:r>
      <w:r>
        <w:t>,</w:t>
      </w:r>
      <w:r w:rsidRPr="002272FE">
        <w:t xml:space="preserve"> and expenditure. This tax revenue finances government spending. The government relies on funds sourced from domestic and foreign investors to meet temporary primary deficits.</w:t>
      </w:r>
      <w:r>
        <w:t xml:space="preserve"> The households also own foreign financial assets.</w:t>
      </w:r>
    </w:p>
    <w:p w14:paraId="63910FA4" w14:textId="7A997A3B" w:rsidR="006C3DEB" w:rsidRDefault="006C3DEB" w:rsidP="006C3DEB">
      <w:pPr>
        <w:pStyle w:val="TableMainHeading"/>
      </w:pPr>
      <w:r w:rsidRPr="00B34AB0">
        <w:rPr>
          <w:rStyle w:val="Caption1Char"/>
          <w:rFonts w:asciiTheme="minorHAnsi" w:eastAsiaTheme="minorHAnsi" w:hAnsiTheme="minorHAnsi" w:cstheme="minorHAnsi"/>
          <w:color w:val="4D7861" w:themeColor="accent2"/>
          <w:sz w:val="26"/>
          <w:szCs w:val="26"/>
        </w:rPr>
        <w:t>Figure A</w:t>
      </w:r>
      <w:r w:rsidRPr="00B34AB0">
        <w:rPr>
          <w:rStyle w:val="Caption1Char"/>
          <w:rFonts w:asciiTheme="minorHAnsi" w:eastAsiaTheme="minorHAnsi" w:hAnsiTheme="minorHAnsi" w:cstheme="minorHAnsi"/>
          <w:color w:val="4D7861" w:themeColor="accent2"/>
          <w:sz w:val="26"/>
          <w:szCs w:val="26"/>
        </w:rPr>
        <w:fldChar w:fldCharType="begin"/>
      </w:r>
      <w:r w:rsidRPr="00B34AB0">
        <w:rPr>
          <w:rStyle w:val="Caption1Char"/>
          <w:rFonts w:asciiTheme="minorHAnsi" w:eastAsiaTheme="minorHAnsi" w:hAnsiTheme="minorHAnsi" w:cstheme="minorHAnsi"/>
          <w:color w:val="4D7861" w:themeColor="accent2"/>
          <w:sz w:val="26"/>
          <w:szCs w:val="26"/>
        </w:rPr>
        <w:instrText xml:space="preserve"> SEQ Figure \* ARABIC </w:instrText>
      </w:r>
      <w:r w:rsidRPr="00B34AB0">
        <w:rPr>
          <w:rStyle w:val="Caption1Char"/>
          <w:rFonts w:asciiTheme="minorHAnsi" w:eastAsiaTheme="minorHAnsi" w:hAnsiTheme="minorHAnsi" w:cstheme="minorHAnsi"/>
          <w:color w:val="4D7861" w:themeColor="accent2"/>
          <w:sz w:val="26"/>
          <w:szCs w:val="26"/>
        </w:rPr>
        <w:fldChar w:fldCharType="separate"/>
      </w:r>
      <w:r w:rsidR="00E00A52">
        <w:rPr>
          <w:rStyle w:val="Caption1Char"/>
          <w:rFonts w:asciiTheme="minorHAnsi" w:eastAsiaTheme="minorHAnsi" w:hAnsiTheme="minorHAnsi" w:cstheme="minorHAnsi"/>
          <w:noProof/>
          <w:color w:val="4D7861" w:themeColor="accent2"/>
          <w:sz w:val="26"/>
          <w:szCs w:val="26"/>
        </w:rPr>
        <w:t>1</w:t>
      </w:r>
      <w:r w:rsidRPr="00B34AB0">
        <w:rPr>
          <w:rStyle w:val="Caption1Char"/>
          <w:rFonts w:asciiTheme="minorHAnsi" w:eastAsiaTheme="minorHAnsi" w:hAnsiTheme="minorHAnsi" w:cstheme="minorHAnsi"/>
          <w:color w:val="4D7861" w:themeColor="accent2"/>
          <w:sz w:val="26"/>
          <w:szCs w:val="26"/>
        </w:rPr>
        <w:fldChar w:fldCharType="end"/>
      </w:r>
      <w:r w:rsidRPr="00B34AB0">
        <w:rPr>
          <w:rStyle w:val="Caption1Char"/>
          <w:rFonts w:asciiTheme="minorHAnsi" w:eastAsiaTheme="minorHAnsi" w:hAnsiTheme="minorHAnsi" w:cstheme="minorHAnsi"/>
          <w:color w:val="4D7861" w:themeColor="accent2"/>
          <w:sz w:val="26"/>
          <w:szCs w:val="26"/>
        </w:rPr>
        <w:t xml:space="preserve">: </w:t>
      </w:r>
      <w:r>
        <w:rPr>
          <w:rStyle w:val="Caption1Char"/>
          <w:rFonts w:asciiTheme="minorHAnsi" w:eastAsiaTheme="minorHAnsi" w:hAnsiTheme="minorHAnsi" w:cstheme="minorHAnsi"/>
          <w:color w:val="4D7861" w:themeColor="accent2"/>
          <w:sz w:val="26"/>
          <w:szCs w:val="26"/>
        </w:rPr>
        <w:br/>
      </w:r>
      <w:r w:rsidRPr="00B34AB0">
        <w:rPr>
          <w:rStyle w:val="Caption1Char"/>
          <w:rFonts w:asciiTheme="minorHAnsi" w:eastAsiaTheme="minorHAnsi" w:hAnsiTheme="minorHAnsi" w:cstheme="minorHAnsi"/>
          <w:color w:val="4D7861" w:themeColor="accent2"/>
          <w:sz w:val="26"/>
          <w:szCs w:val="26"/>
        </w:rPr>
        <w:t>Overview of the flow of goods/services, factors of production and funds in OLGA</w:t>
      </w:r>
    </w:p>
    <w:p w14:paraId="4F11E7C2" w14:textId="77777777" w:rsidR="006C3DEB" w:rsidRDefault="006C3DEB" w:rsidP="006C3DEB">
      <w:pPr>
        <w:jc w:val="center"/>
      </w:pPr>
      <w:r w:rsidRPr="0066456B">
        <w:rPr>
          <w:noProof/>
        </w:rPr>
        <w:drawing>
          <wp:inline distT="0" distB="0" distL="0" distR="0" wp14:anchorId="08BD3AC1" wp14:editId="2D310416">
            <wp:extent cx="5998491" cy="3038475"/>
            <wp:effectExtent l="0" t="0" r="0" b="0"/>
            <wp:docPr id="3" name="Picture 3" descr="This is a graphic representation of the interactions between the different agents in the model,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graphic representation of the interactions between the different agents in the model, as described in the text above."/>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6021536" cy="3050148"/>
                    </a:xfrm>
                    <a:prstGeom prst="rect">
                      <a:avLst/>
                    </a:prstGeom>
                    <a:noFill/>
                    <a:ln>
                      <a:noFill/>
                    </a:ln>
                  </pic:spPr>
                </pic:pic>
              </a:graphicData>
            </a:graphic>
          </wp:inline>
        </w:drawing>
      </w:r>
    </w:p>
    <w:p w14:paraId="7CF4EDDE" w14:textId="77777777" w:rsidR="006C3DEB" w:rsidRDefault="006C3DEB" w:rsidP="006C3DEB"/>
    <w:p w14:paraId="5B56492B" w14:textId="77777777" w:rsidR="006C3DEB" w:rsidRDefault="006C3DEB" w:rsidP="006C3DEB">
      <w:pPr>
        <w:sectPr w:rsidR="006C3DEB" w:rsidSect="00B7535E">
          <w:pgSz w:w="11906" w:h="16838" w:code="9"/>
          <w:pgMar w:top="1843" w:right="1418" w:bottom="1418" w:left="1418" w:header="709" w:footer="709" w:gutter="0"/>
          <w:cols w:space="708"/>
          <w:titlePg/>
          <w:docGrid w:linePitch="360"/>
        </w:sectPr>
      </w:pPr>
    </w:p>
    <w:p w14:paraId="1841E9A4" w14:textId="77777777" w:rsidR="006C3DEB" w:rsidRPr="000A7AC9" w:rsidRDefault="006C3DEB" w:rsidP="006C3DEB">
      <w:pPr>
        <w:pStyle w:val="Heading1"/>
      </w:pPr>
      <w:r w:rsidRPr="000A7AC9">
        <w:lastRenderedPageBreak/>
        <w:t>Appendix B: Households’ optimisation problem</w:t>
      </w:r>
    </w:p>
    <w:p w14:paraId="33ACE516" w14:textId="77777777" w:rsidR="006C3DEB" w:rsidRDefault="006C3DEB" w:rsidP="006C3DEB">
      <w:pPr>
        <w:pStyle w:val="Heading2NotNumbered"/>
      </w:pPr>
      <w:r>
        <w:t>Bellman equation</w:t>
      </w:r>
    </w:p>
    <w:p w14:paraId="0ADD52CA" w14:textId="77777777" w:rsidR="006C3DEB" w:rsidRDefault="006C3DEB" w:rsidP="006C3DEB">
      <w:r w:rsidRPr="00EA42CC">
        <w:t xml:space="preserve">As noted in Section 2, </w:t>
      </w:r>
      <w:r>
        <w:rPr>
          <w:lang w:val="en-US"/>
        </w:rPr>
        <w:t xml:space="preserve">a </w:t>
      </w:r>
      <w:r w:rsidRPr="007B6BEC">
        <w:rPr>
          <w:lang w:val="en-US"/>
        </w:rPr>
        <w:t xml:space="preserve">household of </w:t>
      </w:r>
      <w:r>
        <w:rPr>
          <w:lang w:val="en-US"/>
        </w:rPr>
        <w:t>skill type</w:t>
      </w:r>
      <w:r w:rsidRPr="00025957">
        <w:rPr>
          <w:position w:val="-4"/>
        </w:rPr>
        <w:object w:dxaOrig="180" w:dyaOrig="260" w14:anchorId="13714956">
          <v:shape id="_x0000_i1631" type="#_x0000_t75" style="width:7.2pt;height:15pt" o:ole="">
            <v:imagedata r:id="rId1249" o:title=""/>
          </v:shape>
          <o:OLEObject Type="Embed" ProgID="Equation.DSMT4" ShapeID="_x0000_i1631" DrawAspect="Content" ObjectID="_1754919182" r:id="rId1250"/>
        </w:object>
      </w:r>
      <w:r>
        <w:t xml:space="preserve">, </w:t>
      </w:r>
      <w:r w:rsidRPr="007B6BEC">
        <w:t xml:space="preserve">who </w:t>
      </w:r>
      <w:r>
        <w:t xml:space="preserve">enters the model at the beginning of year </w:t>
      </w:r>
      <w:r w:rsidRPr="00E670A7">
        <w:rPr>
          <w:position w:val="-6"/>
        </w:rPr>
        <w:object w:dxaOrig="139" w:dyaOrig="240" w14:anchorId="7C172169">
          <v:shape id="_x0000_i1632" type="#_x0000_t75" style="width:6.6pt;height:15pt" o:ole="">
            <v:imagedata r:id="rId1251" o:title=""/>
          </v:shape>
          <o:OLEObject Type="Embed" ProgID="Equation.DSMT4" ShapeID="_x0000_i1632" DrawAspect="Content" ObjectID="_1754919183" r:id="rId1252"/>
        </w:object>
      </w:r>
      <w:r>
        <w:t>,</w:t>
      </w:r>
      <w:r>
        <w:rPr>
          <w:lang w:val="en-US"/>
        </w:rPr>
        <w:t xml:space="preserve"> chooses consumption, labour supply and savings to maximise lifetime utility</w:t>
      </w:r>
      <w:r w:rsidRPr="007B6BEC">
        <w:t>:</w:t>
      </w:r>
    </w:p>
    <w:p w14:paraId="67BDC208" w14:textId="77777777" w:rsidR="006C3DEB" w:rsidRDefault="006C3DEB" w:rsidP="006C3DEB">
      <w:pPr>
        <w:pStyle w:val="MTDisplayEquation"/>
        <w:rPr>
          <w:lang w:val="en-US"/>
        </w:rPr>
      </w:pPr>
      <w:r>
        <w:rPr>
          <w:lang w:val="en-US"/>
        </w:rPr>
        <w:tab/>
      </w:r>
      <w:r w:rsidRPr="00E670A7">
        <w:rPr>
          <w:position w:val="-28"/>
        </w:rPr>
        <w:object w:dxaOrig="5740" w:dyaOrig="680" w14:anchorId="1E69A9B0">
          <v:shape id="_x0000_i1633" type="#_x0000_t75" style="width:4in;height:37.8pt" o:ole="">
            <v:imagedata r:id="rId1253" o:title=""/>
          </v:shape>
          <o:OLEObject Type="Embed" ProgID="Equation.DSMT4" ShapeID="_x0000_i1633" DrawAspect="Content" ObjectID="_1754919184" r:id="rId1254"/>
        </w:object>
      </w:r>
      <w:r>
        <w:rPr>
          <w:lang w:val="en-US"/>
        </w:rPr>
        <w:t xml:space="preserve"> </w:t>
      </w:r>
      <w:r>
        <w:rPr>
          <w:lang w:val="en-US"/>
        </w:rPr>
        <w:tab/>
      </w:r>
    </w:p>
    <w:p w14:paraId="75C9A503" w14:textId="77777777" w:rsidR="006C3DEB" w:rsidRPr="005A387E" w:rsidRDefault="006C3DEB" w:rsidP="006C3DEB">
      <w:r>
        <w:t>wh</w:t>
      </w:r>
      <w:r w:rsidRPr="007B6BEC">
        <w:t>ere</w:t>
      </w:r>
      <w:r>
        <w:t>:</w:t>
      </w:r>
      <w:r w:rsidRPr="00E670A7">
        <w:rPr>
          <w:position w:val="-10"/>
        </w:rPr>
        <w:object w:dxaOrig="920" w:dyaOrig="320" w14:anchorId="569F982F">
          <v:shape id="_x0000_i1634" type="#_x0000_t75" style="width:42.6pt;height:15pt" o:ole="">
            <v:imagedata r:id="rId1255" o:title=""/>
          </v:shape>
          <o:OLEObject Type="Embed" ProgID="Equation.DSMT4" ShapeID="_x0000_i1634" DrawAspect="Content" ObjectID="_1754919185" r:id="rId1256"/>
        </w:object>
      </w:r>
      <w:r w:rsidRPr="007B6BEC">
        <w:t>is the</w:t>
      </w:r>
      <w:r>
        <w:t xml:space="preserve"> household’s </w:t>
      </w:r>
      <w:r w:rsidRPr="007B6BEC">
        <w:t>discount factor</w:t>
      </w:r>
      <w:r>
        <w:t xml:space="preserve">; </w:t>
      </w:r>
      <w:r w:rsidRPr="00E670A7">
        <w:rPr>
          <w:position w:val="-12"/>
        </w:rPr>
        <w:object w:dxaOrig="999" w:dyaOrig="380" w14:anchorId="439E1558">
          <v:shape id="_x0000_i1635" type="#_x0000_t75" style="width:49.8pt;height:22.2pt" o:ole="">
            <v:imagedata r:id="rId1257" o:title=""/>
          </v:shape>
          <o:OLEObject Type="Embed" ProgID="Equation.DSMT4" ShapeID="_x0000_i1635" DrawAspect="Content" ObjectID="_1754919186" r:id="rId1258"/>
        </w:object>
      </w:r>
      <w:r>
        <w:t>,</w:t>
      </w:r>
      <w:r w:rsidRPr="007B6BEC">
        <w:t xml:space="preserve"> </w:t>
      </w:r>
      <w:r w:rsidRPr="00E670A7">
        <w:rPr>
          <w:position w:val="-12"/>
        </w:rPr>
        <w:object w:dxaOrig="1359" w:dyaOrig="380" w14:anchorId="22A5BBBE">
          <v:shape id="_x0000_i1636" type="#_x0000_t75" style="width:64.2pt;height:22.2pt" o:ole="">
            <v:imagedata r:id="rId1259" o:title=""/>
          </v:shape>
          <o:OLEObject Type="Embed" ProgID="Equation.DSMT4" ShapeID="_x0000_i1636" DrawAspect="Content" ObjectID="_1754919187" r:id="rId1260"/>
        </w:object>
      </w:r>
      <w:r>
        <w:t xml:space="preserve">, and </w:t>
      </w:r>
      <w:r w:rsidRPr="00E670A7">
        <w:rPr>
          <w:position w:val="-12"/>
        </w:rPr>
        <w:object w:dxaOrig="620" w:dyaOrig="380" w14:anchorId="4B203BA5">
          <v:shape id="_x0000_i1637" type="#_x0000_t75" style="width:29.4pt;height:22.2pt" o:ole="">
            <v:imagedata r:id="rId1261" o:title=""/>
          </v:shape>
          <o:OLEObject Type="Embed" ProgID="Equation.DSMT4" ShapeID="_x0000_i1637" DrawAspect="Content" ObjectID="_1754919188" r:id="rId1262"/>
        </w:object>
      </w:r>
      <w:r w:rsidRPr="005407CA">
        <w:t xml:space="preserve"> </w:t>
      </w:r>
      <w:r>
        <w:t>are the household’s consumption, leisure</w:t>
      </w:r>
      <w:r w:rsidRPr="007B6BEC">
        <w:t xml:space="preserve">, </w:t>
      </w:r>
      <w:r>
        <w:t>and beginning-of-period savings at year</w:t>
      </w:r>
      <w:r w:rsidRPr="00E670A7">
        <w:rPr>
          <w:position w:val="-6"/>
        </w:rPr>
        <w:object w:dxaOrig="960" w:dyaOrig="279" w14:anchorId="2E9CF7B1">
          <v:shape id="_x0000_i1638" type="#_x0000_t75" style="width:50.4pt;height:15pt" o:ole="">
            <v:imagedata r:id="rId1263" o:title=""/>
          </v:shape>
          <o:OLEObject Type="Embed" ProgID="Equation.DSMT4" ShapeID="_x0000_i1638" DrawAspect="Content" ObjectID="_1754919189" r:id="rId1264"/>
        </w:object>
      </w:r>
      <w:r>
        <w:t>. This is subject to the intertemporal budget constraint:</w:t>
      </w:r>
    </w:p>
    <w:p w14:paraId="53CC6ACF" w14:textId="77777777" w:rsidR="006C3DEB" w:rsidRPr="009461B1" w:rsidRDefault="006C3DEB" w:rsidP="006C3DEB">
      <w:pPr>
        <w:jc w:val="center"/>
      </w:pPr>
      <w:r w:rsidRPr="00E670A7">
        <w:rPr>
          <w:position w:val="-32"/>
        </w:rPr>
        <w:object w:dxaOrig="6420" w:dyaOrig="760" w14:anchorId="56D71778">
          <v:shape id="_x0000_i1639" type="#_x0000_t75" style="width:323.4pt;height:35.4pt" o:ole="">
            <v:imagedata r:id="rId1265" o:title=""/>
          </v:shape>
          <o:OLEObject Type="Embed" ProgID="Equation.DSMT4" ShapeID="_x0000_i1639" DrawAspect="Content" ObjectID="_1754919190" r:id="rId1266"/>
        </w:object>
      </w:r>
    </w:p>
    <w:p w14:paraId="642A77D1" w14:textId="77777777" w:rsidR="006C3DEB" w:rsidRPr="00514689" w:rsidRDefault="006C3DEB" w:rsidP="006C3DEB">
      <w:pPr>
        <w:pStyle w:val="MTDisplayEquation"/>
      </w:pPr>
      <w:r w:rsidRPr="00514689">
        <w:t>By the principle of optimality</w:t>
      </w:r>
      <w:r>
        <w:t xml:space="preserve"> (Sundaram 2009, Chapter 11)</w:t>
      </w:r>
      <w:r w:rsidRPr="00514689">
        <w:t>, the household</w:t>
      </w:r>
      <w:r>
        <w:t xml:space="preserve">’s maximisation problem in period </w:t>
      </w:r>
      <w:r w:rsidRPr="00E670A7">
        <w:rPr>
          <w:position w:val="-6"/>
        </w:rPr>
        <w:object w:dxaOrig="139" w:dyaOrig="240" w14:anchorId="14AC2C17">
          <v:shape id="_x0000_i1640" type="#_x0000_t75" style="width:6.6pt;height:15pt" o:ole="">
            <v:imagedata r:id="rId1267" o:title=""/>
          </v:shape>
          <o:OLEObject Type="Embed" ProgID="Equation.DSMT4" ShapeID="_x0000_i1640" DrawAspect="Content" ObjectID="_1754919191" r:id="rId1268"/>
        </w:object>
      </w:r>
      <w:r w:rsidRPr="00514689">
        <w:t>can</w:t>
      </w:r>
      <w:r>
        <w:t xml:space="preserve"> be</w:t>
      </w:r>
      <w:r w:rsidRPr="00514689">
        <w:t xml:space="preserve"> </w:t>
      </w:r>
      <w:r>
        <w:t>recast with</w:t>
      </w:r>
      <w:r w:rsidRPr="00514689">
        <w:t xml:space="preserve"> the following Bellman equation:</w:t>
      </w:r>
    </w:p>
    <w:p w14:paraId="4C4366FD" w14:textId="7AB7E221" w:rsidR="006C3DEB" w:rsidRPr="00514689" w:rsidRDefault="006C3DEB" w:rsidP="006C3DEB">
      <w:pPr>
        <w:pStyle w:val="MTDisplayEquation"/>
      </w:pPr>
      <w:r w:rsidRPr="00514689">
        <w:tab/>
      </w:r>
      <w:r w:rsidRPr="00E670A7">
        <w:rPr>
          <w:position w:val="-50"/>
        </w:rPr>
        <w:object w:dxaOrig="6680" w:dyaOrig="1120" w14:anchorId="2C242B80">
          <v:shape id="_x0000_i1641" type="#_x0000_t75" style="width:332.4pt;height:57pt" o:ole="">
            <v:imagedata r:id="rId1269" o:title=""/>
          </v:shape>
          <o:OLEObject Type="Embed" ProgID="Equation.DSMT4" ShapeID="_x0000_i1641" DrawAspect="Content" ObjectID="_1754919192" r:id="rId1270"/>
        </w:objec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53</w:instrText>
      </w:r>
      <w:r>
        <w:rPr>
          <w:noProof/>
        </w:rPr>
        <w:fldChar w:fldCharType="end"/>
      </w:r>
      <w:r>
        <w:instrText>)</w:instrText>
      </w:r>
      <w:r>
        <w:fldChar w:fldCharType="end"/>
      </w:r>
    </w:p>
    <w:p w14:paraId="50D2DE7C" w14:textId="77777777" w:rsidR="006C3DEB" w:rsidRDefault="006C3DEB" w:rsidP="006C3DEB">
      <w:r>
        <w:t>with the intertemporal budget constraint:</w:t>
      </w:r>
    </w:p>
    <w:p w14:paraId="44AE2E70" w14:textId="3BCF2794" w:rsidR="006C3DEB" w:rsidRDefault="006C3DEB" w:rsidP="006C3DEB">
      <w:pPr>
        <w:pStyle w:val="MTDisplayEquation"/>
      </w:pPr>
      <w:r>
        <w:tab/>
      </w:r>
      <w:r w:rsidRPr="00E670A7">
        <w:rPr>
          <w:position w:val="-12"/>
        </w:rPr>
        <w:object w:dxaOrig="7600" w:dyaOrig="380" w14:anchorId="02A5895F">
          <v:shape id="_x0000_i1642" type="#_x0000_t75" style="width:382.8pt;height:22.2pt" o:ole="">
            <v:imagedata r:id="rId1271" o:title=""/>
          </v:shape>
          <o:OLEObject Type="Embed" ProgID="Equation.DSMT4" ShapeID="_x0000_i1642" DrawAspect="Content" ObjectID="_1754919193" r:id="rId127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54</w:instrText>
      </w:r>
      <w:r>
        <w:rPr>
          <w:noProof/>
        </w:rPr>
        <w:fldChar w:fldCharType="end"/>
      </w:r>
      <w:r>
        <w:instrText>)</w:instrText>
      </w:r>
      <w:r>
        <w:fldChar w:fldCharType="end"/>
      </w:r>
    </w:p>
    <w:p w14:paraId="69384E09" w14:textId="77777777" w:rsidR="006C3DEB" w:rsidRDefault="006C3DEB" w:rsidP="006C3DEB">
      <w:r>
        <w:t xml:space="preserve">Here </w:t>
      </w:r>
      <w:r w:rsidRPr="00E670A7">
        <w:rPr>
          <w:position w:val="-6"/>
        </w:rPr>
        <w:object w:dxaOrig="279" w:dyaOrig="320" w14:anchorId="2393BA02">
          <v:shape id="_x0000_i1643" type="#_x0000_t75" style="width:15pt;height:15pt" o:ole="">
            <v:imagedata r:id="rId1273" o:title=""/>
          </v:shape>
          <o:OLEObject Type="Embed" ProgID="Equation.DSMT4" ShapeID="_x0000_i1643" DrawAspect="Content" ObjectID="_1754919194" r:id="rId1274"/>
        </w:object>
      </w:r>
      <w:r w:rsidRPr="005407CA">
        <w:t xml:space="preserve"> </w:t>
      </w:r>
      <w:r>
        <w:t xml:space="preserve">is called the value function of the household’s maximisation problem, and </w:t>
      </w:r>
      <w:r w:rsidRPr="00E670A7">
        <w:rPr>
          <w:position w:val="-6"/>
        </w:rPr>
        <w:object w:dxaOrig="340" w:dyaOrig="320" w14:anchorId="7553B6EB">
          <v:shape id="_x0000_i1644" type="#_x0000_t75" style="width:15pt;height:15pt" o:ole="">
            <v:imagedata r:id="rId1275" o:title=""/>
          </v:shape>
          <o:OLEObject Type="Embed" ProgID="Equation.DSMT4" ShapeID="_x0000_i1644" DrawAspect="Content" ObjectID="_1754919195" r:id="rId1276"/>
        </w:object>
      </w:r>
      <w:r>
        <w:t xml:space="preserve">is the reward function for the household’s choice of </w:t>
      </w:r>
      <w:r w:rsidRPr="00E670A7">
        <w:rPr>
          <w:position w:val="-12"/>
        </w:rPr>
        <w:object w:dxaOrig="1440" w:dyaOrig="380" w14:anchorId="279D3E33">
          <v:shape id="_x0000_i1645" type="#_x0000_t75" style="width:1in;height:22.2pt" o:ole="">
            <v:imagedata r:id="rId1277" o:title=""/>
          </v:shape>
          <o:OLEObject Type="Embed" ProgID="Equation.DSMT4" ShapeID="_x0000_i1645" DrawAspect="Content" ObjectID="_1754919196" r:id="rId1278"/>
        </w:object>
      </w:r>
      <w:r>
        <w:t xml:space="preserve">given initial savings of </w:t>
      </w:r>
      <w:r w:rsidRPr="00E670A7">
        <w:rPr>
          <w:position w:val="-12"/>
        </w:rPr>
        <w:object w:dxaOrig="380" w:dyaOrig="380" w14:anchorId="5667E27F">
          <v:shape id="_x0000_i1646" type="#_x0000_t75" style="width:22.2pt;height:22.2pt" o:ole="">
            <v:imagedata r:id="rId1279" o:title=""/>
          </v:shape>
          <o:OLEObject Type="Embed" ProgID="Equation.DSMT4" ShapeID="_x0000_i1646" DrawAspect="Content" ObjectID="_1754919197" r:id="rId1280"/>
        </w:object>
      </w:r>
      <w:r>
        <w:t xml:space="preserve">. Intuitively, </w:t>
      </w:r>
      <w:r w:rsidRPr="00E670A7">
        <w:rPr>
          <w:position w:val="-16"/>
        </w:rPr>
        <w:object w:dxaOrig="840" w:dyaOrig="440" w14:anchorId="6A691646">
          <v:shape id="_x0000_i1647" type="#_x0000_t75" style="width:42.6pt;height:21.6pt" o:ole="">
            <v:imagedata r:id="rId1281" o:title=""/>
          </v:shape>
          <o:OLEObject Type="Embed" ProgID="Equation.DSMT4" ShapeID="_x0000_i1647" DrawAspect="Content" ObjectID="_1754919198" r:id="rId1282"/>
        </w:object>
      </w:r>
      <w:r>
        <w:t xml:space="preserve"> is the optimal level of </w:t>
      </w:r>
      <w:r>
        <w:rPr>
          <w:lang w:val="en-US"/>
        </w:rPr>
        <w:t xml:space="preserve">lifetime utility the household can obtain given initial savings </w:t>
      </w:r>
      <w:r w:rsidRPr="00E670A7">
        <w:rPr>
          <w:position w:val="-12"/>
        </w:rPr>
        <w:object w:dxaOrig="380" w:dyaOrig="380" w14:anchorId="5C886A19">
          <v:shape id="_x0000_i1648" type="#_x0000_t75" style="width:22.2pt;height:22.2pt" o:ole="">
            <v:imagedata r:id="rId1283" o:title=""/>
          </v:shape>
          <o:OLEObject Type="Embed" ProgID="Equation.DSMT4" ShapeID="_x0000_i1648" DrawAspect="Content" ObjectID="_1754919199" r:id="rId1284"/>
        </w:object>
      </w:r>
      <w:r>
        <w:t xml:space="preserve">in period </w:t>
      </w:r>
      <w:r w:rsidRPr="00E670A7">
        <w:rPr>
          <w:position w:val="-6"/>
        </w:rPr>
        <w:object w:dxaOrig="139" w:dyaOrig="240" w14:anchorId="785B25C8">
          <v:shape id="_x0000_i1649" type="#_x0000_t75" style="width:6.6pt;height:15pt" o:ole="">
            <v:imagedata r:id="rId1285" o:title=""/>
          </v:shape>
          <o:OLEObject Type="Embed" ProgID="Equation.DSMT4" ShapeID="_x0000_i1649" DrawAspect="Content" ObjectID="_1754919200" r:id="rId1286"/>
        </w:object>
      </w:r>
      <w:r>
        <w:t xml:space="preserve">; and </w:t>
      </w:r>
      <w:r w:rsidRPr="00E670A7">
        <w:rPr>
          <w:position w:val="-16"/>
        </w:rPr>
        <w:object w:dxaOrig="1140" w:dyaOrig="440" w14:anchorId="5BC56EA7">
          <v:shape id="_x0000_i1650" type="#_x0000_t75" style="width:57pt;height:21.6pt" o:ole="">
            <v:imagedata r:id="rId1287" o:title=""/>
          </v:shape>
          <o:OLEObject Type="Embed" ProgID="Equation.DSMT4" ShapeID="_x0000_i1650" DrawAspect="Content" ObjectID="_1754919201" r:id="rId1288"/>
        </w:object>
      </w:r>
      <w:r w:rsidRPr="005407CA">
        <w:t xml:space="preserve"> </w:t>
      </w:r>
      <w:r>
        <w:t xml:space="preserve">is the continuation value for the household with initial savings </w:t>
      </w:r>
      <w:r w:rsidRPr="00E670A7">
        <w:rPr>
          <w:position w:val="-12"/>
        </w:rPr>
        <w:object w:dxaOrig="520" w:dyaOrig="380" w14:anchorId="4032E664">
          <v:shape id="_x0000_i1651" type="#_x0000_t75" style="width:29.4pt;height:22.2pt" o:ole="">
            <v:imagedata r:id="rId1289" o:title=""/>
          </v:shape>
          <o:OLEObject Type="Embed" ProgID="Equation.DSMT4" ShapeID="_x0000_i1651" DrawAspect="Content" ObjectID="_1754919202" r:id="rId1290"/>
        </w:object>
      </w:r>
      <w:r>
        <w:t xml:space="preserve">in period </w:t>
      </w:r>
      <w:r w:rsidRPr="00E670A7">
        <w:rPr>
          <w:position w:val="-6"/>
        </w:rPr>
        <w:object w:dxaOrig="460" w:dyaOrig="279" w14:anchorId="7BBD6F7A">
          <v:shape id="_x0000_i1652" type="#_x0000_t75" style="width:21.6pt;height:15pt" o:ole="">
            <v:imagedata r:id="rId1291" o:title=""/>
          </v:shape>
          <o:OLEObject Type="Embed" ProgID="Equation.DSMT4" ShapeID="_x0000_i1652" DrawAspect="Content" ObjectID="_1754919203" r:id="rId1292"/>
        </w:object>
      </w:r>
      <w:r>
        <w:t xml:space="preserve">. This alternative representation using Bellman equation demonstrates the household’s recursive problem over time.  </w:t>
      </w:r>
    </w:p>
    <w:p w14:paraId="301696D2" w14:textId="77777777" w:rsidR="006C3DEB" w:rsidRDefault="006C3DEB" w:rsidP="006C3DEB">
      <w:pPr>
        <w:spacing w:before="0" w:after="200" w:line="276" w:lineRule="auto"/>
        <w:rPr>
          <w:rFonts w:asciiTheme="minorHAnsi" w:hAnsiTheme="minorHAnsi" w:cs="Arial"/>
          <w:bCs/>
          <w:color w:val="2C384A" w:themeColor="accent1"/>
          <w:kern w:val="32"/>
          <w:sz w:val="36"/>
          <w:szCs w:val="36"/>
        </w:rPr>
      </w:pPr>
      <w:r>
        <w:br w:type="page"/>
      </w:r>
    </w:p>
    <w:p w14:paraId="6DA4D12D" w14:textId="77777777" w:rsidR="006C3DEB" w:rsidRPr="00514689" w:rsidRDefault="006C3DEB" w:rsidP="006C3DEB">
      <w:pPr>
        <w:pStyle w:val="Heading2NotNumbered"/>
      </w:pPr>
      <w:r>
        <w:lastRenderedPageBreak/>
        <w:t>Solution technique</w:t>
      </w:r>
    </w:p>
    <w:p w14:paraId="66F991D9" w14:textId="77777777" w:rsidR="006C3DEB" w:rsidRDefault="006C3DEB" w:rsidP="006C3DEB">
      <w:r w:rsidRPr="00514689">
        <w:t>Because the household has a finite lifetime</w:t>
      </w:r>
      <w:r>
        <w:t>, we have:</w:t>
      </w:r>
    </w:p>
    <w:p w14:paraId="0F5D1E42" w14:textId="77777777" w:rsidR="006C3DEB" w:rsidRDefault="006C3DEB" w:rsidP="006C3DEB">
      <w:pPr>
        <w:jc w:val="center"/>
      </w:pPr>
      <w:r w:rsidRPr="00E670A7">
        <w:rPr>
          <w:position w:val="-12"/>
        </w:rPr>
        <w:object w:dxaOrig="800" w:dyaOrig="380" w14:anchorId="2D6AA3C4">
          <v:shape id="_x0000_i1653" type="#_x0000_t75" style="width:42.6pt;height:22.2pt" o:ole="">
            <v:imagedata r:id="rId1293" o:title=""/>
          </v:shape>
          <o:OLEObject Type="Embed" ProgID="Equation.DSMT4" ShapeID="_x0000_i1653" DrawAspect="Content" ObjectID="_1754919204" r:id="rId1294"/>
        </w:object>
      </w:r>
    </w:p>
    <w:p w14:paraId="025E7716" w14:textId="77777777" w:rsidR="006C3DEB" w:rsidRDefault="006C3DEB" w:rsidP="006C3DEB">
      <w:pPr>
        <w:jc w:val="center"/>
      </w:pPr>
      <w:r w:rsidRPr="00E670A7">
        <w:rPr>
          <w:position w:val="-16"/>
        </w:rPr>
        <w:object w:dxaOrig="1420" w:dyaOrig="440" w14:anchorId="6F196733">
          <v:shape id="_x0000_i1654" type="#_x0000_t75" style="width:1in;height:21.6pt" o:ole="">
            <v:imagedata r:id="rId1295" o:title=""/>
          </v:shape>
          <o:OLEObject Type="Embed" ProgID="Equation.DSMT4" ShapeID="_x0000_i1654" DrawAspect="Content" ObjectID="_1754919205" r:id="rId1296"/>
        </w:object>
      </w:r>
    </w:p>
    <w:p w14:paraId="7D0B47CD" w14:textId="77777777" w:rsidR="006C3DEB" w:rsidRDefault="006C3DEB" w:rsidP="006C3DEB">
      <w:pPr>
        <w:jc w:val="center"/>
      </w:pPr>
      <w:r w:rsidRPr="00E670A7">
        <w:rPr>
          <w:position w:val="-30"/>
        </w:rPr>
        <w:object w:dxaOrig="1579" w:dyaOrig="780" w14:anchorId="3C98F6EE">
          <v:shape id="_x0000_i1655" type="#_x0000_t75" style="width:78.6pt;height:35.4pt" o:ole="">
            <v:imagedata r:id="rId1297" o:title=""/>
          </v:shape>
          <o:OLEObject Type="Embed" ProgID="Equation.DSMT4" ShapeID="_x0000_i1655" DrawAspect="Content" ObjectID="_1754919206" r:id="rId1298"/>
        </w:object>
      </w:r>
    </w:p>
    <w:p w14:paraId="34CE8840" w14:textId="77777777" w:rsidR="006C3DEB" w:rsidRDefault="006C3DEB" w:rsidP="006C3DEB">
      <w:r>
        <w:t>We can use this information to solve the household’s maximisation problem by backward induction.</w:t>
      </w:r>
      <w:r w:rsidRPr="00253807">
        <w:t xml:space="preserve"> </w:t>
      </w:r>
      <w:r w:rsidRPr="00514689">
        <w:t>Specifically, we have</w:t>
      </w:r>
      <w:r>
        <w:t xml:space="preserve"> the Bellman equation for a household who is 95 years old in period </w:t>
      </w:r>
      <w:r w:rsidRPr="00E670A7">
        <w:rPr>
          <w:position w:val="-6"/>
        </w:rPr>
        <w:object w:dxaOrig="139" w:dyaOrig="240" w14:anchorId="5345D569">
          <v:shape id="_x0000_i1656" type="#_x0000_t75" style="width:6.6pt;height:15pt" o:ole="">
            <v:imagedata r:id="rId1299" o:title=""/>
          </v:shape>
          <o:OLEObject Type="Embed" ProgID="Equation.DSMT4" ShapeID="_x0000_i1656" DrawAspect="Content" ObjectID="_1754919207" r:id="rId1300"/>
        </w:object>
      </w:r>
      <w:r>
        <w:t>:</w:t>
      </w:r>
    </w:p>
    <w:p w14:paraId="724DC4B5" w14:textId="77777777" w:rsidR="006C3DEB" w:rsidRDefault="006C3DEB" w:rsidP="006C3DEB">
      <w:pPr>
        <w:jc w:val="center"/>
      </w:pPr>
      <w:r w:rsidRPr="00E670A7">
        <w:rPr>
          <w:position w:val="-50"/>
        </w:rPr>
        <w:object w:dxaOrig="4459" w:dyaOrig="1120" w14:anchorId="39190BE4">
          <v:shape id="_x0000_i1657" type="#_x0000_t75" style="width:222.6pt;height:57pt" o:ole="">
            <v:imagedata r:id="rId1301" o:title=""/>
          </v:shape>
          <o:OLEObject Type="Embed" ProgID="Equation.DSMT4" ShapeID="_x0000_i1657" DrawAspect="Content" ObjectID="_1754919208" r:id="rId1302"/>
        </w:object>
      </w:r>
    </w:p>
    <w:p w14:paraId="2C803C35" w14:textId="77777777" w:rsidR="006C3DEB" w:rsidRDefault="006C3DEB" w:rsidP="006C3DEB">
      <w:r>
        <w:t xml:space="preserve">Given the functional forms of </w:t>
      </w:r>
      <w:r w:rsidRPr="00E670A7">
        <w:rPr>
          <w:position w:val="-10"/>
        </w:rPr>
        <w:object w:dxaOrig="520" w:dyaOrig="320" w14:anchorId="10E9EF24">
          <v:shape id="_x0000_i1658" type="#_x0000_t75" style="width:29.4pt;height:15pt" o:ole="">
            <v:imagedata r:id="rId1303" o:title=""/>
          </v:shape>
          <o:OLEObject Type="Embed" ProgID="Equation.DSMT4" ShapeID="_x0000_i1658" DrawAspect="Content" ObjectID="_1754919209" r:id="rId1304"/>
        </w:object>
      </w:r>
      <w:r>
        <w:t xml:space="preserve">, the reward function </w:t>
      </w:r>
      <w:r w:rsidRPr="00E670A7">
        <w:rPr>
          <w:position w:val="-6"/>
        </w:rPr>
        <w:object w:dxaOrig="340" w:dyaOrig="320" w14:anchorId="7987EC3A">
          <v:shape id="_x0000_i1659" type="#_x0000_t75" style="width:15pt;height:15pt" o:ole="">
            <v:imagedata r:id="rId1305" o:title=""/>
          </v:shape>
          <o:OLEObject Type="Embed" ProgID="Equation.DSMT4" ShapeID="_x0000_i1659" DrawAspect="Content" ObjectID="_1754919210" r:id="rId1306"/>
        </w:object>
      </w:r>
      <w:r w:rsidRPr="005407CA">
        <w:t xml:space="preserve"> </w:t>
      </w:r>
      <w:r>
        <w:t>is concave in</w:t>
      </w:r>
      <w:r w:rsidRPr="00BF02B9">
        <w:t xml:space="preserve"> </w:t>
      </w:r>
      <w:r w:rsidRPr="00E670A7">
        <w:rPr>
          <w:position w:val="-12"/>
        </w:rPr>
        <w:object w:dxaOrig="900" w:dyaOrig="380" w14:anchorId="6E7E5717">
          <v:shape id="_x0000_i1660" type="#_x0000_t75" style="width:42.6pt;height:22.2pt" o:ole="">
            <v:imagedata r:id="rId1307" o:title=""/>
          </v:shape>
          <o:OLEObject Type="Embed" ProgID="Equation.DSMT4" ShapeID="_x0000_i1660" DrawAspect="Content" ObjectID="_1754919211" r:id="rId1308"/>
        </w:object>
      </w:r>
      <w:r w:rsidRPr="00BF02B9">
        <w:t xml:space="preserve">. </w:t>
      </w:r>
      <w:r>
        <w:t xml:space="preserve">Nevertheless, due to progressivity in personal income tax, means-tested pension and other discontinuous policies, there is no guarantee that </w:t>
      </w:r>
      <w:r w:rsidRPr="00E670A7">
        <w:rPr>
          <w:position w:val="-6"/>
        </w:rPr>
        <w:object w:dxaOrig="340" w:dyaOrig="320" w14:anchorId="7FE00E74">
          <v:shape id="_x0000_i1661" type="#_x0000_t75" style="width:15pt;height:15pt" o:ole="">
            <v:imagedata r:id="rId1309" o:title=""/>
          </v:shape>
          <o:OLEObject Type="Embed" ProgID="Equation.DSMT4" ShapeID="_x0000_i1661" DrawAspect="Content" ObjectID="_1754919212" r:id="rId1310"/>
        </w:object>
      </w:r>
      <w:r>
        <w:t>is concave in labour supply</w:t>
      </w:r>
      <w:r w:rsidRPr="00E670A7">
        <w:rPr>
          <w:position w:val="-12"/>
        </w:rPr>
        <w:object w:dxaOrig="520" w:dyaOrig="380" w14:anchorId="51977725">
          <v:shape id="_x0000_i1662" type="#_x0000_t75" style="width:29.4pt;height:22.2pt" o:ole="">
            <v:imagedata r:id="rId1311" o:title=""/>
          </v:shape>
          <o:OLEObject Type="Embed" ProgID="Equation.DSMT4" ShapeID="_x0000_i1662" DrawAspect="Content" ObjectID="_1754919213" r:id="rId1312"/>
        </w:object>
      </w:r>
      <w:r>
        <w:t xml:space="preserve">. </w:t>
      </w:r>
      <w:r w:rsidRPr="00BF02B9">
        <w:t>Therefore</w:t>
      </w:r>
      <w:r>
        <w:t xml:space="preserve">, we can only use the </w:t>
      </w:r>
      <w:r w:rsidRPr="00514689">
        <w:t>Karush–Kuhn–Tucker conditions</w:t>
      </w:r>
      <w:r>
        <w:t xml:space="preserve"> to find the optimal solution for </w:t>
      </w:r>
      <w:r w:rsidRPr="00E670A7">
        <w:rPr>
          <w:position w:val="-12"/>
        </w:rPr>
        <w:object w:dxaOrig="900" w:dyaOrig="380" w14:anchorId="3AC29BC9">
          <v:shape id="_x0000_i1663" type="#_x0000_t75" style="width:42.6pt;height:22.2pt" o:ole="">
            <v:imagedata r:id="rId1313" o:title=""/>
          </v:shape>
          <o:OLEObject Type="Embed" ProgID="Equation.DSMT4" ShapeID="_x0000_i1663" DrawAspect="Content" ObjectID="_1754919214" r:id="rId1314"/>
        </w:object>
      </w:r>
      <w:r>
        <w:t>,</w:t>
      </w:r>
      <w:r w:rsidRPr="005407CA">
        <w:t xml:space="preserve"> </w:t>
      </w:r>
      <w:r>
        <w:t xml:space="preserve">but rely on grid search for </w:t>
      </w:r>
      <w:r w:rsidRPr="00E670A7">
        <w:rPr>
          <w:position w:val="-12"/>
        </w:rPr>
        <w:object w:dxaOrig="520" w:dyaOrig="380" w14:anchorId="56DF4396">
          <v:shape id="_x0000_i1664" type="#_x0000_t75" style="width:29.4pt;height:22.2pt" o:ole="">
            <v:imagedata r:id="rId1315" o:title=""/>
          </v:shape>
          <o:OLEObject Type="Embed" ProgID="Equation.DSMT4" ShapeID="_x0000_i1664" DrawAspect="Content" ObjectID="_1754919215" r:id="rId1316"/>
        </w:object>
      </w:r>
      <w:r>
        <w:t>.</w:t>
      </w:r>
    </w:p>
    <w:p w14:paraId="4E9278D2" w14:textId="77777777" w:rsidR="006C3DEB" w:rsidRDefault="006C3DEB" w:rsidP="006C3DEB">
      <w:r>
        <w:t>We</w:t>
      </w:r>
      <w:r w:rsidRPr="00514689">
        <w:t xml:space="preserve"> proceed by discretising the</w:t>
      </w:r>
      <w:r>
        <w:t xml:space="preserve"> household’s labour supply.</w:t>
      </w:r>
      <w:r w:rsidRPr="00514689">
        <w:t xml:space="preserve"> </w:t>
      </w:r>
      <w:r>
        <w:t xml:space="preserve">Conditioned on </w:t>
      </w:r>
      <w:r w:rsidRPr="00E670A7">
        <w:rPr>
          <w:position w:val="-14"/>
        </w:rPr>
        <w:object w:dxaOrig="2320" w:dyaOrig="400" w14:anchorId="4E30BBF7">
          <v:shape id="_x0000_i1665" type="#_x0000_t75" style="width:114.6pt;height:22.8pt" o:ole="">
            <v:imagedata r:id="rId1317" o:title=""/>
          </v:shape>
          <o:OLEObject Type="Embed" ProgID="Equation.DSMT4" ShapeID="_x0000_i1665" DrawAspect="Content" ObjectID="_1754919216" r:id="rId1318"/>
        </w:object>
      </w:r>
      <w:r w:rsidRPr="00514689">
        <w:t xml:space="preserve"> for some </w:t>
      </w:r>
      <w:r w:rsidRPr="00E670A7">
        <w:rPr>
          <w:position w:val="-12"/>
        </w:rPr>
        <w:object w:dxaOrig="840" w:dyaOrig="360" w14:anchorId="3EA7D0D7">
          <v:shape id="_x0000_i1666" type="#_x0000_t75" style="width:42.6pt;height:21.6pt" o:ole="">
            <v:imagedata r:id="rId1319" o:title=""/>
          </v:shape>
          <o:OLEObject Type="Embed" ProgID="Equation.DSMT4" ShapeID="_x0000_i1666" DrawAspect="Content" ObjectID="_1754919217" r:id="rId1320"/>
        </w:object>
      </w:r>
      <w:r>
        <w:t xml:space="preserve">,  </w:t>
      </w:r>
      <w:r w:rsidRPr="007B6BEC">
        <w:t xml:space="preserve">the </w:t>
      </w:r>
      <w:r>
        <w:t xml:space="preserve">optimal level of consumption </w:t>
      </w:r>
      <w:r w:rsidRPr="00E670A7">
        <w:rPr>
          <w:position w:val="-12"/>
        </w:rPr>
        <w:object w:dxaOrig="440" w:dyaOrig="380" w14:anchorId="4703A757">
          <v:shape id="_x0000_i1667" type="#_x0000_t75" style="width:21.6pt;height:22.2pt" o:ole="">
            <v:imagedata r:id="rId1321" o:title=""/>
          </v:shape>
          <o:OLEObject Type="Embed" ProgID="Equation.DSMT4" ShapeID="_x0000_i1667" DrawAspect="Content" ObjectID="_1754919218" r:id="rId1322"/>
        </w:object>
      </w:r>
      <w:r>
        <w:t xml:space="preserve"> and savings </w:t>
      </w:r>
      <w:r w:rsidRPr="00E670A7">
        <w:rPr>
          <w:position w:val="-12"/>
        </w:rPr>
        <w:object w:dxaOrig="440" w:dyaOrig="380" w14:anchorId="72378946">
          <v:shape id="_x0000_i1668" type="#_x0000_t75" style="width:21.6pt;height:22.2pt" o:ole="">
            <v:imagedata r:id="rId1323" o:title=""/>
          </v:shape>
          <o:OLEObject Type="Embed" ProgID="Equation.DSMT4" ShapeID="_x0000_i1668" DrawAspect="Content" ObjectID="_1754919219" r:id="rId1324"/>
        </w:object>
      </w:r>
      <w:r>
        <w:t xml:space="preserve"> can be solved through the following </w:t>
      </w:r>
      <w:r w:rsidRPr="00514689">
        <w:t>Lagrangian</w:t>
      </w:r>
      <w:r>
        <w:t>:</w:t>
      </w:r>
      <w:r w:rsidRPr="00514689">
        <w:t xml:space="preserve"> </w:t>
      </w:r>
    </w:p>
    <w:p w14:paraId="6431F9A3" w14:textId="77777777" w:rsidR="006C3DEB" w:rsidRDefault="006C3DEB" w:rsidP="006C3DEB">
      <w:pPr>
        <w:pStyle w:val="SingleParagraph"/>
        <w:jc w:val="center"/>
      </w:pPr>
      <w:r w:rsidRPr="00E670A7">
        <w:rPr>
          <w:position w:val="-66"/>
        </w:rPr>
        <w:object w:dxaOrig="7660" w:dyaOrig="1540" w14:anchorId="579A2602">
          <v:shape id="_x0000_i1669" type="#_x0000_t75" style="width:382.8pt;height:79.2pt" o:ole="">
            <v:imagedata r:id="rId1325" o:title=""/>
          </v:shape>
          <o:OLEObject Type="Embed" ProgID="Equation.DSMT4" ShapeID="_x0000_i1669" DrawAspect="Content" ObjectID="_1754919220" r:id="rId1326"/>
        </w:object>
      </w:r>
    </w:p>
    <w:p w14:paraId="6C42CAE3" w14:textId="77777777" w:rsidR="006C3DEB" w:rsidRPr="00514689" w:rsidRDefault="006C3DEB" w:rsidP="006C3DEB">
      <w:pPr>
        <w:pStyle w:val="SingleParagraph"/>
        <w:jc w:val="center"/>
      </w:pPr>
    </w:p>
    <w:p w14:paraId="596E5D26" w14:textId="77777777" w:rsidR="006C3DEB" w:rsidRDefault="006C3DEB" w:rsidP="006C3DEB">
      <w:pPr>
        <w:spacing w:before="0" w:after="200" w:line="276" w:lineRule="auto"/>
      </w:pPr>
      <w:r>
        <w:br w:type="page"/>
      </w:r>
    </w:p>
    <w:p w14:paraId="79F87037" w14:textId="77777777" w:rsidR="006C3DEB" w:rsidRPr="00514689" w:rsidRDefault="006C3DEB" w:rsidP="006C3DEB">
      <w:r w:rsidRPr="00514689">
        <w:lastRenderedPageBreak/>
        <w:t>The Karush–Kuhn–Tucker conditions imply:</w:t>
      </w:r>
    </w:p>
    <w:p w14:paraId="4AF5E005" w14:textId="0D13E891" w:rsidR="006C3DEB" w:rsidRDefault="006C3DEB" w:rsidP="006C3DEB">
      <w:pPr>
        <w:pStyle w:val="MTDisplayEquation"/>
      </w:pPr>
      <w:r w:rsidRPr="00514689">
        <w:tab/>
      </w:r>
      <w:r w:rsidRPr="00E670A7">
        <w:rPr>
          <w:position w:val="-30"/>
        </w:rPr>
        <w:object w:dxaOrig="3320" w:dyaOrig="780" w14:anchorId="4FB10400">
          <v:shape id="_x0000_i1670" type="#_x0000_t75" style="width:165.6pt;height:35.4pt" o:ole="">
            <v:imagedata r:id="rId1327" o:title=""/>
          </v:shape>
          <o:OLEObject Type="Embed" ProgID="Equation.DSMT4" ShapeID="_x0000_i1670" DrawAspect="Content" ObjectID="_1754919221" r:id="rId1328"/>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55</w:instrText>
      </w:r>
      <w:r>
        <w:rPr>
          <w:noProof/>
        </w:rPr>
        <w:fldChar w:fldCharType="end"/>
      </w:r>
      <w:r>
        <w:instrText>)</w:instrText>
      </w:r>
      <w:r>
        <w:fldChar w:fldCharType="end"/>
      </w:r>
    </w:p>
    <w:p w14:paraId="55A00B56" w14:textId="7007EDE2" w:rsidR="006C3DEB" w:rsidRPr="00514689" w:rsidRDefault="006C3DEB" w:rsidP="006C3DEB">
      <w:pPr>
        <w:pStyle w:val="MTDisplayEquation"/>
      </w:pPr>
      <w:r w:rsidRPr="00514689">
        <w:tab/>
      </w:r>
      <w:r w:rsidRPr="00E670A7">
        <w:rPr>
          <w:position w:val="-30"/>
        </w:rPr>
        <w:object w:dxaOrig="4180" w:dyaOrig="780" w14:anchorId="54F355B5">
          <v:shape id="_x0000_i1671" type="#_x0000_t75" style="width:210pt;height:35.4pt" o:ole="">
            <v:imagedata r:id="rId1329" o:title=""/>
          </v:shape>
          <o:OLEObject Type="Embed" ProgID="Equation.DSMT4" ShapeID="_x0000_i1671" DrawAspect="Content" ObjectID="_1754919222" r:id="rId1330"/>
        </w:objec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56</w:instrText>
      </w:r>
      <w:r>
        <w:rPr>
          <w:noProof/>
        </w:rPr>
        <w:fldChar w:fldCharType="end"/>
      </w:r>
      <w:r>
        <w:instrText>)</w:instrText>
      </w:r>
      <w:r>
        <w:fldChar w:fldCharType="end"/>
      </w:r>
    </w:p>
    <w:p w14:paraId="77DFD52E" w14:textId="77777777" w:rsidR="006C3DEB" w:rsidRPr="00514689" w:rsidRDefault="006C3DEB" w:rsidP="006C3DEB">
      <w:r>
        <w:t>Together with</w:t>
      </w:r>
      <w:r w:rsidRPr="00514689">
        <w:t xml:space="preserve"> the comple</w:t>
      </w:r>
      <w:r>
        <w:t>mentary slackness conditions:</w:t>
      </w:r>
      <w:r w:rsidRPr="00514689">
        <w:t xml:space="preserve"> </w:t>
      </w:r>
    </w:p>
    <w:p w14:paraId="610237FA" w14:textId="4B137AAA" w:rsidR="006C3DEB" w:rsidRPr="00514689" w:rsidRDefault="006C3DEB" w:rsidP="006C3DEB">
      <w:pPr>
        <w:pStyle w:val="MTDisplayEquation"/>
      </w:pPr>
      <w:r w:rsidRPr="00514689">
        <w:tab/>
      </w:r>
      <w:r w:rsidRPr="00E670A7">
        <w:rPr>
          <w:position w:val="-12"/>
        </w:rPr>
        <w:object w:dxaOrig="859" w:dyaOrig="380" w14:anchorId="162BD533">
          <v:shape id="_x0000_i1672" type="#_x0000_t75" style="width:42.6pt;height:22.2pt" o:ole="">
            <v:imagedata r:id="rId1331" o:title=""/>
          </v:shape>
          <o:OLEObject Type="Embed" ProgID="Equation.DSMT4" ShapeID="_x0000_i1672" DrawAspect="Content" ObjectID="_1754919223" r:id="rId1332"/>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57</w:instrText>
      </w:r>
      <w:r>
        <w:rPr>
          <w:noProof/>
        </w:rPr>
        <w:fldChar w:fldCharType="end"/>
      </w:r>
      <w:r>
        <w:instrText>)</w:instrText>
      </w:r>
      <w:r>
        <w:fldChar w:fldCharType="end"/>
      </w:r>
    </w:p>
    <w:p w14:paraId="2D2A4BD0" w14:textId="3A75E936" w:rsidR="006C3DEB" w:rsidRPr="00514689" w:rsidRDefault="006C3DEB" w:rsidP="006C3DEB">
      <w:pPr>
        <w:pStyle w:val="MTDisplayEquation"/>
      </w:pPr>
      <w:r w:rsidRPr="00514689">
        <w:tab/>
      </w:r>
      <w:r w:rsidRPr="00E670A7">
        <w:rPr>
          <w:position w:val="-12"/>
        </w:rPr>
        <w:object w:dxaOrig="1160" w:dyaOrig="380" w14:anchorId="2A9ED434">
          <v:shape id="_x0000_i1673" type="#_x0000_t75" style="width:57pt;height:22.2pt" o:ole="">
            <v:imagedata r:id="rId1333" o:title=""/>
          </v:shape>
          <o:OLEObject Type="Embed" ProgID="Equation.DSMT4" ShapeID="_x0000_i1673" DrawAspect="Content" ObjectID="_1754919224" r:id="rId1334"/>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58</w:instrText>
      </w:r>
      <w:r>
        <w:rPr>
          <w:noProof/>
        </w:rPr>
        <w:fldChar w:fldCharType="end"/>
      </w:r>
      <w:r>
        <w:instrText>)</w:instrText>
      </w:r>
      <w:r>
        <w:fldChar w:fldCharType="end"/>
      </w:r>
    </w:p>
    <w:p w14:paraId="4AAB23CF" w14:textId="424BCBB3" w:rsidR="006C3DEB" w:rsidRPr="00514689" w:rsidRDefault="006C3DEB" w:rsidP="006C3DEB">
      <w:pPr>
        <w:pStyle w:val="MTDisplayEquation"/>
      </w:pPr>
      <w:r w:rsidRPr="00514689">
        <w:tab/>
      </w:r>
      <w:r w:rsidRPr="00E670A7">
        <w:rPr>
          <w:position w:val="-16"/>
        </w:rPr>
        <w:object w:dxaOrig="1800" w:dyaOrig="440" w14:anchorId="2A3F9E17">
          <v:shape id="_x0000_i1674" type="#_x0000_t75" style="width:93.6pt;height:21.6pt" o:ole="">
            <v:imagedata r:id="rId1335" o:title=""/>
          </v:shape>
          <o:OLEObject Type="Embed" ProgID="Equation.DSMT4" ShapeID="_x0000_i1674" DrawAspect="Content" ObjectID="_1754919225" r:id="rId1336"/>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59</w:instrText>
      </w:r>
      <w:r>
        <w:rPr>
          <w:noProof/>
        </w:rPr>
        <w:fldChar w:fldCharType="end"/>
      </w:r>
      <w:r>
        <w:instrText>)</w:instrText>
      </w:r>
      <w:r>
        <w:fldChar w:fldCharType="end"/>
      </w:r>
    </w:p>
    <w:p w14:paraId="22898D59" w14:textId="77777777" w:rsidR="006C3DEB" w:rsidRPr="00514689" w:rsidRDefault="006C3DEB" w:rsidP="006C3DEB">
      <w:r>
        <w:t xml:space="preserve">By substitution, </w:t>
      </w:r>
      <w:r w:rsidRPr="00514689">
        <w:t>we have:</w:t>
      </w:r>
    </w:p>
    <w:p w14:paraId="12005E4F" w14:textId="7668A833" w:rsidR="006C3DEB" w:rsidRPr="00514689" w:rsidRDefault="006C3DEB" w:rsidP="006C3DEB">
      <w:pPr>
        <w:pStyle w:val="MTDisplayEquation"/>
      </w:pPr>
      <w:r w:rsidRPr="00514689">
        <w:tab/>
      </w:r>
      <w:r w:rsidRPr="00E670A7">
        <w:rPr>
          <w:position w:val="-30"/>
        </w:rPr>
        <w:object w:dxaOrig="5040" w:dyaOrig="780" w14:anchorId="65A0B1F8">
          <v:shape id="_x0000_i1675" type="#_x0000_t75" style="width:253.8pt;height:35.4pt" o:ole="">
            <v:imagedata r:id="rId1337" o:title=""/>
          </v:shape>
          <o:OLEObject Type="Embed" ProgID="Equation.DSMT4" ShapeID="_x0000_i1675" DrawAspect="Content" ObjectID="_1754919226" r:id="rId1338"/>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bookmarkStart w:id="46" w:name="ZEqnNum714073"/>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60</w:instrText>
      </w:r>
      <w:r>
        <w:rPr>
          <w:noProof/>
        </w:rPr>
        <w:fldChar w:fldCharType="end"/>
      </w:r>
      <w:r>
        <w:instrText>)</w:instrText>
      </w:r>
      <w:bookmarkEnd w:id="46"/>
      <w:r>
        <w:fldChar w:fldCharType="end"/>
      </w:r>
    </w:p>
    <w:p w14:paraId="332EC169" w14:textId="6F48C7ED" w:rsidR="006C3DEB" w:rsidRDefault="006C3DEB" w:rsidP="006C3DEB">
      <w:r w:rsidRPr="00514689">
        <w:t>The compl</w:t>
      </w:r>
      <w:r>
        <w:t>ementarity slackness conditions</w:t>
      </w:r>
      <w:r w:rsidRPr="00514689">
        <w:t xml:space="preserve"> suggest that either </w:t>
      </w:r>
      <w:r w:rsidRPr="00E670A7">
        <w:rPr>
          <w:position w:val="-12"/>
        </w:rPr>
        <w:object w:dxaOrig="859" w:dyaOrig="380" w14:anchorId="60D85A39">
          <v:shape id="_x0000_i1676" type="#_x0000_t75" style="width:42.6pt;height:22.2pt" o:ole="">
            <v:imagedata r:id="rId1339" o:title=""/>
          </v:shape>
          <o:OLEObject Type="Embed" ProgID="Equation.DSMT4" ShapeID="_x0000_i1676" DrawAspect="Content" ObjectID="_1754919227" r:id="rId1340"/>
        </w:object>
      </w:r>
      <w:r w:rsidRPr="005407CA">
        <w:t xml:space="preserve"> </w:t>
      </w:r>
      <w:r w:rsidRPr="00514689">
        <w:t xml:space="preserve"> or </w:t>
      </w:r>
      <w:r w:rsidRPr="00E670A7">
        <w:rPr>
          <w:position w:val="-12"/>
        </w:rPr>
        <w:object w:dxaOrig="820" w:dyaOrig="380" w14:anchorId="670A2275">
          <v:shape id="_x0000_i1677" type="#_x0000_t75" style="width:42.6pt;height:22.2pt" o:ole="">
            <v:imagedata r:id="rId1341" o:title=""/>
          </v:shape>
          <o:OLEObject Type="Embed" ProgID="Equation.DSMT4" ShapeID="_x0000_i1677" DrawAspect="Content" ObjectID="_1754919228" r:id="rId1342"/>
        </w:object>
      </w:r>
      <w:r w:rsidRPr="00514689">
        <w:t>. Therefore, we can proceed by trial-and-error. First, we assume</w:t>
      </w:r>
      <w:r w:rsidRPr="00E670A7">
        <w:rPr>
          <w:position w:val="-12"/>
        </w:rPr>
        <w:object w:dxaOrig="859" w:dyaOrig="380" w14:anchorId="0AD8D5F9">
          <v:shape id="_x0000_i1678" type="#_x0000_t75" style="width:42.6pt;height:22.2pt" o:ole="">
            <v:imagedata r:id="rId1343" o:title=""/>
          </v:shape>
          <o:OLEObject Type="Embed" ProgID="Equation.DSMT4" ShapeID="_x0000_i1678" DrawAspect="Content" ObjectID="_1754919229" r:id="rId1344"/>
        </w:object>
      </w:r>
      <w:r w:rsidRPr="00514689">
        <w:t xml:space="preserve">, and solve for </w:t>
      </w:r>
      <w:r w:rsidRPr="00E670A7">
        <w:rPr>
          <w:position w:val="-12"/>
        </w:rPr>
        <w:object w:dxaOrig="440" w:dyaOrig="380" w14:anchorId="3B956169">
          <v:shape id="_x0000_i1679" type="#_x0000_t75" style="width:21.6pt;height:22.2pt" o:ole="">
            <v:imagedata r:id="rId1345" o:title=""/>
          </v:shape>
          <o:OLEObject Type="Embed" ProgID="Equation.DSMT4" ShapeID="_x0000_i1679" DrawAspect="Content" ObjectID="_1754919230" r:id="rId1346"/>
        </w:object>
      </w:r>
      <w:r w:rsidRPr="005407CA">
        <w:t xml:space="preserve"> </w:t>
      </w:r>
      <w:r>
        <w:t xml:space="preserve">that satisfies equation </w:t>
      </w:r>
      <w:r>
        <w:fldChar w:fldCharType="begin"/>
      </w:r>
      <w:r>
        <w:instrText xml:space="preserve"> GOTOBUTTON ZEqnNum714073  \* MERGEFORMAT </w:instrText>
      </w:r>
      <w:r w:rsidR="00E00A52">
        <w:instrText>(60)</w:instrText>
      </w:r>
      <w:r>
        <w:fldChar w:fldCharType="end"/>
      </w:r>
      <w:r w:rsidRPr="00514689">
        <w:t xml:space="preserve">. We then check if </w:t>
      </w:r>
      <w:r w:rsidRPr="00E670A7">
        <w:rPr>
          <w:position w:val="-12"/>
        </w:rPr>
        <w:object w:dxaOrig="820" w:dyaOrig="380" w14:anchorId="6CC6DC92">
          <v:shape id="_x0000_i1680" type="#_x0000_t75" style="width:42.6pt;height:22.2pt" o:ole="">
            <v:imagedata r:id="rId1347" o:title=""/>
          </v:shape>
          <o:OLEObject Type="Embed" ProgID="Equation.DSMT4" ShapeID="_x0000_i1680" DrawAspect="Content" ObjectID="_1754919231" r:id="rId1348"/>
        </w:object>
      </w:r>
      <w:r w:rsidRPr="00514689">
        <w:t>. If so, we obtain the solution</w:t>
      </w:r>
      <w:r>
        <w:t xml:space="preserve"> </w:t>
      </w:r>
      <w:r w:rsidRPr="00E670A7">
        <w:rPr>
          <w:position w:val="-6"/>
        </w:rPr>
        <w:object w:dxaOrig="440" w:dyaOrig="380" w14:anchorId="2408CEAB">
          <v:shape id="_x0000_i1681" type="#_x0000_t75" style="width:21.6pt;height:22.2pt" o:ole="">
            <v:imagedata r:id="rId1349" o:title=""/>
          </v:shape>
          <o:OLEObject Type="Embed" ProgID="Equation.DSMT4" ShapeID="_x0000_i1681" DrawAspect="Content" ObjectID="_1754919232" r:id="rId1350"/>
        </w:object>
      </w:r>
      <w:r w:rsidRPr="00514689">
        <w:t xml:space="preserve">; otherwise, we let </w:t>
      </w:r>
      <w:r w:rsidRPr="00E670A7">
        <w:rPr>
          <w:position w:val="-10"/>
        </w:rPr>
        <w:object w:dxaOrig="820" w:dyaOrig="420" w14:anchorId="00ED32E4">
          <v:shape id="_x0000_i1682" type="#_x0000_t75" style="width:42.6pt;height:22.2pt" o:ole="">
            <v:imagedata r:id="rId1351" o:title=""/>
          </v:shape>
          <o:OLEObject Type="Embed" ProgID="Equation.DSMT4" ShapeID="_x0000_i1682" DrawAspect="Content" ObjectID="_1754919233" r:id="rId1352"/>
        </w:object>
      </w:r>
      <w:r w:rsidRPr="005407CA">
        <w:t xml:space="preserve"> </w:t>
      </w:r>
      <w:r w:rsidRPr="00514689">
        <w:t>as the complementarity slackness condition suggests.</w:t>
      </w:r>
      <w:r>
        <w:t xml:space="preserve"> Given </w:t>
      </w:r>
      <w:r w:rsidRPr="00E670A7">
        <w:rPr>
          <w:position w:val="-12"/>
        </w:rPr>
        <w:object w:dxaOrig="1460" w:dyaOrig="440" w14:anchorId="26C61438">
          <v:shape id="_x0000_i1683" type="#_x0000_t75" style="width:1in;height:21.6pt" o:ole="">
            <v:imagedata r:id="rId1353" o:title=""/>
          </v:shape>
          <o:OLEObject Type="Embed" ProgID="Equation.DSMT4" ShapeID="_x0000_i1683" DrawAspect="Content" ObjectID="_1754919234" r:id="rId1354"/>
        </w:object>
      </w:r>
      <w:r>
        <w:t xml:space="preserve">, we can then use the household’s intertemporal budget constraint to obtain </w:t>
      </w:r>
      <w:r w:rsidRPr="00E670A7">
        <w:rPr>
          <w:position w:val="-6"/>
        </w:rPr>
        <w:object w:dxaOrig="440" w:dyaOrig="380" w14:anchorId="18027573">
          <v:shape id="_x0000_i1684" type="#_x0000_t75" style="width:21.6pt;height:22.2pt" o:ole="">
            <v:imagedata r:id="rId1355" o:title=""/>
          </v:shape>
          <o:OLEObject Type="Embed" ProgID="Equation.DSMT4" ShapeID="_x0000_i1684" DrawAspect="Content" ObjectID="_1754919235" r:id="rId1356"/>
        </w:object>
      </w:r>
      <w:r>
        <w:t>.</w:t>
      </w:r>
    </w:p>
    <w:p w14:paraId="23BEA247" w14:textId="77777777" w:rsidR="006C3DEB" w:rsidRDefault="006C3DEB" w:rsidP="006C3DEB">
      <w:r>
        <w:t xml:space="preserve">Proceeding as prescribed above along the grid of labour supply </w:t>
      </w:r>
      <w:r w:rsidRPr="00E670A7">
        <w:rPr>
          <w:position w:val="-14"/>
        </w:rPr>
        <w:object w:dxaOrig="1620" w:dyaOrig="400" w14:anchorId="3160783C">
          <v:shape id="_x0000_i1685" type="#_x0000_t75" style="width:78.6pt;height:22.8pt" o:ole="">
            <v:imagedata r:id="rId1357" o:title=""/>
          </v:shape>
          <o:OLEObject Type="Embed" ProgID="Equation.DSMT4" ShapeID="_x0000_i1685" DrawAspect="Content" ObjectID="_1754919236" r:id="rId1358"/>
        </w:object>
      </w:r>
      <w:r>
        <w:t xml:space="preserve">, we obtain a set of candidate solutions </w:t>
      </w:r>
      <w:r w:rsidRPr="00E670A7">
        <w:rPr>
          <w:position w:val="-26"/>
        </w:rPr>
        <w:object w:dxaOrig="5600" w:dyaOrig="600" w14:anchorId="5CF16183">
          <v:shape id="_x0000_i1686" type="#_x0000_t75" style="width:282pt;height:29.4pt" o:ole="">
            <v:imagedata r:id="rId1359" o:title=""/>
          </v:shape>
          <o:OLEObject Type="Embed" ProgID="Equation.DSMT4" ShapeID="_x0000_i1686" DrawAspect="Content" ObjectID="_1754919237" r:id="rId1360"/>
        </w:object>
      </w:r>
      <w:r w:rsidRPr="005407CA">
        <w:t xml:space="preserve"> </w:t>
      </w:r>
      <w:r>
        <w:t xml:space="preserve">to the Bellman equation </w:t>
      </w:r>
      <w:r>
        <w:rPr>
          <w:lang w:val="en-US"/>
        </w:rPr>
        <w:t xml:space="preserve">given initial savings </w:t>
      </w:r>
      <w:r w:rsidRPr="00E670A7">
        <w:rPr>
          <w:position w:val="-12"/>
        </w:rPr>
        <w:object w:dxaOrig="440" w:dyaOrig="380" w14:anchorId="3336BA44">
          <v:shape id="_x0000_i1687" type="#_x0000_t75" style="width:21.6pt;height:22.2pt" o:ole="">
            <v:imagedata r:id="rId1361" o:title=""/>
          </v:shape>
          <o:OLEObject Type="Embed" ProgID="Equation.DSMT4" ShapeID="_x0000_i1687" DrawAspect="Content" ObjectID="_1754919238" r:id="rId1362"/>
        </w:object>
      </w:r>
      <w:r>
        <w:t xml:space="preserve">. The optimal solution </w:t>
      </w:r>
      <w:r w:rsidRPr="00E670A7">
        <w:rPr>
          <w:position w:val="-12"/>
        </w:rPr>
        <w:object w:dxaOrig="1780" w:dyaOrig="380" w14:anchorId="5594926D">
          <v:shape id="_x0000_i1688" type="#_x0000_t75" style="width:87pt;height:22.2pt" o:ole="">
            <v:imagedata r:id="rId1363" o:title=""/>
          </v:shape>
          <o:OLEObject Type="Embed" ProgID="Equation.DSMT4" ShapeID="_x0000_i1688" DrawAspect="Content" ObjectID="_1754919239" r:id="rId1364"/>
        </w:object>
      </w:r>
      <w:r w:rsidRPr="005407CA">
        <w:t xml:space="preserve"> </w:t>
      </w:r>
      <w:r>
        <w:t>is one that maximises the value of the Bellman equation.</w:t>
      </w:r>
    </w:p>
    <w:p w14:paraId="63643C0E" w14:textId="77777777" w:rsidR="006C3DEB" w:rsidRDefault="006C3DEB" w:rsidP="006C3DEB">
      <w:r>
        <w:t xml:space="preserve">Now knowing </w:t>
      </w:r>
      <w:r w:rsidRPr="00E670A7">
        <w:rPr>
          <w:position w:val="-12"/>
        </w:rPr>
        <w:object w:dxaOrig="1780" w:dyaOrig="380" w14:anchorId="3FC243A1">
          <v:shape id="_x0000_i1689" type="#_x0000_t75" style="width:87pt;height:22.2pt" o:ole="">
            <v:imagedata r:id="rId1365" o:title=""/>
          </v:shape>
          <o:OLEObject Type="Embed" ProgID="Equation.DSMT4" ShapeID="_x0000_i1689" DrawAspect="Content" ObjectID="_1754919240" r:id="rId1366"/>
        </w:object>
      </w:r>
      <w:r w:rsidRPr="005407CA">
        <w:t xml:space="preserve"> </w:t>
      </w:r>
      <w:r>
        <w:t xml:space="preserve">and </w:t>
      </w:r>
      <w:r w:rsidRPr="00E670A7">
        <w:rPr>
          <w:position w:val="-16"/>
        </w:rPr>
        <w:object w:dxaOrig="900" w:dyaOrig="440" w14:anchorId="1AA93DC6">
          <v:shape id="_x0000_i1690" type="#_x0000_t75" style="width:42.6pt;height:21.6pt" o:ole="">
            <v:imagedata r:id="rId1367" o:title=""/>
          </v:shape>
          <o:OLEObject Type="Embed" ProgID="Equation.DSMT4" ShapeID="_x0000_i1690" DrawAspect="Content" ObjectID="_1754919241" r:id="rId1368"/>
        </w:object>
      </w:r>
      <w:r w:rsidRPr="005407CA">
        <w:t xml:space="preserve"> </w:t>
      </w:r>
      <w:r>
        <w:t xml:space="preserve">given </w:t>
      </w:r>
      <w:r>
        <w:rPr>
          <w:lang w:val="en-US"/>
        </w:rPr>
        <w:t xml:space="preserve">initial savings </w:t>
      </w:r>
      <w:r w:rsidRPr="00E670A7">
        <w:rPr>
          <w:position w:val="-12"/>
        </w:rPr>
        <w:object w:dxaOrig="440" w:dyaOrig="380" w14:anchorId="69B396F0">
          <v:shape id="_x0000_i1691" type="#_x0000_t75" style="width:21.6pt;height:22.2pt" o:ole="">
            <v:imagedata r:id="rId1369" o:title=""/>
          </v:shape>
          <o:OLEObject Type="Embed" ProgID="Equation.DSMT4" ShapeID="_x0000_i1691" DrawAspect="Content" ObjectID="_1754919242" r:id="rId1370"/>
        </w:object>
      </w:r>
      <w:r>
        <w:t xml:space="preserve">, </w:t>
      </w:r>
      <w:r w:rsidRPr="00514689">
        <w:t xml:space="preserve">we </w:t>
      </w:r>
      <w:r>
        <w:t xml:space="preserve">can move backward to solve the household’s Bellman equation at age 94 in period </w:t>
      </w:r>
      <w:r w:rsidRPr="00E670A7">
        <w:rPr>
          <w:position w:val="-6"/>
        </w:rPr>
        <w:object w:dxaOrig="440" w:dyaOrig="279" w14:anchorId="29B2765E">
          <v:shape id="_x0000_i1692" type="#_x0000_t75" style="width:21.6pt;height:15pt" o:ole="">
            <v:imagedata r:id="rId1371" o:title=""/>
          </v:shape>
          <o:OLEObject Type="Embed" ProgID="Equation.DSMT4" ShapeID="_x0000_i1692" DrawAspect="Content" ObjectID="_1754919243" r:id="rId1372"/>
        </w:object>
      </w:r>
      <w:r>
        <w:t>:</w:t>
      </w:r>
    </w:p>
    <w:p w14:paraId="1760E31E" w14:textId="77777777" w:rsidR="006C3DEB" w:rsidRDefault="006C3DEB" w:rsidP="006C3DEB">
      <w:pPr>
        <w:jc w:val="center"/>
      </w:pPr>
      <w:r w:rsidRPr="00E670A7">
        <w:rPr>
          <w:position w:val="-50"/>
        </w:rPr>
        <w:object w:dxaOrig="6720" w:dyaOrig="1120" w14:anchorId="3E73AD52">
          <v:shape id="_x0000_i1693" type="#_x0000_t75" style="width:339.6pt;height:57pt" o:ole="">
            <v:imagedata r:id="rId1373" o:title=""/>
          </v:shape>
          <o:OLEObject Type="Embed" ProgID="Equation.DSMT4" ShapeID="_x0000_i1693" DrawAspect="Content" ObjectID="_1754919244" r:id="rId1374"/>
        </w:object>
      </w:r>
    </w:p>
    <w:p w14:paraId="7AF5BD4D" w14:textId="77777777" w:rsidR="006C3DEB" w:rsidRDefault="006C3DEB" w:rsidP="006C3DEB">
      <w:r>
        <w:lastRenderedPageBreak/>
        <w:t>F</w:t>
      </w:r>
      <w:r w:rsidRPr="00BF02B9">
        <w:t>ollowing Stachurski (2011, Chapter 5)</w:t>
      </w:r>
      <w:r>
        <w:t xml:space="preserve">, one can prove that the reward function </w:t>
      </w:r>
      <w:r w:rsidRPr="00E670A7">
        <w:rPr>
          <w:position w:val="-6"/>
        </w:rPr>
        <w:object w:dxaOrig="480" w:dyaOrig="320" w14:anchorId="76CCECF7">
          <v:shape id="_x0000_i1694" type="#_x0000_t75" style="width:21.6pt;height:15pt" o:ole="">
            <v:imagedata r:id="rId1375" o:title=""/>
          </v:shape>
          <o:OLEObject Type="Embed" ProgID="Equation.DSMT4" ShapeID="_x0000_i1694" DrawAspect="Content" ObjectID="_1754919245" r:id="rId1376"/>
        </w:object>
      </w:r>
      <w:r w:rsidRPr="005407CA">
        <w:t xml:space="preserve"> </w:t>
      </w:r>
      <w:r>
        <w:t>is concave in</w:t>
      </w:r>
      <w:r w:rsidRPr="00BF02B9">
        <w:t xml:space="preserve"> </w:t>
      </w:r>
      <w:r w:rsidRPr="00E670A7">
        <w:rPr>
          <w:position w:val="-12"/>
        </w:rPr>
        <w:object w:dxaOrig="900" w:dyaOrig="380" w14:anchorId="2EABB931">
          <v:shape id="_x0000_i1695" type="#_x0000_t75" style="width:42.6pt;height:22.2pt" o:ole="">
            <v:imagedata r:id="rId1377" o:title=""/>
          </v:shape>
          <o:OLEObject Type="Embed" ProgID="Equation.DSMT4" ShapeID="_x0000_i1695" DrawAspect="Content" ObjectID="_1754919246" r:id="rId1378"/>
        </w:object>
      </w:r>
      <w:r>
        <w:t xml:space="preserve">. But again, there is no guarantee that </w:t>
      </w:r>
      <w:r w:rsidRPr="00E670A7">
        <w:rPr>
          <w:position w:val="-6"/>
        </w:rPr>
        <w:object w:dxaOrig="480" w:dyaOrig="320" w14:anchorId="0CEC5137">
          <v:shape id="_x0000_i1696" type="#_x0000_t75" style="width:21.6pt;height:15pt" o:ole="">
            <v:imagedata r:id="rId1379" o:title=""/>
          </v:shape>
          <o:OLEObject Type="Embed" ProgID="Equation.DSMT4" ShapeID="_x0000_i1696" DrawAspect="Content" ObjectID="_1754919247" r:id="rId1380"/>
        </w:object>
      </w:r>
      <w:r w:rsidRPr="005407CA">
        <w:t xml:space="preserve"> </w:t>
      </w:r>
      <w:r>
        <w:t xml:space="preserve">is concave in labour supply </w:t>
      </w:r>
      <w:r w:rsidRPr="00E670A7">
        <w:rPr>
          <w:position w:val="-12"/>
        </w:rPr>
        <w:object w:dxaOrig="540" w:dyaOrig="380" w14:anchorId="60F4583C">
          <v:shape id="_x0000_i1697" type="#_x0000_t75" style="width:29.4pt;height:22.2pt" o:ole="">
            <v:imagedata r:id="rId1381" o:title=""/>
          </v:shape>
          <o:OLEObject Type="Embed" ProgID="Equation.DSMT4" ShapeID="_x0000_i1697" DrawAspect="Content" ObjectID="_1754919248" r:id="rId1382"/>
        </w:object>
      </w:r>
      <w:r>
        <w:t>.</w:t>
      </w:r>
    </w:p>
    <w:p w14:paraId="406C3725" w14:textId="77777777" w:rsidR="006C3DEB" w:rsidRDefault="006C3DEB" w:rsidP="006C3DEB">
      <w:r>
        <w:t xml:space="preserve">Conditioned on </w:t>
      </w:r>
      <w:r w:rsidRPr="00E670A7">
        <w:rPr>
          <w:position w:val="-14"/>
        </w:rPr>
        <w:object w:dxaOrig="2340" w:dyaOrig="400" w14:anchorId="18E9EAEA">
          <v:shape id="_x0000_i1698" type="#_x0000_t75" style="width:114.6pt;height:22.8pt" o:ole="">
            <v:imagedata r:id="rId1383" o:title=""/>
          </v:shape>
          <o:OLEObject Type="Embed" ProgID="Equation.DSMT4" ShapeID="_x0000_i1698" DrawAspect="Content" ObjectID="_1754919249" r:id="rId1384"/>
        </w:object>
      </w:r>
      <w:r>
        <w:t>, we have the following Lagrangian:</w:t>
      </w:r>
      <w:r w:rsidRPr="00514689">
        <w:t xml:space="preserve"> </w:t>
      </w:r>
    </w:p>
    <w:p w14:paraId="128C702B" w14:textId="77777777" w:rsidR="006C3DEB" w:rsidRDefault="006C3DEB" w:rsidP="006C3DEB">
      <w:pPr>
        <w:jc w:val="center"/>
      </w:pPr>
      <w:r w:rsidRPr="00E670A7">
        <w:rPr>
          <w:position w:val="-66"/>
        </w:rPr>
        <w:object w:dxaOrig="9100" w:dyaOrig="1579" w14:anchorId="60E5C2CF">
          <v:shape id="_x0000_i1699" type="#_x0000_t75" style="width:453.6pt;height:78.6pt" o:ole="">
            <v:imagedata r:id="rId1385" o:title=""/>
          </v:shape>
          <o:OLEObject Type="Embed" ProgID="Equation.DSMT4" ShapeID="_x0000_i1699" DrawAspect="Content" ObjectID="_1754919250" r:id="rId1386"/>
        </w:object>
      </w:r>
    </w:p>
    <w:p w14:paraId="30B7E06A" w14:textId="77777777" w:rsidR="006C3DEB" w:rsidRPr="00514689" w:rsidRDefault="006C3DEB" w:rsidP="006C3DEB">
      <w:r w:rsidRPr="00514689">
        <w:t>The Karush–Kuhn–Tucker conditions for optimality</w:t>
      </w:r>
      <w:r>
        <w:t xml:space="preserve"> again</w:t>
      </w:r>
      <w:r w:rsidRPr="00514689">
        <w:t xml:space="preserve"> imply:</w:t>
      </w:r>
    </w:p>
    <w:p w14:paraId="1928FE3A" w14:textId="777A5941" w:rsidR="006C3DEB" w:rsidRPr="00514689" w:rsidRDefault="006C3DEB" w:rsidP="006C3DEB">
      <w:pPr>
        <w:pStyle w:val="MTDisplayEquation"/>
      </w:pPr>
      <w:r w:rsidRPr="00514689">
        <w:tab/>
      </w:r>
      <w:r w:rsidRPr="00E670A7">
        <w:rPr>
          <w:position w:val="-30"/>
        </w:rPr>
        <w:object w:dxaOrig="3440" w:dyaOrig="780" w14:anchorId="696F7B0E">
          <v:shape id="_x0000_i1700" type="#_x0000_t75" style="width:173.4pt;height:35.4pt" o:ole="">
            <v:imagedata r:id="rId1387" o:title=""/>
          </v:shape>
          <o:OLEObject Type="Embed" ProgID="Equation.DSMT4" ShapeID="_x0000_i1700" DrawAspect="Content" ObjectID="_1754919251" r:id="rId1388"/>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61</w:instrText>
      </w:r>
      <w:r>
        <w:rPr>
          <w:noProof/>
        </w:rPr>
        <w:fldChar w:fldCharType="end"/>
      </w:r>
      <w:r>
        <w:instrText>)</w:instrText>
      </w:r>
      <w:r>
        <w:fldChar w:fldCharType="end"/>
      </w:r>
    </w:p>
    <w:p w14:paraId="54ADC7FE" w14:textId="4CD2BA06" w:rsidR="006C3DEB" w:rsidRPr="00514689" w:rsidRDefault="006C3DEB" w:rsidP="006C3DEB">
      <w:pPr>
        <w:pStyle w:val="MTDisplayEquation"/>
      </w:pPr>
      <w:r w:rsidRPr="00514689">
        <w:tab/>
      </w:r>
      <w:r w:rsidRPr="00E670A7">
        <w:rPr>
          <w:position w:val="-38"/>
        </w:rPr>
        <w:object w:dxaOrig="7000" w:dyaOrig="880" w14:anchorId="74D0AB96">
          <v:shape id="_x0000_i1701" type="#_x0000_t75" style="width:353.4pt;height:42.6pt" o:ole="">
            <v:imagedata r:id="rId1389" o:title=""/>
          </v:shape>
          <o:OLEObject Type="Embed" ProgID="Equation.DSMT4" ShapeID="_x0000_i1701" DrawAspect="Content" ObjectID="_1754919252" r:id="rId1390"/>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bookmarkStart w:id="47" w:name="ZEqnNum350822"/>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62</w:instrText>
      </w:r>
      <w:r>
        <w:rPr>
          <w:noProof/>
        </w:rPr>
        <w:fldChar w:fldCharType="end"/>
      </w:r>
      <w:r>
        <w:instrText>)</w:instrText>
      </w:r>
      <w:bookmarkEnd w:id="47"/>
      <w:r>
        <w:fldChar w:fldCharType="end"/>
      </w:r>
    </w:p>
    <w:p w14:paraId="29DE3BB5" w14:textId="77777777" w:rsidR="006C3DEB" w:rsidRPr="00514689" w:rsidRDefault="006C3DEB" w:rsidP="006C3DEB">
      <w:r>
        <w:t>with</w:t>
      </w:r>
      <w:r w:rsidRPr="00514689">
        <w:t xml:space="preserve"> the complementary slackness condition</w:t>
      </w:r>
      <w:r>
        <w:t>s:</w:t>
      </w:r>
    </w:p>
    <w:p w14:paraId="4DA55FD3" w14:textId="69556C30" w:rsidR="006C3DEB" w:rsidRPr="00514689" w:rsidRDefault="006C3DEB" w:rsidP="006C3DEB">
      <w:pPr>
        <w:pStyle w:val="MTDisplayEquation"/>
      </w:pPr>
      <w:r w:rsidRPr="00514689">
        <w:tab/>
      </w:r>
      <w:r w:rsidRPr="00E670A7">
        <w:rPr>
          <w:position w:val="-12"/>
        </w:rPr>
        <w:object w:dxaOrig="859" w:dyaOrig="380" w14:anchorId="0453A217">
          <v:shape id="_x0000_i1702" type="#_x0000_t75" style="width:42.6pt;height:22.2pt" o:ole="">
            <v:imagedata r:id="rId1391" o:title=""/>
          </v:shape>
          <o:OLEObject Type="Embed" ProgID="Equation.DSMT4" ShapeID="_x0000_i1702" DrawAspect="Content" ObjectID="_1754919253" r:id="rId1392"/>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63</w:instrText>
      </w:r>
      <w:r>
        <w:rPr>
          <w:noProof/>
        </w:rPr>
        <w:fldChar w:fldCharType="end"/>
      </w:r>
      <w:r>
        <w:instrText>)</w:instrText>
      </w:r>
      <w:r>
        <w:fldChar w:fldCharType="end"/>
      </w:r>
    </w:p>
    <w:p w14:paraId="5C5A1005" w14:textId="5565438A" w:rsidR="006C3DEB" w:rsidRPr="00514689" w:rsidRDefault="006C3DEB" w:rsidP="006C3DEB">
      <w:pPr>
        <w:pStyle w:val="MTDisplayEquation"/>
      </w:pPr>
      <w:r w:rsidRPr="00514689">
        <w:tab/>
      </w:r>
      <w:r w:rsidRPr="00E670A7">
        <w:rPr>
          <w:position w:val="-12"/>
        </w:rPr>
        <w:object w:dxaOrig="1160" w:dyaOrig="380" w14:anchorId="177E04EE">
          <v:shape id="_x0000_i1703" type="#_x0000_t75" style="width:57pt;height:22.2pt" o:ole="">
            <v:imagedata r:id="rId1393" o:title=""/>
          </v:shape>
          <o:OLEObject Type="Embed" ProgID="Equation.DSMT4" ShapeID="_x0000_i1703" DrawAspect="Content" ObjectID="_1754919254" r:id="rId1394"/>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64</w:instrText>
      </w:r>
      <w:r>
        <w:rPr>
          <w:noProof/>
        </w:rPr>
        <w:fldChar w:fldCharType="end"/>
      </w:r>
      <w:r>
        <w:instrText>)</w:instrText>
      </w:r>
      <w:r>
        <w:fldChar w:fldCharType="end"/>
      </w:r>
    </w:p>
    <w:p w14:paraId="06257F04" w14:textId="3E43E673" w:rsidR="006C3DEB" w:rsidRPr="00514689" w:rsidRDefault="006C3DEB" w:rsidP="006C3DEB">
      <w:pPr>
        <w:pStyle w:val="MTDisplayEquation"/>
      </w:pPr>
      <w:r w:rsidRPr="00514689">
        <w:tab/>
      </w:r>
      <w:r w:rsidRPr="00E670A7">
        <w:rPr>
          <w:position w:val="-16"/>
        </w:rPr>
        <w:object w:dxaOrig="1800" w:dyaOrig="440" w14:anchorId="588FD741">
          <v:shape id="_x0000_i1704" type="#_x0000_t75" style="width:93.6pt;height:21.6pt" o:ole="">
            <v:imagedata r:id="rId1395" o:title=""/>
          </v:shape>
          <o:OLEObject Type="Embed" ProgID="Equation.DSMT4" ShapeID="_x0000_i1704" DrawAspect="Content" ObjectID="_1754919255" r:id="rId1396"/>
        </w:objec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65</w:instrText>
      </w:r>
      <w:r>
        <w:rPr>
          <w:noProof/>
        </w:rPr>
        <w:fldChar w:fldCharType="end"/>
      </w:r>
      <w:r>
        <w:instrText>)</w:instrText>
      </w:r>
      <w:r>
        <w:fldChar w:fldCharType="end"/>
      </w:r>
    </w:p>
    <w:p w14:paraId="67865ED8" w14:textId="77777777" w:rsidR="006C3DEB" w:rsidRPr="00514689" w:rsidRDefault="006C3DEB" w:rsidP="006C3DEB">
      <w:r>
        <w:t>The envelop theorem also suggests</w:t>
      </w:r>
      <w:r w:rsidRPr="00514689">
        <w:t>:</w:t>
      </w:r>
    </w:p>
    <w:p w14:paraId="28F16C9F" w14:textId="6519F6DC" w:rsidR="006C3DEB" w:rsidRPr="00514689" w:rsidRDefault="006C3DEB" w:rsidP="006C3DEB">
      <w:pPr>
        <w:pStyle w:val="MTDisplayEquation"/>
      </w:pPr>
      <w:r w:rsidRPr="00514689">
        <w:tab/>
      </w:r>
      <w:r w:rsidRPr="00E670A7">
        <w:rPr>
          <w:position w:val="-90"/>
        </w:rPr>
        <w:object w:dxaOrig="5280" w:dyaOrig="1920" w14:anchorId="2141CCAE">
          <v:shape id="_x0000_i1705" type="#_x0000_t75" style="width:266.4pt;height:93.6pt" o:ole="">
            <v:imagedata r:id="rId1397" o:title=""/>
          </v:shape>
          <o:OLEObject Type="Embed" ProgID="Equation.DSMT4" ShapeID="_x0000_i1705" DrawAspect="Content" ObjectID="_1754919256" r:id="rId1398"/>
        </w:object>
      </w:r>
      <w:r w:rsidRPr="005407CA">
        <w:t xml:space="preserve"> </w:t>
      </w:r>
      <w:r w:rsidRPr="00514689">
        <w:t xml:space="preserve"> </w:t>
      </w:r>
      <w:r w:rsidRPr="0051468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66</w:instrText>
      </w:r>
      <w:r>
        <w:rPr>
          <w:noProof/>
        </w:rPr>
        <w:fldChar w:fldCharType="end"/>
      </w:r>
      <w:r>
        <w:instrText>)</w:instrText>
      </w:r>
      <w:r>
        <w:fldChar w:fldCharType="end"/>
      </w:r>
    </w:p>
    <w:p w14:paraId="50E0D5AB" w14:textId="77777777" w:rsidR="006C3DEB" w:rsidRDefault="006C3DEB" w:rsidP="006C3DEB">
      <w:pPr>
        <w:spacing w:before="0" w:after="200" w:line="276" w:lineRule="auto"/>
      </w:pPr>
      <w:r>
        <w:br w:type="page"/>
      </w:r>
    </w:p>
    <w:p w14:paraId="5C71ED04" w14:textId="77777777" w:rsidR="006C3DEB" w:rsidRDefault="006C3DEB" w:rsidP="006C3DEB">
      <w:r>
        <w:lastRenderedPageBreak/>
        <w:t>By substitution, we have</w:t>
      </w:r>
      <w:r w:rsidRPr="00514689">
        <w:t>:</w:t>
      </w:r>
    </w:p>
    <w:p w14:paraId="199EA1E0" w14:textId="77777777" w:rsidR="006C3DEB" w:rsidRDefault="006C3DEB" w:rsidP="006C3DEB">
      <w:pPr>
        <w:pStyle w:val="MTDisplayEquation"/>
      </w:pPr>
      <w:r w:rsidRPr="00514689">
        <w:tab/>
      </w:r>
      <w:r w:rsidRPr="00E670A7">
        <w:rPr>
          <w:position w:val="-70"/>
        </w:rPr>
        <w:object w:dxaOrig="10280" w:dyaOrig="1520" w14:anchorId="7455F08C">
          <v:shape id="_x0000_i1706" type="#_x0000_t75" style="width:511.2pt;height:78.6pt" o:ole="">
            <v:imagedata r:id="rId1399" o:title=""/>
          </v:shape>
          <o:OLEObject Type="Embed" ProgID="Equation.DSMT4" ShapeID="_x0000_i1706" DrawAspect="Content" ObjectID="_1754919257" r:id="rId1400"/>
        </w:object>
      </w:r>
      <w:r w:rsidRPr="005407CA">
        <w:t xml:space="preserve"> </w:t>
      </w:r>
      <w:r>
        <w:t>We solve this equation with the intertemporal budget constraint and</w:t>
      </w:r>
      <w:r w:rsidRPr="003C415D">
        <w:t xml:space="preserve"> </w:t>
      </w:r>
      <w:r w:rsidRPr="00514689">
        <w:t>compl</w:t>
      </w:r>
      <w:r>
        <w:t xml:space="preserve">ementarity slackness conditions in a similar way as discussed above to obtain the optimal solutions to the household’s Bellman equation at age 94 in period </w:t>
      </w:r>
      <w:r w:rsidRPr="00E670A7">
        <w:rPr>
          <w:position w:val="-6"/>
        </w:rPr>
        <w:object w:dxaOrig="440" w:dyaOrig="279" w14:anchorId="1FFA13B0">
          <v:shape id="_x0000_i1707" type="#_x0000_t75" style="width:21.6pt;height:15pt" o:ole="">
            <v:imagedata r:id="rId1401" o:title=""/>
          </v:shape>
          <o:OLEObject Type="Embed" ProgID="Equation.DSMT4" ShapeID="_x0000_i1707" DrawAspect="Content" ObjectID="_1754919258" r:id="rId1402"/>
        </w:object>
      </w:r>
      <w:r>
        <w:t>. After this, we go further backward and repeat the</w:t>
      </w:r>
      <w:r w:rsidRPr="00514689">
        <w:t xml:space="preserve"> </w:t>
      </w:r>
      <w:r>
        <w:t xml:space="preserve">process </w:t>
      </w:r>
      <w:r w:rsidRPr="00514689">
        <w:t>until we der</w:t>
      </w:r>
      <w:r>
        <w:t>ive the optimal solutions</w:t>
      </w:r>
      <w:r w:rsidRPr="00E670A7">
        <w:rPr>
          <w:position w:val="-12"/>
        </w:rPr>
        <w:object w:dxaOrig="1600" w:dyaOrig="380" w14:anchorId="57D1FEE8">
          <v:shape id="_x0000_i1708" type="#_x0000_t75" style="width:78.6pt;height:22.2pt" o:ole="">
            <v:imagedata r:id="rId1403" o:title=""/>
          </v:shape>
          <o:OLEObject Type="Embed" ProgID="Equation.DSMT4" ShapeID="_x0000_i1708" DrawAspect="Content" ObjectID="_1754919259" r:id="rId1404"/>
        </w:object>
      </w:r>
      <w:r w:rsidRPr="005407CA">
        <w:t xml:space="preserve"> </w:t>
      </w:r>
      <w:r>
        <w:t xml:space="preserve">for any initial savings </w:t>
      </w:r>
      <w:r w:rsidRPr="00E670A7">
        <w:rPr>
          <w:position w:val="-12"/>
        </w:rPr>
        <w:object w:dxaOrig="380" w:dyaOrig="380" w14:anchorId="2E2CFE6C">
          <v:shape id="_x0000_i1709" type="#_x0000_t75" style="width:22.2pt;height:22.2pt" o:ole="">
            <v:imagedata r:id="rId1405" o:title=""/>
          </v:shape>
          <o:OLEObject Type="Embed" ProgID="Equation.DSMT4" ShapeID="_x0000_i1709" DrawAspect="Content" ObjectID="_1754919260" r:id="rId1406"/>
        </w:object>
      </w:r>
      <w:r>
        <w:t>from age 21 to 95</w:t>
      </w:r>
      <w:r w:rsidRPr="00514689">
        <w:t xml:space="preserve">. </w:t>
      </w:r>
    </w:p>
    <w:p w14:paraId="75B4C5AB" w14:textId="77777777" w:rsidR="006C3DEB" w:rsidRPr="00514689" w:rsidRDefault="006C3DEB" w:rsidP="006C3DEB">
      <w:pPr>
        <w:pStyle w:val="MTDisplayEquation"/>
      </w:pPr>
      <w:r>
        <w:t xml:space="preserve">Knowing the optimal decision rules, </w:t>
      </w:r>
      <w:r w:rsidRPr="00514689">
        <w:t xml:space="preserve">we </w:t>
      </w:r>
      <w:r>
        <w:t xml:space="preserve">can finally </w:t>
      </w:r>
      <w:r w:rsidRPr="00514689">
        <w:t>work forward to derive the household’s optimal life-time</w:t>
      </w:r>
      <w:r>
        <w:t xml:space="preserve"> </w:t>
      </w:r>
      <w:r w:rsidRPr="00514689">
        <w:t>labour supply</w:t>
      </w:r>
      <w:r>
        <w:t>,</w:t>
      </w:r>
      <w:r w:rsidRPr="00514689">
        <w:t xml:space="preserve"> consumption, and </w:t>
      </w:r>
      <w:r>
        <w:t xml:space="preserve">savings, </w:t>
      </w:r>
      <w:r w:rsidRPr="00514689">
        <w:t xml:space="preserve">given </w:t>
      </w:r>
      <w:r>
        <w:t>initial savings</w:t>
      </w:r>
      <w:r w:rsidRPr="00514689">
        <w:t xml:space="preserve"> at age </w:t>
      </w:r>
      <w:r>
        <w:t>2</w:t>
      </w:r>
      <w:r w:rsidRPr="00514689">
        <w:t>1.</w:t>
      </w:r>
    </w:p>
    <w:p w14:paraId="33103346" w14:textId="77777777" w:rsidR="006C3DEB" w:rsidRDefault="006C3DEB" w:rsidP="006C3DEB"/>
    <w:p w14:paraId="0F8BCB8A" w14:textId="77777777" w:rsidR="006C3DEB" w:rsidRDefault="006C3DEB" w:rsidP="006C3DEB">
      <w:pPr>
        <w:sectPr w:rsidR="006C3DEB" w:rsidSect="00B7535E">
          <w:pgSz w:w="11906" w:h="16838" w:code="9"/>
          <w:pgMar w:top="1843" w:right="1418" w:bottom="1418" w:left="1418" w:header="709" w:footer="709" w:gutter="0"/>
          <w:cols w:space="708"/>
          <w:titlePg/>
          <w:docGrid w:linePitch="360"/>
        </w:sectPr>
      </w:pPr>
    </w:p>
    <w:p w14:paraId="010C2F13" w14:textId="77777777" w:rsidR="006C3DEB" w:rsidRDefault="006C3DEB" w:rsidP="006C3DEB">
      <w:pPr>
        <w:pStyle w:val="Heading1"/>
      </w:pPr>
      <w:r>
        <w:lastRenderedPageBreak/>
        <w:t>Appendix C: F</w:t>
      </w:r>
      <w:r w:rsidRPr="006D302D">
        <w:t>irm</w:t>
      </w:r>
      <w:r>
        <w:t>’</w:t>
      </w:r>
      <w:r w:rsidRPr="006D302D">
        <w:t>s optimisation problem</w:t>
      </w:r>
    </w:p>
    <w:p w14:paraId="4B769962" w14:textId="77777777" w:rsidR="006C3DEB" w:rsidRDefault="006C3DEB" w:rsidP="006C3DEB">
      <w:r w:rsidRPr="00EA42CC">
        <w:t xml:space="preserve">As noted in Section 2, </w:t>
      </w:r>
      <w:r>
        <w:t>the objective for the representative firm in each sector is to choose the</w:t>
      </w:r>
      <w:r w:rsidRPr="00EF1360">
        <w:t xml:space="preserve"> level of production</w:t>
      </w:r>
      <w:r>
        <w:t xml:space="preserve"> (that is, the level of </w:t>
      </w:r>
      <w:r w:rsidRPr="00EF1360">
        <w:t>capital, labour</w:t>
      </w:r>
      <w:r>
        <w:t xml:space="preserve"> and </w:t>
      </w:r>
      <w:r w:rsidRPr="00EF1360">
        <w:t>intermediate</w:t>
      </w:r>
      <w:r>
        <w:t xml:space="preserve"> inputs)</w:t>
      </w:r>
      <w:r w:rsidRPr="00EF1360">
        <w:t xml:space="preserve"> </w:t>
      </w:r>
      <w:r>
        <w:t>to maximise the</w:t>
      </w:r>
      <w:r w:rsidRPr="00EF1360">
        <w:t xml:space="preserve"> </w:t>
      </w:r>
      <w:r>
        <w:t>market value of equity:</w:t>
      </w:r>
    </w:p>
    <w:p w14:paraId="1FE72842" w14:textId="77777777" w:rsidR="006C3DEB" w:rsidRPr="007B6BEC" w:rsidRDefault="006C3DEB" w:rsidP="006C3DEB">
      <w:pPr>
        <w:pStyle w:val="MTDisplayEquation"/>
      </w:pPr>
      <w:r w:rsidRPr="007B6BEC">
        <w:tab/>
      </w:r>
      <w:r w:rsidRPr="00E670A7">
        <w:rPr>
          <w:position w:val="-32"/>
        </w:rPr>
        <w:object w:dxaOrig="2799" w:dyaOrig="760" w14:anchorId="0F293D8B">
          <v:shape id="_x0000_i1710" type="#_x0000_t75" style="width:137.4pt;height:35.4pt" o:ole="">
            <v:imagedata r:id="rId1407" o:title=""/>
          </v:shape>
          <o:OLEObject Type="Embed" ProgID="Equation.DSMT4" ShapeID="_x0000_i1710" DrawAspect="Content" ObjectID="_1754919261" r:id="rId1408"/>
        </w:object>
      </w:r>
      <w:r w:rsidRPr="007B6BEC">
        <w:tab/>
      </w:r>
    </w:p>
    <w:p w14:paraId="02004140" w14:textId="77777777" w:rsidR="006C3DEB" w:rsidRDefault="006C3DEB" w:rsidP="006C3DEB">
      <w:pPr>
        <w:pStyle w:val="MTDisplayEquation"/>
      </w:pPr>
      <w:r>
        <w:t xml:space="preserve">This is </w:t>
      </w:r>
      <w:r w:rsidRPr="00EF1360">
        <w:t xml:space="preserve">subject to </w:t>
      </w:r>
      <w:r>
        <w:t>the debt-to-capital ratio:</w:t>
      </w:r>
    </w:p>
    <w:p w14:paraId="5ED3DC7C" w14:textId="77777777" w:rsidR="006C3DEB" w:rsidRPr="00582826" w:rsidRDefault="006C3DEB" w:rsidP="006C3DEB">
      <w:pPr>
        <w:jc w:val="center"/>
      </w:pPr>
      <w:r w:rsidRPr="00E670A7">
        <w:rPr>
          <w:position w:val="-14"/>
        </w:rPr>
        <w:object w:dxaOrig="1540" w:dyaOrig="400" w14:anchorId="3C2ABBD6">
          <v:shape id="_x0000_i1711" type="#_x0000_t75" style="width:79.2pt;height:22.8pt" o:ole="">
            <v:imagedata r:id="rId1409" o:title=""/>
          </v:shape>
          <o:OLEObject Type="Embed" ProgID="Equation.DSMT4" ShapeID="_x0000_i1711" DrawAspect="Content" ObjectID="_1754919262" r:id="rId1410"/>
        </w:object>
      </w:r>
    </w:p>
    <w:p w14:paraId="00BE6FA6" w14:textId="77777777" w:rsidR="006C3DEB" w:rsidRPr="007B6BEC" w:rsidRDefault="006C3DEB" w:rsidP="006C3DEB">
      <w:r w:rsidRPr="007B6BEC">
        <w:t>earnings before i</w:t>
      </w:r>
      <w:r>
        <w:t>nterest, tax and amortisation</w:t>
      </w:r>
      <w:r w:rsidRPr="007B6BEC">
        <w:t>:</w:t>
      </w:r>
    </w:p>
    <w:p w14:paraId="24CDDB52" w14:textId="77777777" w:rsidR="006C3DEB" w:rsidRPr="007B6BEC" w:rsidRDefault="006C3DEB" w:rsidP="006C3DEB">
      <w:pPr>
        <w:pStyle w:val="MTDisplayEquation"/>
      </w:pPr>
      <w:r w:rsidRPr="007B6BEC">
        <w:tab/>
      </w:r>
      <w:r w:rsidRPr="00E670A7">
        <w:rPr>
          <w:position w:val="-14"/>
        </w:rPr>
        <w:object w:dxaOrig="3620" w:dyaOrig="400" w14:anchorId="4E74DF60">
          <v:shape id="_x0000_i1712" type="#_x0000_t75" style="width:178.2pt;height:22.8pt" o:ole="">
            <v:imagedata r:id="rId1411" o:title=""/>
          </v:shape>
          <o:OLEObject Type="Embed" ProgID="Equation.DSMT4" ShapeID="_x0000_i1712" DrawAspect="Content" ObjectID="_1754919263" r:id="rId1412"/>
        </w:object>
      </w:r>
      <w:r w:rsidRPr="007B6BEC">
        <w:tab/>
      </w:r>
    </w:p>
    <w:p w14:paraId="08638C1F" w14:textId="77777777" w:rsidR="006C3DEB" w:rsidRDefault="006C3DEB" w:rsidP="006C3DEB">
      <w:r>
        <w:t>company income tax:</w:t>
      </w:r>
    </w:p>
    <w:p w14:paraId="6E032A22" w14:textId="77777777" w:rsidR="006C3DEB" w:rsidRDefault="006C3DEB" w:rsidP="006C3DEB">
      <w:pPr>
        <w:pStyle w:val="MTDisplayEquation"/>
        <w:jc w:val="center"/>
      </w:pPr>
      <w:r w:rsidRPr="00E670A7">
        <w:rPr>
          <w:position w:val="-14"/>
        </w:rPr>
        <w:object w:dxaOrig="4720" w:dyaOrig="400" w14:anchorId="74AA4F85">
          <v:shape id="_x0000_i1713" type="#_x0000_t75" style="width:237.6pt;height:22.8pt" o:ole="">
            <v:imagedata r:id="rId1413" o:title=""/>
          </v:shape>
          <o:OLEObject Type="Embed" ProgID="Equation.DSMT4" ShapeID="_x0000_i1713" DrawAspect="Content" ObjectID="_1754919264" r:id="rId1414"/>
        </w:object>
      </w:r>
      <w:r w:rsidRPr="005407CA">
        <w:t xml:space="preserve"> </w:t>
      </w:r>
    </w:p>
    <w:p w14:paraId="0A744AA3" w14:textId="77777777" w:rsidR="006C3DEB" w:rsidRDefault="006C3DEB" w:rsidP="006C3DEB">
      <w:pPr>
        <w:pStyle w:val="MTDisplayEquation"/>
      </w:pPr>
      <w:r w:rsidRPr="007B6BEC">
        <w:t>budget constraint</w:t>
      </w:r>
      <w:r>
        <w:t>:</w:t>
      </w:r>
    </w:p>
    <w:p w14:paraId="2A5FF6DB" w14:textId="77777777" w:rsidR="006C3DEB" w:rsidRDefault="006C3DEB" w:rsidP="006C3DEB">
      <w:pPr>
        <w:pStyle w:val="MTDisplayEquation"/>
        <w:jc w:val="center"/>
      </w:pPr>
      <w:r w:rsidRPr="00E670A7">
        <w:rPr>
          <w:position w:val="-14"/>
        </w:rPr>
        <w:object w:dxaOrig="4920" w:dyaOrig="400" w14:anchorId="44B9A5DD">
          <v:shape id="_x0000_i1714" type="#_x0000_t75" style="width:245.4pt;height:22.8pt" o:ole="">
            <v:imagedata r:id="rId1415" o:title=""/>
          </v:shape>
          <o:OLEObject Type="Embed" ProgID="Equation.DSMT4" ShapeID="_x0000_i1714" DrawAspect="Content" ObjectID="_1754919265" r:id="rId1416"/>
        </w:object>
      </w:r>
    </w:p>
    <w:p w14:paraId="3E8DE668" w14:textId="77777777" w:rsidR="006C3DEB" w:rsidRDefault="006C3DEB" w:rsidP="006C3DEB">
      <w:pPr>
        <w:pStyle w:val="MTDisplayEquation"/>
      </w:pPr>
      <w:r>
        <w:t>law of motion for capital:</w:t>
      </w:r>
    </w:p>
    <w:p w14:paraId="64CCFC1F" w14:textId="77777777" w:rsidR="006C3DEB" w:rsidRDefault="006C3DEB" w:rsidP="006C3DEB">
      <w:pPr>
        <w:pStyle w:val="MTDisplayEquation"/>
        <w:jc w:val="center"/>
      </w:pPr>
      <w:r w:rsidRPr="00E670A7">
        <w:rPr>
          <w:position w:val="-14"/>
        </w:rPr>
        <w:object w:dxaOrig="2960" w:dyaOrig="380" w14:anchorId="211CF591">
          <v:shape id="_x0000_i1715" type="#_x0000_t75" style="width:2in;height:22.2pt" o:ole="">
            <v:imagedata r:id="rId1417" o:title=""/>
          </v:shape>
          <o:OLEObject Type="Embed" ProgID="Equation.DSMT4" ShapeID="_x0000_i1715" DrawAspect="Content" ObjectID="_1754919266" r:id="rId1418"/>
        </w:object>
      </w:r>
    </w:p>
    <w:p w14:paraId="26F11106" w14:textId="77777777" w:rsidR="006C3DEB" w:rsidRDefault="006C3DEB" w:rsidP="006C3DEB">
      <w:pPr>
        <w:pStyle w:val="MTDisplayEquation"/>
      </w:pPr>
      <w:r>
        <w:t xml:space="preserve">and production technology: </w:t>
      </w:r>
    </w:p>
    <w:p w14:paraId="0926CBE7" w14:textId="77777777" w:rsidR="006C3DEB" w:rsidRDefault="006C3DEB" w:rsidP="006C3DEB">
      <w:pPr>
        <w:jc w:val="center"/>
      </w:pPr>
      <w:r w:rsidRPr="00E670A7">
        <w:rPr>
          <w:position w:val="-48"/>
        </w:rPr>
        <w:object w:dxaOrig="7880" w:dyaOrig="1280" w14:anchorId="6F056CD4">
          <v:shape id="_x0000_i1716" type="#_x0000_t75" style="width:395.4pt;height:65.4pt" o:ole="">
            <v:imagedata r:id="rId1419" o:title=""/>
          </v:shape>
          <o:OLEObject Type="Embed" ProgID="Equation.DSMT4" ShapeID="_x0000_i1716" DrawAspect="Content" ObjectID="_1754919267" r:id="rId1420"/>
        </w:object>
      </w:r>
    </w:p>
    <w:p w14:paraId="306923A7" w14:textId="77777777" w:rsidR="006C3DEB" w:rsidRDefault="006C3DEB" w:rsidP="006C3DEB">
      <w:pPr>
        <w:spacing w:before="0" w:after="200" w:line="276" w:lineRule="auto"/>
        <w:rPr>
          <w:rFonts w:asciiTheme="minorHAnsi" w:hAnsiTheme="minorHAnsi" w:cs="Arial"/>
          <w:bCs/>
          <w:color w:val="2C384A" w:themeColor="accent1"/>
          <w:kern w:val="32"/>
          <w:sz w:val="36"/>
          <w:szCs w:val="36"/>
        </w:rPr>
      </w:pPr>
      <w:r>
        <w:br w:type="page"/>
      </w:r>
    </w:p>
    <w:p w14:paraId="4C898320" w14:textId="77777777" w:rsidR="006C3DEB" w:rsidRPr="00514689" w:rsidRDefault="006C3DEB" w:rsidP="006C3DEB">
      <w:pPr>
        <w:pStyle w:val="Heading2NotNumbered"/>
      </w:pPr>
      <w:r>
        <w:lastRenderedPageBreak/>
        <w:t>First order conditions</w:t>
      </w:r>
    </w:p>
    <w:p w14:paraId="52784B13" w14:textId="77777777" w:rsidR="006C3DEB" w:rsidRDefault="006C3DEB" w:rsidP="006C3DEB">
      <w:r>
        <w:t>Dropping the subscript for a production sector, the Lagrangian for the representative firm’s problem is:</w:t>
      </w:r>
    </w:p>
    <w:p w14:paraId="6BE4F9AE" w14:textId="77777777" w:rsidR="006C3DEB" w:rsidRDefault="006C3DEB" w:rsidP="006C3DEB">
      <w:pPr>
        <w:pStyle w:val="MTDisplayEquation"/>
      </w:pPr>
      <w:r>
        <w:tab/>
      </w:r>
      <w:r w:rsidRPr="00BE06BC">
        <w:rPr>
          <w:position w:val="-38"/>
        </w:rPr>
        <w:object w:dxaOrig="9139" w:dyaOrig="6000" w14:anchorId="3E2CE0D9">
          <v:shape id="_x0000_i1717" type="#_x0000_t75" style="width:457.2pt;height:303pt" o:ole="">
            <v:imagedata r:id="rId1421" o:title=""/>
          </v:shape>
          <o:OLEObject Type="Embed" ProgID="Equation.DSMT4" ShapeID="_x0000_i1717" DrawAspect="Content" ObjectID="_1754919268" r:id="rId1422"/>
        </w:object>
      </w:r>
      <w:r>
        <w:t xml:space="preserve">Here </w:t>
      </w:r>
      <w:r w:rsidRPr="00E670A7">
        <w:rPr>
          <w:position w:val="-12"/>
        </w:rPr>
        <w:object w:dxaOrig="320" w:dyaOrig="380" w14:anchorId="5ABACAF5">
          <v:shape id="_x0000_i1718" type="#_x0000_t75" style="width:15pt;height:22.2pt" o:ole="">
            <v:imagedata r:id="rId1423" o:title=""/>
          </v:shape>
          <o:OLEObject Type="Embed" ProgID="Equation.DSMT4" ShapeID="_x0000_i1718" DrawAspect="Content" ObjectID="_1754919269" r:id="rId1424"/>
        </w:object>
      </w:r>
      <w:r>
        <w:t>,</w:t>
      </w:r>
      <w:r w:rsidRPr="00E670A7">
        <w:rPr>
          <w:position w:val="-12"/>
        </w:rPr>
        <w:object w:dxaOrig="320" w:dyaOrig="380" w14:anchorId="4B0908F2">
          <v:shape id="_x0000_i1719" type="#_x0000_t75" style="width:15pt;height:22.2pt" o:ole="">
            <v:imagedata r:id="rId1425" o:title=""/>
          </v:shape>
          <o:OLEObject Type="Embed" ProgID="Equation.DSMT4" ShapeID="_x0000_i1719" DrawAspect="Content" ObjectID="_1754919270" r:id="rId1426"/>
        </w:object>
      </w:r>
      <w:r>
        <w:t xml:space="preserve">, </w:t>
      </w:r>
      <w:r w:rsidRPr="00E670A7">
        <w:rPr>
          <w:position w:val="-12"/>
        </w:rPr>
        <w:object w:dxaOrig="400" w:dyaOrig="380" w14:anchorId="34A913FE">
          <v:shape id="_x0000_i1720" type="#_x0000_t75" style="width:22.8pt;height:22.2pt" o:ole="">
            <v:imagedata r:id="rId1427" o:title=""/>
          </v:shape>
          <o:OLEObject Type="Embed" ProgID="Equation.DSMT4" ShapeID="_x0000_i1720" DrawAspect="Content" ObjectID="_1754919271" r:id="rId1428"/>
        </w:object>
      </w:r>
      <w:r>
        <w:t xml:space="preserve">, </w:t>
      </w:r>
      <w:r w:rsidRPr="00E670A7">
        <w:rPr>
          <w:position w:val="-12"/>
        </w:rPr>
        <w:object w:dxaOrig="340" w:dyaOrig="380" w14:anchorId="5570B636">
          <v:shape id="_x0000_i1721" type="#_x0000_t75" style="width:15pt;height:22.2pt" o:ole="">
            <v:imagedata r:id="rId1429" o:title=""/>
          </v:shape>
          <o:OLEObject Type="Embed" ProgID="Equation.DSMT4" ShapeID="_x0000_i1721" DrawAspect="Content" ObjectID="_1754919272" r:id="rId1430"/>
        </w:object>
      </w:r>
      <w:r>
        <w:t xml:space="preserve">, </w:t>
      </w:r>
      <w:r w:rsidRPr="00E670A7">
        <w:rPr>
          <w:position w:val="-12"/>
        </w:rPr>
        <w:object w:dxaOrig="340" w:dyaOrig="380" w14:anchorId="600B25A2">
          <v:shape id="_x0000_i1722" type="#_x0000_t75" style="width:15pt;height:22.2pt" o:ole="">
            <v:imagedata r:id="rId1431" o:title=""/>
          </v:shape>
          <o:OLEObject Type="Embed" ProgID="Equation.DSMT4" ShapeID="_x0000_i1722" DrawAspect="Content" ObjectID="_1754919273" r:id="rId1432"/>
        </w:object>
      </w:r>
      <w:r w:rsidRPr="005407CA">
        <w:t xml:space="preserve"> </w:t>
      </w:r>
      <w:r>
        <w:t xml:space="preserve">and </w:t>
      </w:r>
      <w:r w:rsidRPr="00E670A7">
        <w:rPr>
          <w:position w:val="-12"/>
        </w:rPr>
        <w:object w:dxaOrig="340" w:dyaOrig="380" w14:anchorId="26AFA6E6">
          <v:shape id="_x0000_i1723" type="#_x0000_t75" style="width:15pt;height:22.2pt" o:ole="">
            <v:imagedata r:id="rId1433" o:title=""/>
          </v:shape>
          <o:OLEObject Type="Embed" ProgID="Equation.DSMT4" ShapeID="_x0000_i1723" DrawAspect="Content" ObjectID="_1754919274" r:id="rId1434"/>
        </w:object>
      </w:r>
      <w:r w:rsidRPr="005407CA">
        <w:t xml:space="preserve"> </w:t>
      </w:r>
      <w:r>
        <w:t>denote the shadow prices of the constraints. The first order conditions of the above problem therefore imply:</w:t>
      </w:r>
    </w:p>
    <w:p w14:paraId="4A4B89FD" w14:textId="720C7163" w:rsidR="006C3DEB" w:rsidRDefault="006C3DEB" w:rsidP="006C3DEB">
      <w:pPr>
        <w:pStyle w:val="MTDisplayEquation"/>
      </w:pPr>
      <w:r>
        <w:tab/>
      </w:r>
      <w:r w:rsidRPr="00E670A7">
        <w:rPr>
          <w:position w:val="-12"/>
        </w:rPr>
        <w:object w:dxaOrig="680" w:dyaOrig="380" w14:anchorId="3BA28060">
          <v:shape id="_x0000_i1724" type="#_x0000_t75" style="width:37.8pt;height:22.2pt" o:ole="">
            <v:imagedata r:id="rId1435" o:title=""/>
          </v:shape>
          <o:OLEObject Type="Embed" ProgID="Equation.DSMT4" ShapeID="_x0000_i1724" DrawAspect="Content" ObjectID="_1754919275" r:id="rId143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67</w:instrText>
      </w:r>
      <w:r>
        <w:rPr>
          <w:noProof/>
        </w:rPr>
        <w:fldChar w:fldCharType="end"/>
      </w:r>
      <w:r>
        <w:instrText>)</w:instrText>
      </w:r>
      <w:r>
        <w:fldChar w:fldCharType="end"/>
      </w:r>
    </w:p>
    <w:p w14:paraId="4EF97977" w14:textId="3E82249B" w:rsidR="006C3DEB" w:rsidRDefault="006C3DEB" w:rsidP="006C3DEB">
      <w:pPr>
        <w:pStyle w:val="MTDisplayEquation"/>
      </w:pPr>
      <w:r>
        <w:tab/>
      </w:r>
      <w:r w:rsidRPr="00E670A7">
        <w:rPr>
          <w:position w:val="-12"/>
        </w:rPr>
        <w:object w:dxaOrig="1560" w:dyaOrig="380" w14:anchorId="6423ACE7">
          <v:shape id="_x0000_i1725" type="#_x0000_t75" style="width:79.2pt;height:22.2pt" o:ole="">
            <v:imagedata r:id="rId1437" o:title=""/>
          </v:shape>
          <o:OLEObject Type="Embed" ProgID="Equation.DSMT4" ShapeID="_x0000_i1725" DrawAspect="Content" ObjectID="_1754919276" r:id="rId143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68</w:instrText>
      </w:r>
      <w:r>
        <w:rPr>
          <w:noProof/>
        </w:rPr>
        <w:fldChar w:fldCharType="end"/>
      </w:r>
      <w:r>
        <w:instrText>)</w:instrText>
      </w:r>
      <w:r>
        <w:fldChar w:fldCharType="end"/>
      </w:r>
    </w:p>
    <w:p w14:paraId="53B599CE" w14:textId="0FE973AB" w:rsidR="006C3DEB" w:rsidRDefault="006C3DEB" w:rsidP="006C3DEB">
      <w:pPr>
        <w:pStyle w:val="MTDisplayEquation"/>
      </w:pPr>
      <w:r>
        <w:tab/>
      </w:r>
      <w:r w:rsidRPr="00E670A7">
        <w:rPr>
          <w:position w:val="-16"/>
        </w:rPr>
        <w:object w:dxaOrig="2740" w:dyaOrig="440" w14:anchorId="47AD0571">
          <v:shape id="_x0000_i1726" type="#_x0000_t75" style="width:137.4pt;height:21.6pt" o:ole="">
            <v:imagedata r:id="rId1439" o:title=""/>
          </v:shape>
          <o:OLEObject Type="Embed" ProgID="Equation.DSMT4" ShapeID="_x0000_i1726" DrawAspect="Content" ObjectID="_1754919277" r:id="rId144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69</w:instrText>
      </w:r>
      <w:r>
        <w:rPr>
          <w:noProof/>
        </w:rPr>
        <w:fldChar w:fldCharType="end"/>
      </w:r>
      <w:r>
        <w:instrText>)</w:instrText>
      </w:r>
      <w:r>
        <w:fldChar w:fldCharType="end"/>
      </w:r>
    </w:p>
    <w:p w14:paraId="78DA49ED" w14:textId="1FA49EEE" w:rsidR="006C3DEB" w:rsidRDefault="006C3DEB" w:rsidP="006C3DEB">
      <w:pPr>
        <w:pStyle w:val="MTDisplayEquation"/>
      </w:pPr>
      <w:r>
        <w:tab/>
      </w:r>
      <w:r w:rsidRPr="00E670A7">
        <w:rPr>
          <w:position w:val="-16"/>
        </w:rPr>
        <w:object w:dxaOrig="2400" w:dyaOrig="440" w14:anchorId="53B68CA0">
          <v:shape id="_x0000_i1727" type="#_x0000_t75" style="width:122.4pt;height:21.6pt" o:ole="">
            <v:imagedata r:id="rId1441" o:title=""/>
          </v:shape>
          <o:OLEObject Type="Embed" ProgID="Equation.DSMT4" ShapeID="_x0000_i1727" DrawAspect="Content" ObjectID="_1754919278" r:id="rId144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70</w:instrText>
      </w:r>
      <w:r>
        <w:rPr>
          <w:noProof/>
        </w:rPr>
        <w:fldChar w:fldCharType="end"/>
      </w:r>
      <w:r>
        <w:instrText>)</w:instrText>
      </w:r>
      <w:r>
        <w:fldChar w:fldCharType="end"/>
      </w:r>
    </w:p>
    <w:p w14:paraId="6952FDFC" w14:textId="65EE1A2B" w:rsidR="006C3DEB" w:rsidRPr="008C2143" w:rsidRDefault="006C3DEB" w:rsidP="006C3DEB">
      <w:pPr>
        <w:pStyle w:val="MTDisplayEquation"/>
      </w:pPr>
      <w:r>
        <w:tab/>
      </w:r>
      <w:r w:rsidRPr="00E670A7">
        <w:rPr>
          <w:position w:val="-30"/>
        </w:rPr>
        <w:object w:dxaOrig="4480" w:dyaOrig="680" w14:anchorId="1D3DC865">
          <v:shape id="_x0000_i1728" type="#_x0000_t75" style="width:222.6pt;height:37.8pt" o:ole="">
            <v:imagedata r:id="rId1443" o:title=""/>
          </v:shape>
          <o:OLEObject Type="Embed" ProgID="Equation.DSMT4" ShapeID="_x0000_i1728" DrawAspect="Content" ObjectID="_1754919279" r:id="rId144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71</w:instrText>
      </w:r>
      <w:r>
        <w:rPr>
          <w:noProof/>
        </w:rPr>
        <w:fldChar w:fldCharType="end"/>
      </w:r>
      <w:r>
        <w:instrText>)</w:instrText>
      </w:r>
      <w:r>
        <w:fldChar w:fldCharType="end"/>
      </w:r>
    </w:p>
    <w:p w14:paraId="2FE6942D" w14:textId="2E7F792D" w:rsidR="006C3DEB" w:rsidRDefault="006C3DEB" w:rsidP="006C3DEB">
      <w:pPr>
        <w:pStyle w:val="MTDisplayEquation"/>
      </w:pPr>
      <w:r>
        <w:lastRenderedPageBreak/>
        <w:tab/>
      </w:r>
      <w:r w:rsidRPr="00E670A7">
        <w:rPr>
          <w:position w:val="-52"/>
        </w:rPr>
        <w:object w:dxaOrig="4440" w:dyaOrig="1160" w14:anchorId="663D7E3D">
          <v:shape id="_x0000_i1729" type="#_x0000_t75" style="width:222.6pt;height:57pt" o:ole="">
            <v:imagedata r:id="rId1445" o:title=""/>
          </v:shape>
          <o:OLEObject Type="Embed" ProgID="Equation.DSMT4" ShapeID="_x0000_i1729" DrawAspect="Content" ObjectID="_1754919280" r:id="rId144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72</w:instrText>
      </w:r>
      <w:r>
        <w:rPr>
          <w:noProof/>
        </w:rPr>
        <w:fldChar w:fldCharType="end"/>
      </w:r>
      <w:r>
        <w:instrText>)</w:instrText>
      </w:r>
      <w:r>
        <w:fldChar w:fldCharType="end"/>
      </w:r>
    </w:p>
    <w:p w14:paraId="3BCF3DD7" w14:textId="2B4C6848" w:rsidR="006C3DEB" w:rsidRDefault="006C3DEB" w:rsidP="006C3DEB">
      <w:pPr>
        <w:pStyle w:val="MTDisplayEquation"/>
      </w:pPr>
      <w:r>
        <w:tab/>
      </w:r>
      <w:r w:rsidRPr="00E670A7">
        <w:rPr>
          <w:position w:val="-16"/>
        </w:rPr>
        <w:object w:dxaOrig="7660" w:dyaOrig="580" w14:anchorId="6020E929">
          <v:shape id="_x0000_i1730" type="#_x0000_t75" style="width:382.8pt;height:29.4pt" o:ole="">
            <v:imagedata r:id="rId1447" o:title=""/>
          </v:shape>
          <o:OLEObject Type="Embed" ProgID="Equation.DSMT4" ShapeID="_x0000_i1730" DrawAspect="Content" ObjectID="_1754919281" r:id="rId144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73</w:instrText>
      </w:r>
      <w:r>
        <w:rPr>
          <w:noProof/>
        </w:rPr>
        <w:fldChar w:fldCharType="end"/>
      </w:r>
      <w:r>
        <w:instrText>)</w:instrText>
      </w:r>
      <w:r>
        <w:fldChar w:fldCharType="end"/>
      </w:r>
    </w:p>
    <w:p w14:paraId="1884437D" w14:textId="311B4B87" w:rsidR="006C3DEB" w:rsidRDefault="006C3DEB" w:rsidP="006C3DEB">
      <w:pPr>
        <w:pStyle w:val="MTDisplayEquation"/>
      </w:pPr>
      <w:r>
        <w:tab/>
      </w:r>
      <w:r w:rsidRPr="00E670A7">
        <w:rPr>
          <w:position w:val="-36"/>
        </w:rPr>
        <w:object w:dxaOrig="2840" w:dyaOrig="840" w14:anchorId="699DC586">
          <v:shape id="_x0000_i1731" type="#_x0000_t75" style="width:2in;height:42.6pt" o:ole="">
            <v:imagedata r:id="rId1449" o:title=""/>
          </v:shape>
          <o:OLEObject Type="Embed" ProgID="Equation.DSMT4" ShapeID="_x0000_i1731" DrawAspect="Content" ObjectID="_1754919282" r:id="rId145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74</w:instrText>
      </w:r>
      <w:r>
        <w:rPr>
          <w:noProof/>
        </w:rPr>
        <w:fldChar w:fldCharType="end"/>
      </w:r>
      <w:r>
        <w:instrText>)</w:instrText>
      </w:r>
      <w:r>
        <w:fldChar w:fldCharType="end"/>
      </w:r>
    </w:p>
    <w:p w14:paraId="251DD8D8" w14:textId="77777777" w:rsidR="006C3DEB" w:rsidRDefault="006C3DEB" w:rsidP="006C3DEB">
      <w:r>
        <w:t>or equivalently:</w:t>
      </w:r>
      <w:r>
        <w:tab/>
      </w:r>
    </w:p>
    <w:p w14:paraId="0514A66C" w14:textId="26EFEEC1" w:rsidR="006C3DEB" w:rsidRDefault="006C3DEB" w:rsidP="006C3DEB">
      <w:pPr>
        <w:pStyle w:val="MTDisplayEquation"/>
      </w:pPr>
      <w:r>
        <w:tab/>
      </w:r>
      <w:r w:rsidRPr="000616DF">
        <w:rPr>
          <w:position w:val="-12"/>
        </w:rPr>
        <w:object w:dxaOrig="2299" w:dyaOrig="380" w14:anchorId="64AF9AA4">
          <v:shape id="_x0000_i1732" type="#_x0000_t75" style="width:113.4pt;height:18pt" o:ole="">
            <v:imagedata r:id="rId1451" o:title=""/>
          </v:shape>
          <o:OLEObject Type="Embed" ProgID="Equation.DSMT4" ShapeID="_x0000_i1732" DrawAspect="Content" ObjectID="_1754919283" r:id="rId14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75</w:instrText>
      </w:r>
      <w:r>
        <w:rPr>
          <w:noProof/>
        </w:rPr>
        <w:fldChar w:fldCharType="end"/>
      </w:r>
      <w:r>
        <w:instrText>)</w:instrText>
      </w:r>
      <w:r>
        <w:fldChar w:fldCharType="end"/>
      </w:r>
    </w:p>
    <w:p w14:paraId="04412972" w14:textId="77777777" w:rsidR="006C3DEB" w:rsidRPr="00144294" w:rsidRDefault="006C3DEB" w:rsidP="006C3DEB">
      <w:r>
        <w:t>And we finally have:</w:t>
      </w:r>
    </w:p>
    <w:p w14:paraId="52DFB455" w14:textId="06DF4890" w:rsidR="006C3DEB" w:rsidRDefault="006C3DEB" w:rsidP="006C3DEB">
      <w:pPr>
        <w:pStyle w:val="MTDisplayEquation"/>
        <w:jc w:val="center"/>
      </w:pPr>
      <w:r>
        <w:tab/>
      </w:r>
      <w:r w:rsidRPr="00E670A7">
        <w:rPr>
          <w:position w:val="-112"/>
        </w:rPr>
        <w:object w:dxaOrig="7479" w:dyaOrig="2360" w14:anchorId="3FCC742C">
          <v:shape id="_x0000_i1733" type="#_x0000_t75" style="width:376.8pt;height:114.6pt" o:ole="">
            <v:imagedata r:id="rId1453" o:title=""/>
          </v:shape>
          <o:OLEObject Type="Embed" ProgID="Equation.DSMT4" ShapeID="_x0000_i1733" DrawAspect="Content" ObjectID="_1754919284" r:id="rId1454"/>
        </w:object>
      </w:r>
      <w:r w:rsidRPr="005407CA">
        <w:t xml:space="preserve"> </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8" w:name="ZEqnNum212921"/>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76</w:instrText>
      </w:r>
      <w:r>
        <w:rPr>
          <w:noProof/>
        </w:rPr>
        <w:fldChar w:fldCharType="end"/>
      </w:r>
      <w:r>
        <w:instrText>)</w:instrText>
      </w:r>
      <w:bookmarkEnd w:id="48"/>
      <w:r>
        <w:fldChar w:fldCharType="end"/>
      </w:r>
    </w:p>
    <w:p w14:paraId="6B160A60" w14:textId="77777777" w:rsidR="006C3DEB" w:rsidRDefault="006C3DEB" w:rsidP="006C3DEB">
      <w:r>
        <w:t xml:space="preserve">This is the no-arbitrage condition for investment which links current capital shadow price </w:t>
      </w:r>
      <w:r w:rsidRPr="00E670A7">
        <w:rPr>
          <w:position w:val="-12"/>
        </w:rPr>
        <w:object w:dxaOrig="340" w:dyaOrig="380" w14:anchorId="219199B9">
          <v:shape id="_x0000_i1734" type="#_x0000_t75" style="width:15pt;height:22.2pt" o:ole="">
            <v:imagedata r:id="rId1455" o:title=""/>
          </v:shape>
          <o:OLEObject Type="Embed" ProgID="Equation.DSMT4" ShapeID="_x0000_i1734" DrawAspect="Content" ObjectID="_1754919285" r:id="rId1456"/>
        </w:object>
      </w:r>
      <w:r>
        <w:t xml:space="preserve"> to its future counterpart</w:t>
      </w:r>
      <w:r w:rsidRPr="00E670A7">
        <w:rPr>
          <w:position w:val="-12"/>
        </w:rPr>
        <w:object w:dxaOrig="440" w:dyaOrig="380" w14:anchorId="69C30A99">
          <v:shape id="_x0000_i1735" type="#_x0000_t75" style="width:21.6pt;height:22.2pt" o:ole="">
            <v:imagedata r:id="rId1457" o:title=""/>
          </v:shape>
          <o:OLEObject Type="Embed" ProgID="Equation.DSMT4" ShapeID="_x0000_i1735" DrawAspect="Content" ObjectID="_1754919286" r:id="rId1458"/>
        </w:object>
      </w:r>
      <w:r>
        <w:t>.</w:t>
      </w:r>
    </w:p>
    <w:p w14:paraId="4798FB7D" w14:textId="77777777" w:rsidR="006C3DEB" w:rsidRPr="003D014E" w:rsidRDefault="006C3DEB" w:rsidP="006C3DEB">
      <w:pPr>
        <w:pStyle w:val="Heading4"/>
      </w:pPr>
      <w:bookmarkStart w:id="49" w:name="_Hlk78989984"/>
      <w:r>
        <w:t>Market value of equity</w:t>
      </w:r>
    </w:p>
    <w:p w14:paraId="52F4B291" w14:textId="77777777" w:rsidR="006C3DEB" w:rsidRDefault="006C3DEB" w:rsidP="006C3DEB">
      <w:pPr>
        <w:pStyle w:val="MTDisplayEquation"/>
      </w:pPr>
      <w:r>
        <w:t xml:space="preserve">We claim that if </w:t>
      </w:r>
    </w:p>
    <w:p w14:paraId="10733B72" w14:textId="50A9C91F" w:rsidR="006C3DEB" w:rsidRDefault="006C3DEB" w:rsidP="006C3DEB">
      <w:pPr>
        <w:pStyle w:val="MTDisplayEquation"/>
      </w:pPr>
      <w:r>
        <w:tab/>
      </w:r>
      <w:r w:rsidRPr="00E670A7">
        <w:rPr>
          <w:position w:val="-12"/>
        </w:rPr>
        <w:object w:dxaOrig="940" w:dyaOrig="380" w14:anchorId="7A7A78DA">
          <v:shape id="_x0000_i1736" type="#_x0000_t75" style="width:50.4pt;height:22.2pt" o:ole="">
            <v:imagedata r:id="rId1459" o:title=""/>
          </v:shape>
          <o:OLEObject Type="Embed" ProgID="Equation.DSMT4" ShapeID="_x0000_i1736" DrawAspect="Content" ObjectID="_1754919287" r:id="rId146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77</w:instrText>
      </w:r>
      <w:r>
        <w:rPr>
          <w:noProof/>
        </w:rPr>
        <w:fldChar w:fldCharType="end"/>
      </w:r>
      <w:r>
        <w:instrText>)</w:instrText>
      </w:r>
      <w:r>
        <w:fldChar w:fldCharType="end"/>
      </w:r>
    </w:p>
    <w:p w14:paraId="2FBC44EE" w14:textId="77777777" w:rsidR="006C3DEB" w:rsidRDefault="006C3DEB" w:rsidP="006C3DEB">
      <w:pPr>
        <w:pStyle w:val="MTDisplayEquation"/>
      </w:pPr>
      <w:r>
        <w:t>Then</w:t>
      </w:r>
    </w:p>
    <w:p w14:paraId="64AD20FF" w14:textId="5A63BB71" w:rsidR="006C3DEB" w:rsidRDefault="006C3DEB" w:rsidP="006C3DEB">
      <w:pPr>
        <w:pStyle w:val="MTDisplayEquation"/>
      </w:pPr>
      <w:r>
        <w:tab/>
      </w:r>
      <w:r w:rsidRPr="00E670A7">
        <w:rPr>
          <w:position w:val="-16"/>
        </w:rPr>
        <w:object w:dxaOrig="2079" w:dyaOrig="440" w14:anchorId="477B4B44">
          <v:shape id="_x0000_i1737" type="#_x0000_t75" style="width:108.6pt;height:21.6pt" o:ole="">
            <v:imagedata r:id="rId1461" o:title=""/>
          </v:shape>
          <o:OLEObject Type="Embed" ProgID="Equation.DSMT4" ShapeID="_x0000_i1737" DrawAspect="Content" ObjectID="_1754919288" r:id="rId146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0" w:name="ZEqnNum582159"/>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78</w:instrText>
      </w:r>
      <w:r>
        <w:rPr>
          <w:noProof/>
        </w:rPr>
        <w:fldChar w:fldCharType="end"/>
      </w:r>
      <w:r>
        <w:instrText>)</w:instrText>
      </w:r>
      <w:bookmarkEnd w:id="50"/>
      <w:r>
        <w:fldChar w:fldCharType="end"/>
      </w:r>
    </w:p>
    <w:p w14:paraId="60D7BBDD" w14:textId="77777777" w:rsidR="006C3DEB" w:rsidRDefault="006C3DEB" w:rsidP="006C3DEB">
      <w:pPr>
        <w:spacing w:before="0" w:after="200" w:line="276" w:lineRule="auto"/>
      </w:pPr>
      <w:bookmarkStart w:id="51" w:name="_Hlk78990369"/>
      <w:bookmarkEnd w:id="49"/>
      <w:r>
        <w:br w:type="page"/>
      </w:r>
    </w:p>
    <w:p w14:paraId="4F4EF656" w14:textId="2022E200" w:rsidR="006C3DEB" w:rsidRDefault="006C3DEB" w:rsidP="006C3DEB">
      <w:r>
        <w:lastRenderedPageBreak/>
        <w:t xml:space="preserve">To see this, following Obstfeld and Rogoff (1996, Chapter 2), we multiply both sides of equation </w:t>
      </w:r>
      <w:r>
        <w:fldChar w:fldCharType="begin"/>
      </w:r>
      <w:r>
        <w:instrText xml:space="preserve"> GOTOBUTTON ZEqnNum212921  \* MERGEFORMAT </w:instrText>
      </w:r>
      <w:r w:rsidR="00E00A52">
        <w:instrText>(76)</w:instrText>
      </w:r>
      <w:r>
        <w:fldChar w:fldCharType="end"/>
      </w:r>
      <w:r>
        <w:t xml:space="preserve"> by </w:t>
      </w:r>
      <w:r w:rsidRPr="00E670A7">
        <w:rPr>
          <w:position w:val="-12"/>
        </w:rPr>
        <w:object w:dxaOrig="380" w:dyaOrig="360" w14:anchorId="60034425">
          <v:shape id="_x0000_i1738" type="#_x0000_t75" style="width:22.2pt;height:21.6pt" o:ole="">
            <v:imagedata r:id="rId1463" o:title=""/>
          </v:shape>
          <o:OLEObject Type="Embed" ProgID="Equation.DSMT4" ShapeID="_x0000_i1738" DrawAspect="Content" ObjectID="_1754919289" r:id="rId1464"/>
        </w:object>
      </w:r>
      <w:r>
        <w:t xml:space="preserve"> and substitute for </w:t>
      </w:r>
      <w:r w:rsidRPr="00E670A7">
        <w:rPr>
          <w:position w:val="-12"/>
        </w:rPr>
        <w:object w:dxaOrig="440" w:dyaOrig="380" w14:anchorId="785A347A">
          <v:shape id="_x0000_i1739" type="#_x0000_t75" style="width:21.6pt;height:22.2pt" o:ole="">
            <v:imagedata r:id="rId1465" o:title=""/>
          </v:shape>
          <o:OLEObject Type="Embed" ProgID="Equation.DSMT4" ShapeID="_x0000_i1739" DrawAspect="Content" ObjectID="_1754919290" r:id="rId1466"/>
        </w:object>
      </w:r>
      <w:r>
        <w:t xml:space="preserve"> and </w:t>
      </w:r>
      <w:r w:rsidRPr="00E670A7">
        <w:rPr>
          <w:position w:val="-12"/>
        </w:rPr>
        <w:object w:dxaOrig="440" w:dyaOrig="380" w14:anchorId="379C21E2">
          <v:shape id="_x0000_i1740" type="#_x0000_t75" style="width:21.6pt;height:22.2pt" o:ole="">
            <v:imagedata r:id="rId1467" o:title=""/>
          </v:shape>
          <o:OLEObject Type="Embed" ProgID="Equation.DSMT4" ShapeID="_x0000_i1740" DrawAspect="Content" ObjectID="_1754919291" r:id="rId1468"/>
        </w:object>
      </w:r>
      <w:r>
        <w:t>, which gives:</w:t>
      </w:r>
      <w:bookmarkEnd w:id="51"/>
    </w:p>
    <w:p w14:paraId="234D0E0C" w14:textId="2ABBB567" w:rsidR="006C3DEB" w:rsidRDefault="006C3DEB" w:rsidP="006C3DEB">
      <w:pPr>
        <w:pStyle w:val="MTDisplayEquation"/>
      </w:pPr>
      <w:r>
        <w:tab/>
      </w:r>
      <w:r w:rsidRPr="00E670A7">
        <w:rPr>
          <w:position w:val="-250"/>
        </w:rPr>
        <w:object w:dxaOrig="8080" w:dyaOrig="4900" w14:anchorId="7BCCB4CA">
          <v:shape id="_x0000_i1741" type="#_x0000_t75" style="width:404.4pt;height:245.4pt" o:ole="">
            <v:imagedata r:id="rId1469" o:title=""/>
          </v:shape>
          <o:OLEObject Type="Embed" ProgID="Equation.DSMT4" ShapeID="_x0000_i1741" DrawAspect="Content" ObjectID="_1754919292" r:id="rId147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79</w:instrText>
      </w:r>
      <w:r>
        <w:rPr>
          <w:noProof/>
        </w:rPr>
        <w:fldChar w:fldCharType="end"/>
      </w:r>
      <w:r>
        <w:instrText>)</w:instrText>
      </w:r>
      <w:r>
        <w:fldChar w:fldCharType="end"/>
      </w:r>
    </w:p>
    <w:p w14:paraId="5E209CCD" w14:textId="77777777" w:rsidR="006C3DEB" w:rsidRDefault="006C3DEB" w:rsidP="006C3DEB">
      <w:bookmarkStart w:id="52" w:name="_Hlk78990796"/>
      <w:r>
        <w:t xml:space="preserve">Subtracting </w:t>
      </w:r>
      <w:r w:rsidRPr="00E670A7">
        <w:rPr>
          <w:position w:val="-16"/>
        </w:rPr>
        <w:object w:dxaOrig="1780" w:dyaOrig="440" w14:anchorId="7740937A">
          <v:shape id="_x0000_i1742" type="#_x0000_t75" style="width:87pt;height:21.6pt" o:ole="">
            <v:imagedata r:id="rId1471" o:title=""/>
          </v:shape>
          <o:OLEObject Type="Embed" ProgID="Equation.DSMT4" ShapeID="_x0000_i1742" DrawAspect="Content" ObjectID="_1754919293" r:id="rId1472"/>
        </w:object>
      </w:r>
      <w:r>
        <w:t xml:space="preserve"> from both sides of the equation above and substituting for </w:t>
      </w:r>
      <w:r w:rsidRPr="00E670A7">
        <w:rPr>
          <w:position w:val="-12"/>
        </w:rPr>
        <w:object w:dxaOrig="340" w:dyaOrig="380" w14:anchorId="0366B752">
          <v:shape id="_x0000_i1743" type="#_x0000_t75" style="width:15pt;height:22.2pt" o:ole="">
            <v:imagedata r:id="rId1473" o:title=""/>
          </v:shape>
          <o:OLEObject Type="Embed" ProgID="Equation.DSMT4" ShapeID="_x0000_i1743" DrawAspect="Content" ObjectID="_1754919294" r:id="rId1474"/>
        </w:object>
      </w:r>
      <w:r>
        <w:t xml:space="preserve"> on the right-hand side, we further have: </w:t>
      </w:r>
    </w:p>
    <w:bookmarkEnd w:id="52"/>
    <w:p w14:paraId="242C5864" w14:textId="77777777" w:rsidR="006C3DEB" w:rsidRDefault="006C3DEB" w:rsidP="006C3DEB">
      <w:pPr>
        <w:jc w:val="center"/>
      </w:pPr>
      <w:r w:rsidRPr="00E670A7">
        <w:rPr>
          <w:position w:val="-164"/>
        </w:rPr>
        <w:object w:dxaOrig="8080" w:dyaOrig="2840" w14:anchorId="16936BFB">
          <v:shape id="_x0000_i1744" type="#_x0000_t75" style="width:404.4pt;height:2in" o:ole="">
            <v:imagedata r:id="rId1475" o:title=""/>
          </v:shape>
          <o:OLEObject Type="Embed" ProgID="Equation.DSMT4" ShapeID="_x0000_i1744" DrawAspect="Content" ObjectID="_1754919295" r:id="rId1476"/>
        </w:object>
      </w:r>
    </w:p>
    <w:p w14:paraId="5447A7BA" w14:textId="77777777" w:rsidR="006C3DEB" w:rsidRDefault="006C3DEB" w:rsidP="006C3DEB">
      <w:pPr>
        <w:spacing w:before="0" w:after="200" w:line="276" w:lineRule="auto"/>
      </w:pPr>
      <w:bookmarkStart w:id="53" w:name="_Hlk78991505"/>
      <w:r>
        <w:br w:type="page"/>
      </w:r>
    </w:p>
    <w:p w14:paraId="5BFA7BA3" w14:textId="6E40881A" w:rsidR="006C3DEB" w:rsidRDefault="006C3DEB" w:rsidP="006C3DEB">
      <w:r>
        <w:lastRenderedPageBreak/>
        <w:t xml:space="preserve">Now using the law of motion for capital as per equation </w:t>
      </w:r>
      <w:r>
        <w:fldChar w:fldCharType="begin"/>
      </w:r>
      <w:r>
        <w:instrText xml:space="preserve"> GOTOBUTTON ZEqnNum254546  \* MERGEFORMAT </w:instrText>
      </w:r>
      <w:r w:rsidR="00E00A52">
        <w:instrText>(11)</w:instrText>
      </w:r>
      <w:r>
        <w:fldChar w:fldCharType="end"/>
      </w:r>
      <w:r>
        <w:t>, we have:</w:t>
      </w:r>
    </w:p>
    <w:bookmarkEnd w:id="53"/>
    <w:p w14:paraId="3365F9BA" w14:textId="77777777" w:rsidR="006C3DEB" w:rsidRDefault="006C3DEB" w:rsidP="006C3DEB">
      <w:pPr>
        <w:jc w:val="center"/>
      </w:pPr>
      <w:r w:rsidRPr="00E670A7">
        <w:rPr>
          <w:position w:val="-164"/>
        </w:rPr>
        <w:object w:dxaOrig="8740" w:dyaOrig="2840" w14:anchorId="30A22F96">
          <v:shape id="_x0000_i1745" type="#_x0000_t75" style="width:437.4pt;height:2in" o:ole="">
            <v:imagedata r:id="rId1477" o:title=""/>
          </v:shape>
          <o:OLEObject Type="Embed" ProgID="Equation.DSMT4" ShapeID="_x0000_i1745" DrawAspect="Content" ObjectID="_1754919296" r:id="rId1478"/>
        </w:object>
      </w:r>
    </w:p>
    <w:p w14:paraId="6A2A226B" w14:textId="77777777" w:rsidR="006C3DEB" w:rsidRDefault="006C3DEB" w:rsidP="006C3DEB">
      <w:bookmarkStart w:id="54" w:name="_Hlk78998258"/>
      <w:r>
        <w:t xml:space="preserve">Substituting for </w:t>
      </w:r>
      <w:r w:rsidRPr="00E670A7">
        <w:rPr>
          <w:position w:val="-12"/>
        </w:rPr>
        <w:object w:dxaOrig="320" w:dyaOrig="380" w14:anchorId="59085832">
          <v:shape id="_x0000_i1746" type="#_x0000_t75" style="width:15pt;height:22.2pt" o:ole="">
            <v:imagedata r:id="rId1479" o:title=""/>
          </v:shape>
          <o:OLEObject Type="Embed" ProgID="Equation.DSMT4" ShapeID="_x0000_i1746" DrawAspect="Content" ObjectID="_1754919297" r:id="rId1480"/>
        </w:object>
      </w:r>
      <w:r>
        <w:t>, we have:</w:t>
      </w:r>
    </w:p>
    <w:bookmarkEnd w:id="54"/>
    <w:p w14:paraId="6D775882" w14:textId="77777777" w:rsidR="006C3DEB" w:rsidRDefault="006C3DEB" w:rsidP="006C3DEB">
      <w:pPr>
        <w:jc w:val="center"/>
      </w:pPr>
      <w:r w:rsidRPr="00E670A7">
        <w:rPr>
          <w:position w:val="-156"/>
        </w:rPr>
        <w:object w:dxaOrig="6720" w:dyaOrig="3240" w14:anchorId="302C53AD">
          <v:shape id="_x0000_i1747" type="#_x0000_t75" style="width:339.6pt;height:165.6pt" o:ole="">
            <v:imagedata r:id="rId1481" o:title=""/>
          </v:shape>
          <o:OLEObject Type="Embed" ProgID="Equation.DSMT4" ShapeID="_x0000_i1747" DrawAspect="Content" ObjectID="_1754919298" r:id="rId1482"/>
        </w:object>
      </w:r>
    </w:p>
    <w:p w14:paraId="168B53D0" w14:textId="77777777" w:rsidR="006C3DEB" w:rsidRDefault="006C3DEB" w:rsidP="006C3DEB">
      <w:bookmarkStart w:id="55" w:name="_Hlk78998911"/>
      <w:r>
        <w:t xml:space="preserve">Substituting for </w:t>
      </w:r>
      <w:r w:rsidRPr="00E670A7">
        <w:rPr>
          <w:position w:val="-12"/>
        </w:rPr>
        <w:object w:dxaOrig="340" w:dyaOrig="380" w14:anchorId="2F92E1B3">
          <v:shape id="_x0000_i1748" type="#_x0000_t75" style="width:15pt;height:22.2pt" o:ole="">
            <v:imagedata r:id="rId1483" o:title=""/>
          </v:shape>
          <o:OLEObject Type="Embed" ProgID="Equation.DSMT4" ShapeID="_x0000_i1748" DrawAspect="Content" ObjectID="_1754919299" r:id="rId1484"/>
        </w:object>
      </w:r>
      <w:r>
        <w:t>, we have:</w:t>
      </w:r>
    </w:p>
    <w:bookmarkEnd w:id="55"/>
    <w:p w14:paraId="7A1B0B48" w14:textId="77777777" w:rsidR="006C3DEB" w:rsidRDefault="006C3DEB" w:rsidP="006C3DEB">
      <w:pPr>
        <w:jc w:val="center"/>
      </w:pPr>
      <w:r w:rsidRPr="00E670A7">
        <w:rPr>
          <w:position w:val="-230"/>
        </w:rPr>
        <w:object w:dxaOrig="6720" w:dyaOrig="4060" w14:anchorId="30E95F4D">
          <v:shape id="_x0000_i1749" type="#_x0000_t75" style="width:339.6pt;height:201pt" o:ole="">
            <v:imagedata r:id="rId1485" o:title=""/>
          </v:shape>
          <o:OLEObject Type="Embed" ProgID="Equation.DSMT4" ShapeID="_x0000_i1749" DrawAspect="Content" ObjectID="_1754919300" r:id="rId1486"/>
        </w:object>
      </w:r>
    </w:p>
    <w:p w14:paraId="7A8CB640" w14:textId="77777777" w:rsidR="006C3DEB" w:rsidRDefault="006C3DEB" w:rsidP="006C3DEB">
      <w:pPr>
        <w:spacing w:before="0" w:after="200" w:line="276" w:lineRule="auto"/>
      </w:pPr>
      <w:bookmarkStart w:id="56" w:name="_Hlk78999437"/>
      <w:r>
        <w:br w:type="page"/>
      </w:r>
    </w:p>
    <w:p w14:paraId="0338A113" w14:textId="77777777" w:rsidR="006C3DEB" w:rsidRDefault="006C3DEB" w:rsidP="006C3DEB">
      <w:r>
        <w:lastRenderedPageBreak/>
        <w:t>Further algebra will then give:</w:t>
      </w:r>
    </w:p>
    <w:bookmarkEnd w:id="56"/>
    <w:p w14:paraId="2E881811" w14:textId="37A103BB" w:rsidR="006C3DEB" w:rsidRPr="00427AD1" w:rsidRDefault="006C3DEB" w:rsidP="006C3DEB">
      <w:pPr>
        <w:pStyle w:val="MTDisplayEquation"/>
      </w:pPr>
      <w:r>
        <w:tab/>
      </w:r>
      <w:r w:rsidRPr="00E670A7">
        <w:rPr>
          <w:position w:val="-240"/>
        </w:rPr>
        <w:object w:dxaOrig="4920" w:dyaOrig="4380" w14:anchorId="03F9ED8F">
          <v:shape id="_x0000_i1750" type="#_x0000_t75" style="width:245.4pt;height:3in" o:ole="">
            <v:imagedata r:id="rId1487" o:title=""/>
          </v:shape>
          <o:OLEObject Type="Embed" ProgID="Equation.DSMT4" ShapeID="_x0000_i1750" DrawAspect="Content" ObjectID="_1754919301" r:id="rId1488"/>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7" w:name="ZEqnNum670593"/>
      <w:r>
        <w:instrText>(</w:instrText>
      </w:r>
      <w:r>
        <w:rPr>
          <w:noProof/>
        </w:rPr>
        <w:fldChar w:fldCharType="begin"/>
      </w:r>
      <w:r>
        <w:rPr>
          <w:noProof/>
        </w:rPr>
        <w:instrText xml:space="preserve"> SEQ MTEqn \c \* Arabic \* MERGEFORMAT </w:instrText>
      </w:r>
      <w:r>
        <w:rPr>
          <w:noProof/>
        </w:rPr>
        <w:fldChar w:fldCharType="separate"/>
      </w:r>
      <w:r w:rsidR="00E00A52">
        <w:rPr>
          <w:noProof/>
        </w:rPr>
        <w:instrText>80</w:instrText>
      </w:r>
      <w:r>
        <w:rPr>
          <w:noProof/>
        </w:rPr>
        <w:fldChar w:fldCharType="end"/>
      </w:r>
      <w:r>
        <w:instrText>)</w:instrText>
      </w:r>
      <w:bookmarkEnd w:id="57"/>
      <w:r>
        <w:fldChar w:fldCharType="end"/>
      </w:r>
    </w:p>
    <w:p w14:paraId="36100691" w14:textId="77777777" w:rsidR="006C3DEB" w:rsidRDefault="006C3DEB" w:rsidP="006C3DEB">
      <w:bookmarkStart w:id="58" w:name="_Hlk78999930"/>
      <w:r>
        <w:t>Because the production is homogenous of degree one</w:t>
      </w:r>
      <w:r>
        <w:fldChar w:fldCharType="begin"/>
      </w:r>
      <w:r>
        <w:instrText xml:space="preserve"> GOTOBUTTON ZEqnNum357502  \* MERGEFORMAT </w:instrText>
      </w:r>
      <w:r>
        <w:fldChar w:fldCharType="end"/>
      </w:r>
      <w:r>
        <w:t>, by Euler’s theorem and the first order conditions for labour and intermediate inputs, we have:</w:t>
      </w:r>
    </w:p>
    <w:p w14:paraId="1FD8B09C" w14:textId="25D5AD49" w:rsidR="006C3DEB" w:rsidRDefault="006C3DEB" w:rsidP="006C3DEB">
      <w:pPr>
        <w:pStyle w:val="MTDisplayEquation"/>
      </w:pPr>
      <w:r>
        <w:tab/>
      </w:r>
      <w:bookmarkEnd w:id="58"/>
      <w:r w:rsidRPr="00E670A7">
        <w:rPr>
          <w:position w:val="-70"/>
        </w:rPr>
        <w:object w:dxaOrig="3940" w:dyaOrig="1680" w14:anchorId="261B3F99">
          <v:shape id="_x0000_i1751" type="#_x0000_t75" style="width:196.2pt;height:87pt" o:ole="">
            <v:imagedata r:id="rId1489" o:title=""/>
          </v:shape>
          <o:OLEObject Type="Embed" ProgID="Equation.DSMT4" ShapeID="_x0000_i1751" DrawAspect="Content" ObjectID="_1754919302" r:id="rId149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81</w:instrText>
      </w:r>
      <w:r>
        <w:rPr>
          <w:noProof/>
        </w:rPr>
        <w:fldChar w:fldCharType="end"/>
      </w:r>
      <w:r>
        <w:instrText>)</w:instrText>
      </w:r>
      <w:r>
        <w:fldChar w:fldCharType="end"/>
      </w:r>
    </w:p>
    <w:p w14:paraId="56FC1288" w14:textId="77777777" w:rsidR="006C3DEB" w:rsidRDefault="006C3DEB" w:rsidP="006C3DEB">
      <w:bookmarkStart w:id="59" w:name="_Hlk78999937"/>
      <w:r>
        <w:t>This implies:</w:t>
      </w:r>
    </w:p>
    <w:bookmarkEnd w:id="59"/>
    <w:p w14:paraId="1F5FDEA6" w14:textId="459BA20F" w:rsidR="006C3DEB" w:rsidRDefault="006C3DEB" w:rsidP="006C3DEB">
      <w:pPr>
        <w:pStyle w:val="MTDisplayEquation"/>
      </w:pPr>
      <w:r>
        <w:tab/>
      </w:r>
      <w:r w:rsidRPr="00E670A7">
        <w:rPr>
          <w:position w:val="-176"/>
        </w:rPr>
        <w:object w:dxaOrig="4540" w:dyaOrig="4260" w14:anchorId="7E639058">
          <v:shape id="_x0000_i1752" type="#_x0000_t75" style="width:231pt;height:3in" o:ole="">
            <v:imagedata r:id="rId1491" o:title=""/>
          </v:shape>
          <o:OLEObject Type="Embed" ProgID="Equation.DSMT4" ShapeID="_x0000_i1752" DrawAspect="Content" ObjectID="_1754919303" r:id="rId149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0" w:name="ZEqnNum939805"/>
      <w:r>
        <w:instrText>(</w:instrText>
      </w:r>
      <w:r>
        <w:rPr>
          <w:noProof/>
        </w:rPr>
        <w:fldChar w:fldCharType="begin"/>
      </w:r>
      <w:r>
        <w:rPr>
          <w:noProof/>
        </w:rPr>
        <w:instrText xml:space="preserve"> SEQ MTEqn \c \* Arabic \* MERGEFORMAT </w:instrText>
      </w:r>
      <w:r>
        <w:rPr>
          <w:noProof/>
        </w:rPr>
        <w:fldChar w:fldCharType="separate"/>
      </w:r>
      <w:r w:rsidR="00E00A52">
        <w:rPr>
          <w:noProof/>
        </w:rPr>
        <w:instrText>82</w:instrText>
      </w:r>
      <w:r>
        <w:rPr>
          <w:noProof/>
        </w:rPr>
        <w:fldChar w:fldCharType="end"/>
      </w:r>
      <w:r>
        <w:instrText>)</w:instrText>
      </w:r>
      <w:bookmarkEnd w:id="60"/>
      <w:r>
        <w:fldChar w:fldCharType="end"/>
      </w:r>
    </w:p>
    <w:p w14:paraId="3BED47B8" w14:textId="77777777" w:rsidR="006C3DEB" w:rsidRDefault="006C3DEB" w:rsidP="006C3DEB">
      <w:pPr>
        <w:spacing w:before="0" w:after="200" w:line="276" w:lineRule="auto"/>
      </w:pPr>
      <w:r>
        <w:br w:type="page"/>
      </w:r>
    </w:p>
    <w:p w14:paraId="18E52747" w14:textId="77777777" w:rsidR="006C3DEB" w:rsidRDefault="006C3DEB" w:rsidP="006C3DEB">
      <w:r>
        <w:lastRenderedPageBreak/>
        <w:t>Using the firm’s budget constraint, the equation above can be further rewritten as:</w:t>
      </w:r>
    </w:p>
    <w:p w14:paraId="2A208292" w14:textId="26C9EE8F" w:rsidR="006C3DEB" w:rsidRPr="0095743F" w:rsidRDefault="006C3DEB" w:rsidP="006C3DEB">
      <w:pPr>
        <w:pStyle w:val="MTDisplayEquation"/>
      </w:pPr>
      <w:r>
        <w:tab/>
      </w:r>
      <w:r w:rsidRPr="00E670A7">
        <w:rPr>
          <w:position w:val="-16"/>
        </w:rPr>
        <w:object w:dxaOrig="5560" w:dyaOrig="440" w14:anchorId="4CA56FE9">
          <v:shape id="_x0000_i1753" type="#_x0000_t75" style="width:281.4pt;height:21.6pt" o:ole="">
            <v:imagedata r:id="rId1493" o:title=""/>
          </v:shape>
          <o:OLEObject Type="Embed" ProgID="Equation.DSMT4" ShapeID="_x0000_i1753" DrawAspect="Content" ObjectID="_1754919304" r:id="rId149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83</w:instrText>
      </w:r>
      <w:r>
        <w:rPr>
          <w:noProof/>
        </w:rPr>
        <w:fldChar w:fldCharType="end"/>
      </w:r>
      <w:r>
        <w:instrText>)</w:instrText>
      </w:r>
      <w:r>
        <w:fldChar w:fldCharType="end"/>
      </w:r>
    </w:p>
    <w:p w14:paraId="3C3DE239" w14:textId="672177CD" w:rsidR="006C3DEB" w:rsidRDefault="006C3DEB" w:rsidP="006C3DEB">
      <w:r>
        <w:t xml:space="preserve">By forward iteration, we have replicated equation </w:t>
      </w:r>
      <w:r>
        <w:fldChar w:fldCharType="begin"/>
      </w:r>
      <w:r>
        <w:instrText xml:space="preserve"> GOTOBUTTON ZEqnNum558038  \* MERGEFORMAT </w:instrText>
      </w:r>
      <w:r w:rsidR="00E00A52">
        <w:instrText>(18)</w:instrText>
      </w:r>
      <w:r>
        <w:fldChar w:fldCharType="end"/>
      </w:r>
      <w:r>
        <w:t xml:space="preserve"> as follows:</w:t>
      </w:r>
    </w:p>
    <w:p w14:paraId="2D1C6D9D" w14:textId="77777777" w:rsidR="006C3DEB" w:rsidRPr="00672788" w:rsidRDefault="006C3DEB" w:rsidP="006C3DEB">
      <w:pPr>
        <w:jc w:val="center"/>
        <w:rPr>
          <w:b/>
        </w:rPr>
      </w:pPr>
      <w:r w:rsidRPr="00E670A7">
        <w:rPr>
          <w:position w:val="-32"/>
        </w:rPr>
        <w:object w:dxaOrig="4520" w:dyaOrig="760" w14:anchorId="01C325E0">
          <v:shape id="_x0000_i1754" type="#_x0000_t75" style="width:223.8pt;height:35.4pt" o:ole="">
            <v:imagedata r:id="rId1495" o:title=""/>
          </v:shape>
          <o:OLEObject Type="Embed" ProgID="Equation.DSMT4" ShapeID="_x0000_i1754" DrawAspect="Content" ObjectID="_1754919305" r:id="rId1496"/>
        </w:object>
      </w:r>
    </w:p>
    <w:p w14:paraId="36A5EFC2" w14:textId="77777777" w:rsidR="006C3DEB" w:rsidRPr="0047774D" w:rsidRDefault="006C3DEB" w:rsidP="006C3DEB">
      <w:pPr>
        <w:pStyle w:val="Heading2NotNumbered"/>
      </w:pPr>
      <w:r>
        <w:t>Steady state conditions</w:t>
      </w:r>
    </w:p>
    <w:p w14:paraId="16EBC982" w14:textId="77777777" w:rsidR="006C3DEB" w:rsidRDefault="006C3DEB" w:rsidP="006C3DEB">
      <w:r>
        <w:t>At the steady state, we have:</w:t>
      </w:r>
    </w:p>
    <w:p w14:paraId="6E9E4682" w14:textId="77777777" w:rsidR="006C3DEB" w:rsidRDefault="006C3DEB" w:rsidP="006C3DEB">
      <w:pPr>
        <w:jc w:val="center"/>
      </w:pPr>
      <w:r w:rsidRPr="00E670A7">
        <w:rPr>
          <w:position w:val="-16"/>
        </w:rPr>
        <w:object w:dxaOrig="1920" w:dyaOrig="440" w14:anchorId="3690A8E4">
          <v:shape id="_x0000_i1755" type="#_x0000_t75" style="width:93.6pt;height:21.6pt" o:ole="">
            <v:imagedata r:id="rId1497" o:title=""/>
          </v:shape>
          <o:OLEObject Type="Embed" ProgID="Equation.DSMT4" ShapeID="_x0000_i1755" DrawAspect="Content" ObjectID="_1754919306" r:id="rId1498"/>
        </w:object>
      </w:r>
    </w:p>
    <w:p w14:paraId="4903D19A" w14:textId="77777777" w:rsidR="006C3DEB" w:rsidRDefault="006C3DEB" w:rsidP="006C3DEB">
      <w:pPr>
        <w:jc w:val="center"/>
      </w:pPr>
      <w:r w:rsidRPr="00E670A7">
        <w:rPr>
          <w:position w:val="-16"/>
        </w:rPr>
        <w:object w:dxaOrig="2020" w:dyaOrig="440" w14:anchorId="66ABF43E">
          <v:shape id="_x0000_i1756" type="#_x0000_t75" style="width:101.4pt;height:21.6pt" o:ole="">
            <v:imagedata r:id="rId1499" o:title=""/>
          </v:shape>
          <o:OLEObject Type="Embed" ProgID="Equation.DSMT4" ShapeID="_x0000_i1756" DrawAspect="Content" ObjectID="_1754919307" r:id="rId1500"/>
        </w:object>
      </w:r>
    </w:p>
    <w:p w14:paraId="328CDBD6" w14:textId="77777777" w:rsidR="006C3DEB" w:rsidRDefault="006C3DEB" w:rsidP="006C3DEB">
      <w:pPr>
        <w:jc w:val="center"/>
      </w:pPr>
      <w:r w:rsidRPr="00E670A7">
        <w:rPr>
          <w:position w:val="-16"/>
        </w:rPr>
        <w:object w:dxaOrig="8660" w:dyaOrig="580" w14:anchorId="6DC5CEF4">
          <v:shape id="_x0000_i1757" type="#_x0000_t75" style="width:6in;height:29.4pt" o:ole="">
            <v:imagedata r:id="rId1501" o:title=""/>
          </v:shape>
          <o:OLEObject Type="Embed" ProgID="Equation.DSMT4" ShapeID="_x0000_i1757" DrawAspect="Content" ObjectID="_1754919308" r:id="rId1502"/>
        </w:object>
      </w:r>
    </w:p>
    <w:p w14:paraId="60DA60E1" w14:textId="77777777" w:rsidR="006C3DEB" w:rsidRDefault="006C3DEB" w:rsidP="006C3DEB">
      <w:r>
        <w:t>Manipulating the last equation above gives the following:</w:t>
      </w:r>
    </w:p>
    <w:p w14:paraId="34C38429" w14:textId="77777777" w:rsidR="006C3DEB" w:rsidRDefault="006C3DEB" w:rsidP="006C3DEB">
      <w:pPr>
        <w:pStyle w:val="MTDisplayEquation"/>
        <w:jc w:val="center"/>
      </w:pPr>
      <w:r w:rsidRPr="00E670A7">
        <w:rPr>
          <w:position w:val="-64"/>
        </w:rPr>
        <w:object w:dxaOrig="7920" w:dyaOrig="1400" w14:anchorId="58A15E13">
          <v:shape id="_x0000_i1758" type="#_x0000_t75" style="width:396.6pt;height:1in" o:ole="">
            <v:imagedata r:id="rId1503" o:title=""/>
          </v:shape>
          <o:OLEObject Type="Embed" ProgID="Equation.DSMT4" ShapeID="_x0000_i1758" DrawAspect="Content" ObjectID="_1754919309" r:id="rId1504"/>
        </w:object>
      </w:r>
    </w:p>
    <w:p w14:paraId="4BB1EC5D" w14:textId="77777777" w:rsidR="006C3DEB" w:rsidRPr="000954C4" w:rsidRDefault="006C3DEB" w:rsidP="006C3DEB">
      <w:pPr>
        <w:pStyle w:val="MTDisplayEquation"/>
        <w:rPr>
          <w:rFonts w:eastAsia="Calibri"/>
        </w:rPr>
      </w:pPr>
      <w:r>
        <w:t>Le</w:t>
      </w:r>
      <w:r w:rsidRPr="000954C4">
        <w:t xml:space="preserve">tting </w:t>
      </w:r>
      <w:r w:rsidRPr="00E670A7">
        <w:rPr>
          <w:position w:val="-12"/>
        </w:rPr>
        <w:object w:dxaOrig="400" w:dyaOrig="400" w14:anchorId="41A2ED6C">
          <v:shape id="_x0000_i1759" type="#_x0000_t75" style="width:22.8pt;height:22.8pt" o:ole="">
            <v:imagedata r:id="rId1505" o:title=""/>
          </v:shape>
          <o:OLEObject Type="Embed" ProgID="Equation.DSMT4" ShapeID="_x0000_i1759" DrawAspect="Content" ObjectID="_1754919310" r:id="rId1506"/>
        </w:object>
      </w:r>
      <w:r w:rsidRPr="000954C4">
        <w:rPr>
          <w:rFonts w:eastAsia="Calibri"/>
        </w:rPr>
        <w:t xml:space="preserve"> be firm’s effective cost of capital net of tax deduction:</w:t>
      </w:r>
    </w:p>
    <w:p w14:paraId="03C592F7" w14:textId="77777777" w:rsidR="006C3DEB" w:rsidRPr="00751898" w:rsidRDefault="006C3DEB" w:rsidP="006C3DEB">
      <w:pPr>
        <w:jc w:val="center"/>
      </w:pPr>
      <w:r w:rsidRPr="00E670A7">
        <w:rPr>
          <w:position w:val="-16"/>
        </w:rPr>
        <w:object w:dxaOrig="7540" w:dyaOrig="440" w14:anchorId="227B1F01">
          <v:shape id="_x0000_i1760" type="#_x0000_t75" style="width:375pt;height:21.6pt" o:ole="">
            <v:imagedata r:id="rId1507" o:title=""/>
          </v:shape>
          <o:OLEObject Type="Embed" ProgID="Equation.DSMT4" ShapeID="_x0000_i1760" DrawAspect="Content" ObjectID="_1754919311" r:id="rId1508"/>
        </w:object>
      </w:r>
    </w:p>
    <w:p w14:paraId="4DA3C5C7" w14:textId="77777777" w:rsidR="006C3DEB" w:rsidRDefault="006C3DEB" w:rsidP="006C3DEB">
      <w:pPr>
        <w:pStyle w:val="MTDisplayEquation"/>
        <w:rPr>
          <w:rFonts w:eastAsia="Calibri"/>
        </w:rPr>
      </w:pPr>
      <w:r>
        <w:rPr>
          <w:rFonts w:eastAsia="Calibri"/>
        </w:rPr>
        <w:t>We have:</w:t>
      </w:r>
    </w:p>
    <w:p w14:paraId="1EE7380A" w14:textId="77777777" w:rsidR="006C3DEB" w:rsidRPr="00F134F1" w:rsidRDefault="006C3DEB" w:rsidP="006C3DEB">
      <w:pPr>
        <w:jc w:val="center"/>
      </w:pPr>
      <w:r w:rsidRPr="00E670A7">
        <w:rPr>
          <w:position w:val="-30"/>
        </w:rPr>
        <w:object w:dxaOrig="2000" w:dyaOrig="740" w14:anchorId="686129E0">
          <v:shape id="_x0000_i1761" type="#_x0000_t75" style="width:101.4pt;height:36.6pt" o:ole="">
            <v:imagedata r:id="rId1509" o:title=""/>
          </v:shape>
          <o:OLEObject Type="Embed" ProgID="Equation.DSMT4" ShapeID="_x0000_i1761" DrawAspect="Content" ObjectID="_1754919312" r:id="rId1510"/>
        </w:object>
      </w:r>
    </w:p>
    <w:p w14:paraId="275D9BD2" w14:textId="77777777" w:rsidR="006C3DEB" w:rsidRPr="00751898" w:rsidRDefault="006C3DEB" w:rsidP="006C3DEB">
      <w:pPr>
        <w:pStyle w:val="MTDisplayEquation"/>
        <w:rPr>
          <w:rFonts w:eastAsia="Calibri"/>
        </w:rPr>
      </w:pPr>
      <w:r w:rsidRPr="000954C4">
        <w:t xml:space="preserve">This implies that at the steady state, the marginal </w:t>
      </w:r>
      <w:r>
        <w:t>return on</w:t>
      </w:r>
      <w:r w:rsidRPr="000954C4">
        <w:t xml:space="preserve"> capital</w:t>
      </w:r>
      <w:r>
        <w:t xml:space="preserve"> after company income tax is</w:t>
      </w:r>
      <w:r w:rsidRPr="000954C4">
        <w:t xml:space="preserve"> equal to the </w:t>
      </w:r>
      <w:r w:rsidRPr="000954C4">
        <w:rPr>
          <w:rFonts w:eastAsia="Calibri"/>
        </w:rPr>
        <w:t xml:space="preserve">effective cost of capital plus </w:t>
      </w:r>
      <w:r w:rsidRPr="000954C4">
        <w:t>depreciation.</w:t>
      </w:r>
    </w:p>
    <w:p w14:paraId="4D2F8601" w14:textId="77777777" w:rsidR="006C3DEB" w:rsidRDefault="006C3DEB" w:rsidP="006C3DEB">
      <w:pPr>
        <w:spacing w:before="0" w:after="200" w:line="276" w:lineRule="auto"/>
        <w:rPr>
          <w:rFonts w:eastAsia="Calibri"/>
        </w:rPr>
      </w:pPr>
      <w:r>
        <w:rPr>
          <w:rFonts w:eastAsia="Calibri"/>
        </w:rPr>
        <w:br w:type="page"/>
      </w:r>
    </w:p>
    <w:p w14:paraId="3334AF7A" w14:textId="77777777" w:rsidR="006C3DEB" w:rsidRPr="00CF2F3A" w:rsidRDefault="006C3DEB" w:rsidP="006C3DEB">
      <w:pPr>
        <w:rPr>
          <w:rFonts w:eastAsia="Calibri"/>
        </w:rPr>
      </w:pPr>
      <w:r>
        <w:rPr>
          <w:rFonts w:eastAsia="Calibri"/>
        </w:rPr>
        <w:lastRenderedPageBreak/>
        <w:t>Using the first second conditions</w:t>
      </w:r>
      <w:r w:rsidRPr="00CF2F3A">
        <w:rPr>
          <w:rFonts w:eastAsia="Calibri"/>
        </w:rPr>
        <w:t xml:space="preserve">, we </w:t>
      </w:r>
      <w:r>
        <w:rPr>
          <w:rFonts w:eastAsia="Calibri"/>
        </w:rPr>
        <w:t>also</w:t>
      </w:r>
      <w:r w:rsidRPr="00CF2F3A">
        <w:rPr>
          <w:rFonts w:eastAsia="Calibri"/>
        </w:rPr>
        <w:t xml:space="preserve"> have:</w:t>
      </w:r>
    </w:p>
    <w:p w14:paraId="073CB05E" w14:textId="77777777" w:rsidR="006C3DEB" w:rsidRDefault="006C3DEB" w:rsidP="006C3DEB">
      <w:pPr>
        <w:pStyle w:val="MTDisplayEquation"/>
      </w:pPr>
      <w:r w:rsidRPr="00CF2F3A">
        <w:tab/>
      </w:r>
      <w:r w:rsidRPr="00E670A7">
        <w:rPr>
          <w:position w:val="-66"/>
        </w:rPr>
        <w:object w:dxaOrig="2740" w:dyaOrig="1520" w14:anchorId="72905F46">
          <v:shape id="_x0000_i1762" type="#_x0000_t75" style="width:137.4pt;height:78.6pt" o:ole="">
            <v:imagedata r:id="rId1511" o:title=""/>
          </v:shape>
          <o:OLEObject Type="Embed" ProgID="Equation.DSMT4" ShapeID="_x0000_i1762" DrawAspect="Content" ObjectID="_1754919313" r:id="rId1512"/>
        </w:object>
      </w:r>
      <w:r w:rsidRPr="00CF2F3A">
        <w:t xml:space="preserve"> </w:t>
      </w:r>
      <w:r w:rsidRPr="00CF2F3A">
        <w:tab/>
        <w:t xml:space="preserve"> </w:t>
      </w:r>
    </w:p>
    <w:p w14:paraId="3E46BFD8" w14:textId="77777777" w:rsidR="006C3DEB" w:rsidRDefault="006C3DEB" w:rsidP="006C3DEB">
      <w:pPr>
        <w:pStyle w:val="MTDisplayEquation"/>
        <w:jc w:val="center"/>
      </w:pPr>
      <w:r w:rsidRPr="00E670A7">
        <w:rPr>
          <w:position w:val="-32"/>
        </w:rPr>
        <w:object w:dxaOrig="2260" w:dyaOrig="840" w14:anchorId="27A3E5A9">
          <v:shape id="_x0000_i1763" type="#_x0000_t75" style="width:114.6pt;height:42.6pt" o:ole="">
            <v:imagedata r:id="rId1513" o:title=""/>
          </v:shape>
          <o:OLEObject Type="Embed" ProgID="Equation.DSMT4" ShapeID="_x0000_i1763" DrawAspect="Content" ObjectID="_1754919314" r:id="rId1514"/>
        </w:object>
      </w:r>
    </w:p>
    <w:p w14:paraId="3B3A9610" w14:textId="77777777" w:rsidR="006C3DEB" w:rsidRPr="00CF2F3A" w:rsidRDefault="006C3DEB" w:rsidP="006C3DEB">
      <w:pPr>
        <w:jc w:val="center"/>
      </w:pPr>
      <w:r w:rsidRPr="00E670A7">
        <w:rPr>
          <w:position w:val="-32"/>
        </w:rPr>
        <w:object w:dxaOrig="2240" w:dyaOrig="840" w14:anchorId="55AE4728">
          <v:shape id="_x0000_i1764" type="#_x0000_t75" style="width:114.6pt;height:42.6pt" o:ole="">
            <v:imagedata r:id="rId1515" o:title=""/>
          </v:shape>
          <o:OLEObject Type="Embed" ProgID="Equation.DSMT4" ShapeID="_x0000_i1764" DrawAspect="Content" ObjectID="_1754919315" r:id="rId1516"/>
        </w:object>
      </w:r>
    </w:p>
    <w:p w14:paraId="519BC06C" w14:textId="77777777" w:rsidR="006C3DEB" w:rsidRPr="007273B8" w:rsidRDefault="006C3DEB" w:rsidP="006C3DEB">
      <w:pPr>
        <w:pStyle w:val="MTDisplayEquation"/>
        <w:rPr>
          <w:rFonts w:eastAsia="Calibri"/>
        </w:rPr>
      </w:pPr>
      <w:r w:rsidRPr="00CF2F3A">
        <w:rPr>
          <w:rFonts w:eastAsia="Calibri"/>
        </w:rPr>
        <w:t xml:space="preserve">These equations suggest the following relationship between the </w:t>
      </w:r>
      <w:r>
        <w:rPr>
          <w:rFonts w:eastAsia="Calibri"/>
        </w:rPr>
        <w:t>CES weights</w:t>
      </w:r>
      <w:r w:rsidRPr="00CF2F3A">
        <w:rPr>
          <w:rFonts w:eastAsia="Calibri"/>
        </w:rPr>
        <w:t xml:space="preserve"> and </w:t>
      </w:r>
      <w:r>
        <w:rPr>
          <w:rFonts w:eastAsia="Calibri"/>
        </w:rPr>
        <w:t>other variables</w:t>
      </w:r>
      <w:r w:rsidRPr="00CF2F3A">
        <w:rPr>
          <w:rFonts w:eastAsia="Calibri"/>
        </w:rPr>
        <w:t>:</w:t>
      </w:r>
    </w:p>
    <w:p w14:paraId="5F31DC8E" w14:textId="1DCD3DD5" w:rsidR="006C3DEB" w:rsidRDefault="006C3DEB" w:rsidP="006C3DEB">
      <w:pPr>
        <w:pStyle w:val="MTDisplayEquation"/>
      </w:pPr>
      <w:r>
        <w:tab/>
      </w:r>
      <w:r w:rsidRPr="00E670A7">
        <w:rPr>
          <w:position w:val="-66"/>
        </w:rPr>
        <w:object w:dxaOrig="3460" w:dyaOrig="1520" w14:anchorId="19EC9D4E">
          <v:shape id="_x0000_i1765" type="#_x0000_t75" style="width:173.4pt;height:78.6pt" o:ole="">
            <v:imagedata r:id="rId1517" o:title=""/>
          </v:shape>
          <o:OLEObject Type="Embed" ProgID="Equation.DSMT4" ShapeID="_x0000_i1765" DrawAspect="Content" ObjectID="_1754919316" r:id="rId15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1" w:name="ZEqnNum492834"/>
      <w:r>
        <w:instrText>(</w:instrText>
      </w:r>
      <w:r>
        <w:rPr>
          <w:noProof/>
        </w:rPr>
        <w:fldChar w:fldCharType="begin"/>
      </w:r>
      <w:r>
        <w:rPr>
          <w:noProof/>
        </w:rPr>
        <w:instrText xml:space="preserve"> SEQ MTEqn \c \* Arabic \* MERGEFORMAT </w:instrText>
      </w:r>
      <w:r>
        <w:rPr>
          <w:noProof/>
        </w:rPr>
        <w:fldChar w:fldCharType="separate"/>
      </w:r>
      <w:r w:rsidR="00E00A52">
        <w:rPr>
          <w:noProof/>
        </w:rPr>
        <w:instrText>84</w:instrText>
      </w:r>
      <w:r>
        <w:rPr>
          <w:noProof/>
        </w:rPr>
        <w:fldChar w:fldCharType="end"/>
      </w:r>
      <w:r>
        <w:instrText>)</w:instrText>
      </w:r>
      <w:bookmarkEnd w:id="61"/>
      <w:r>
        <w:fldChar w:fldCharType="end"/>
      </w:r>
    </w:p>
    <w:p w14:paraId="16E70DF4" w14:textId="4EE13FB1" w:rsidR="006C3DEB" w:rsidRDefault="006C3DEB" w:rsidP="006C3DEB">
      <w:pPr>
        <w:pStyle w:val="MTDisplayEquation"/>
      </w:pPr>
      <w:r>
        <w:tab/>
      </w:r>
      <w:r w:rsidRPr="00E670A7">
        <w:rPr>
          <w:position w:val="-32"/>
        </w:rPr>
        <w:object w:dxaOrig="2240" w:dyaOrig="840" w14:anchorId="255B6FA9">
          <v:shape id="_x0000_i1766" type="#_x0000_t75" style="width:114.6pt;height:42.6pt" o:ole="">
            <v:imagedata r:id="rId1519" o:title=""/>
          </v:shape>
          <o:OLEObject Type="Embed" ProgID="Equation.DSMT4" ShapeID="_x0000_i1766" DrawAspect="Content" ObjectID="_1754919317" r:id="rId152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85</w:instrText>
      </w:r>
      <w:r>
        <w:rPr>
          <w:noProof/>
        </w:rPr>
        <w:fldChar w:fldCharType="end"/>
      </w:r>
      <w:r>
        <w:instrText>)</w:instrText>
      </w:r>
      <w:r>
        <w:fldChar w:fldCharType="end"/>
      </w:r>
    </w:p>
    <w:p w14:paraId="390EFF5D" w14:textId="4E4CD563" w:rsidR="006C3DEB" w:rsidRPr="00E5132A" w:rsidRDefault="006C3DEB" w:rsidP="006C3DEB">
      <w:pPr>
        <w:pStyle w:val="MTDisplayEquation"/>
      </w:pPr>
      <w:r>
        <w:tab/>
      </w:r>
      <w:r w:rsidRPr="00E670A7">
        <w:rPr>
          <w:position w:val="-32"/>
        </w:rPr>
        <w:object w:dxaOrig="2240" w:dyaOrig="840" w14:anchorId="3FD77452">
          <v:shape id="_x0000_i1767" type="#_x0000_t75" style="width:114.6pt;height:42.6pt" o:ole="">
            <v:imagedata r:id="rId1521" o:title=""/>
          </v:shape>
          <o:OLEObject Type="Embed" ProgID="Equation.DSMT4" ShapeID="_x0000_i1767" DrawAspect="Content" ObjectID="_1754919318" r:id="rId152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2" w:name="ZEqnNum627038"/>
      <w:r>
        <w:instrText>(</w:instrText>
      </w:r>
      <w:r>
        <w:rPr>
          <w:noProof/>
        </w:rPr>
        <w:fldChar w:fldCharType="begin"/>
      </w:r>
      <w:r>
        <w:rPr>
          <w:noProof/>
        </w:rPr>
        <w:instrText xml:space="preserve"> SEQ MTEqn \c \* Arabic \* MERGEFORMAT </w:instrText>
      </w:r>
      <w:r>
        <w:rPr>
          <w:noProof/>
        </w:rPr>
        <w:fldChar w:fldCharType="separate"/>
      </w:r>
      <w:r w:rsidR="00E00A52">
        <w:rPr>
          <w:noProof/>
        </w:rPr>
        <w:instrText>86</w:instrText>
      </w:r>
      <w:r>
        <w:rPr>
          <w:noProof/>
        </w:rPr>
        <w:fldChar w:fldCharType="end"/>
      </w:r>
      <w:r>
        <w:instrText>)</w:instrText>
      </w:r>
      <w:bookmarkEnd w:id="62"/>
      <w:r>
        <w:fldChar w:fldCharType="end"/>
      </w:r>
    </w:p>
    <w:p w14:paraId="0F6775B2" w14:textId="509A0BD8" w:rsidR="006C3DEB" w:rsidRDefault="006C3DEB" w:rsidP="006C3DEB">
      <w:pPr>
        <w:rPr>
          <w:rFonts w:eastAsia="Calibri"/>
        </w:rPr>
      </w:pPr>
      <w:r>
        <w:rPr>
          <w:rFonts w:eastAsia="Calibri"/>
        </w:rPr>
        <w:t xml:space="preserve">It is worth noting that, </w:t>
      </w:r>
      <w:r w:rsidRPr="00E670A7">
        <w:rPr>
          <w:position w:val="-30"/>
        </w:rPr>
        <w:object w:dxaOrig="1359" w:dyaOrig="1060" w14:anchorId="47964408">
          <v:shape id="_x0000_i1768" type="#_x0000_t75" style="width:64.2pt;height:49.8pt" o:ole="">
            <v:imagedata r:id="rId1523" o:title=""/>
          </v:shape>
          <o:OLEObject Type="Embed" ProgID="Equation.DSMT4" ShapeID="_x0000_i1768" DrawAspect="Content" ObjectID="_1754919319" r:id="rId1524"/>
        </w:object>
      </w:r>
      <w:r w:rsidRPr="00CF2F3A">
        <w:rPr>
          <w:rFonts w:eastAsia="Calibri"/>
        </w:rPr>
        <w:t>,</w:t>
      </w:r>
      <w:r>
        <w:rPr>
          <w:rFonts w:eastAsia="Calibri"/>
        </w:rPr>
        <w:t xml:space="preserve"> </w:t>
      </w:r>
      <w:r w:rsidRPr="00E670A7">
        <w:rPr>
          <w:position w:val="-30"/>
        </w:rPr>
        <w:object w:dxaOrig="620" w:dyaOrig="680" w14:anchorId="6ABCC35E">
          <v:shape id="_x0000_i1769" type="#_x0000_t75" style="width:29.4pt;height:37.8pt" o:ole="">
            <v:imagedata r:id="rId1525" o:title=""/>
          </v:shape>
          <o:OLEObject Type="Embed" ProgID="Equation.DSMT4" ShapeID="_x0000_i1769" DrawAspect="Content" ObjectID="_1754919320" r:id="rId1526"/>
        </w:object>
      </w:r>
      <w:r>
        <w:t xml:space="preserve"> </w:t>
      </w:r>
      <w:r w:rsidRPr="00CF2F3A">
        <w:rPr>
          <w:rFonts w:eastAsia="Calibri"/>
        </w:rPr>
        <w:t>and</w:t>
      </w:r>
      <w:r>
        <w:rPr>
          <w:rFonts w:eastAsia="Calibri"/>
        </w:rPr>
        <w:t xml:space="preserve"> </w:t>
      </w:r>
      <w:r w:rsidRPr="00E670A7">
        <w:rPr>
          <w:position w:val="-30"/>
        </w:rPr>
        <w:object w:dxaOrig="620" w:dyaOrig="720" w14:anchorId="669FCC88">
          <v:shape id="_x0000_i1770" type="#_x0000_t75" style="width:29.4pt;height:37.8pt" o:ole="">
            <v:imagedata r:id="rId1527" o:title=""/>
          </v:shape>
          <o:OLEObject Type="Embed" ProgID="Equation.DSMT4" ShapeID="_x0000_i1770" DrawAspect="Content" ObjectID="_1754919321" r:id="rId1528"/>
        </w:object>
      </w:r>
      <w:r>
        <w:t xml:space="preserve"> above </w:t>
      </w:r>
      <w:r w:rsidRPr="00CF2F3A">
        <w:rPr>
          <w:rFonts w:eastAsia="Calibri"/>
        </w:rPr>
        <w:t>are the cost shares of capital, labour and intermediate inputs</w:t>
      </w:r>
      <w:r>
        <w:rPr>
          <w:rFonts w:eastAsia="Calibri"/>
        </w:rPr>
        <w:t xml:space="preserve">. Assuming that the Australian economy is at steady state, we can then use equations (84) to (86) and the cost </w:t>
      </w:r>
      <w:r w:rsidRPr="008265A7">
        <w:t xml:space="preserve">share information from </w:t>
      </w:r>
      <w:r w:rsidR="00E00A52">
        <w:t xml:space="preserve">Table </w:t>
      </w:r>
      <w:r w:rsidR="00E00A52">
        <w:rPr>
          <w:noProof/>
        </w:rPr>
        <w:t>4</w:t>
      </w:r>
      <w:r>
        <w:rPr>
          <w:rFonts w:eastAsia="Calibri"/>
        </w:rPr>
        <w:t xml:space="preserve"> to estimate the CES weight</w:t>
      </w:r>
      <w:r w:rsidRPr="00CF2F3A">
        <w:rPr>
          <w:rFonts w:eastAsia="Calibri"/>
        </w:rPr>
        <w:t>s</w:t>
      </w:r>
      <w:r>
        <w:t>.</w:t>
      </w:r>
    </w:p>
    <w:p w14:paraId="0F1AD827" w14:textId="77777777" w:rsidR="006C3DEB" w:rsidRDefault="006C3DEB" w:rsidP="006C3DEB"/>
    <w:p w14:paraId="13E30346" w14:textId="77777777" w:rsidR="006C3DEB" w:rsidRDefault="006C3DEB" w:rsidP="006C3DEB">
      <w:pPr>
        <w:sectPr w:rsidR="006C3DEB" w:rsidSect="00B7535E">
          <w:pgSz w:w="11906" w:h="16838" w:code="9"/>
          <w:pgMar w:top="1843" w:right="1418" w:bottom="1418" w:left="1418" w:header="709" w:footer="709" w:gutter="0"/>
          <w:cols w:space="708"/>
          <w:titlePg/>
          <w:docGrid w:linePitch="360"/>
        </w:sectPr>
      </w:pPr>
    </w:p>
    <w:p w14:paraId="07014344" w14:textId="77777777" w:rsidR="006C3DEB" w:rsidRDefault="006C3DEB" w:rsidP="006C3DEB">
      <w:pPr>
        <w:pStyle w:val="Heading1"/>
        <w:spacing w:before="720"/>
      </w:pPr>
      <w:r>
        <w:lastRenderedPageBreak/>
        <w:t xml:space="preserve">Appendix D: Modelling foreign import demand (aka </w:t>
      </w:r>
      <w:r w:rsidRPr="006E3D3C">
        <w:t>Demand</w:t>
      </w:r>
      <w:r>
        <w:t xml:space="preserve"> for Australian exports)</w:t>
      </w:r>
    </w:p>
    <w:p w14:paraId="567E28F8" w14:textId="77777777" w:rsidR="006C3DEB" w:rsidRPr="008265A7" w:rsidRDefault="006C3DEB" w:rsidP="006C3DEB">
      <w:bookmarkStart w:id="63" w:name="_Toc271526785"/>
      <w:r w:rsidRPr="00ED34C1">
        <w:t>Consider a representative con</w:t>
      </w:r>
      <w:r>
        <w:t xml:space="preserve">sumer living in foreign country </w:t>
      </w:r>
      <w:r w:rsidRPr="00ED34C1">
        <w:t xml:space="preserve">who solves a nested utility maximising </w:t>
      </w:r>
      <w:r w:rsidRPr="008265A7">
        <w:t>problem. At the top of the nest is the choice between different types of consumption goods (</w:t>
      </w:r>
      <w:r>
        <w:t>for example</w:t>
      </w:r>
      <w:r w:rsidRPr="008265A7">
        <w:t xml:space="preserve"> iron ore, computers, and foods). Following this is the choice between different varieties of the same consumption good that are produced in</w:t>
      </w:r>
      <w:r>
        <w:t xml:space="preserve"> different exporting countries</w:t>
      </w:r>
      <w:r w:rsidRPr="008265A7">
        <w:t xml:space="preserve"> (</w:t>
      </w:r>
      <w:r>
        <w:t>for example</w:t>
      </w:r>
      <w:r w:rsidRPr="008265A7">
        <w:t xml:space="preserve"> Australian iron ore and Brazilian iron ore).</w:t>
      </w:r>
    </w:p>
    <w:p w14:paraId="03F2EC83" w14:textId="2E74D901" w:rsidR="006C3DEB" w:rsidRPr="001716A0" w:rsidRDefault="006C3DEB" w:rsidP="001716A0">
      <w:pPr>
        <w:pStyle w:val="TableMainHeading"/>
        <w:rPr>
          <w:rFonts w:asciiTheme="minorHAnsi" w:eastAsiaTheme="minorHAnsi" w:hAnsiTheme="minorHAnsi" w:cstheme="minorHAnsi"/>
        </w:rPr>
      </w:pPr>
      <w:r w:rsidRPr="00B34AB0">
        <w:rPr>
          <w:rStyle w:val="Caption1Char"/>
          <w:rFonts w:asciiTheme="minorHAnsi" w:eastAsiaTheme="minorHAnsi" w:hAnsiTheme="minorHAnsi" w:cstheme="minorHAnsi"/>
          <w:color w:val="4D7861" w:themeColor="accent2"/>
          <w:sz w:val="26"/>
          <w:szCs w:val="26"/>
        </w:rPr>
        <w:t>Figure A2: Foreign consumer's nested preference</w:t>
      </w:r>
      <w:r w:rsidR="00AC5B94" w:rsidRPr="00AC5B94">
        <w:rPr>
          <w:noProof/>
        </w:rPr>
        <w:t xml:space="preserve"> </w:t>
      </w:r>
      <w:r w:rsidR="00AC5B94">
        <w:rPr>
          <w:noProof/>
        </w:rPr>
        <w:drawing>
          <wp:inline distT="0" distB="0" distL="0" distR="0" wp14:anchorId="4D737A1E" wp14:editId="3A52CAD6">
            <wp:extent cx="5731510" cy="1866265"/>
            <wp:effectExtent l="0" t="0" r="2540" b="635"/>
            <wp:docPr id="45" name="Picture 45" descr="This figure shows the nested CES structure that describes how aggregate foreign consumption is a composite of different commodities, each which in turn in is a composite of varieties from different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figure shows the nested CES structure that describes how aggregate foreign consumption is a composite of different commodities, each which in turn in is a composite of varieties from different countries. "/>
                    <pic:cNvPicPr>
                      <a:picLocks noChangeAspect="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5731510" cy="1866265"/>
                    </a:xfrm>
                    <a:prstGeom prst="rect">
                      <a:avLst/>
                    </a:prstGeom>
                    <a:noFill/>
                    <a:ln>
                      <a:noFill/>
                    </a:ln>
                  </pic:spPr>
                </pic:pic>
              </a:graphicData>
            </a:graphic>
          </wp:inline>
        </w:drawing>
      </w:r>
    </w:p>
    <w:p w14:paraId="19681A36" w14:textId="77777777" w:rsidR="006C3DEB" w:rsidRPr="00ED34C1" w:rsidRDefault="006C3DEB" w:rsidP="006C3DEB">
      <w:r w:rsidRPr="00ED34C1">
        <w:t>Assuming the foreign consumer’s preferences at the top</w:t>
      </w:r>
      <w:r>
        <w:t xml:space="preserve"> </w:t>
      </w:r>
      <w:r w:rsidRPr="00ED34C1">
        <w:t>tier are captured by a constant elasticity of substitution utility function (CES) preference, the problem can be summarised by the following:</w:t>
      </w:r>
      <w:bookmarkStart w:id="64" w:name="MTBlankEqn"/>
    </w:p>
    <w:p w14:paraId="49C23B12" w14:textId="78C3B321" w:rsidR="006C3DEB" w:rsidRPr="00ED34C1" w:rsidRDefault="006C3DEB" w:rsidP="006C3DEB">
      <w:pPr>
        <w:pStyle w:val="MTDisplayEquation"/>
      </w:pPr>
      <w:r w:rsidRPr="00ED34C1">
        <w:tab/>
      </w:r>
      <w:r w:rsidRPr="00E670A7">
        <w:rPr>
          <w:position w:val="-40"/>
        </w:rPr>
        <w:object w:dxaOrig="3120" w:dyaOrig="1100" w14:anchorId="1B766004">
          <v:shape id="_x0000_i1771" type="#_x0000_t75" style="width:159pt;height:57pt" o:ole="">
            <v:imagedata r:id="rId1530" o:title=""/>
          </v:shape>
          <o:OLEObject Type="Embed" ProgID="Equation.DSMT4" ShapeID="_x0000_i1771" DrawAspect="Content" ObjectID="_1754919322" r:id="rId1531"/>
        </w:object>
      </w:r>
      <w:r w:rsidRPr="00ED34C1">
        <w:t xml:space="preserve"> </w:t>
      </w:r>
      <w:r w:rsidRPr="00ED34C1">
        <w:tab/>
      </w:r>
      <w:r w:rsidRPr="00ED34C1">
        <w:fldChar w:fldCharType="begin"/>
      </w:r>
      <w:r w:rsidRPr="00ED34C1">
        <w:instrText xml:space="preserve"> MACROBUTTON MTPlaceRef \* MERGEFORMAT </w:instrText>
      </w:r>
      <w:r w:rsidRPr="00ED34C1">
        <w:fldChar w:fldCharType="begin"/>
      </w:r>
      <w:r w:rsidRPr="00ED34C1">
        <w:instrText xml:space="preserve"> SEQ MTEqn \h \* MERGEFORMAT </w:instrText>
      </w:r>
      <w:r w:rsidRPr="00ED34C1">
        <w:fldChar w:fldCharType="end"/>
      </w:r>
      <w:r w:rsidRPr="00ED34C1">
        <w:instrText>(</w:instrText>
      </w:r>
      <w:r w:rsidR="009B2CE5">
        <w:fldChar w:fldCharType="begin"/>
      </w:r>
      <w:r w:rsidR="009B2CE5">
        <w:instrText>SEQ MTEqn \c \* Arabic \* MERGEFORMAT</w:instrText>
      </w:r>
      <w:r w:rsidR="009B2CE5">
        <w:fldChar w:fldCharType="separate"/>
      </w:r>
      <w:r w:rsidR="00E00A52">
        <w:rPr>
          <w:noProof/>
        </w:rPr>
        <w:instrText>87</w:instrText>
      </w:r>
      <w:r w:rsidR="009B2CE5">
        <w:rPr>
          <w:noProof/>
        </w:rPr>
        <w:fldChar w:fldCharType="end"/>
      </w:r>
      <w:r w:rsidRPr="00ED34C1">
        <w:instrText>)</w:instrText>
      </w:r>
      <w:r w:rsidRPr="00ED34C1">
        <w:fldChar w:fldCharType="end"/>
      </w:r>
    </w:p>
    <w:bookmarkEnd w:id="64"/>
    <w:p w14:paraId="3B60F6E2" w14:textId="77777777" w:rsidR="006C3DEB" w:rsidRPr="00ED34C1" w:rsidRDefault="006C3DEB" w:rsidP="006C3DEB">
      <w:r w:rsidRPr="00ED34C1">
        <w:t>subject to:</w:t>
      </w:r>
    </w:p>
    <w:p w14:paraId="11EC11AC" w14:textId="6965B6EA" w:rsidR="006C3DEB" w:rsidRPr="00ED34C1" w:rsidRDefault="006C3DEB" w:rsidP="006C3DEB">
      <w:pPr>
        <w:pStyle w:val="MTDisplayEquation"/>
      </w:pPr>
      <w:r w:rsidRPr="00ED34C1">
        <w:tab/>
      </w:r>
      <w:r w:rsidRPr="00E670A7">
        <w:rPr>
          <w:position w:val="-30"/>
        </w:rPr>
        <w:object w:dxaOrig="1600" w:dyaOrig="560" w14:anchorId="274E2E6E">
          <v:shape id="_x0000_i1772" type="#_x0000_t75" style="width:78.6pt;height:29.4pt" o:ole="">
            <v:imagedata r:id="rId1532" o:title=""/>
          </v:shape>
          <o:OLEObject Type="Embed" ProgID="Equation.DSMT4" ShapeID="_x0000_i1772" DrawAspect="Content" ObjectID="_1754919323" r:id="rId1533"/>
        </w:object>
      </w:r>
      <w:r w:rsidRPr="00ED34C1">
        <w:t xml:space="preserve"> </w:t>
      </w:r>
      <w:r w:rsidRPr="00ED34C1">
        <w:tab/>
      </w:r>
      <w:r w:rsidRPr="00ED34C1">
        <w:fldChar w:fldCharType="begin"/>
      </w:r>
      <w:r w:rsidRPr="00ED34C1">
        <w:instrText xml:space="preserve"> MACROBUTTON MTPlaceRef \* MERGEFORMAT </w:instrText>
      </w:r>
      <w:r w:rsidRPr="00ED34C1">
        <w:fldChar w:fldCharType="begin"/>
      </w:r>
      <w:r w:rsidRPr="00ED34C1">
        <w:instrText xml:space="preserve"> SEQ MTEqn \h \* MERGEFORMAT </w:instrText>
      </w:r>
      <w:r w:rsidRPr="00ED34C1">
        <w:fldChar w:fldCharType="end"/>
      </w:r>
      <w:r w:rsidRPr="00ED34C1">
        <w:instrText>(</w:instrText>
      </w:r>
      <w:r w:rsidR="009B2CE5">
        <w:fldChar w:fldCharType="begin"/>
      </w:r>
      <w:r w:rsidR="009B2CE5">
        <w:instrText>SEQ MTEqn \c \* Arabic \* MERGEFORMAT</w:instrText>
      </w:r>
      <w:r w:rsidR="009B2CE5">
        <w:fldChar w:fldCharType="separate"/>
      </w:r>
      <w:r w:rsidR="00E00A52">
        <w:rPr>
          <w:noProof/>
        </w:rPr>
        <w:instrText>88</w:instrText>
      </w:r>
      <w:r w:rsidR="009B2CE5">
        <w:rPr>
          <w:noProof/>
        </w:rPr>
        <w:fldChar w:fldCharType="end"/>
      </w:r>
      <w:r w:rsidRPr="00ED34C1">
        <w:instrText>)</w:instrText>
      </w:r>
      <w:r w:rsidRPr="00ED34C1">
        <w:fldChar w:fldCharType="end"/>
      </w:r>
    </w:p>
    <w:p w14:paraId="3A862054" w14:textId="08990F24" w:rsidR="006C3DEB" w:rsidRDefault="006C3DEB" w:rsidP="00C4412A">
      <w:r>
        <w:t>where:</w:t>
      </w:r>
      <w:r w:rsidRPr="00E670A7">
        <w:rPr>
          <w:position w:val="-10"/>
        </w:rPr>
        <w:object w:dxaOrig="340" w:dyaOrig="360" w14:anchorId="7D57F58B">
          <v:shape id="_x0000_i1773" type="#_x0000_t75" style="width:15pt;height:21.6pt" o:ole="">
            <v:imagedata r:id="rId1534" o:title=""/>
          </v:shape>
          <o:OLEObject Type="Embed" ProgID="Equation.DSMT4" ShapeID="_x0000_i1773" DrawAspect="Content" ObjectID="_1754919324" r:id="rId1535"/>
        </w:object>
      </w:r>
      <w:r w:rsidRPr="00ED34C1">
        <w:t xml:space="preserve">is the elasticity of </w:t>
      </w:r>
      <w:r>
        <w:t>substitution between different consumption goods,</w:t>
      </w:r>
      <w:r w:rsidRPr="00E670A7">
        <w:rPr>
          <w:position w:val="-14"/>
        </w:rPr>
        <w:object w:dxaOrig="340" w:dyaOrig="400" w14:anchorId="3273CF8E">
          <v:shape id="_x0000_i1774" type="#_x0000_t75" style="width:15pt;height:22.8pt" o:ole="">
            <v:imagedata r:id="rId1536" o:title=""/>
          </v:shape>
          <o:OLEObject Type="Embed" ProgID="Equation.DSMT4" ShapeID="_x0000_i1774" DrawAspect="Content" ObjectID="_1754919325" r:id="rId1537"/>
        </w:object>
      </w:r>
      <w:r w:rsidRPr="00ED34C1">
        <w:t>is a weighting parameter</w:t>
      </w:r>
      <w:r>
        <w:t xml:space="preserve"> with</w:t>
      </w:r>
      <w:r w:rsidRPr="00E670A7">
        <w:rPr>
          <w:position w:val="-30"/>
        </w:rPr>
        <w:object w:dxaOrig="980" w:dyaOrig="560" w14:anchorId="1FEE5062">
          <v:shape id="_x0000_i1775" type="#_x0000_t75" style="width:50.4pt;height:29.4pt" o:ole="">
            <v:imagedata r:id="rId1538" o:title=""/>
          </v:shape>
          <o:OLEObject Type="Embed" ProgID="Equation.DSMT4" ShapeID="_x0000_i1775" DrawAspect="Content" ObjectID="_1754919326" r:id="rId1539"/>
        </w:object>
      </w:r>
      <w:r w:rsidRPr="00ED34C1">
        <w:t>,</w:t>
      </w:r>
      <w:r w:rsidRPr="00E670A7">
        <w:rPr>
          <w:position w:val="-6"/>
        </w:rPr>
        <w:object w:dxaOrig="240" w:dyaOrig="320" w14:anchorId="148E7242">
          <v:shape id="_x0000_i1776" type="#_x0000_t75" style="width:15pt;height:15pt" o:ole="">
            <v:imagedata r:id="rId1540" o:title=""/>
          </v:shape>
          <o:OLEObject Type="Embed" ProgID="Equation.DSMT4" ShapeID="_x0000_i1776" DrawAspect="Content" ObjectID="_1754919327" r:id="rId1541"/>
        </w:object>
      </w:r>
      <w:r w:rsidRPr="00ED34C1">
        <w:rPr>
          <w:rFonts w:ascii="Times New Roman" w:hAnsi="Times New Roman"/>
        </w:rPr>
        <w:t xml:space="preserve"> </w:t>
      </w:r>
      <w:r w:rsidRPr="00ED34C1">
        <w:t xml:space="preserve">is the </w:t>
      </w:r>
      <w:r>
        <w:t>aggregate consumption level,</w:t>
      </w:r>
      <w:r w:rsidRPr="00E670A7">
        <w:rPr>
          <w:position w:val="-10"/>
        </w:rPr>
        <w:object w:dxaOrig="380" w:dyaOrig="360" w14:anchorId="37C1F95C">
          <v:shape id="_x0000_i1777" type="#_x0000_t75" style="width:22.2pt;height:21.6pt" o:ole="">
            <v:imagedata r:id="rId1542" o:title=""/>
          </v:shape>
          <o:OLEObject Type="Embed" ProgID="Equation.DSMT4" ShapeID="_x0000_i1777" DrawAspect="Content" ObjectID="_1754919328" r:id="rId1543"/>
        </w:object>
      </w:r>
      <w:r w:rsidRPr="00FE3CD4">
        <w:t>is the aggregate consumption price, and</w:t>
      </w:r>
      <w:r w:rsidRPr="00E670A7">
        <w:rPr>
          <w:position w:val="-14"/>
        </w:rPr>
        <w:object w:dxaOrig="639" w:dyaOrig="400" w14:anchorId="27881EC8">
          <v:shape id="_x0000_i1778" type="#_x0000_t75" style="width:29.4pt;height:22.8pt" o:ole="">
            <v:imagedata r:id="rId1544" o:title=""/>
          </v:shape>
          <o:OLEObject Type="Embed" ProgID="Equation.DSMT4" ShapeID="_x0000_i1778" DrawAspect="Content" ObjectID="_1754919329" r:id="rId1545"/>
        </w:object>
      </w:r>
      <w:r w:rsidRPr="00FE3CD4">
        <w:t xml:space="preserve"> are the price </w:t>
      </w:r>
      <w:r>
        <w:t xml:space="preserve">and </w:t>
      </w:r>
      <w:r w:rsidRPr="00FE3CD4">
        <w:t xml:space="preserve">quantity </w:t>
      </w:r>
      <w:r>
        <w:t>of goo</w:t>
      </w:r>
      <w:r w:rsidRPr="00DC2E83">
        <w:t>d</w:t>
      </w:r>
      <w:r w:rsidRPr="00E670A7">
        <w:rPr>
          <w:position w:val="-10"/>
        </w:rPr>
        <w:object w:dxaOrig="200" w:dyaOrig="300" w14:anchorId="2C11A8C3">
          <v:shape id="_x0000_i1779" type="#_x0000_t75" style="width:7.8pt;height:15pt" o:ole="">
            <v:imagedata r:id="rId1546" o:title=""/>
          </v:shape>
          <o:OLEObject Type="Embed" ProgID="Equation.DSMT4" ShapeID="_x0000_i1779" DrawAspect="Content" ObjectID="_1754919330" r:id="rId1547"/>
        </w:object>
      </w:r>
      <w:r>
        <w:t>.</w:t>
      </w:r>
    </w:p>
    <w:p w14:paraId="469315C0" w14:textId="77777777" w:rsidR="006C3DEB" w:rsidRPr="00ED34C1" w:rsidRDefault="006C3DEB" w:rsidP="006C3DEB">
      <w:r w:rsidRPr="00ED34C1">
        <w:t>The first o</w:t>
      </w:r>
      <w:r>
        <w:t>rder condition for optimality implies</w:t>
      </w:r>
      <w:r w:rsidRPr="00ED34C1">
        <w:t xml:space="preserve">: </w:t>
      </w:r>
    </w:p>
    <w:p w14:paraId="13B63B6C" w14:textId="4D350252" w:rsidR="006C3DEB" w:rsidRPr="00ED34C1" w:rsidRDefault="006C3DEB" w:rsidP="006C3DEB">
      <w:pPr>
        <w:pStyle w:val="MTDisplayEquation"/>
      </w:pPr>
      <w:r w:rsidRPr="00ED34C1">
        <w:tab/>
      </w:r>
      <w:r w:rsidRPr="00E670A7">
        <w:rPr>
          <w:position w:val="-34"/>
        </w:rPr>
        <w:object w:dxaOrig="1939" w:dyaOrig="880" w14:anchorId="3C840CF8">
          <v:shape id="_x0000_i1780" type="#_x0000_t75" style="width:94.8pt;height:42.6pt" o:ole="">
            <v:imagedata r:id="rId1548" o:title=""/>
          </v:shape>
          <o:OLEObject Type="Embed" ProgID="Equation.DSMT4" ShapeID="_x0000_i1780" DrawAspect="Content" ObjectID="_1754919331" r:id="rId1549"/>
        </w:object>
      </w:r>
      <w:r w:rsidRPr="00ED34C1">
        <w:t xml:space="preserve"> </w:t>
      </w:r>
      <w:r w:rsidRPr="00ED34C1">
        <w:tab/>
      </w:r>
      <w:r w:rsidRPr="00ED34C1">
        <w:fldChar w:fldCharType="begin"/>
      </w:r>
      <w:r w:rsidRPr="00ED34C1">
        <w:instrText xml:space="preserve"> MACROBUTTON MTPlaceRef \* MERGEFORMAT </w:instrText>
      </w:r>
      <w:r w:rsidRPr="00ED34C1">
        <w:fldChar w:fldCharType="begin"/>
      </w:r>
      <w:r w:rsidRPr="00ED34C1">
        <w:instrText xml:space="preserve"> SEQ MTEqn \h \* MERGEFORMAT </w:instrText>
      </w:r>
      <w:r w:rsidRPr="00ED34C1">
        <w:fldChar w:fldCharType="end"/>
      </w:r>
      <w:bookmarkStart w:id="65" w:name="ZEqnNum793420"/>
      <w:r w:rsidRPr="00ED34C1">
        <w:instrText>(</w:instrText>
      </w:r>
      <w:r w:rsidR="009B2CE5">
        <w:fldChar w:fldCharType="begin"/>
      </w:r>
      <w:r w:rsidR="009B2CE5">
        <w:instrText>SEQ MTEqn \c \* Arabic \* MERGEFORMAT</w:instrText>
      </w:r>
      <w:r w:rsidR="009B2CE5">
        <w:fldChar w:fldCharType="separate"/>
      </w:r>
      <w:r w:rsidR="00E00A52">
        <w:rPr>
          <w:noProof/>
        </w:rPr>
        <w:instrText>89</w:instrText>
      </w:r>
      <w:r w:rsidR="009B2CE5">
        <w:rPr>
          <w:noProof/>
        </w:rPr>
        <w:fldChar w:fldCharType="end"/>
      </w:r>
      <w:r w:rsidRPr="00ED34C1">
        <w:instrText>)</w:instrText>
      </w:r>
      <w:bookmarkEnd w:id="65"/>
      <w:r w:rsidRPr="00ED34C1">
        <w:fldChar w:fldCharType="end"/>
      </w:r>
    </w:p>
    <w:p w14:paraId="51125B73" w14:textId="77777777" w:rsidR="006C3DEB" w:rsidRPr="00ED34C1" w:rsidRDefault="006C3DEB" w:rsidP="006C3DEB">
      <w:pPr>
        <w:keepNext/>
      </w:pPr>
      <w:r w:rsidRPr="00ED34C1">
        <w:lastRenderedPageBreak/>
        <w:t xml:space="preserve">where the price </w:t>
      </w:r>
      <w:r>
        <w:t>of aggregate consumption</w:t>
      </w:r>
      <w:r w:rsidRPr="00E670A7">
        <w:rPr>
          <w:position w:val="-10"/>
        </w:rPr>
        <w:object w:dxaOrig="380" w:dyaOrig="360" w14:anchorId="30F24E8D">
          <v:shape id="_x0000_i1781" type="#_x0000_t75" style="width:22.2pt;height:21.6pt" o:ole="">
            <v:imagedata r:id="rId1550" o:title=""/>
          </v:shape>
          <o:OLEObject Type="Embed" ProgID="Equation.DSMT4" ShapeID="_x0000_i1781" DrawAspect="Content" ObjectID="_1754919332" r:id="rId1551"/>
        </w:object>
      </w:r>
      <w:r>
        <w:t>is a function of</w:t>
      </w:r>
      <w:r w:rsidRPr="00ED34C1">
        <w:t xml:space="preserve"> individual goods prices</w:t>
      </w:r>
      <w:r>
        <w:t xml:space="preserve"> and their weights in the consumption bundle</w:t>
      </w:r>
      <w:r w:rsidRPr="00ED34C1">
        <w:t>:</w:t>
      </w:r>
    </w:p>
    <w:p w14:paraId="484B33FA" w14:textId="50BBABFF" w:rsidR="006C3DEB" w:rsidRPr="00ED34C1" w:rsidRDefault="006C3DEB" w:rsidP="006C3DEB">
      <w:pPr>
        <w:pStyle w:val="MTDisplayEquation"/>
      </w:pPr>
      <w:r w:rsidRPr="00ED34C1">
        <w:tab/>
      </w:r>
      <w:r w:rsidRPr="00E670A7">
        <w:rPr>
          <w:position w:val="-32"/>
        </w:rPr>
        <w:object w:dxaOrig="2680" w:dyaOrig="900" w14:anchorId="5ABC4380">
          <v:shape id="_x0000_i1782" type="#_x0000_t75" style="width:136.8pt;height:42.6pt" o:ole="">
            <v:imagedata r:id="rId1552" o:title=""/>
          </v:shape>
          <o:OLEObject Type="Embed" ProgID="Equation.DSMT4" ShapeID="_x0000_i1782" DrawAspect="Content" ObjectID="_1754919333" r:id="rId1553"/>
        </w:object>
      </w:r>
      <w:r w:rsidRPr="00ED34C1">
        <w:t xml:space="preserve"> </w:t>
      </w:r>
      <w:r w:rsidRPr="00ED34C1">
        <w:tab/>
      </w:r>
      <w:r w:rsidRPr="00ED34C1">
        <w:fldChar w:fldCharType="begin"/>
      </w:r>
      <w:r w:rsidRPr="00ED34C1">
        <w:instrText xml:space="preserve"> MACROBUTTON MTPlaceRef \* MERGEFORMAT </w:instrText>
      </w:r>
      <w:r w:rsidRPr="00ED34C1">
        <w:fldChar w:fldCharType="begin"/>
      </w:r>
      <w:r w:rsidRPr="00ED34C1">
        <w:instrText xml:space="preserve"> SEQ MTEqn \h \* MERGEFORMAT </w:instrText>
      </w:r>
      <w:r w:rsidRPr="00ED34C1">
        <w:fldChar w:fldCharType="end"/>
      </w:r>
      <w:r w:rsidRPr="00ED34C1">
        <w:instrText>(</w:instrText>
      </w:r>
      <w:r w:rsidR="009B2CE5">
        <w:fldChar w:fldCharType="begin"/>
      </w:r>
      <w:r w:rsidR="009B2CE5">
        <w:instrText>SEQ MTEqn \c \* Arabic \* MERGEFOR</w:instrText>
      </w:r>
      <w:r w:rsidR="009B2CE5">
        <w:instrText>MAT</w:instrText>
      </w:r>
      <w:r w:rsidR="009B2CE5">
        <w:fldChar w:fldCharType="separate"/>
      </w:r>
      <w:r w:rsidR="00E00A52">
        <w:rPr>
          <w:noProof/>
        </w:rPr>
        <w:instrText>90</w:instrText>
      </w:r>
      <w:r w:rsidR="009B2CE5">
        <w:rPr>
          <w:noProof/>
        </w:rPr>
        <w:fldChar w:fldCharType="end"/>
      </w:r>
      <w:r w:rsidRPr="00ED34C1">
        <w:instrText>)</w:instrText>
      </w:r>
      <w:r w:rsidRPr="00ED34C1">
        <w:fldChar w:fldCharType="end"/>
      </w:r>
    </w:p>
    <w:p w14:paraId="0815D890" w14:textId="77777777" w:rsidR="006C3DEB" w:rsidRPr="00ED34C1" w:rsidRDefault="006C3DEB" w:rsidP="006C3DEB">
      <w:r>
        <w:t xml:space="preserve">Once a </w:t>
      </w:r>
      <w:r w:rsidRPr="00ED34C1">
        <w:t>decision</w:t>
      </w:r>
      <w:r>
        <w:t xml:space="preserve"> is made</w:t>
      </w:r>
      <w:r w:rsidRPr="00ED34C1">
        <w:t xml:space="preserve"> at the </w:t>
      </w:r>
      <w:r>
        <w:t>top level, the representative consumer will</w:t>
      </w:r>
      <w:r w:rsidRPr="00ED34C1">
        <w:t xml:space="preserve"> move to the second level, which involves the choice between varieties of the same goods that are produced in different countries, subject to the value of aggregate expenditure decided at the previous level. </w:t>
      </w:r>
    </w:p>
    <w:p w14:paraId="4921BE84" w14:textId="6C797399" w:rsidR="006C3DEB" w:rsidRPr="00ED34C1" w:rsidRDefault="0062070B" w:rsidP="006C3DEB">
      <w:r>
        <w:t>A</w:t>
      </w:r>
      <w:r w:rsidR="006C3DEB" w:rsidRPr="00ED34C1">
        <w:t xml:space="preserve">t the second level, the </w:t>
      </w:r>
      <w:r w:rsidR="006C3DEB">
        <w:t xml:space="preserve">representative </w:t>
      </w:r>
      <w:r w:rsidR="006C3DEB" w:rsidRPr="00ED34C1">
        <w:t>consumer has the following maximisation problem:</w:t>
      </w:r>
    </w:p>
    <w:p w14:paraId="2E969C41" w14:textId="06C6DD29" w:rsidR="006C3DEB" w:rsidRPr="00ED34C1" w:rsidRDefault="006C3DEB" w:rsidP="006C3DEB">
      <w:pPr>
        <w:pStyle w:val="MTDisplayEquation"/>
      </w:pPr>
      <w:r w:rsidRPr="00ED34C1">
        <w:tab/>
      </w:r>
      <w:r w:rsidRPr="00E670A7">
        <w:rPr>
          <w:position w:val="-46"/>
        </w:rPr>
        <w:object w:dxaOrig="3040" w:dyaOrig="1240" w14:anchorId="03765BE5">
          <v:shape id="_x0000_i1783" type="#_x0000_t75" style="width:151.8pt;height:65.4pt" o:ole="">
            <v:imagedata r:id="rId1554" o:title=""/>
          </v:shape>
          <o:OLEObject Type="Embed" ProgID="Equation.DSMT4" ShapeID="_x0000_i1783" DrawAspect="Content" ObjectID="_1754919334" r:id="rId1555"/>
        </w:object>
      </w:r>
      <w:r w:rsidRPr="00ED34C1">
        <w:t xml:space="preserve"> </w:t>
      </w:r>
      <w:r w:rsidRPr="00ED34C1">
        <w:tab/>
      </w:r>
      <w:r w:rsidRPr="00ED34C1">
        <w:fldChar w:fldCharType="begin"/>
      </w:r>
      <w:r w:rsidRPr="00ED34C1">
        <w:instrText xml:space="preserve"> MACROBUTTON MTPlaceRef \* MERGEFORMAT </w:instrText>
      </w:r>
      <w:r w:rsidRPr="00ED34C1">
        <w:fldChar w:fldCharType="begin"/>
      </w:r>
      <w:r w:rsidRPr="00ED34C1">
        <w:instrText xml:space="preserve"> SEQ MTEqn \h \* MERGEFORMAT </w:instrText>
      </w:r>
      <w:r w:rsidRPr="00ED34C1">
        <w:fldChar w:fldCharType="end"/>
      </w:r>
      <w:r w:rsidRPr="00ED34C1">
        <w:instrText>(</w:instrText>
      </w:r>
      <w:r w:rsidR="009B2CE5">
        <w:fldChar w:fldCharType="begin"/>
      </w:r>
      <w:r w:rsidR="009B2CE5">
        <w:instrText>SEQ MTEqn \c \* Arabic \* MERGEFORMAT</w:instrText>
      </w:r>
      <w:r w:rsidR="009B2CE5">
        <w:fldChar w:fldCharType="separate"/>
      </w:r>
      <w:r w:rsidR="00E00A52">
        <w:rPr>
          <w:noProof/>
        </w:rPr>
        <w:instrText>91</w:instrText>
      </w:r>
      <w:r w:rsidR="009B2CE5">
        <w:rPr>
          <w:noProof/>
        </w:rPr>
        <w:fldChar w:fldCharType="end"/>
      </w:r>
      <w:r w:rsidRPr="00ED34C1">
        <w:instrText>)</w:instrText>
      </w:r>
      <w:r w:rsidRPr="00ED34C1">
        <w:fldChar w:fldCharType="end"/>
      </w:r>
    </w:p>
    <w:p w14:paraId="62F53C55" w14:textId="77777777" w:rsidR="006C3DEB" w:rsidRPr="00ED34C1" w:rsidRDefault="006C3DEB" w:rsidP="006C3DEB">
      <w:r w:rsidRPr="00ED34C1">
        <w:t>subject to:</w:t>
      </w:r>
    </w:p>
    <w:p w14:paraId="75187718" w14:textId="60A89267" w:rsidR="006C3DEB" w:rsidRPr="00ED34C1" w:rsidRDefault="006C3DEB" w:rsidP="006C3DEB">
      <w:pPr>
        <w:pStyle w:val="MTDisplayEquation"/>
        <w:tabs>
          <w:tab w:val="left" w:pos="3641"/>
        </w:tabs>
      </w:pPr>
      <w:r w:rsidRPr="00ED34C1">
        <w:tab/>
      </w:r>
      <w:r>
        <w:tab/>
      </w:r>
      <w:r w:rsidRPr="00E670A7">
        <w:rPr>
          <w:position w:val="-28"/>
        </w:rPr>
        <w:object w:dxaOrig="1780" w:dyaOrig="540" w14:anchorId="6EB02439">
          <v:shape id="_x0000_i1784" type="#_x0000_t75" style="width:87pt;height:29.4pt" o:ole="">
            <v:imagedata r:id="rId1556" o:title=""/>
          </v:shape>
          <o:OLEObject Type="Embed" ProgID="Equation.DSMT4" ShapeID="_x0000_i1784" DrawAspect="Content" ObjectID="_1754919335" r:id="rId1557"/>
        </w:object>
      </w:r>
      <w:r w:rsidRPr="00ED34C1">
        <w:t xml:space="preserve"> </w:t>
      </w:r>
      <w:r w:rsidRPr="00ED34C1">
        <w:tab/>
      </w:r>
      <w:r w:rsidRPr="00ED34C1">
        <w:fldChar w:fldCharType="begin"/>
      </w:r>
      <w:r w:rsidRPr="00ED34C1">
        <w:instrText xml:space="preserve"> MACROBUTTON MTPlaceRef \* MERGEFORMAT </w:instrText>
      </w:r>
      <w:r w:rsidRPr="00ED34C1">
        <w:fldChar w:fldCharType="begin"/>
      </w:r>
      <w:r w:rsidRPr="00ED34C1">
        <w:instrText xml:space="preserve"> SEQ MTEqn \h \* MERGEFORMAT </w:instrText>
      </w:r>
      <w:r w:rsidRPr="00ED34C1">
        <w:fldChar w:fldCharType="end"/>
      </w:r>
      <w:r w:rsidRPr="00ED34C1">
        <w:instrText>(</w:instrText>
      </w:r>
      <w:r w:rsidR="009B2CE5">
        <w:fldChar w:fldCharType="begin"/>
      </w:r>
      <w:r w:rsidR="009B2CE5">
        <w:instrText>SEQ MTEqn \c \* Arabic \* MERGEFORMAT</w:instrText>
      </w:r>
      <w:r w:rsidR="009B2CE5">
        <w:fldChar w:fldCharType="separate"/>
      </w:r>
      <w:r w:rsidR="00E00A52">
        <w:rPr>
          <w:noProof/>
        </w:rPr>
        <w:instrText>92</w:instrText>
      </w:r>
      <w:r w:rsidR="009B2CE5">
        <w:rPr>
          <w:noProof/>
        </w:rPr>
        <w:fldChar w:fldCharType="end"/>
      </w:r>
      <w:r w:rsidRPr="00ED34C1">
        <w:instrText>)</w:instrText>
      </w:r>
      <w:r w:rsidRPr="00ED34C1">
        <w:fldChar w:fldCharType="end"/>
      </w:r>
    </w:p>
    <w:p w14:paraId="30F469C1" w14:textId="3F74E82E" w:rsidR="006C3DEB" w:rsidRDefault="006C3DEB" w:rsidP="0062070B">
      <w:r>
        <w:t>where</w:t>
      </w:r>
      <w:r w:rsidRPr="00E670A7">
        <w:rPr>
          <w:position w:val="-14"/>
        </w:rPr>
        <w:object w:dxaOrig="340" w:dyaOrig="400" w14:anchorId="766A9C35">
          <v:shape id="_x0000_i1785" type="#_x0000_t75" style="width:15pt;height:22.8pt" o:ole="">
            <v:imagedata r:id="rId1558" o:title=""/>
          </v:shape>
          <o:OLEObject Type="Embed" ProgID="Equation.DSMT4" ShapeID="_x0000_i1785" DrawAspect="Content" ObjectID="_1754919336" r:id="rId1559"/>
        </w:object>
      </w:r>
      <w:r w:rsidRPr="00ED34C1">
        <w:t>is the elasticity of substitution betwe</w:t>
      </w:r>
      <w:r>
        <w:t>en varieties of the same good</w:t>
      </w:r>
      <w:r w:rsidRPr="00ED34C1">
        <w:t xml:space="preserve"> that are p</w:t>
      </w:r>
      <w:r>
        <w:t>roduced in different countries,</w:t>
      </w:r>
      <w:r w:rsidRPr="00C027D3">
        <w:t xml:space="preserve"> </w:t>
      </w:r>
      <w:r w:rsidRPr="00927417">
        <w:rPr>
          <w:position w:val="-14"/>
        </w:rPr>
        <w:object w:dxaOrig="400" w:dyaOrig="400" w14:anchorId="72F7A70B">
          <v:shape id="_x0000_i1786" type="#_x0000_t75" style="width:22.8pt;height:22.8pt" o:ole="">
            <v:imagedata r:id="rId1560" o:title=""/>
          </v:shape>
          <o:OLEObject Type="Embed" ProgID="Equation.DSMT4" ShapeID="_x0000_i1786" DrawAspect="Content" ObjectID="_1754919337" r:id="rId1561"/>
        </w:object>
      </w:r>
      <w:r w:rsidRPr="00ED34C1">
        <w:t xml:space="preserve">is a weighting </w:t>
      </w:r>
      <w:r w:rsidRPr="00FE3CD4">
        <w:t>parameter</w:t>
      </w:r>
      <w:r>
        <w:t xml:space="preserve"> with  </w:t>
      </w:r>
      <w:r w:rsidRPr="00927417">
        <w:rPr>
          <w:position w:val="-28"/>
        </w:rPr>
        <w:object w:dxaOrig="1020" w:dyaOrig="540" w14:anchorId="21D052B3">
          <v:shape id="_x0000_i1787" type="#_x0000_t75" style="width:49.8pt;height:29.4pt" o:ole="">
            <v:imagedata r:id="rId1562" o:title=""/>
          </v:shape>
          <o:OLEObject Type="Embed" ProgID="Equation.DSMT4" ShapeID="_x0000_i1787" DrawAspect="Content" ObjectID="_1754919338" r:id="rId1563"/>
        </w:object>
      </w:r>
      <w:r w:rsidRPr="00FE3CD4">
        <w:t>, and</w:t>
      </w:r>
      <w:r w:rsidRPr="00927417">
        <w:rPr>
          <w:position w:val="-14"/>
        </w:rPr>
        <w:object w:dxaOrig="840" w:dyaOrig="400" w14:anchorId="500160B0">
          <v:shape id="_x0000_i1788" type="#_x0000_t75" style="width:42.6pt;height:22.8pt" o:ole="">
            <v:imagedata r:id="rId1564" o:title=""/>
          </v:shape>
          <o:OLEObject Type="Embed" ProgID="Equation.DSMT4" ShapeID="_x0000_i1788" DrawAspect="Content" ObjectID="_1754919339" r:id="rId1565"/>
        </w:object>
      </w:r>
      <w:r>
        <w:t>ar</w:t>
      </w:r>
      <w:r w:rsidRPr="00ED34C1">
        <w:t xml:space="preserve">e the price and quantity of </w:t>
      </w:r>
      <w:r>
        <w:t>variety</w:t>
      </w:r>
      <w:r w:rsidRPr="00ED34C1">
        <w:rPr>
          <w:rFonts w:ascii="Times New Roman" w:hAnsi="Times New Roman"/>
          <w:i/>
        </w:rPr>
        <w:t xml:space="preserve"> </w:t>
      </w:r>
      <w:r>
        <w:t>exported from country</w:t>
      </w:r>
      <w:r w:rsidRPr="00E670A7">
        <w:rPr>
          <w:position w:val="-6"/>
        </w:rPr>
        <w:object w:dxaOrig="200" w:dyaOrig="279" w14:anchorId="5FE71A99">
          <v:shape id="_x0000_i1789" type="#_x0000_t75" style="width:7.8pt;height:15pt" o:ole="">
            <v:imagedata r:id="rId1566" o:title=""/>
          </v:shape>
          <o:OLEObject Type="Embed" ProgID="Equation.DSMT4" ShapeID="_x0000_i1789" DrawAspect="Content" ObjectID="_1754919340" r:id="rId1567"/>
        </w:object>
      </w:r>
      <w:r w:rsidRPr="00ED34C1">
        <w:t>.</w:t>
      </w:r>
    </w:p>
    <w:p w14:paraId="2B89E017" w14:textId="77777777" w:rsidR="006C3DEB" w:rsidRPr="00ED34C1" w:rsidRDefault="006C3DEB" w:rsidP="006C3DEB">
      <w:r w:rsidRPr="00ED34C1">
        <w:t>The</w:t>
      </w:r>
      <w:r>
        <w:t xml:space="preserve"> first order condition for optimality in turn implies</w:t>
      </w:r>
      <w:r w:rsidRPr="00ED34C1">
        <w:t xml:space="preserve">: </w:t>
      </w:r>
    </w:p>
    <w:p w14:paraId="63669710" w14:textId="250B3DF8" w:rsidR="006C3DEB" w:rsidRPr="00ED34C1" w:rsidRDefault="006C3DEB" w:rsidP="006C3DEB">
      <w:pPr>
        <w:pStyle w:val="MTDisplayEquation"/>
      </w:pPr>
      <w:r w:rsidRPr="00ED34C1">
        <w:tab/>
      </w:r>
      <w:r w:rsidRPr="00E670A7">
        <w:rPr>
          <w:position w:val="-36"/>
        </w:rPr>
        <w:object w:dxaOrig="2160" w:dyaOrig="920" w14:anchorId="3FF4578B">
          <v:shape id="_x0000_i1790" type="#_x0000_t75" style="width:109.8pt;height:42.6pt" o:ole="">
            <v:imagedata r:id="rId1568" o:title=""/>
          </v:shape>
          <o:OLEObject Type="Embed" ProgID="Equation.DSMT4" ShapeID="_x0000_i1790" DrawAspect="Content" ObjectID="_1754919341" r:id="rId1569"/>
        </w:object>
      </w:r>
      <w:r w:rsidRPr="00ED34C1">
        <w:t xml:space="preserve"> </w:t>
      </w:r>
      <w:r w:rsidRPr="00ED34C1">
        <w:tab/>
      </w:r>
      <w:r w:rsidRPr="00ED34C1">
        <w:fldChar w:fldCharType="begin"/>
      </w:r>
      <w:r w:rsidRPr="00ED34C1">
        <w:instrText xml:space="preserve"> MACROBUTTON MTPlaceRef \* MERGEFORMAT </w:instrText>
      </w:r>
      <w:r w:rsidRPr="00ED34C1">
        <w:fldChar w:fldCharType="begin"/>
      </w:r>
      <w:r w:rsidRPr="00ED34C1">
        <w:instrText xml:space="preserve"> SEQ MTEqn \h \* MERGEFORMAT </w:instrText>
      </w:r>
      <w:r w:rsidRPr="00ED34C1">
        <w:fldChar w:fldCharType="end"/>
      </w:r>
      <w:bookmarkStart w:id="66" w:name="ZEqnNum477088"/>
      <w:r w:rsidRPr="00ED34C1">
        <w:instrText>(</w:instrText>
      </w:r>
      <w:r w:rsidR="009B2CE5">
        <w:fldChar w:fldCharType="begin"/>
      </w:r>
      <w:r w:rsidR="009B2CE5">
        <w:instrText>SEQ MTEqn \c \* Arabic \* MERGEFORMAT</w:instrText>
      </w:r>
      <w:r w:rsidR="009B2CE5">
        <w:fldChar w:fldCharType="separate"/>
      </w:r>
      <w:r w:rsidR="00E00A52">
        <w:rPr>
          <w:noProof/>
        </w:rPr>
        <w:instrText>93</w:instrText>
      </w:r>
      <w:r w:rsidR="009B2CE5">
        <w:rPr>
          <w:noProof/>
        </w:rPr>
        <w:fldChar w:fldCharType="end"/>
      </w:r>
      <w:r w:rsidRPr="00ED34C1">
        <w:instrText>)</w:instrText>
      </w:r>
      <w:bookmarkEnd w:id="66"/>
      <w:r w:rsidRPr="00ED34C1">
        <w:fldChar w:fldCharType="end"/>
      </w:r>
    </w:p>
    <w:p w14:paraId="71BE304E" w14:textId="77777777" w:rsidR="006C3DEB" w:rsidRPr="00ED34C1" w:rsidRDefault="006C3DEB" w:rsidP="006C3DEB">
      <w:pPr>
        <w:keepNext/>
      </w:pPr>
      <w:r w:rsidRPr="00ED34C1">
        <w:t xml:space="preserve">where the price of </w:t>
      </w:r>
      <w:r>
        <w:t xml:space="preserve">the consumption good </w:t>
      </w:r>
      <w:r w:rsidRPr="00E670A7">
        <w:rPr>
          <w:position w:val="-14"/>
        </w:rPr>
        <w:object w:dxaOrig="380" w:dyaOrig="400" w14:anchorId="1BCF41EB">
          <v:shape id="_x0000_i1791" type="#_x0000_t75" style="width:22.2pt;height:22.8pt" o:ole="">
            <v:imagedata r:id="rId1570" o:title=""/>
          </v:shape>
          <o:OLEObject Type="Embed" ProgID="Equation.DSMT4" ShapeID="_x0000_i1791" DrawAspect="Content" ObjectID="_1754919342" r:id="rId1571"/>
        </w:object>
      </w:r>
      <w:r w:rsidRPr="00ED34C1">
        <w:t xml:space="preserve"> </w:t>
      </w:r>
      <w:r>
        <w:t>is a function of</w:t>
      </w:r>
      <w:r w:rsidRPr="00ED34C1">
        <w:t xml:space="preserve"> the prices of different varieties</w:t>
      </w:r>
      <w:r>
        <w:t xml:space="preserve"> and their weights in the variety bundle</w:t>
      </w:r>
      <w:r w:rsidRPr="00ED34C1">
        <w:t>:</w:t>
      </w:r>
    </w:p>
    <w:p w14:paraId="285004F7" w14:textId="456A047E" w:rsidR="006C3DEB" w:rsidRPr="00ED34C1" w:rsidRDefault="006C3DEB" w:rsidP="006C3DEB">
      <w:pPr>
        <w:pStyle w:val="MTDisplayEquation"/>
      </w:pPr>
      <w:r w:rsidRPr="00ED34C1">
        <w:tab/>
      </w:r>
      <w:r w:rsidRPr="00E670A7">
        <w:rPr>
          <w:position w:val="-30"/>
        </w:rPr>
        <w:object w:dxaOrig="2540" w:dyaOrig="859" w14:anchorId="7920A6B7">
          <v:shape id="_x0000_i1792" type="#_x0000_t75" style="width:129pt;height:42.6pt" o:ole="">
            <v:imagedata r:id="rId1572" o:title=""/>
          </v:shape>
          <o:OLEObject Type="Embed" ProgID="Equation.DSMT4" ShapeID="_x0000_i1792" DrawAspect="Content" ObjectID="_1754919343" r:id="rId1573"/>
        </w:object>
      </w:r>
      <w:r w:rsidRPr="00ED34C1">
        <w:t xml:space="preserve"> </w:t>
      </w:r>
      <w:r w:rsidRPr="00ED34C1">
        <w:tab/>
      </w:r>
      <w:r w:rsidRPr="00ED34C1">
        <w:fldChar w:fldCharType="begin"/>
      </w:r>
      <w:r w:rsidRPr="00ED34C1">
        <w:instrText xml:space="preserve"> MACROBUTTON MTPlaceRef \* MERGEFORMAT </w:instrText>
      </w:r>
      <w:r w:rsidRPr="00ED34C1">
        <w:fldChar w:fldCharType="begin"/>
      </w:r>
      <w:r w:rsidRPr="00ED34C1">
        <w:instrText xml:space="preserve"> SEQ MTEqn \h \* MERGEFORMAT </w:instrText>
      </w:r>
      <w:r w:rsidRPr="00ED34C1">
        <w:fldChar w:fldCharType="end"/>
      </w:r>
      <w:r w:rsidRPr="00ED34C1">
        <w:instrText>(</w:instrText>
      </w:r>
      <w:r w:rsidR="009B2CE5">
        <w:fldChar w:fldCharType="begin"/>
      </w:r>
      <w:r w:rsidR="009B2CE5">
        <w:instrText>SEQ MTEqn \c \* Arabic \* MERGEFORMAT</w:instrText>
      </w:r>
      <w:r w:rsidR="009B2CE5">
        <w:fldChar w:fldCharType="separate"/>
      </w:r>
      <w:r w:rsidR="00E00A52">
        <w:rPr>
          <w:noProof/>
        </w:rPr>
        <w:instrText>94</w:instrText>
      </w:r>
      <w:r w:rsidR="009B2CE5">
        <w:rPr>
          <w:noProof/>
        </w:rPr>
        <w:fldChar w:fldCharType="end"/>
      </w:r>
      <w:r w:rsidRPr="00ED34C1">
        <w:instrText>)</w:instrText>
      </w:r>
      <w:r w:rsidRPr="00ED34C1">
        <w:fldChar w:fldCharType="end"/>
      </w:r>
    </w:p>
    <w:p w14:paraId="20DB4F79" w14:textId="511F0C3E" w:rsidR="006C3DEB" w:rsidRPr="00ED34C1" w:rsidRDefault="006C3DEB" w:rsidP="006C3DEB">
      <w:r w:rsidRPr="00ED34C1">
        <w:t xml:space="preserve">As in Imbs and </w:t>
      </w:r>
      <w:r w:rsidRPr="00695B3E">
        <w:t>Méjean</w:t>
      </w:r>
      <w:r w:rsidRPr="00ED34C1">
        <w:t xml:space="preserve"> (2010), we can combine equations </w:t>
      </w:r>
      <w:r w:rsidRPr="00ED34C1">
        <w:fldChar w:fldCharType="begin"/>
      </w:r>
      <w:r w:rsidRPr="00ED34C1">
        <w:instrText xml:space="preserve"> GOTOBUTTON ZEqnNum793420  \* MERGEFORMAT </w:instrText>
      </w:r>
      <w:r w:rsidR="00E00A52" w:rsidRPr="00ED34C1">
        <w:instrText>(</w:instrText>
      </w:r>
      <w:r w:rsidR="00E00A52">
        <w:instrText>89</w:instrText>
      </w:r>
      <w:r w:rsidR="00E00A52" w:rsidRPr="00ED34C1">
        <w:instrText>)</w:instrText>
      </w:r>
      <w:r w:rsidRPr="00ED34C1">
        <w:fldChar w:fldCharType="end"/>
      </w:r>
      <w:r w:rsidRPr="00ED34C1">
        <w:t xml:space="preserve"> and </w:t>
      </w:r>
      <w:r w:rsidRPr="00ED34C1">
        <w:fldChar w:fldCharType="begin"/>
      </w:r>
      <w:r w:rsidRPr="00ED34C1">
        <w:instrText xml:space="preserve"> GOTOBUTTON ZEqnNum477088  \* MERGEFORMAT </w:instrText>
      </w:r>
      <w:r w:rsidR="00E00A52" w:rsidRPr="00ED34C1">
        <w:instrText>(</w:instrText>
      </w:r>
      <w:r w:rsidR="00E00A52">
        <w:instrText>93</w:instrText>
      </w:r>
      <w:r w:rsidR="00E00A52" w:rsidRPr="00ED34C1">
        <w:instrText>)</w:instrText>
      </w:r>
      <w:r w:rsidRPr="00ED34C1">
        <w:fldChar w:fldCharType="end"/>
      </w:r>
      <w:r w:rsidRPr="00ED34C1">
        <w:t xml:space="preserve"> to have: </w:t>
      </w:r>
    </w:p>
    <w:p w14:paraId="1884A356" w14:textId="4084E792" w:rsidR="006C3DEB" w:rsidRPr="00ED34C1" w:rsidRDefault="006C3DEB" w:rsidP="006C3DEB">
      <w:pPr>
        <w:pStyle w:val="MTDisplayEquation"/>
      </w:pPr>
      <w:r w:rsidRPr="00ED34C1">
        <w:tab/>
      </w:r>
      <w:r w:rsidRPr="00A01F38">
        <w:rPr>
          <w:position w:val="-34"/>
        </w:rPr>
        <w:object w:dxaOrig="3379" w:dyaOrig="880" w14:anchorId="74A8AC38">
          <v:shape id="_x0000_i1793" type="#_x0000_t75" style="width:166.2pt;height:40.2pt" o:ole="">
            <v:imagedata r:id="rId1574" o:title=""/>
          </v:shape>
          <o:OLEObject Type="Embed" ProgID="Equation.DSMT4" ShapeID="_x0000_i1793" DrawAspect="Content" ObjectID="_1754919344" r:id="rId1575"/>
        </w:object>
      </w:r>
      <w:r w:rsidRPr="00ED34C1">
        <w:t xml:space="preserve"> </w:t>
      </w:r>
      <w:r w:rsidRPr="00ED34C1">
        <w:tab/>
      </w:r>
      <w:r w:rsidRPr="00ED34C1">
        <w:fldChar w:fldCharType="begin"/>
      </w:r>
      <w:r w:rsidRPr="00ED34C1">
        <w:instrText xml:space="preserve"> MACROBUTTON MTPlaceRef \* MERGEFORMAT </w:instrText>
      </w:r>
      <w:r w:rsidRPr="00ED34C1">
        <w:fldChar w:fldCharType="begin"/>
      </w:r>
      <w:r w:rsidRPr="00ED34C1">
        <w:instrText xml:space="preserve"> SEQ MTEqn \h \* MERGEFORMAT </w:instrText>
      </w:r>
      <w:r w:rsidRPr="00ED34C1">
        <w:fldChar w:fldCharType="end"/>
      </w:r>
      <w:bookmarkStart w:id="67" w:name="ZEqnNum698751"/>
      <w:r w:rsidRPr="00ED34C1">
        <w:instrText>(</w:instrText>
      </w:r>
      <w:r w:rsidR="009B2CE5">
        <w:fldChar w:fldCharType="begin"/>
      </w:r>
      <w:r w:rsidR="009B2CE5">
        <w:instrText>SEQ MTEqn \c \* Arabic \* MERGEFORMAT</w:instrText>
      </w:r>
      <w:r w:rsidR="009B2CE5">
        <w:fldChar w:fldCharType="separate"/>
      </w:r>
      <w:r w:rsidR="00E00A52">
        <w:rPr>
          <w:noProof/>
        </w:rPr>
        <w:instrText>95</w:instrText>
      </w:r>
      <w:r w:rsidR="009B2CE5">
        <w:rPr>
          <w:noProof/>
        </w:rPr>
        <w:fldChar w:fldCharType="end"/>
      </w:r>
      <w:r w:rsidRPr="00ED34C1">
        <w:instrText>)</w:instrText>
      </w:r>
      <w:bookmarkEnd w:id="67"/>
      <w:r w:rsidRPr="00ED34C1">
        <w:fldChar w:fldCharType="end"/>
      </w:r>
    </w:p>
    <w:bookmarkEnd w:id="63"/>
    <w:p w14:paraId="337ACD92" w14:textId="648690C4" w:rsidR="006C3DEB" w:rsidRDefault="006C3DEB" w:rsidP="006C3DEB">
      <w:r>
        <w:t xml:space="preserve">From this we can derive the demand for Australian exports as in equation </w:t>
      </w:r>
      <w:r>
        <w:fldChar w:fldCharType="begin"/>
      </w:r>
      <w:r>
        <w:instrText xml:space="preserve"> GOTOBUTTON ZEqnNum829104  \* MERGEFORMAT </w:instrText>
      </w:r>
      <w:r w:rsidR="00E00A52" w:rsidRPr="00CE4CE9">
        <w:instrText>(</w:instrText>
      </w:r>
      <w:r w:rsidR="00E00A52">
        <w:instrText>23</w:instrText>
      </w:r>
      <w:r w:rsidR="00E00A52" w:rsidRPr="00CE4CE9">
        <w:instrText>)</w:instrText>
      </w:r>
      <w:r>
        <w:fldChar w:fldCharType="end"/>
      </w:r>
      <w:r>
        <w:t xml:space="preserve"> of the paper.</w:t>
      </w:r>
    </w:p>
    <w:p w14:paraId="22DC1690" w14:textId="77777777" w:rsidR="006C3DEB" w:rsidRDefault="006C3DEB" w:rsidP="006C3DEB">
      <w:pPr>
        <w:sectPr w:rsidR="006C3DEB" w:rsidSect="00B7535E">
          <w:pgSz w:w="11906" w:h="16838" w:code="9"/>
          <w:pgMar w:top="1843" w:right="1418" w:bottom="1418" w:left="1418" w:header="709" w:footer="709" w:gutter="0"/>
          <w:cols w:space="708"/>
          <w:titlePg/>
          <w:docGrid w:linePitch="360"/>
        </w:sectPr>
      </w:pPr>
    </w:p>
    <w:p w14:paraId="705A5FC9" w14:textId="77777777" w:rsidR="006C3DEB" w:rsidRDefault="006C3DEB" w:rsidP="006C3DEB">
      <w:pPr>
        <w:pStyle w:val="Heading1"/>
      </w:pPr>
      <w:r>
        <w:lastRenderedPageBreak/>
        <w:t>Appendix E: Distribution sector’s optimisation problem</w:t>
      </w:r>
    </w:p>
    <w:p w14:paraId="56199B2D" w14:textId="77777777" w:rsidR="006C3DEB" w:rsidRPr="00877684" w:rsidRDefault="006C3DEB" w:rsidP="006C3DEB">
      <w:pPr>
        <w:rPr>
          <w:lang w:val="en-US"/>
        </w:rPr>
      </w:pPr>
      <w:r>
        <w:rPr>
          <w:lang w:val="en-US"/>
        </w:rPr>
        <w:t xml:space="preserve">As discussed in Section 2 of the paper, a </w:t>
      </w:r>
      <w:r w:rsidRPr="007B6BEC">
        <w:rPr>
          <w:lang w:val="en-US"/>
        </w:rPr>
        <w:t>notiona</w:t>
      </w:r>
      <w:r>
        <w:rPr>
          <w:lang w:val="en-US"/>
        </w:rPr>
        <w:t>l domestic distribution sector combines imported</w:t>
      </w:r>
      <w:r w:rsidRPr="007B6BEC">
        <w:rPr>
          <w:lang w:val="en-US"/>
        </w:rPr>
        <w:t xml:space="preserve"> goods and domestically produced goods to form composite consumption</w:t>
      </w:r>
      <w:r w:rsidRPr="00E670A7">
        <w:rPr>
          <w:position w:val="-12"/>
        </w:rPr>
        <w:object w:dxaOrig="380" w:dyaOrig="380" w14:anchorId="05E3D65C">
          <v:shape id="_x0000_i1794" type="#_x0000_t75" style="width:22.2pt;height:22.2pt" o:ole="">
            <v:imagedata r:id="rId1576" o:title=""/>
          </v:shape>
          <o:OLEObject Type="Embed" ProgID="Equation.DSMT4" ShapeID="_x0000_i1794" DrawAspect="Content" ObjectID="_1754919345" r:id="rId1577"/>
        </w:object>
      </w:r>
      <w:r w:rsidRPr="007B6BEC">
        <w:rPr>
          <w:lang w:val="en-US"/>
        </w:rPr>
        <w:t>, investment</w:t>
      </w:r>
      <w:r w:rsidRPr="00E670A7">
        <w:rPr>
          <w:position w:val="-14"/>
        </w:rPr>
        <w:object w:dxaOrig="300" w:dyaOrig="380" w14:anchorId="10A33E33">
          <v:shape id="_x0000_i1795" type="#_x0000_t75" style="width:15pt;height:22.2pt" o:ole="">
            <v:imagedata r:id="rId1578" o:title=""/>
          </v:shape>
          <o:OLEObject Type="Embed" ProgID="Equation.DSMT4" ShapeID="_x0000_i1795" DrawAspect="Content" ObjectID="_1754919346" r:id="rId1579"/>
        </w:object>
      </w:r>
      <w:r>
        <w:t>,</w:t>
      </w:r>
      <w:r w:rsidRPr="007B6BEC">
        <w:rPr>
          <w:lang w:val="en-US"/>
        </w:rPr>
        <w:t xml:space="preserve"> intermediate goods</w:t>
      </w:r>
      <w:r w:rsidRPr="00E670A7">
        <w:rPr>
          <w:position w:val="-14"/>
        </w:rPr>
        <w:object w:dxaOrig="360" w:dyaOrig="380" w14:anchorId="6195D589">
          <v:shape id="_x0000_i1796" type="#_x0000_t75" style="width:21.6pt;height:22.2pt" o:ole="">
            <v:imagedata r:id="rId1580" o:title=""/>
          </v:shape>
          <o:OLEObject Type="Embed" ProgID="Equation.DSMT4" ShapeID="_x0000_i1796" DrawAspect="Content" ObjectID="_1754919347" r:id="rId1581"/>
        </w:object>
      </w:r>
      <w:r w:rsidRPr="007B6BEC">
        <w:rPr>
          <w:lang w:val="en-US"/>
        </w:rPr>
        <w:t>, and government spending</w:t>
      </w:r>
      <w:r w:rsidRPr="00E670A7">
        <w:rPr>
          <w:position w:val="-12"/>
        </w:rPr>
        <w:object w:dxaOrig="260" w:dyaOrig="360" w14:anchorId="4C2DCCA6">
          <v:shape id="_x0000_i1797" type="#_x0000_t75" style="width:15pt;height:21.6pt" o:ole="">
            <v:imagedata r:id="rId1582" o:title=""/>
          </v:shape>
          <o:OLEObject Type="Embed" ProgID="Equation.DSMT4" ShapeID="_x0000_i1797" DrawAspect="Content" ObjectID="_1754919348" r:id="rId1583"/>
        </w:object>
      </w:r>
      <w:r>
        <w:rPr>
          <w:lang w:val="en-US"/>
        </w:rPr>
        <w:t xml:space="preserve">. </w:t>
      </w:r>
    </w:p>
    <w:p w14:paraId="2F63029D" w14:textId="77777777" w:rsidR="006C3DEB" w:rsidRPr="006E3D3C" w:rsidRDefault="006C3DEB" w:rsidP="006C3DEB">
      <w:pPr>
        <w:pStyle w:val="Heading2NotNumbered"/>
        <w:rPr>
          <w:i/>
          <w:iCs/>
        </w:rPr>
      </w:pPr>
      <w:r w:rsidRPr="006E3D3C">
        <w:rPr>
          <w:rStyle w:val="IntenseEmphasis"/>
          <w:b w:val="0"/>
          <w:i w:val="0"/>
          <w:iCs w:val="0"/>
        </w:rPr>
        <w:t>Consumption of goods and services</w:t>
      </w:r>
    </w:p>
    <w:p w14:paraId="0467FEC8" w14:textId="77777777" w:rsidR="006C3DEB" w:rsidRPr="007B6BEC" w:rsidRDefault="006C3DEB" w:rsidP="006C3DEB">
      <w:r>
        <w:t>For each household, t</w:t>
      </w:r>
      <w:r w:rsidRPr="007B6BEC">
        <w:t xml:space="preserve">he </w:t>
      </w:r>
      <w:r>
        <w:t xml:space="preserve">distribution sector first chooses the consumption bundle that </w:t>
      </w:r>
      <w:r w:rsidRPr="007B6BEC">
        <w:t>maximise</w:t>
      </w:r>
      <w:r>
        <w:t>s</w:t>
      </w:r>
      <w:r w:rsidRPr="007B6BEC">
        <w:t xml:space="preserve"> </w:t>
      </w:r>
      <w:r>
        <w:t xml:space="preserve">the value of </w:t>
      </w:r>
      <w:r w:rsidRPr="007B6BEC">
        <w:rPr>
          <w:lang w:val="en-US"/>
        </w:rPr>
        <w:t>composite consumption</w:t>
      </w:r>
      <w:r w:rsidRPr="007B6BEC">
        <w:t>:</w:t>
      </w:r>
    </w:p>
    <w:p w14:paraId="24A5E58C" w14:textId="77777777" w:rsidR="006C3DEB" w:rsidRDefault="006C3DEB" w:rsidP="006C3DEB">
      <w:pPr>
        <w:pStyle w:val="MTDisplayEquation"/>
      </w:pPr>
      <w:r>
        <w:tab/>
      </w:r>
      <w:r w:rsidRPr="00E670A7">
        <w:rPr>
          <w:position w:val="-34"/>
        </w:rPr>
        <w:object w:dxaOrig="3040" w:dyaOrig="980" w14:anchorId="1410DB04">
          <v:shape id="_x0000_i1798" type="#_x0000_t75" style="width:151.8pt;height:50.4pt" o:ole="">
            <v:imagedata r:id="rId1584" o:title=""/>
          </v:shape>
          <o:OLEObject Type="Embed" ProgID="Equation.DSMT4" ShapeID="_x0000_i1798" DrawAspect="Content" ObjectID="_1754919349" r:id="rId1585"/>
        </w:object>
      </w:r>
    </w:p>
    <w:p w14:paraId="0B63E9C1" w14:textId="77777777" w:rsidR="006C3DEB" w:rsidRDefault="006C3DEB" w:rsidP="006C3DEB">
      <w:r>
        <w:t>subject to the allocated budget:</w:t>
      </w:r>
    </w:p>
    <w:p w14:paraId="130B45F1" w14:textId="77777777" w:rsidR="006C3DEB" w:rsidRPr="0050358E" w:rsidRDefault="006C3DEB" w:rsidP="006C3DEB">
      <w:pPr>
        <w:tabs>
          <w:tab w:val="center" w:pos="4520"/>
          <w:tab w:val="right" w:pos="9020"/>
        </w:tabs>
        <w:jc w:val="both"/>
      </w:pPr>
      <w:r w:rsidRPr="00514689">
        <w:tab/>
      </w:r>
      <w:r w:rsidRPr="00E670A7">
        <w:rPr>
          <w:position w:val="-30"/>
        </w:rPr>
        <w:object w:dxaOrig="1800" w:dyaOrig="560" w14:anchorId="65AEF2B5">
          <v:shape id="_x0000_i1799" type="#_x0000_t75" style="width:93.6pt;height:29.4pt" o:ole="">
            <v:imagedata r:id="rId1586" o:title=""/>
          </v:shape>
          <o:OLEObject Type="Embed" ProgID="Equation.DSMT4" ShapeID="_x0000_i1799" DrawAspect="Content" ObjectID="_1754919350" r:id="rId1587"/>
        </w:object>
      </w:r>
    </w:p>
    <w:p w14:paraId="3286E433" w14:textId="77777777" w:rsidR="006C3DEB" w:rsidRPr="0050358E" w:rsidRDefault="006C3DEB" w:rsidP="006C3DEB">
      <w:r>
        <w:t>Following Obstfeld and Rogoff (1996, Chapter 4), we can obtain the optimal demand for each good</w:t>
      </w:r>
      <w:r w:rsidRPr="0050358E">
        <w:t>:</w:t>
      </w:r>
    </w:p>
    <w:p w14:paraId="7BED5476" w14:textId="77777777" w:rsidR="006C3DEB" w:rsidRPr="0050358E" w:rsidRDefault="006C3DEB" w:rsidP="006C3DEB">
      <w:pPr>
        <w:pStyle w:val="MTDisplayEquation"/>
      </w:pPr>
      <w:r w:rsidRPr="0050358E">
        <w:tab/>
      </w:r>
      <w:r w:rsidRPr="00E670A7">
        <w:rPr>
          <w:position w:val="-34"/>
        </w:rPr>
        <w:object w:dxaOrig="2060" w:dyaOrig="880" w14:anchorId="03A1E3D2">
          <v:shape id="_x0000_i1800" type="#_x0000_t75" style="width:101.4pt;height:42.6pt" o:ole="">
            <v:imagedata r:id="rId1588" o:title=""/>
          </v:shape>
          <o:OLEObject Type="Embed" ProgID="Equation.DSMT4" ShapeID="_x0000_i1800" DrawAspect="Content" ObjectID="_1754919351" r:id="rId1589"/>
        </w:object>
      </w:r>
      <w:r w:rsidRPr="0050358E">
        <w:t xml:space="preserve"> </w:t>
      </w:r>
      <w:r w:rsidRPr="0050358E">
        <w:tab/>
      </w:r>
    </w:p>
    <w:p w14:paraId="5ACE2E33" w14:textId="77777777" w:rsidR="006C3DEB" w:rsidRPr="0050358E" w:rsidRDefault="006C3DEB" w:rsidP="006C3DEB">
      <w:r w:rsidRPr="0050358E">
        <w:t>and the price index for the compos</w:t>
      </w:r>
      <w:r>
        <w:t>ite consumption good</w:t>
      </w:r>
      <w:r w:rsidRPr="0050358E">
        <w:t>:</w:t>
      </w:r>
    </w:p>
    <w:p w14:paraId="32CF33C5" w14:textId="77777777" w:rsidR="006C3DEB" w:rsidRPr="0050358E" w:rsidRDefault="006C3DEB" w:rsidP="006C3DEB">
      <w:pPr>
        <w:pStyle w:val="MTDisplayEquation"/>
      </w:pPr>
      <w:r w:rsidRPr="0050358E">
        <w:tab/>
      </w:r>
      <w:r w:rsidRPr="00E670A7">
        <w:rPr>
          <w:position w:val="-32"/>
        </w:rPr>
        <w:object w:dxaOrig="2500" w:dyaOrig="900" w14:anchorId="74ADAF80">
          <v:shape id="_x0000_i1801" type="#_x0000_t75" style="width:122.4pt;height:42.6pt" o:ole="">
            <v:imagedata r:id="rId1590" o:title=""/>
          </v:shape>
          <o:OLEObject Type="Embed" ProgID="Equation.DSMT4" ShapeID="_x0000_i1801" DrawAspect="Content" ObjectID="_1754919352" r:id="rId1591"/>
        </w:object>
      </w:r>
      <w:r w:rsidRPr="0050358E">
        <w:t xml:space="preserve"> </w:t>
      </w:r>
      <w:r w:rsidRPr="0050358E">
        <w:tab/>
      </w:r>
    </w:p>
    <w:p w14:paraId="5201CCDB" w14:textId="77777777" w:rsidR="006C3DEB" w:rsidRDefault="006C3DEB" w:rsidP="006C3DEB">
      <w:r>
        <w:t>The</w:t>
      </w:r>
      <w:r w:rsidRPr="007B6BEC">
        <w:t xml:space="preserve"> </w:t>
      </w:r>
      <w:r>
        <w:t xml:space="preserve">distribution sector then chooses from </w:t>
      </w:r>
      <w:r w:rsidRPr="007B6BEC">
        <w:t xml:space="preserve">a basket of goods </w:t>
      </w:r>
      <w:r>
        <w:t>composed of</w:t>
      </w:r>
      <w:r>
        <w:rPr>
          <w:lang w:val="en-US"/>
        </w:rPr>
        <w:t xml:space="preserve"> </w:t>
      </w:r>
      <w:r w:rsidRPr="00514689">
        <w:t>domestic</w:t>
      </w:r>
      <w:r>
        <w:t>ally produced</w:t>
      </w:r>
      <w:r w:rsidRPr="00E670A7">
        <w:rPr>
          <w:position w:val="-14"/>
        </w:rPr>
        <w:object w:dxaOrig="520" w:dyaOrig="400" w14:anchorId="4632B4E4">
          <v:shape id="_x0000_i1802" type="#_x0000_t75" style="width:29.4pt;height:22.8pt" o:ole="">
            <v:imagedata r:id="rId1592" o:title=""/>
          </v:shape>
          <o:OLEObject Type="Embed" ProgID="Equation.DSMT4" ShapeID="_x0000_i1802" DrawAspect="Content" ObjectID="_1754919353" r:id="rId1593"/>
        </w:object>
      </w:r>
      <w:r w:rsidRPr="00514689">
        <w:t>and imported</w:t>
      </w:r>
      <w:r w:rsidRPr="00E670A7">
        <w:rPr>
          <w:position w:val="-14"/>
        </w:rPr>
        <w:object w:dxaOrig="540" w:dyaOrig="400" w14:anchorId="22525E2E">
          <v:shape id="_x0000_i1803" type="#_x0000_t75" style="width:29.4pt;height:22.8pt" o:ole="">
            <v:imagedata r:id="rId1594" o:title=""/>
          </v:shape>
          <o:OLEObject Type="Embed" ProgID="Equation.DSMT4" ShapeID="_x0000_i1803" DrawAspect="Content" ObjectID="_1754919354" r:id="rId1595"/>
        </w:object>
      </w:r>
      <w:r>
        <w:t>varieties, to maximise the value of consumption:</w:t>
      </w:r>
    </w:p>
    <w:p w14:paraId="2A1CC18E" w14:textId="77777777" w:rsidR="006C3DEB" w:rsidRPr="007F5BB5" w:rsidRDefault="006C3DEB" w:rsidP="006C3DEB">
      <w:pPr>
        <w:jc w:val="center"/>
      </w:pPr>
      <w:r w:rsidRPr="00E670A7">
        <w:rPr>
          <w:position w:val="-38"/>
        </w:rPr>
        <w:object w:dxaOrig="5720" w:dyaOrig="1080" w14:anchorId="4CF3CBE6">
          <v:shape id="_x0000_i1804" type="#_x0000_t75" style="width:4in;height:57pt" o:ole="">
            <v:imagedata r:id="rId1596" o:title=""/>
          </v:shape>
          <o:OLEObject Type="Embed" ProgID="Equation.DSMT4" ShapeID="_x0000_i1804" DrawAspect="Content" ObjectID="_1754919355" r:id="rId1597"/>
        </w:object>
      </w:r>
      <w:r w:rsidRPr="007F5BB5">
        <w:t xml:space="preserve"> </w:t>
      </w:r>
    </w:p>
    <w:p w14:paraId="2C3A2FD1" w14:textId="77777777" w:rsidR="006C3DEB" w:rsidRPr="007F5BB5" w:rsidRDefault="006C3DEB" w:rsidP="006C3DEB">
      <w:r w:rsidRPr="007F5BB5">
        <w:t>subject to</w:t>
      </w:r>
      <w:r>
        <w:t xml:space="preserve"> the allocated</w:t>
      </w:r>
      <w:r w:rsidRPr="007B6BEC">
        <w:t xml:space="preserve"> expenditure</w:t>
      </w:r>
      <w:r w:rsidRPr="007F5BB5">
        <w:t>:</w:t>
      </w:r>
    </w:p>
    <w:p w14:paraId="4F49267D" w14:textId="77777777" w:rsidR="006C3DEB" w:rsidRPr="007F5BB5" w:rsidRDefault="006C3DEB" w:rsidP="006C3DEB">
      <w:pPr>
        <w:ind w:left="720" w:firstLine="720"/>
      </w:pPr>
      <w:r w:rsidRPr="00E670A7">
        <w:rPr>
          <w:position w:val="-14"/>
        </w:rPr>
        <w:object w:dxaOrig="6800" w:dyaOrig="400" w14:anchorId="3FE21171">
          <v:shape id="_x0000_i1805" type="#_x0000_t75" style="width:340.2pt;height:22.8pt" o:ole="">
            <v:imagedata r:id="rId1598" o:title=""/>
          </v:shape>
          <o:OLEObject Type="Embed" ProgID="Equation.DSMT4" ShapeID="_x0000_i1805" DrawAspect="Content" ObjectID="_1754919356" r:id="rId1599"/>
        </w:object>
      </w:r>
      <w:r w:rsidRPr="007F5BB5">
        <w:t xml:space="preserve"> </w:t>
      </w:r>
    </w:p>
    <w:p w14:paraId="445660C7" w14:textId="77777777" w:rsidR="006C3DEB" w:rsidRPr="007F5BB5" w:rsidRDefault="006C3DEB" w:rsidP="006C3DEB">
      <w:r w:rsidRPr="007F5BB5">
        <w:t xml:space="preserve">The optimal demand for domestic and imported goods is </w:t>
      </w:r>
      <w:r>
        <w:t xml:space="preserve">again </w:t>
      </w:r>
      <w:r w:rsidRPr="007F5BB5">
        <w:t xml:space="preserve">as follows: </w:t>
      </w:r>
    </w:p>
    <w:p w14:paraId="40CB8431" w14:textId="77777777" w:rsidR="006C3DEB" w:rsidRPr="007F5BB5" w:rsidRDefault="006C3DEB" w:rsidP="006C3DEB">
      <w:pPr>
        <w:pStyle w:val="MTDisplayEquation"/>
      </w:pPr>
      <w:r w:rsidRPr="007F5BB5">
        <w:tab/>
      </w:r>
      <w:r w:rsidRPr="00E670A7">
        <w:rPr>
          <w:position w:val="-38"/>
        </w:rPr>
        <w:object w:dxaOrig="4940" w:dyaOrig="960" w14:anchorId="5EC4028D">
          <v:shape id="_x0000_i1806" type="#_x0000_t75" style="width:245.4pt;height:50.4pt" o:ole="">
            <v:imagedata r:id="rId1600" o:title=""/>
          </v:shape>
          <o:OLEObject Type="Embed" ProgID="Equation.DSMT4" ShapeID="_x0000_i1806" DrawAspect="Content" ObjectID="_1754919357" r:id="rId1601"/>
        </w:object>
      </w:r>
      <w:r w:rsidRPr="007F5BB5">
        <w:t xml:space="preserve"> </w:t>
      </w:r>
      <w:r w:rsidRPr="007F5BB5">
        <w:tab/>
      </w:r>
    </w:p>
    <w:p w14:paraId="5A9B13BB" w14:textId="77777777" w:rsidR="006C3DEB" w:rsidRPr="007F5BB5" w:rsidRDefault="006C3DEB" w:rsidP="006C3DEB">
      <w:pPr>
        <w:pStyle w:val="MTDisplayEquation"/>
      </w:pPr>
      <w:r w:rsidRPr="007F5BB5">
        <w:tab/>
      </w:r>
      <w:r w:rsidRPr="00E670A7">
        <w:rPr>
          <w:position w:val="-38"/>
        </w:rPr>
        <w:object w:dxaOrig="4500" w:dyaOrig="960" w14:anchorId="20A2C7A5">
          <v:shape id="_x0000_i1807" type="#_x0000_t75" style="width:223.2pt;height:50.4pt" o:ole="">
            <v:imagedata r:id="rId1602" o:title=""/>
          </v:shape>
          <o:OLEObject Type="Embed" ProgID="Equation.DSMT4" ShapeID="_x0000_i1807" DrawAspect="Content" ObjectID="_1754919358" r:id="rId1603"/>
        </w:object>
      </w:r>
      <w:r w:rsidRPr="007F5BB5">
        <w:t xml:space="preserve"> </w:t>
      </w:r>
      <w:r w:rsidRPr="007F5BB5">
        <w:tab/>
      </w:r>
      <w:r w:rsidRPr="007F5BB5">
        <w:tab/>
      </w:r>
    </w:p>
    <w:p w14:paraId="0A50D52A" w14:textId="77777777" w:rsidR="006C3DEB" w:rsidRPr="007F5BB5" w:rsidRDefault="006C3DEB" w:rsidP="006C3DEB">
      <w:pPr>
        <w:tabs>
          <w:tab w:val="center" w:pos="4520"/>
          <w:tab w:val="right" w:pos="9020"/>
        </w:tabs>
        <w:jc w:val="both"/>
      </w:pPr>
      <w:r>
        <w:t>And</w:t>
      </w:r>
      <w:r w:rsidRPr="007F5BB5">
        <w:t xml:space="preserve"> the price index for composite consumption good </w:t>
      </w:r>
      <w:r w:rsidRPr="00E670A7">
        <w:rPr>
          <w:position w:val="-10"/>
        </w:rPr>
        <w:object w:dxaOrig="200" w:dyaOrig="300" w14:anchorId="1FD1D86A">
          <v:shape id="_x0000_i1808" type="#_x0000_t75" style="width:7.8pt;height:15pt" o:ole="">
            <v:imagedata r:id="rId1604" o:title=""/>
          </v:shape>
          <o:OLEObject Type="Embed" ProgID="Equation.DSMT4" ShapeID="_x0000_i1808" DrawAspect="Content" ObjectID="_1754919359" r:id="rId1605"/>
        </w:object>
      </w:r>
      <w:r w:rsidRPr="007F5BB5">
        <w:t>is:</w:t>
      </w:r>
    </w:p>
    <w:p w14:paraId="5A0E52C5" w14:textId="77777777" w:rsidR="006C3DEB" w:rsidRDefault="006C3DEB" w:rsidP="006C3DEB">
      <w:pPr>
        <w:pStyle w:val="MTDisplayEquation"/>
      </w:pPr>
      <w:r w:rsidRPr="007F5BB5">
        <w:tab/>
      </w:r>
      <w:r w:rsidRPr="00E670A7">
        <w:rPr>
          <w:position w:val="-54"/>
        </w:rPr>
        <w:object w:dxaOrig="5100" w:dyaOrig="1320" w14:anchorId="50681B52">
          <v:shape id="_x0000_i1809" type="#_x0000_t75" style="width:251.4pt;height:65.4pt" o:ole="">
            <v:imagedata r:id="rId1606" o:title=""/>
          </v:shape>
          <o:OLEObject Type="Embed" ProgID="Equation.DSMT4" ShapeID="_x0000_i1809" DrawAspect="Content" ObjectID="_1754919360" r:id="rId1607"/>
        </w:object>
      </w:r>
      <w:r w:rsidRPr="007F5BB5">
        <w:t xml:space="preserve"> </w:t>
      </w:r>
      <w:r w:rsidRPr="007F5BB5">
        <w:tab/>
      </w:r>
      <w:r w:rsidRPr="00514689">
        <w:tab/>
      </w:r>
      <w:r w:rsidRPr="00514689">
        <w:tab/>
      </w:r>
    </w:p>
    <w:p w14:paraId="728A3757" w14:textId="77777777" w:rsidR="006C3DEB" w:rsidRDefault="006C3DEB" w:rsidP="006C3DEB">
      <w:pPr>
        <w:pStyle w:val="Heading2NotNumbered"/>
      </w:pPr>
      <w:r>
        <w:t>Investment goods and services</w:t>
      </w:r>
    </w:p>
    <w:p w14:paraId="3B79F466" w14:textId="77777777" w:rsidR="006C3DEB" w:rsidRDefault="006C3DEB" w:rsidP="006C3DEB">
      <w:pPr>
        <w:tabs>
          <w:tab w:val="center" w:pos="4520"/>
          <w:tab w:val="right" w:pos="9020"/>
        </w:tabs>
        <w:jc w:val="both"/>
      </w:pPr>
      <w:r w:rsidRPr="002638E5">
        <w:t xml:space="preserve">For </w:t>
      </w:r>
      <w:r>
        <w:t>c</w:t>
      </w:r>
      <w:r w:rsidRPr="004A5224">
        <w:t>apital formation of sector</w:t>
      </w:r>
      <w:r w:rsidRPr="00E670A7">
        <w:rPr>
          <w:position w:val="-10"/>
        </w:rPr>
        <w:object w:dxaOrig="200" w:dyaOrig="300" w14:anchorId="44ECF733">
          <v:shape id="_x0000_i1810" type="#_x0000_t75" style="width:7.8pt;height:15pt" o:ole="">
            <v:imagedata r:id="rId1608" o:title=""/>
          </v:shape>
          <o:OLEObject Type="Embed" ProgID="Equation.DSMT4" ShapeID="_x0000_i1810" DrawAspect="Content" ObjectID="_1754919361" r:id="rId1609"/>
        </w:object>
      </w:r>
      <w:r>
        <w:t>, the distribution sector first chooses the investment goods bundle to maximise the value of the firm’s gross fixed capital expenditure:</w:t>
      </w:r>
    </w:p>
    <w:p w14:paraId="50A1C731" w14:textId="77777777" w:rsidR="006C3DEB" w:rsidRDefault="006C3DEB" w:rsidP="006C3DEB">
      <w:pPr>
        <w:pStyle w:val="MTDisplayEquation"/>
        <w:jc w:val="center"/>
      </w:pPr>
      <w:r w:rsidRPr="00E670A7">
        <w:rPr>
          <w:position w:val="-38"/>
        </w:rPr>
        <w:object w:dxaOrig="3100" w:dyaOrig="1080" w14:anchorId="51D43445">
          <v:shape id="_x0000_i1811" type="#_x0000_t75" style="width:159pt;height:57pt" o:ole="">
            <v:imagedata r:id="rId1610" o:title=""/>
          </v:shape>
          <o:OLEObject Type="Embed" ProgID="Equation.DSMT4" ShapeID="_x0000_i1811" DrawAspect="Content" ObjectID="_1754919362" r:id="rId1611"/>
        </w:object>
      </w:r>
    </w:p>
    <w:p w14:paraId="69639058" w14:textId="77777777" w:rsidR="006C3DEB" w:rsidRDefault="006C3DEB" w:rsidP="006C3DEB">
      <w:r>
        <w:t>subject to the budget constraint:</w:t>
      </w:r>
    </w:p>
    <w:p w14:paraId="2BA56F3D" w14:textId="77777777" w:rsidR="006C3DEB" w:rsidRPr="002638E5" w:rsidRDefault="006C3DEB" w:rsidP="006C3DEB">
      <w:pPr>
        <w:jc w:val="center"/>
      </w:pPr>
      <w:r w:rsidRPr="00E670A7">
        <w:rPr>
          <w:position w:val="-28"/>
        </w:rPr>
        <w:object w:dxaOrig="1980" w:dyaOrig="540" w14:anchorId="54E6259D">
          <v:shape id="_x0000_i1812" type="#_x0000_t75" style="width:101.4pt;height:29.4pt" o:ole="">
            <v:imagedata r:id="rId1612" o:title=""/>
          </v:shape>
          <o:OLEObject Type="Embed" ProgID="Equation.DSMT4" ShapeID="_x0000_i1812" DrawAspect="Content" ObjectID="_1754919363" r:id="rId1613"/>
        </w:object>
      </w:r>
    </w:p>
    <w:p w14:paraId="04A946E3" w14:textId="77777777" w:rsidR="006C3DEB" w:rsidRPr="002638E5" w:rsidRDefault="006C3DEB" w:rsidP="006C3DEB">
      <w:pPr>
        <w:tabs>
          <w:tab w:val="center" w:pos="4520"/>
          <w:tab w:val="right" w:pos="9020"/>
        </w:tabs>
        <w:jc w:val="both"/>
      </w:pPr>
      <w:r w:rsidRPr="002638E5">
        <w:t>The optimal demand and implied price index functions are as follows:</w:t>
      </w:r>
    </w:p>
    <w:p w14:paraId="6D113021" w14:textId="77777777" w:rsidR="006C3DEB" w:rsidRPr="002638E5" w:rsidRDefault="006C3DEB" w:rsidP="006C3DEB">
      <w:pPr>
        <w:pStyle w:val="MTDisplayEquation"/>
      </w:pPr>
      <w:r w:rsidRPr="002638E5">
        <w:tab/>
      </w:r>
      <w:r w:rsidRPr="00E670A7">
        <w:rPr>
          <w:position w:val="-36"/>
        </w:rPr>
        <w:object w:dxaOrig="2260" w:dyaOrig="920" w14:anchorId="1C3DDD1E">
          <v:shape id="_x0000_i1813" type="#_x0000_t75" style="width:114.6pt;height:42.6pt" o:ole="">
            <v:imagedata r:id="rId1614" o:title=""/>
          </v:shape>
          <o:OLEObject Type="Embed" ProgID="Equation.DSMT4" ShapeID="_x0000_i1813" DrawAspect="Content" ObjectID="_1754919364" r:id="rId1615"/>
        </w:object>
      </w:r>
      <w:r w:rsidRPr="002638E5">
        <w:t xml:space="preserve"> </w:t>
      </w:r>
      <w:r w:rsidRPr="002638E5">
        <w:tab/>
      </w:r>
    </w:p>
    <w:p w14:paraId="47704EA2" w14:textId="77777777" w:rsidR="006C3DEB" w:rsidRPr="002638E5" w:rsidRDefault="006C3DEB" w:rsidP="006C3DEB">
      <w:pPr>
        <w:pStyle w:val="MTDisplayEquation"/>
      </w:pPr>
      <w:r w:rsidRPr="002638E5">
        <w:tab/>
      </w:r>
      <w:r w:rsidRPr="00E670A7">
        <w:rPr>
          <w:position w:val="-30"/>
        </w:rPr>
        <w:object w:dxaOrig="2820" w:dyaOrig="859" w14:anchorId="0C587CA7">
          <v:shape id="_x0000_i1814" type="#_x0000_t75" style="width:2in;height:42.6pt" o:ole="">
            <v:imagedata r:id="rId1616" o:title=""/>
          </v:shape>
          <o:OLEObject Type="Embed" ProgID="Equation.DSMT4" ShapeID="_x0000_i1814" DrawAspect="Content" ObjectID="_1754919365" r:id="rId1617"/>
        </w:object>
      </w:r>
      <w:r w:rsidRPr="002638E5">
        <w:t xml:space="preserve"> </w:t>
      </w:r>
      <w:r w:rsidRPr="002638E5">
        <w:tab/>
      </w:r>
    </w:p>
    <w:p w14:paraId="3A858561" w14:textId="77777777" w:rsidR="006C3DEB" w:rsidRPr="00A876ED" w:rsidRDefault="006C3DEB" w:rsidP="006C3DEB">
      <w:r w:rsidRPr="002638E5">
        <w:lastRenderedPageBreak/>
        <w:t xml:space="preserve">The distribution sector then </w:t>
      </w:r>
      <w:r>
        <w:t>chooses from a variety of domestic and imported</w:t>
      </w:r>
      <w:r w:rsidRPr="00A216D6">
        <w:t xml:space="preserve"> </w:t>
      </w:r>
      <w:r>
        <w:t>investment goods to maximise the value of investment:</w:t>
      </w:r>
    </w:p>
    <w:p w14:paraId="2F5A9CA0" w14:textId="77777777" w:rsidR="006C3DEB" w:rsidRDefault="006C3DEB" w:rsidP="006C3DEB">
      <w:pPr>
        <w:pStyle w:val="MTDisplayEquation"/>
      </w:pPr>
      <w:r>
        <w:tab/>
      </w:r>
      <w:r w:rsidRPr="00E670A7">
        <w:rPr>
          <w:position w:val="-38"/>
        </w:rPr>
        <w:object w:dxaOrig="6020" w:dyaOrig="1080" w14:anchorId="39B2C159">
          <v:shape id="_x0000_i1815" type="#_x0000_t75" style="width:303pt;height:57pt" o:ole="">
            <v:imagedata r:id="rId1618" o:title=""/>
          </v:shape>
          <o:OLEObject Type="Embed" ProgID="Equation.DSMT4" ShapeID="_x0000_i1815" DrawAspect="Content" ObjectID="_1754919366" r:id="rId1619"/>
        </w:object>
      </w:r>
      <w:r>
        <w:t xml:space="preserve"> </w:t>
      </w:r>
    </w:p>
    <w:p w14:paraId="42377D6B" w14:textId="77777777" w:rsidR="006C3DEB" w:rsidRDefault="006C3DEB" w:rsidP="006C3DEB">
      <w:r>
        <w:t>subject to the allocated budget:</w:t>
      </w:r>
    </w:p>
    <w:p w14:paraId="65D33CCC" w14:textId="77777777" w:rsidR="006C3DEB" w:rsidRPr="00A876ED" w:rsidRDefault="006C3DEB" w:rsidP="006C3DEB">
      <w:pPr>
        <w:ind w:left="720" w:firstLine="720"/>
      </w:pPr>
      <w:r w:rsidRPr="00E670A7">
        <w:rPr>
          <w:position w:val="-14"/>
        </w:rPr>
        <w:object w:dxaOrig="7320" w:dyaOrig="400" w14:anchorId="19B05365">
          <v:shape id="_x0000_i1816" type="#_x0000_t75" style="width:366pt;height:22.8pt" o:ole="">
            <v:imagedata r:id="rId1620" o:title=""/>
          </v:shape>
          <o:OLEObject Type="Embed" ProgID="Equation.DSMT4" ShapeID="_x0000_i1816" DrawAspect="Content" ObjectID="_1754919367" r:id="rId1621"/>
        </w:object>
      </w:r>
      <w:r>
        <w:t xml:space="preserve"> </w:t>
      </w:r>
    </w:p>
    <w:p w14:paraId="73D05086" w14:textId="77777777" w:rsidR="006C3DEB" w:rsidRPr="00A216D6" w:rsidRDefault="006C3DEB" w:rsidP="006C3DEB">
      <w:r w:rsidRPr="00A216D6">
        <w:t xml:space="preserve">The optimal demand for domestic and imported goods is as follows: </w:t>
      </w:r>
    </w:p>
    <w:p w14:paraId="19AE0C88" w14:textId="77777777" w:rsidR="006C3DEB" w:rsidRPr="00A216D6" w:rsidRDefault="006C3DEB" w:rsidP="006C3DEB">
      <w:pPr>
        <w:pStyle w:val="MTDisplayEquation"/>
      </w:pPr>
      <w:r w:rsidRPr="00A216D6">
        <w:tab/>
      </w:r>
      <w:r w:rsidRPr="00E670A7">
        <w:rPr>
          <w:position w:val="-38"/>
        </w:rPr>
        <w:object w:dxaOrig="5220" w:dyaOrig="960" w14:anchorId="1C7BF7ED">
          <v:shape id="_x0000_i1817" type="#_x0000_t75" style="width:258.6pt;height:50.4pt" o:ole="">
            <v:imagedata r:id="rId1622" o:title=""/>
          </v:shape>
          <o:OLEObject Type="Embed" ProgID="Equation.DSMT4" ShapeID="_x0000_i1817" DrawAspect="Content" ObjectID="_1754919368" r:id="rId1623"/>
        </w:object>
      </w:r>
      <w:r w:rsidRPr="00A216D6">
        <w:t xml:space="preserve"> </w:t>
      </w:r>
      <w:r w:rsidRPr="00A216D6">
        <w:tab/>
      </w:r>
    </w:p>
    <w:p w14:paraId="45238DF4" w14:textId="77777777" w:rsidR="006C3DEB" w:rsidRPr="00A216D6" w:rsidRDefault="006C3DEB" w:rsidP="006C3DEB">
      <w:pPr>
        <w:pStyle w:val="MTDisplayEquation"/>
      </w:pPr>
      <w:r w:rsidRPr="00A216D6">
        <w:tab/>
      </w:r>
      <w:r w:rsidRPr="00E670A7">
        <w:rPr>
          <w:position w:val="-38"/>
        </w:rPr>
        <w:object w:dxaOrig="4740" w:dyaOrig="960" w14:anchorId="5AE2F558">
          <v:shape id="_x0000_i1818" type="#_x0000_t75" style="width:237.6pt;height:50.4pt" o:ole="">
            <v:imagedata r:id="rId1624" o:title=""/>
          </v:shape>
          <o:OLEObject Type="Embed" ProgID="Equation.DSMT4" ShapeID="_x0000_i1818" DrawAspect="Content" ObjectID="_1754919369" r:id="rId1625"/>
        </w:object>
      </w:r>
      <w:r w:rsidRPr="00A216D6">
        <w:t xml:space="preserve"> </w:t>
      </w:r>
      <w:r w:rsidRPr="00A216D6">
        <w:tab/>
      </w:r>
    </w:p>
    <w:p w14:paraId="0009AD99" w14:textId="77777777" w:rsidR="006C3DEB" w:rsidRDefault="006C3DEB" w:rsidP="006C3DEB">
      <w:pPr>
        <w:pStyle w:val="MTDisplayEquation"/>
      </w:pPr>
      <w:r w:rsidRPr="00A216D6">
        <w:tab/>
      </w:r>
      <w:r w:rsidRPr="00E670A7">
        <w:rPr>
          <w:position w:val="-54"/>
        </w:rPr>
        <w:object w:dxaOrig="5420" w:dyaOrig="1320" w14:anchorId="4FEB1E4A">
          <v:shape id="_x0000_i1819" type="#_x0000_t75" style="width:273pt;height:65.4pt" o:ole="">
            <v:imagedata r:id="rId1626" o:title=""/>
          </v:shape>
          <o:OLEObject Type="Embed" ProgID="Equation.DSMT4" ShapeID="_x0000_i1819" DrawAspect="Content" ObjectID="_1754919370" r:id="rId1627"/>
        </w:object>
      </w:r>
      <w:r w:rsidRPr="00A216D6">
        <w:t xml:space="preserve"> </w:t>
      </w:r>
      <w:r w:rsidRPr="00A216D6">
        <w:tab/>
      </w:r>
    </w:p>
    <w:p w14:paraId="0E5585E6" w14:textId="77777777" w:rsidR="006C3DEB" w:rsidRDefault="006C3DEB" w:rsidP="006C3DEB">
      <w:pPr>
        <w:pStyle w:val="Heading2NotNumbered"/>
      </w:pPr>
      <w:r>
        <w:t>Intermediate goods and services</w:t>
      </w:r>
    </w:p>
    <w:p w14:paraId="01FE8EB1" w14:textId="77777777" w:rsidR="006C3DEB" w:rsidRDefault="006C3DEB" w:rsidP="006C3DEB">
      <w:pPr>
        <w:tabs>
          <w:tab w:val="center" w:pos="4520"/>
          <w:tab w:val="right" w:pos="9020"/>
        </w:tabs>
        <w:jc w:val="both"/>
      </w:pPr>
      <w:r w:rsidRPr="005D096B">
        <w:t xml:space="preserve">Similarly, </w:t>
      </w:r>
      <w:r>
        <w:t xml:space="preserve">for intermediate input </w:t>
      </w:r>
      <w:r w:rsidRPr="004A5224">
        <w:t>of sector</w:t>
      </w:r>
      <w:r w:rsidRPr="00E670A7">
        <w:rPr>
          <w:position w:val="-10"/>
        </w:rPr>
        <w:object w:dxaOrig="200" w:dyaOrig="300" w14:anchorId="09F5D740">
          <v:shape id="_x0000_i1820" type="#_x0000_t75" style="width:7.8pt;height:15pt" o:ole="">
            <v:imagedata r:id="rId1628" o:title=""/>
          </v:shape>
          <o:OLEObject Type="Embed" ProgID="Equation.DSMT4" ShapeID="_x0000_i1820" DrawAspect="Content" ObjectID="_1754919371" r:id="rId1629"/>
        </w:object>
      </w:r>
      <w:r>
        <w:t>, the distribution sector first chooses the intermediate goods bundle to maximise the value of the firm’s expenditure:</w:t>
      </w:r>
    </w:p>
    <w:p w14:paraId="1DB4DE09" w14:textId="77777777" w:rsidR="006C3DEB" w:rsidRDefault="006C3DEB" w:rsidP="006C3DEB">
      <w:pPr>
        <w:pStyle w:val="MTDisplayEquation"/>
      </w:pPr>
      <w:r>
        <w:tab/>
      </w:r>
      <w:r w:rsidRPr="00E670A7">
        <w:rPr>
          <w:position w:val="-38"/>
        </w:rPr>
        <w:object w:dxaOrig="3220" w:dyaOrig="1080" w14:anchorId="374F67F9">
          <v:shape id="_x0000_i1821" type="#_x0000_t75" style="width:159pt;height:57pt" o:ole="">
            <v:imagedata r:id="rId1630" o:title=""/>
          </v:shape>
          <o:OLEObject Type="Embed" ProgID="Equation.DSMT4" ShapeID="_x0000_i1821" DrawAspect="Content" ObjectID="_1754919372" r:id="rId1631"/>
        </w:object>
      </w:r>
      <w:r>
        <w:t xml:space="preserve"> </w:t>
      </w:r>
    </w:p>
    <w:p w14:paraId="3EB6B65D" w14:textId="77777777" w:rsidR="006C3DEB" w:rsidRDefault="006C3DEB" w:rsidP="006C3DEB">
      <w:r>
        <w:t>subject to the budget constraint:</w:t>
      </w:r>
    </w:p>
    <w:p w14:paraId="027EE3CF" w14:textId="77777777" w:rsidR="006C3DEB" w:rsidRPr="00736177" w:rsidRDefault="006C3DEB" w:rsidP="006C3DEB">
      <w:pPr>
        <w:jc w:val="center"/>
      </w:pPr>
      <w:r w:rsidRPr="00E670A7">
        <w:rPr>
          <w:position w:val="-28"/>
        </w:rPr>
        <w:object w:dxaOrig="2100" w:dyaOrig="540" w14:anchorId="7C549E5C">
          <v:shape id="_x0000_i1822" type="#_x0000_t75" style="width:109.8pt;height:29.4pt" o:ole="">
            <v:imagedata r:id="rId1632" o:title=""/>
          </v:shape>
          <o:OLEObject Type="Embed" ProgID="Equation.DSMT4" ShapeID="_x0000_i1822" DrawAspect="Content" ObjectID="_1754919373" r:id="rId1633"/>
        </w:object>
      </w:r>
    </w:p>
    <w:p w14:paraId="58F61D64" w14:textId="77777777" w:rsidR="006C3DEB" w:rsidRDefault="006C3DEB" w:rsidP="006C3DEB">
      <w:pPr>
        <w:spacing w:before="0" w:after="200" w:line="276" w:lineRule="auto"/>
      </w:pPr>
      <w:r>
        <w:br w:type="page"/>
      </w:r>
    </w:p>
    <w:p w14:paraId="74D27113" w14:textId="77777777" w:rsidR="006C3DEB" w:rsidRPr="00736177" w:rsidRDefault="006C3DEB" w:rsidP="006C3DEB">
      <w:pPr>
        <w:tabs>
          <w:tab w:val="center" w:pos="4520"/>
          <w:tab w:val="right" w:pos="9020"/>
        </w:tabs>
        <w:jc w:val="both"/>
      </w:pPr>
      <w:r w:rsidRPr="00736177">
        <w:lastRenderedPageBreak/>
        <w:t>The optimal demand and implied price index functions are as follows:</w:t>
      </w:r>
    </w:p>
    <w:p w14:paraId="4848DE63" w14:textId="77777777" w:rsidR="006C3DEB" w:rsidRPr="00736177" w:rsidRDefault="006C3DEB" w:rsidP="006C3DEB">
      <w:pPr>
        <w:pStyle w:val="MTDisplayEquation"/>
      </w:pPr>
      <w:r w:rsidRPr="00736177">
        <w:tab/>
      </w:r>
      <w:r w:rsidRPr="00E670A7">
        <w:rPr>
          <w:position w:val="-36"/>
        </w:rPr>
        <w:object w:dxaOrig="2380" w:dyaOrig="920" w14:anchorId="554C26A2">
          <v:shape id="_x0000_i1823" type="#_x0000_t75" style="width:121.2pt;height:42.6pt" o:ole="">
            <v:imagedata r:id="rId1634" o:title=""/>
          </v:shape>
          <o:OLEObject Type="Embed" ProgID="Equation.DSMT4" ShapeID="_x0000_i1823" DrawAspect="Content" ObjectID="_1754919374" r:id="rId1635"/>
        </w:object>
      </w:r>
      <w:r w:rsidRPr="00736177">
        <w:t xml:space="preserve"> </w:t>
      </w:r>
      <w:r w:rsidRPr="00736177">
        <w:tab/>
      </w:r>
    </w:p>
    <w:p w14:paraId="2E8858CD" w14:textId="77777777" w:rsidR="006C3DEB" w:rsidRPr="00736177" w:rsidRDefault="006C3DEB" w:rsidP="006C3DEB">
      <w:pPr>
        <w:pStyle w:val="MTDisplayEquation"/>
      </w:pPr>
      <w:r w:rsidRPr="00736177">
        <w:tab/>
      </w:r>
      <w:r w:rsidRPr="00E670A7">
        <w:rPr>
          <w:position w:val="-30"/>
        </w:rPr>
        <w:object w:dxaOrig="2720" w:dyaOrig="859" w14:anchorId="6572EE64">
          <v:shape id="_x0000_i1824" type="#_x0000_t75" style="width:136.8pt;height:42.6pt" o:ole="">
            <v:imagedata r:id="rId1636" o:title=""/>
          </v:shape>
          <o:OLEObject Type="Embed" ProgID="Equation.DSMT4" ShapeID="_x0000_i1824" DrawAspect="Content" ObjectID="_1754919375" r:id="rId1637"/>
        </w:object>
      </w:r>
      <w:r w:rsidRPr="00736177">
        <w:t xml:space="preserve"> </w:t>
      </w:r>
      <w:r w:rsidRPr="00736177">
        <w:tab/>
      </w:r>
    </w:p>
    <w:p w14:paraId="3FC38C56" w14:textId="77777777" w:rsidR="006C3DEB" w:rsidRDefault="006C3DEB" w:rsidP="006C3DEB">
      <w:r w:rsidRPr="002638E5">
        <w:t xml:space="preserve">The distribution sector then </w:t>
      </w:r>
      <w:r>
        <w:t>chooses from a variety of domestic and imported</w:t>
      </w:r>
      <w:r w:rsidRPr="00A216D6">
        <w:t xml:space="preserve"> </w:t>
      </w:r>
      <w:r>
        <w:t>intermediate goods to maximise the value of the firm’s use of intermediate goods:</w:t>
      </w:r>
    </w:p>
    <w:p w14:paraId="4BEB8D3E" w14:textId="77777777" w:rsidR="006C3DEB" w:rsidRDefault="006C3DEB" w:rsidP="006C3DEB">
      <w:pPr>
        <w:pStyle w:val="MTDisplayEquation"/>
      </w:pPr>
      <w:r>
        <w:tab/>
      </w:r>
      <w:r w:rsidRPr="00E670A7">
        <w:rPr>
          <w:position w:val="-38"/>
        </w:rPr>
        <w:object w:dxaOrig="6200" w:dyaOrig="1080" w14:anchorId="05304E7E">
          <v:shape id="_x0000_i1825" type="#_x0000_t75" style="width:309.6pt;height:57pt" o:ole="">
            <v:imagedata r:id="rId1638" o:title=""/>
          </v:shape>
          <o:OLEObject Type="Embed" ProgID="Equation.DSMT4" ShapeID="_x0000_i1825" DrawAspect="Content" ObjectID="_1754919376" r:id="rId1639"/>
        </w:object>
      </w:r>
      <w:r>
        <w:t xml:space="preserve"> </w:t>
      </w:r>
    </w:p>
    <w:p w14:paraId="269660BC" w14:textId="77777777" w:rsidR="006C3DEB" w:rsidRDefault="006C3DEB" w:rsidP="006C3DEB">
      <w:r>
        <w:t>subject to the allocated budget:</w:t>
      </w:r>
    </w:p>
    <w:p w14:paraId="7209E4A2" w14:textId="77777777" w:rsidR="006C3DEB" w:rsidRDefault="006C3DEB" w:rsidP="006C3DEB">
      <w:pPr>
        <w:tabs>
          <w:tab w:val="center" w:pos="4520"/>
          <w:tab w:val="right" w:pos="9020"/>
        </w:tabs>
        <w:ind w:firstLine="1440"/>
        <w:jc w:val="both"/>
      </w:pPr>
      <w:r w:rsidRPr="00E670A7">
        <w:rPr>
          <w:position w:val="-14"/>
        </w:rPr>
        <w:object w:dxaOrig="7460" w:dyaOrig="400" w14:anchorId="293FFB49">
          <v:shape id="_x0000_i1826" type="#_x0000_t75" style="width:374.4pt;height:22.8pt" o:ole="">
            <v:imagedata r:id="rId1640" o:title=""/>
          </v:shape>
          <o:OLEObject Type="Embed" ProgID="Equation.DSMT4" ShapeID="_x0000_i1826" DrawAspect="Content" ObjectID="_1754919377" r:id="rId1641"/>
        </w:object>
      </w:r>
      <w:r>
        <w:t xml:space="preserve"> </w:t>
      </w:r>
    </w:p>
    <w:p w14:paraId="009520FA" w14:textId="77777777" w:rsidR="006C3DEB" w:rsidRPr="00A876ED" w:rsidRDefault="006C3DEB" w:rsidP="006C3DEB"/>
    <w:p w14:paraId="741ECFB0" w14:textId="77777777" w:rsidR="006C3DEB" w:rsidRPr="00736177" w:rsidRDefault="006C3DEB" w:rsidP="006C3DEB">
      <w:r>
        <w:t>The optimal demand and implied</w:t>
      </w:r>
      <w:r w:rsidRPr="00736177">
        <w:t xml:space="preserve"> price index functions </w:t>
      </w:r>
      <w:r>
        <w:t xml:space="preserve">are </w:t>
      </w:r>
      <w:r w:rsidRPr="00736177">
        <w:t>as follows:</w:t>
      </w:r>
    </w:p>
    <w:p w14:paraId="5D128DF8" w14:textId="77777777" w:rsidR="006C3DEB" w:rsidRPr="00736177" w:rsidRDefault="006C3DEB" w:rsidP="006C3DEB">
      <w:pPr>
        <w:pStyle w:val="MTDisplayEquation"/>
      </w:pPr>
      <w:r w:rsidRPr="00736177">
        <w:tab/>
      </w:r>
      <w:r w:rsidRPr="00E670A7">
        <w:rPr>
          <w:position w:val="-38"/>
        </w:rPr>
        <w:object w:dxaOrig="5319" w:dyaOrig="960" w14:anchorId="1697EC40">
          <v:shape id="_x0000_i1827" type="#_x0000_t75" style="width:266.4pt;height:50.4pt" o:ole="">
            <v:imagedata r:id="rId1642" o:title=""/>
          </v:shape>
          <o:OLEObject Type="Embed" ProgID="Equation.DSMT4" ShapeID="_x0000_i1827" DrawAspect="Content" ObjectID="_1754919378" r:id="rId1643"/>
        </w:object>
      </w:r>
      <w:r w:rsidRPr="00736177">
        <w:t xml:space="preserve"> </w:t>
      </w:r>
      <w:r w:rsidRPr="00736177">
        <w:tab/>
      </w:r>
    </w:p>
    <w:p w14:paraId="2BDD5237" w14:textId="77777777" w:rsidR="006C3DEB" w:rsidRPr="00736177" w:rsidRDefault="006C3DEB" w:rsidP="006C3DEB">
      <w:pPr>
        <w:pStyle w:val="MTDisplayEquation"/>
      </w:pPr>
      <w:r w:rsidRPr="00736177">
        <w:tab/>
      </w:r>
      <w:r w:rsidRPr="00E670A7">
        <w:rPr>
          <w:position w:val="-38"/>
        </w:rPr>
        <w:object w:dxaOrig="4840" w:dyaOrig="960" w14:anchorId="5D4F06B9">
          <v:shape id="_x0000_i1828" type="#_x0000_t75" style="width:245.4pt;height:50.4pt" o:ole="">
            <v:imagedata r:id="rId1644" o:title=""/>
          </v:shape>
          <o:OLEObject Type="Embed" ProgID="Equation.DSMT4" ShapeID="_x0000_i1828" DrawAspect="Content" ObjectID="_1754919379" r:id="rId1645"/>
        </w:object>
      </w:r>
      <w:r w:rsidRPr="00736177">
        <w:t xml:space="preserve"> </w:t>
      </w:r>
      <w:r w:rsidRPr="00736177">
        <w:tab/>
      </w:r>
    </w:p>
    <w:p w14:paraId="64A7C9C4" w14:textId="77777777" w:rsidR="006C3DEB" w:rsidRDefault="006C3DEB" w:rsidP="006C3DEB">
      <w:pPr>
        <w:pStyle w:val="MTDisplayEquation"/>
      </w:pPr>
      <w:r w:rsidRPr="00736177">
        <w:tab/>
      </w:r>
      <w:r w:rsidRPr="00E670A7">
        <w:rPr>
          <w:position w:val="-54"/>
        </w:rPr>
        <w:object w:dxaOrig="5420" w:dyaOrig="1320" w14:anchorId="3BC1DF3E">
          <v:shape id="_x0000_i1829" type="#_x0000_t75" style="width:273pt;height:65.4pt" o:ole="">
            <v:imagedata r:id="rId1646" o:title=""/>
          </v:shape>
          <o:OLEObject Type="Embed" ProgID="Equation.DSMT4" ShapeID="_x0000_i1829" DrawAspect="Content" ObjectID="_1754919380" r:id="rId1647"/>
        </w:object>
      </w:r>
      <w:r w:rsidRPr="00736177">
        <w:t xml:space="preserve"> </w:t>
      </w:r>
      <w:r w:rsidRPr="00736177">
        <w:tab/>
      </w:r>
      <w:r w:rsidRPr="00FD33BE">
        <w:tab/>
      </w:r>
    </w:p>
    <w:p w14:paraId="13F4507A" w14:textId="77777777" w:rsidR="006C3DEB" w:rsidRDefault="006C3DEB" w:rsidP="006C3DEB">
      <w:pPr>
        <w:spacing w:before="0" w:after="200" w:line="276" w:lineRule="auto"/>
        <w:rPr>
          <w:rFonts w:asciiTheme="minorHAnsi" w:hAnsiTheme="minorHAnsi" w:cs="Arial"/>
          <w:bCs/>
          <w:color w:val="2C384A" w:themeColor="accent1"/>
          <w:kern w:val="32"/>
          <w:sz w:val="36"/>
          <w:szCs w:val="36"/>
        </w:rPr>
      </w:pPr>
      <w:r>
        <w:br w:type="page"/>
      </w:r>
    </w:p>
    <w:p w14:paraId="1EC01DDB" w14:textId="77777777" w:rsidR="006C3DEB" w:rsidRDefault="006C3DEB" w:rsidP="006C3DEB">
      <w:pPr>
        <w:pStyle w:val="Heading2NotNumbered"/>
      </w:pPr>
      <w:r>
        <w:lastRenderedPageBreak/>
        <w:t>Government purchases of goods and services</w:t>
      </w:r>
    </w:p>
    <w:p w14:paraId="4B46239D" w14:textId="77777777" w:rsidR="006C3DEB" w:rsidRDefault="006C3DEB" w:rsidP="006C3DEB">
      <w:r>
        <w:t>As discussed in the paper, t</w:t>
      </w:r>
      <w:r w:rsidRPr="00A34220">
        <w:t xml:space="preserve">he government </w:t>
      </w:r>
      <w:r>
        <w:t>is assumed to consume a fixed bundle of goods and services</w:t>
      </w:r>
      <w:r w:rsidRPr="00E670A7">
        <w:rPr>
          <w:position w:val="-14"/>
        </w:rPr>
        <w:object w:dxaOrig="380" w:dyaOrig="380" w14:anchorId="179E26EA">
          <v:shape id="_x0000_i1830" type="#_x0000_t75" style="width:22.2pt;height:22.2pt" o:ole="">
            <v:imagedata r:id="rId1648" o:title=""/>
          </v:shape>
          <o:OLEObject Type="Embed" ProgID="Equation.DSMT4" ShapeID="_x0000_i1830" DrawAspect="Content" ObjectID="_1754919381" r:id="rId1649"/>
        </w:object>
      </w:r>
      <w:r>
        <w:t>supplied by the distribution sector. Given the market price</w:t>
      </w:r>
      <w:r w:rsidRPr="00514689">
        <w:t xml:space="preserve"> of </w:t>
      </w:r>
      <w:r>
        <w:t xml:space="preserve">each </w:t>
      </w:r>
      <w:r w:rsidRPr="00514689">
        <w:t>good</w:t>
      </w:r>
      <w:r w:rsidRPr="00E670A7">
        <w:rPr>
          <w:position w:val="-14"/>
        </w:rPr>
        <w:object w:dxaOrig="400" w:dyaOrig="400" w14:anchorId="2947AD3C">
          <v:shape id="_x0000_i1831" type="#_x0000_t75" style="width:20.4pt;height:20.4pt" o:ole="">
            <v:imagedata r:id="rId1650" o:title=""/>
          </v:shape>
          <o:OLEObject Type="Embed" ProgID="Equation.DSMT4" ShapeID="_x0000_i1831" DrawAspect="Content" ObjectID="_1754919382" r:id="rId1651"/>
        </w:object>
      </w:r>
      <w:r>
        <w:t>, total government spending is:</w:t>
      </w:r>
    </w:p>
    <w:p w14:paraId="5CD11BB2" w14:textId="77777777" w:rsidR="006C3DEB" w:rsidRDefault="006C3DEB" w:rsidP="006C3DEB">
      <w:pPr>
        <w:jc w:val="center"/>
      </w:pPr>
      <w:r w:rsidRPr="00E670A7">
        <w:rPr>
          <w:position w:val="-30"/>
        </w:rPr>
        <w:object w:dxaOrig="1719" w:dyaOrig="560" w14:anchorId="3DCDA28D">
          <v:shape id="_x0000_i1832" type="#_x0000_t75" style="width:87.6pt;height:31.8pt" o:ole="">
            <v:imagedata r:id="rId1652" o:title=""/>
          </v:shape>
          <o:OLEObject Type="Embed" ProgID="Equation.DSMT4" ShapeID="_x0000_i1832" DrawAspect="Content" ObjectID="_1754919383" r:id="rId1653"/>
        </w:object>
      </w:r>
    </w:p>
    <w:p w14:paraId="5D205773" w14:textId="77777777" w:rsidR="006C3DEB" w:rsidRDefault="006C3DEB" w:rsidP="006C3DEB">
      <w:r>
        <w:t xml:space="preserve">and aggregate real government expenditure is: </w:t>
      </w:r>
    </w:p>
    <w:p w14:paraId="3CC7C42C" w14:textId="77777777" w:rsidR="006C3DEB" w:rsidRPr="00736177" w:rsidRDefault="006C3DEB" w:rsidP="006C3DEB">
      <w:pPr>
        <w:jc w:val="center"/>
      </w:pPr>
      <w:r w:rsidRPr="00E670A7">
        <w:rPr>
          <w:position w:val="-34"/>
        </w:rPr>
        <w:object w:dxaOrig="2540" w:dyaOrig="980" w14:anchorId="14E1C734">
          <v:shape id="_x0000_i1833" type="#_x0000_t75" style="width:128.4pt;height:51.6pt" o:ole="">
            <v:imagedata r:id="rId1654" o:title=""/>
          </v:shape>
          <o:OLEObject Type="Embed" ProgID="Equation.DSMT4" ShapeID="_x0000_i1833" DrawAspect="Content" ObjectID="_1754919384" r:id="rId1655"/>
        </w:object>
      </w:r>
    </w:p>
    <w:p w14:paraId="56BDAD51" w14:textId="77777777" w:rsidR="006C3DEB" w:rsidRPr="00736177" w:rsidRDefault="006C3DEB" w:rsidP="006C3DEB">
      <w:r w:rsidRPr="00736177">
        <w:t>The distribution sector then chooses from a variety of domestic and imported goods to maximise the value of the government’s purchase of goods:</w:t>
      </w:r>
    </w:p>
    <w:p w14:paraId="45AED464" w14:textId="77777777" w:rsidR="006C3DEB" w:rsidRPr="00736177" w:rsidRDefault="006C3DEB" w:rsidP="006C3DEB">
      <w:pPr>
        <w:pStyle w:val="MTDisplayEquation"/>
      </w:pPr>
      <w:r w:rsidRPr="00736177">
        <w:tab/>
      </w:r>
      <w:r w:rsidRPr="00E670A7">
        <w:rPr>
          <w:position w:val="-38"/>
        </w:rPr>
        <w:object w:dxaOrig="5740" w:dyaOrig="1080" w14:anchorId="34A3D069">
          <v:shape id="_x0000_i1834" type="#_x0000_t75" style="width:4in;height:56.4pt" o:ole="">
            <v:imagedata r:id="rId1656" o:title=""/>
          </v:shape>
          <o:OLEObject Type="Embed" ProgID="Equation.DSMT4" ShapeID="_x0000_i1834" DrawAspect="Content" ObjectID="_1754919385" r:id="rId1657"/>
        </w:object>
      </w:r>
    </w:p>
    <w:p w14:paraId="5F16E39B" w14:textId="77777777" w:rsidR="006C3DEB" w:rsidRPr="00736177" w:rsidRDefault="006C3DEB" w:rsidP="006C3DEB">
      <w:r w:rsidRPr="00736177">
        <w:t>subject to the budget constraint:</w:t>
      </w:r>
    </w:p>
    <w:p w14:paraId="0C26A500" w14:textId="77777777" w:rsidR="006C3DEB" w:rsidRPr="00736177" w:rsidRDefault="006C3DEB" w:rsidP="006C3DEB">
      <w:pPr>
        <w:ind w:left="2160" w:firstLine="720"/>
      </w:pPr>
      <w:r w:rsidRPr="00E670A7">
        <w:rPr>
          <w:position w:val="-14"/>
        </w:rPr>
        <w:object w:dxaOrig="2780" w:dyaOrig="400" w14:anchorId="0B7F20AB">
          <v:shape id="_x0000_i1835" type="#_x0000_t75" style="width:138.6pt;height:20.4pt" o:ole="">
            <v:imagedata r:id="rId1658" o:title=""/>
          </v:shape>
          <o:OLEObject Type="Embed" ProgID="Equation.DSMT4" ShapeID="_x0000_i1835" DrawAspect="Content" ObjectID="_1754919386" r:id="rId1659"/>
        </w:object>
      </w:r>
      <w:r w:rsidRPr="00736177">
        <w:t xml:space="preserve"> </w:t>
      </w:r>
    </w:p>
    <w:p w14:paraId="4194B5DC" w14:textId="77777777" w:rsidR="006C3DEB" w:rsidRPr="00736177" w:rsidRDefault="006C3DEB" w:rsidP="006C3DEB">
      <w:pPr>
        <w:tabs>
          <w:tab w:val="center" w:pos="4520"/>
          <w:tab w:val="right" w:pos="9020"/>
        </w:tabs>
        <w:jc w:val="both"/>
      </w:pPr>
      <w:r w:rsidRPr="00736177">
        <w:t>The optimal demand and implied price index functions are as follows:</w:t>
      </w:r>
    </w:p>
    <w:p w14:paraId="01118FFE" w14:textId="77777777" w:rsidR="006C3DEB" w:rsidRPr="00736177" w:rsidRDefault="006C3DEB" w:rsidP="006C3DEB">
      <w:pPr>
        <w:pStyle w:val="MTDisplayEquation"/>
      </w:pPr>
      <w:r w:rsidRPr="00736177">
        <w:tab/>
      </w:r>
      <w:r w:rsidRPr="00E670A7">
        <w:rPr>
          <w:position w:val="-36"/>
        </w:rPr>
        <w:object w:dxaOrig="2880" w:dyaOrig="920" w14:anchorId="2714EF67">
          <v:shape id="_x0000_i1836" type="#_x0000_t75" style="width:2in;height:40.2pt" o:ole="">
            <v:imagedata r:id="rId1660" o:title=""/>
          </v:shape>
          <o:OLEObject Type="Embed" ProgID="Equation.DSMT4" ShapeID="_x0000_i1836" DrawAspect="Content" ObjectID="_1754919387" r:id="rId1661"/>
        </w:object>
      </w:r>
      <w:r w:rsidRPr="00736177">
        <w:t xml:space="preserve"> </w:t>
      </w:r>
      <w:r w:rsidRPr="00736177">
        <w:tab/>
      </w:r>
    </w:p>
    <w:p w14:paraId="19CDB94D" w14:textId="77777777" w:rsidR="006C3DEB" w:rsidRPr="00736177" w:rsidRDefault="006C3DEB" w:rsidP="006C3DEB">
      <w:pPr>
        <w:pStyle w:val="MTDisplayEquation"/>
      </w:pPr>
      <w:r w:rsidRPr="00736177">
        <w:tab/>
      </w:r>
      <w:r w:rsidRPr="00E670A7">
        <w:rPr>
          <w:position w:val="-36"/>
        </w:rPr>
        <w:object w:dxaOrig="2439" w:dyaOrig="920" w14:anchorId="69310D7E">
          <v:shape id="_x0000_i1837" type="#_x0000_t75" style="width:123.6pt;height:40.2pt" o:ole="">
            <v:imagedata r:id="rId1662" o:title=""/>
          </v:shape>
          <o:OLEObject Type="Embed" ProgID="Equation.DSMT4" ShapeID="_x0000_i1837" DrawAspect="Content" ObjectID="_1754919388" r:id="rId1663"/>
        </w:object>
      </w:r>
      <w:r w:rsidRPr="00736177">
        <w:t xml:space="preserve"> </w:t>
      </w:r>
      <w:r w:rsidRPr="00736177">
        <w:tab/>
      </w:r>
    </w:p>
    <w:p w14:paraId="044A7108" w14:textId="77777777" w:rsidR="006C3DEB" w:rsidRDefault="006C3DEB" w:rsidP="006C3DEB">
      <w:pPr>
        <w:pStyle w:val="MTDisplayEquation"/>
      </w:pPr>
      <w:r w:rsidRPr="00736177">
        <w:tab/>
      </w:r>
      <w:r w:rsidRPr="00E670A7">
        <w:rPr>
          <w:position w:val="-26"/>
        </w:rPr>
        <w:object w:dxaOrig="4580" w:dyaOrig="780" w14:anchorId="19DF9B21">
          <v:shape id="_x0000_i1838" type="#_x0000_t75" style="width:232.2pt;height:35.4pt" o:ole="">
            <v:imagedata r:id="rId1664" o:title=""/>
          </v:shape>
          <o:OLEObject Type="Embed" ProgID="Equation.DSMT4" ShapeID="_x0000_i1838" DrawAspect="Content" ObjectID="_1754919389" r:id="rId1665"/>
        </w:object>
      </w:r>
      <w:r w:rsidRPr="00736177">
        <w:t xml:space="preserve"> </w:t>
      </w:r>
      <w:r w:rsidRPr="00736177">
        <w:tab/>
      </w:r>
    </w:p>
    <w:p w14:paraId="36DEE569" w14:textId="77777777" w:rsidR="006C3DEB" w:rsidRDefault="006C3DEB" w:rsidP="006C3DEB">
      <w:pPr>
        <w:spacing w:before="0" w:after="200" w:line="276" w:lineRule="auto"/>
        <w:rPr>
          <w:rFonts w:asciiTheme="minorHAnsi" w:hAnsiTheme="minorHAnsi" w:cs="Arial"/>
          <w:bCs/>
          <w:color w:val="2C384A" w:themeColor="accent1"/>
          <w:kern w:val="32"/>
          <w:sz w:val="36"/>
          <w:szCs w:val="36"/>
        </w:rPr>
      </w:pPr>
      <w:r>
        <w:br w:type="page"/>
      </w:r>
    </w:p>
    <w:p w14:paraId="2013B065" w14:textId="77777777" w:rsidR="006C3DEB" w:rsidRDefault="006C3DEB" w:rsidP="006C3DEB">
      <w:pPr>
        <w:pStyle w:val="Heading2NotNumbered"/>
      </w:pPr>
      <w:r>
        <w:lastRenderedPageBreak/>
        <w:t>Calibration of CES weights</w:t>
      </w:r>
    </w:p>
    <w:p w14:paraId="2E62DA2D" w14:textId="77777777" w:rsidR="006C3DEB" w:rsidRPr="003D0A72" w:rsidRDefault="006C3DEB" w:rsidP="006C3DEB">
      <w:pPr>
        <w:pStyle w:val="MTDisplayEquation"/>
        <w:rPr>
          <w:rFonts w:eastAsia="Calibri"/>
        </w:rPr>
      </w:pPr>
      <w:r>
        <w:rPr>
          <w:rFonts w:eastAsia="Calibri"/>
        </w:rPr>
        <w:t xml:space="preserve">The optimal demand conditions we have derived above for the distribution sector </w:t>
      </w:r>
      <w:r w:rsidRPr="00CF2F3A">
        <w:rPr>
          <w:rFonts w:eastAsia="Calibri"/>
        </w:rPr>
        <w:t xml:space="preserve">suggest the following </w:t>
      </w:r>
      <w:r w:rsidRPr="00820A82">
        <w:rPr>
          <w:rFonts w:eastAsia="Calibri"/>
        </w:rPr>
        <w:t>relationship between the CES weights and other variables:</w:t>
      </w:r>
    </w:p>
    <w:p w14:paraId="2158AEC4" w14:textId="1D7A8199" w:rsidR="006C3DEB" w:rsidRPr="00820A82" w:rsidRDefault="006C3DEB" w:rsidP="006C3DEB">
      <w:pPr>
        <w:pStyle w:val="MTDisplayEquation"/>
      </w:pPr>
      <w:r>
        <w:tab/>
      </w:r>
      <w:r w:rsidRPr="00E670A7">
        <w:rPr>
          <w:position w:val="-34"/>
        </w:rPr>
        <w:object w:dxaOrig="2180" w:dyaOrig="880" w14:anchorId="324EFA3C">
          <v:shape id="_x0000_i1839" type="#_x0000_t75" style="width:108.6pt;height:40.2pt" o:ole="">
            <v:imagedata r:id="rId1666" o:title=""/>
          </v:shape>
          <o:OLEObject Type="Embed" ProgID="Equation.DSMT4" ShapeID="_x0000_i1839" DrawAspect="Content" ObjectID="_1754919390" r:id="rId166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8" w:name="ZEqnNum564237"/>
      <w:r>
        <w:instrText>(</w:instrText>
      </w:r>
      <w:r>
        <w:rPr>
          <w:noProof/>
        </w:rPr>
        <w:fldChar w:fldCharType="begin"/>
      </w:r>
      <w:r>
        <w:rPr>
          <w:noProof/>
        </w:rPr>
        <w:instrText xml:space="preserve"> SEQ MTEqn \c \* Arabic \* MERGEFORMAT </w:instrText>
      </w:r>
      <w:r>
        <w:rPr>
          <w:noProof/>
        </w:rPr>
        <w:fldChar w:fldCharType="separate"/>
      </w:r>
      <w:r w:rsidR="00E00A52">
        <w:rPr>
          <w:noProof/>
        </w:rPr>
        <w:instrText>96</w:instrText>
      </w:r>
      <w:r>
        <w:rPr>
          <w:noProof/>
        </w:rPr>
        <w:fldChar w:fldCharType="end"/>
      </w:r>
      <w:r>
        <w:instrText>)</w:instrText>
      </w:r>
      <w:bookmarkEnd w:id="68"/>
      <w:r>
        <w:fldChar w:fldCharType="end"/>
      </w:r>
    </w:p>
    <w:p w14:paraId="62355471" w14:textId="1C993D66" w:rsidR="006C3DEB" w:rsidRPr="00820A82" w:rsidRDefault="006C3DEB" w:rsidP="006C3DEB">
      <w:pPr>
        <w:pStyle w:val="MTDisplayEquation"/>
      </w:pPr>
      <w:r>
        <w:tab/>
      </w:r>
      <w:r w:rsidRPr="00E670A7">
        <w:rPr>
          <w:position w:val="-36"/>
        </w:rPr>
        <w:object w:dxaOrig="2580" w:dyaOrig="920" w14:anchorId="1AE2A0F2">
          <v:shape id="_x0000_i1840" type="#_x0000_t75" style="width:127.2pt;height:40.2pt" o:ole="">
            <v:imagedata r:id="rId1668" o:title=""/>
          </v:shape>
          <o:OLEObject Type="Embed" ProgID="Equation.DSMT4" ShapeID="_x0000_i1840" DrawAspect="Content" ObjectID="_1754919391" r:id="rId166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97</w:instrText>
      </w:r>
      <w:r>
        <w:rPr>
          <w:noProof/>
        </w:rPr>
        <w:fldChar w:fldCharType="end"/>
      </w:r>
      <w:r>
        <w:instrText>)</w:instrText>
      </w:r>
      <w:r>
        <w:fldChar w:fldCharType="end"/>
      </w:r>
    </w:p>
    <w:p w14:paraId="32F55894" w14:textId="5580701A" w:rsidR="006C3DEB" w:rsidRDefault="006C3DEB" w:rsidP="006C3DEB">
      <w:pPr>
        <w:pStyle w:val="MTDisplayEquation"/>
      </w:pPr>
      <w:r>
        <w:tab/>
      </w:r>
      <w:r w:rsidRPr="00E670A7">
        <w:rPr>
          <w:position w:val="-36"/>
        </w:rPr>
        <w:object w:dxaOrig="2640" w:dyaOrig="920" w14:anchorId="034532E4">
          <v:shape id="_x0000_i1841" type="#_x0000_t75" style="width:128.4pt;height:40.2pt" o:ole="">
            <v:imagedata r:id="rId1670" o:title=""/>
          </v:shape>
          <o:OLEObject Type="Embed" ProgID="Equation.DSMT4" ShapeID="_x0000_i1841" DrawAspect="Content" ObjectID="_1754919392" r:id="rId167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98</w:instrText>
      </w:r>
      <w:r>
        <w:rPr>
          <w:noProof/>
        </w:rPr>
        <w:fldChar w:fldCharType="end"/>
      </w:r>
      <w:r>
        <w:instrText>)</w:instrText>
      </w:r>
      <w:r>
        <w:fldChar w:fldCharType="end"/>
      </w:r>
    </w:p>
    <w:p w14:paraId="09540454" w14:textId="7BD541C4" w:rsidR="006C3DEB" w:rsidRPr="00820A82" w:rsidRDefault="006C3DEB" w:rsidP="006C3DEB">
      <w:pPr>
        <w:pStyle w:val="MTDisplayEquation"/>
      </w:pPr>
      <w:r>
        <w:tab/>
      </w:r>
      <w:r w:rsidRPr="00E670A7">
        <w:rPr>
          <w:position w:val="-34"/>
        </w:rPr>
        <w:object w:dxaOrig="2220" w:dyaOrig="880" w14:anchorId="10BE198A">
          <v:shape id="_x0000_i1842" type="#_x0000_t75" style="width:108.6pt;height:40.2pt" o:ole="">
            <v:imagedata r:id="rId1672" o:title=""/>
          </v:shape>
          <o:OLEObject Type="Embed" ProgID="Equation.DSMT4" ShapeID="_x0000_i1842" DrawAspect="Content" ObjectID="_1754919393" r:id="rId16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99</w:instrText>
      </w:r>
      <w:r>
        <w:rPr>
          <w:noProof/>
        </w:rPr>
        <w:fldChar w:fldCharType="end"/>
      </w:r>
      <w:r>
        <w:instrText>)</w:instrText>
      </w:r>
      <w:r>
        <w:fldChar w:fldCharType="end"/>
      </w:r>
    </w:p>
    <w:p w14:paraId="7736C6D4" w14:textId="48EF9F38" w:rsidR="006C3DEB" w:rsidRDefault="006C3DEB" w:rsidP="006C3DEB">
      <w:r w:rsidRPr="00820A82">
        <w:t xml:space="preserve">Here </w:t>
      </w:r>
      <w:r w:rsidRPr="00E670A7">
        <w:rPr>
          <w:position w:val="-30"/>
        </w:rPr>
        <w:object w:dxaOrig="760" w:dyaOrig="740" w14:anchorId="67E68C43">
          <v:shape id="_x0000_i1843" type="#_x0000_t75" style="width:35.4pt;height:36.6pt" o:ole="">
            <v:imagedata r:id="rId1674" o:title=""/>
          </v:shape>
          <o:OLEObject Type="Embed" ProgID="Equation.DSMT4" ShapeID="_x0000_i1843" DrawAspect="Content" ObjectID="_1754919394" r:id="rId1675"/>
        </w:object>
      </w:r>
      <w:r w:rsidRPr="00820A82">
        <w:t xml:space="preserve">,  </w:t>
      </w:r>
      <w:r w:rsidRPr="00E670A7">
        <w:rPr>
          <w:position w:val="-34"/>
        </w:rPr>
        <w:object w:dxaOrig="940" w:dyaOrig="780" w14:anchorId="129FE1FA">
          <v:shape id="_x0000_i1844" type="#_x0000_t75" style="width:51.6pt;height:35.4pt" o:ole="">
            <v:imagedata r:id="rId1676" o:title=""/>
          </v:shape>
          <o:OLEObject Type="Embed" ProgID="Equation.DSMT4" ShapeID="_x0000_i1844" DrawAspect="Content" ObjectID="_1754919395" r:id="rId1677"/>
        </w:object>
      </w:r>
      <w:r>
        <w:t>,</w:t>
      </w:r>
      <w:r w:rsidRPr="00820A82">
        <w:t xml:space="preserve"> </w:t>
      </w:r>
      <w:r w:rsidRPr="00E670A7">
        <w:rPr>
          <w:position w:val="-34"/>
        </w:rPr>
        <w:object w:dxaOrig="980" w:dyaOrig="780" w14:anchorId="1AACDC0F">
          <v:shape id="_x0000_i1845" type="#_x0000_t75" style="width:51.6pt;height:35.4pt" o:ole="">
            <v:imagedata r:id="rId1678" o:title=""/>
          </v:shape>
          <o:OLEObject Type="Embed" ProgID="Equation.DSMT4" ShapeID="_x0000_i1845" DrawAspect="Content" ObjectID="_1754919396" r:id="rId1679"/>
        </w:object>
      </w:r>
      <w:r>
        <w:t xml:space="preserve"> and</w:t>
      </w:r>
      <w:r w:rsidRPr="00820A82">
        <w:t xml:space="preserve"> </w:t>
      </w:r>
      <w:r w:rsidRPr="00E670A7">
        <w:rPr>
          <w:position w:val="-30"/>
        </w:rPr>
        <w:object w:dxaOrig="760" w:dyaOrig="740" w14:anchorId="7482F3AD">
          <v:shape id="_x0000_i1846" type="#_x0000_t75" style="width:35.4pt;height:36.6pt" o:ole="">
            <v:imagedata r:id="rId1680" o:title=""/>
          </v:shape>
          <o:OLEObject Type="Embed" ProgID="Equation.DSMT4" ShapeID="_x0000_i1846" DrawAspect="Content" ObjectID="_1754919397" r:id="rId1681"/>
        </w:object>
      </w:r>
      <w:r>
        <w:t xml:space="preserve"> </w:t>
      </w:r>
      <w:r w:rsidRPr="00820A82">
        <w:t>are the cost share of each good in consumption, government spending, i</w:t>
      </w:r>
      <w:r>
        <w:t>nvestment, and intermediate use</w:t>
      </w:r>
      <w:r w:rsidRPr="00820A82">
        <w:t xml:space="preserve"> </w:t>
      </w:r>
      <w:r>
        <w:t>implied by</w:t>
      </w:r>
      <w:r w:rsidRPr="00820A82">
        <w:t xml:space="preserve"> </w:t>
      </w:r>
      <w:r w:rsidR="00E00A52" w:rsidRPr="0088277E">
        <w:t xml:space="preserve">Table </w:t>
      </w:r>
      <w:r w:rsidR="00E00A52">
        <w:rPr>
          <w:noProof/>
        </w:rPr>
        <w:t>3</w:t>
      </w:r>
      <w:r>
        <w:t xml:space="preserve"> of the paper</w:t>
      </w:r>
      <w:r w:rsidRPr="00820A82">
        <w:t>.</w:t>
      </w:r>
      <w:r>
        <w:t xml:space="preserve"> We also have:</w:t>
      </w:r>
    </w:p>
    <w:p w14:paraId="0B76BBB0" w14:textId="218FFA63" w:rsidR="006C3DEB" w:rsidRDefault="006C3DEB" w:rsidP="006C3DEB">
      <w:pPr>
        <w:pStyle w:val="MTDisplayEquation"/>
      </w:pPr>
      <w:r>
        <w:tab/>
      </w:r>
      <w:r w:rsidRPr="00E670A7">
        <w:rPr>
          <w:position w:val="-38"/>
        </w:rPr>
        <w:object w:dxaOrig="6720" w:dyaOrig="960" w14:anchorId="5ECB37F2">
          <v:shape id="_x0000_i1847" type="#_x0000_t75" style="width:339.6pt;height:51.6pt" o:ole="">
            <v:imagedata r:id="rId1682" o:title=""/>
          </v:shape>
          <o:OLEObject Type="Embed" ProgID="Equation.DSMT4" ShapeID="_x0000_i1847" DrawAspect="Content" ObjectID="_1754919398" r:id="rId168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100</w:instrText>
      </w:r>
      <w:r>
        <w:rPr>
          <w:noProof/>
        </w:rPr>
        <w:fldChar w:fldCharType="end"/>
      </w:r>
      <w:r>
        <w:instrText>)</w:instrText>
      </w:r>
      <w:r>
        <w:fldChar w:fldCharType="end"/>
      </w:r>
    </w:p>
    <w:p w14:paraId="650B0E66" w14:textId="2D8066CD" w:rsidR="006C3DEB" w:rsidRDefault="006C3DEB" w:rsidP="006C3DEB">
      <w:pPr>
        <w:pStyle w:val="MTDisplayEquation"/>
      </w:pPr>
      <w:r>
        <w:tab/>
      </w:r>
      <w:r w:rsidRPr="00E670A7">
        <w:rPr>
          <w:position w:val="-38"/>
        </w:rPr>
        <w:object w:dxaOrig="7060" w:dyaOrig="960" w14:anchorId="352E21BF">
          <v:shape id="_x0000_i1848" type="#_x0000_t75" style="width:352.8pt;height:50.4pt" o:ole="">
            <v:imagedata r:id="rId1684" o:title=""/>
          </v:shape>
          <o:OLEObject Type="Embed" ProgID="Equation.DSMT4" ShapeID="_x0000_i1848" DrawAspect="Content" ObjectID="_1754919399" r:id="rId168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101</w:instrText>
      </w:r>
      <w:r>
        <w:rPr>
          <w:noProof/>
        </w:rPr>
        <w:fldChar w:fldCharType="end"/>
      </w:r>
      <w:r>
        <w:instrText>)</w:instrText>
      </w:r>
      <w:r>
        <w:fldChar w:fldCharType="end"/>
      </w:r>
    </w:p>
    <w:p w14:paraId="7434597C" w14:textId="26F8224D" w:rsidR="006C3DEB" w:rsidRDefault="006C3DEB" w:rsidP="006C3DEB">
      <w:pPr>
        <w:pStyle w:val="MTDisplayEquation"/>
      </w:pPr>
      <w:r>
        <w:tab/>
      </w:r>
      <w:r w:rsidRPr="00E670A7">
        <w:rPr>
          <w:position w:val="-38"/>
        </w:rPr>
        <w:object w:dxaOrig="7119" w:dyaOrig="960" w14:anchorId="45D16644">
          <v:shape id="_x0000_i1849" type="#_x0000_t75" style="width:5in;height:50.4pt" o:ole="">
            <v:imagedata r:id="rId1686" o:title=""/>
          </v:shape>
          <o:OLEObject Type="Embed" ProgID="Equation.DSMT4" ShapeID="_x0000_i1849" DrawAspect="Content" ObjectID="_1754919400" r:id="rId168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E00A52">
        <w:rPr>
          <w:noProof/>
        </w:rPr>
        <w:instrText>102</w:instrText>
      </w:r>
      <w:r>
        <w:rPr>
          <w:noProof/>
        </w:rPr>
        <w:fldChar w:fldCharType="end"/>
      </w:r>
      <w:r>
        <w:instrText>)</w:instrText>
      </w:r>
      <w:r>
        <w:fldChar w:fldCharType="end"/>
      </w:r>
    </w:p>
    <w:p w14:paraId="1759E29C" w14:textId="4F3EA09A" w:rsidR="006C3DEB" w:rsidRDefault="006C3DEB" w:rsidP="006C3DEB">
      <w:pPr>
        <w:pStyle w:val="MTDisplayEquation"/>
      </w:pPr>
      <w:r w:rsidRPr="00CF2F3A">
        <w:tab/>
      </w:r>
      <w:r w:rsidRPr="00E670A7">
        <w:rPr>
          <w:position w:val="-36"/>
        </w:rPr>
        <w:object w:dxaOrig="2540" w:dyaOrig="920" w14:anchorId="0D4D1C4B">
          <v:shape id="_x0000_i1850" type="#_x0000_t75" style="width:129.6pt;height:43.2pt" o:ole="">
            <v:imagedata r:id="rId1688" o:title=""/>
          </v:shape>
          <o:OLEObject Type="Embed" ProgID="Equation.DSMT4" ShapeID="_x0000_i1850" DrawAspect="Content" ObjectID="_1754919401" r:id="rId168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B2CE5">
        <w:fldChar w:fldCharType="begin"/>
      </w:r>
      <w:r w:rsidR="009B2CE5">
        <w:instrText>SEQ MTEqn \c \* Arabic \* MERGEFORMAT</w:instrText>
      </w:r>
      <w:r w:rsidR="009B2CE5">
        <w:fldChar w:fldCharType="separate"/>
      </w:r>
      <w:r w:rsidR="00E00A52">
        <w:rPr>
          <w:noProof/>
        </w:rPr>
        <w:instrText>103</w:instrText>
      </w:r>
      <w:r w:rsidR="009B2CE5">
        <w:rPr>
          <w:noProof/>
        </w:rPr>
        <w:fldChar w:fldCharType="end"/>
      </w:r>
      <w:r>
        <w:instrText>)</w:instrText>
      </w:r>
      <w:r>
        <w:fldChar w:fldCharType="end"/>
      </w:r>
    </w:p>
    <w:p w14:paraId="6E57382F" w14:textId="77777777" w:rsidR="006C3DEB" w:rsidRPr="002A6A75" w:rsidRDefault="006C3DEB" w:rsidP="006C3DEB">
      <w:pPr>
        <w:pStyle w:val="MTDisplayEquation"/>
      </w:pPr>
      <w:r>
        <w:tab/>
      </w:r>
    </w:p>
    <w:p w14:paraId="23136826" w14:textId="77777777" w:rsidR="006C3DEB" w:rsidRDefault="006C3DEB" w:rsidP="006C3DEB">
      <w:pPr>
        <w:spacing w:before="0" w:after="200" w:line="276" w:lineRule="auto"/>
      </w:pPr>
      <w:r>
        <w:br w:type="page"/>
      </w:r>
    </w:p>
    <w:p w14:paraId="3A8F440F" w14:textId="77777777" w:rsidR="006C3DEB" w:rsidRDefault="006C3DEB" w:rsidP="006C3DEB">
      <w:pPr>
        <w:spacing w:after="200" w:line="276" w:lineRule="auto"/>
      </w:pPr>
      <w:r w:rsidRPr="00820A82">
        <w:lastRenderedPageBreak/>
        <w:t xml:space="preserve">Here </w:t>
      </w:r>
    </w:p>
    <w:p w14:paraId="2532CD84" w14:textId="77777777" w:rsidR="006C3DEB" w:rsidRDefault="006C3DEB" w:rsidP="006C3DEB">
      <w:pPr>
        <w:spacing w:after="200" w:line="276" w:lineRule="auto"/>
        <w:jc w:val="center"/>
      </w:pPr>
      <w:r w:rsidRPr="00E670A7">
        <w:rPr>
          <w:position w:val="-34"/>
        </w:rPr>
        <w:object w:dxaOrig="3060" w:dyaOrig="820" w14:anchorId="624317B3">
          <v:shape id="_x0000_i1851" type="#_x0000_t75" style="width:151.2pt;height:43.2pt" o:ole="">
            <v:imagedata r:id="rId1690" o:title=""/>
          </v:shape>
          <o:OLEObject Type="Embed" ProgID="Equation.DSMT4" ShapeID="_x0000_i1851" DrawAspect="Content" ObjectID="_1754919402" r:id="rId1691"/>
        </w:object>
      </w:r>
      <w:r w:rsidRPr="00820A82">
        <w:t>,</w:t>
      </w:r>
    </w:p>
    <w:p w14:paraId="2903012B" w14:textId="77777777" w:rsidR="006C3DEB" w:rsidRDefault="006C3DEB" w:rsidP="006C3DEB">
      <w:pPr>
        <w:spacing w:after="200" w:line="276" w:lineRule="auto"/>
        <w:jc w:val="center"/>
      </w:pPr>
      <w:r w:rsidRPr="00E670A7">
        <w:rPr>
          <w:position w:val="-34"/>
        </w:rPr>
        <w:object w:dxaOrig="3240" w:dyaOrig="820" w14:anchorId="42F11F8B">
          <v:shape id="_x0000_i1852" type="#_x0000_t75" style="width:165.6pt;height:43.2pt" o:ole="">
            <v:imagedata r:id="rId1692" o:title=""/>
          </v:shape>
          <o:OLEObject Type="Embed" ProgID="Equation.DSMT4" ShapeID="_x0000_i1852" DrawAspect="Content" ObjectID="_1754919403" r:id="rId1693"/>
        </w:object>
      </w:r>
      <w:r w:rsidRPr="00820A82">
        <w:t>,</w:t>
      </w:r>
    </w:p>
    <w:p w14:paraId="73509BA5" w14:textId="77777777" w:rsidR="006C3DEB" w:rsidRDefault="006C3DEB" w:rsidP="006C3DEB">
      <w:pPr>
        <w:spacing w:after="200" w:line="276" w:lineRule="auto"/>
        <w:jc w:val="center"/>
      </w:pPr>
      <w:r w:rsidRPr="00E670A7">
        <w:rPr>
          <w:position w:val="-34"/>
        </w:rPr>
        <w:object w:dxaOrig="3280" w:dyaOrig="820" w14:anchorId="3753F874">
          <v:shape id="_x0000_i1853" type="#_x0000_t75" style="width:165.6pt;height:43.2pt" o:ole="">
            <v:imagedata r:id="rId1694" o:title=""/>
          </v:shape>
          <o:OLEObject Type="Embed" ProgID="Equation.DSMT4" ShapeID="_x0000_i1853" DrawAspect="Content" ObjectID="_1754919404" r:id="rId1695"/>
        </w:object>
      </w:r>
      <w:r w:rsidRPr="00820A82">
        <w:t xml:space="preserve"> and</w:t>
      </w:r>
    </w:p>
    <w:p w14:paraId="766FFEA7" w14:textId="77777777" w:rsidR="006C3DEB" w:rsidRDefault="006C3DEB" w:rsidP="006C3DEB">
      <w:pPr>
        <w:spacing w:after="200" w:line="276" w:lineRule="auto"/>
        <w:jc w:val="center"/>
      </w:pPr>
      <w:r w:rsidRPr="00E670A7">
        <w:rPr>
          <w:position w:val="-34"/>
        </w:rPr>
        <w:object w:dxaOrig="920" w:dyaOrig="780" w14:anchorId="2B6F55A1">
          <v:shape id="_x0000_i1854" type="#_x0000_t75" style="width:43.2pt;height:36pt" o:ole="">
            <v:imagedata r:id="rId1696" o:title=""/>
          </v:shape>
          <o:OLEObject Type="Embed" ProgID="Equation.DSMT4" ShapeID="_x0000_i1854" DrawAspect="Content" ObjectID="_1754919405" r:id="rId1697"/>
        </w:object>
      </w:r>
    </w:p>
    <w:p w14:paraId="79142AA1" w14:textId="584F8882" w:rsidR="00E00A52" w:rsidRDefault="006C3DEB" w:rsidP="006C3DEB">
      <w:r w:rsidRPr="00820A82">
        <w:t>are the cost share</w:t>
      </w:r>
      <w:r>
        <w:t>s</w:t>
      </w:r>
      <w:r w:rsidRPr="00820A82">
        <w:t xml:space="preserve"> of </w:t>
      </w:r>
      <w:r>
        <w:t>imports</w:t>
      </w:r>
      <w:r w:rsidRPr="00820A82">
        <w:t xml:space="preserve"> in consumption, government spending, i</w:t>
      </w:r>
      <w:r>
        <w:t>nvestment, and intermediate use</w:t>
      </w:r>
      <w:r w:rsidRPr="00820A82">
        <w:t xml:space="preserve"> </w:t>
      </w:r>
      <w:r>
        <w:t xml:space="preserve">as implied by </w:t>
      </w:r>
      <w:r w:rsidR="00E00A52" w:rsidRPr="0088277E">
        <w:t xml:space="preserve">Table </w:t>
      </w:r>
      <w:r w:rsidR="00E00A52">
        <w:rPr>
          <w:noProof/>
        </w:rPr>
        <w:t>3</w:t>
      </w:r>
      <w:r>
        <w:t xml:space="preserve"> and </w:t>
      </w:r>
    </w:p>
    <w:p w14:paraId="47A8032D" w14:textId="6002F038" w:rsidR="006C3DEB" w:rsidRDefault="00E00A52" w:rsidP="006C3DEB">
      <w:pPr>
        <w:spacing w:after="200" w:line="276" w:lineRule="auto"/>
      </w:pPr>
      <w:r>
        <w:t xml:space="preserve">Table </w:t>
      </w:r>
      <w:r>
        <w:rPr>
          <w:noProof/>
        </w:rPr>
        <w:t>8</w:t>
      </w:r>
      <w:r w:rsidR="006C3DEB">
        <w:t xml:space="preserve"> of the paper</w:t>
      </w:r>
      <w:r w:rsidR="006C3DEB" w:rsidRPr="00820A82">
        <w:t>.</w:t>
      </w:r>
    </w:p>
    <w:p w14:paraId="1A204E3C" w14:textId="1B492451" w:rsidR="00E00A52" w:rsidRDefault="006C3DEB" w:rsidP="006C3DEB">
      <w:r>
        <w:rPr>
          <w:rFonts w:eastAsia="Calibri"/>
        </w:rPr>
        <w:t xml:space="preserve">As these relations hold for all periods including the base year of the model, we can then use equations (86) to (93) and the cost share information from </w:t>
      </w:r>
      <w:r w:rsidR="00E00A52" w:rsidRPr="0088277E">
        <w:t xml:space="preserve">Table </w:t>
      </w:r>
      <w:r w:rsidR="00E00A52">
        <w:rPr>
          <w:noProof/>
        </w:rPr>
        <w:t>3</w:t>
      </w:r>
      <w:r>
        <w:t xml:space="preserve"> and </w:t>
      </w:r>
    </w:p>
    <w:p w14:paraId="66369B56" w14:textId="1BA5F6CC" w:rsidR="006C3DEB" w:rsidRDefault="00E00A52" w:rsidP="006C3DEB">
      <w:pPr>
        <w:rPr>
          <w:rFonts w:eastAsia="Calibri"/>
        </w:rPr>
      </w:pPr>
      <w:r>
        <w:t xml:space="preserve">Table </w:t>
      </w:r>
      <w:r>
        <w:rPr>
          <w:noProof/>
        </w:rPr>
        <w:t>8</w:t>
      </w:r>
      <w:r w:rsidR="006C3DEB">
        <w:rPr>
          <w:rFonts w:eastAsia="Calibri"/>
        </w:rPr>
        <w:t xml:space="preserve"> to estimate the CES weight</w:t>
      </w:r>
      <w:r w:rsidR="006C3DEB" w:rsidRPr="00CF2F3A">
        <w:rPr>
          <w:rFonts w:eastAsia="Calibri"/>
        </w:rPr>
        <w:t>s</w:t>
      </w:r>
      <w:r w:rsidR="006C3DEB">
        <w:rPr>
          <w:rFonts w:eastAsia="Calibri"/>
        </w:rPr>
        <w:t xml:space="preserve"> </w:t>
      </w:r>
      <w:r w:rsidR="006C3DEB" w:rsidRPr="00E670A7">
        <w:rPr>
          <w:position w:val="-14"/>
        </w:rPr>
        <w:object w:dxaOrig="3100" w:dyaOrig="400" w14:anchorId="6934D302">
          <v:shape id="_x0000_i1855" type="#_x0000_t75" style="width:158.4pt;height:21.6pt" o:ole="">
            <v:imagedata r:id="rId1698" o:title=""/>
          </v:shape>
          <o:OLEObject Type="Embed" ProgID="Equation.DSMT4" ShapeID="_x0000_i1855" DrawAspect="Content" ObjectID="_1754919406" r:id="rId1699"/>
        </w:object>
      </w:r>
      <w:r w:rsidR="006C3DEB">
        <w:t>.</w:t>
      </w:r>
    </w:p>
    <w:p w14:paraId="57F228ED" w14:textId="77777777" w:rsidR="006C3DEB" w:rsidRDefault="006C3DEB" w:rsidP="006C3DEB"/>
    <w:p w14:paraId="00190184" w14:textId="77777777" w:rsidR="006C3DEB" w:rsidRDefault="006C3DEB" w:rsidP="006C3DEB">
      <w:pPr>
        <w:sectPr w:rsidR="006C3DEB" w:rsidSect="00B7535E">
          <w:pgSz w:w="11906" w:h="16838" w:code="9"/>
          <w:pgMar w:top="1843" w:right="1418" w:bottom="1418" w:left="1418" w:header="709" w:footer="709" w:gutter="0"/>
          <w:cols w:space="708"/>
          <w:titlePg/>
          <w:docGrid w:linePitch="360"/>
        </w:sectPr>
      </w:pPr>
    </w:p>
    <w:p w14:paraId="5A5BCA44" w14:textId="77777777" w:rsidR="006C3DEB" w:rsidRDefault="006C3DEB" w:rsidP="006C3DEB">
      <w:pPr>
        <w:pStyle w:val="Heading1"/>
      </w:pPr>
      <w:r>
        <w:lastRenderedPageBreak/>
        <w:t xml:space="preserve">Appendix F: </w:t>
      </w:r>
      <w:r w:rsidRPr="00AF3674">
        <w:t>Gauss-Seidel algorithm for solving OLGA</w:t>
      </w:r>
    </w:p>
    <w:p w14:paraId="0E6B7E15" w14:textId="77777777" w:rsidR="006C3DEB" w:rsidRPr="00DD598D" w:rsidRDefault="006C3DEB" w:rsidP="006C3DEB">
      <w:r>
        <w:t xml:space="preserve">Following </w:t>
      </w:r>
      <w:r w:rsidRPr="00E87C9A">
        <w:t>Auerbach and Kotlikoff (1987)</w:t>
      </w:r>
      <w:r>
        <w:t xml:space="preserve">, we solve the </w:t>
      </w:r>
      <w:r w:rsidRPr="00477683">
        <w:t>Gauss-Se</w:t>
      </w:r>
      <w:r>
        <w:t>i</w:t>
      </w:r>
      <w:r w:rsidRPr="00477683">
        <w:t>del algorithm</w:t>
      </w:r>
      <w:r>
        <w:t xml:space="preserve"> to solve the model. Specifically, t</w:t>
      </w:r>
      <w:r w:rsidRPr="00DD598D">
        <w:t>he computation of OLGA’s equilibrium responses to a policy scenario has three s</w:t>
      </w:r>
      <w:r>
        <w:t>tage</w:t>
      </w:r>
      <w:r w:rsidRPr="00DD598D">
        <w:t xml:space="preserve">s: </w:t>
      </w:r>
    </w:p>
    <w:p w14:paraId="4CD0918B" w14:textId="77777777" w:rsidR="006C3DEB" w:rsidRPr="00DD598D" w:rsidRDefault="006C3DEB" w:rsidP="006C3DEB">
      <w:pPr>
        <w:pStyle w:val="Alphanumbered"/>
        <w:numPr>
          <w:ilvl w:val="0"/>
          <w:numId w:val="40"/>
        </w:numPr>
        <w:tabs>
          <w:tab w:val="clear" w:pos="357"/>
        </w:tabs>
        <w:ind w:left="360" w:hanging="360"/>
      </w:pPr>
      <w:r w:rsidRPr="00DD598D">
        <w:t>Solving for the long-run steady state of the economy before the assumed change in policy occurs;</w:t>
      </w:r>
    </w:p>
    <w:p w14:paraId="786C57E3" w14:textId="77777777" w:rsidR="006C3DEB" w:rsidRPr="00DD598D" w:rsidRDefault="006C3DEB" w:rsidP="006C3DEB">
      <w:pPr>
        <w:pStyle w:val="Alphanumbered"/>
        <w:numPr>
          <w:ilvl w:val="0"/>
          <w:numId w:val="40"/>
        </w:numPr>
        <w:tabs>
          <w:tab w:val="clear" w:pos="357"/>
        </w:tabs>
        <w:ind w:left="360" w:hanging="360"/>
      </w:pPr>
      <w:r w:rsidRPr="00DD598D">
        <w:t xml:space="preserve">Solving for the long-run steady state which the economy eventually converges to after the policy takes effect; and </w:t>
      </w:r>
    </w:p>
    <w:p w14:paraId="6F7489DC" w14:textId="77777777" w:rsidR="006C3DEB" w:rsidRPr="00A01F38" w:rsidRDefault="006C3DEB" w:rsidP="006C3DEB">
      <w:pPr>
        <w:pStyle w:val="Alphanumbered"/>
        <w:numPr>
          <w:ilvl w:val="0"/>
          <w:numId w:val="40"/>
        </w:numPr>
        <w:tabs>
          <w:tab w:val="clear" w:pos="357"/>
        </w:tabs>
        <w:ind w:left="360" w:hanging="360"/>
      </w:pPr>
      <w:r w:rsidRPr="00A01F38">
        <w:t>Solving for the transition path that the economy takes between these two steady states.</w:t>
      </w:r>
    </w:p>
    <w:p w14:paraId="64D9BA6D" w14:textId="77777777" w:rsidR="006C3DEB" w:rsidRPr="00DD598D" w:rsidRDefault="006C3DEB" w:rsidP="006C3DEB">
      <w:r>
        <w:t>Each stage</w:t>
      </w:r>
      <w:r w:rsidRPr="00DD598D">
        <w:t xml:space="preserve"> involves the following six steps:</w:t>
      </w:r>
    </w:p>
    <w:p w14:paraId="0FD1CB08" w14:textId="77777777" w:rsidR="006C3DEB" w:rsidRPr="00DD598D" w:rsidRDefault="006C3DEB" w:rsidP="006C3DEB">
      <w:pPr>
        <w:pStyle w:val="Style1"/>
      </w:pPr>
      <w:r w:rsidRPr="00DD598D">
        <w:t>Step 1:</w:t>
      </w:r>
      <w:r>
        <w:tab/>
      </w:r>
      <w:r w:rsidRPr="00DD598D">
        <w:t xml:space="preserve">Start with an initial </w:t>
      </w:r>
      <w:r>
        <w:t>estimate</w:t>
      </w:r>
      <w:r w:rsidRPr="00DD598D">
        <w:t xml:space="preserve"> for </w:t>
      </w:r>
      <w:r>
        <w:t xml:space="preserve">the average wage level and government policies, and </w:t>
      </w:r>
      <w:r w:rsidRPr="00DD598D">
        <w:t>each sector’s labour input</w:t>
      </w:r>
      <w:r>
        <w:t xml:space="preserve"> or output level and</w:t>
      </w:r>
      <w:r w:rsidRPr="00DD598D">
        <w:t xml:space="preserve"> goods prices. </w:t>
      </w:r>
    </w:p>
    <w:p w14:paraId="7E66A6CD" w14:textId="77777777" w:rsidR="006C3DEB" w:rsidRPr="00DD598D" w:rsidRDefault="006C3DEB" w:rsidP="006C3DEB">
      <w:pPr>
        <w:pStyle w:val="Style1"/>
      </w:pPr>
      <w:r w:rsidRPr="00DD598D">
        <w:t>Step 2:</w:t>
      </w:r>
      <w:r>
        <w:tab/>
      </w:r>
      <w:r w:rsidRPr="00DD598D">
        <w:t>Solve the firm’s problem for each sector given labour input</w:t>
      </w:r>
      <w:r>
        <w:t xml:space="preserve"> (or output level)</w:t>
      </w:r>
      <w:r w:rsidRPr="00DD598D">
        <w:t xml:space="preserve"> and goods prices. This determines each sector’s wage,</w:t>
      </w:r>
      <w:r>
        <w:t xml:space="preserve"> output</w:t>
      </w:r>
      <w:r w:rsidRPr="00DD598D">
        <w:t xml:space="preserve"> and demand for capital, labour and intermediate goods.</w:t>
      </w:r>
    </w:p>
    <w:p w14:paraId="431A0FD1" w14:textId="77777777" w:rsidR="006C3DEB" w:rsidRPr="00DD598D" w:rsidRDefault="006C3DEB" w:rsidP="006C3DEB">
      <w:pPr>
        <w:pStyle w:val="Style1"/>
      </w:pPr>
      <w:r w:rsidRPr="00DD598D">
        <w:t>Step 3:</w:t>
      </w:r>
      <w:r>
        <w:tab/>
      </w:r>
      <w:r w:rsidRPr="00DD598D">
        <w:t xml:space="preserve">Solve each household’s problem given the average wage and goods prices. This determines labour supplied, and demand for consumption goods. </w:t>
      </w:r>
    </w:p>
    <w:p w14:paraId="59DD9CD1" w14:textId="77777777" w:rsidR="006C3DEB" w:rsidRPr="00DD598D" w:rsidRDefault="006C3DEB" w:rsidP="006C3DEB">
      <w:pPr>
        <w:pStyle w:val="Style1"/>
      </w:pPr>
      <w:r w:rsidRPr="00DD598D">
        <w:t>Step 4:</w:t>
      </w:r>
      <w:r>
        <w:tab/>
      </w:r>
      <w:r w:rsidRPr="00DD598D">
        <w:t>Solve export and government demand for each sector given goods prices, and calculate the government’s total tax revenue</w:t>
      </w:r>
      <w:r>
        <w:t xml:space="preserve"> and expenditure</w:t>
      </w:r>
      <w:r w:rsidRPr="00DD598D">
        <w:t>.</w:t>
      </w:r>
    </w:p>
    <w:p w14:paraId="25D5DA3D" w14:textId="77777777" w:rsidR="006C3DEB" w:rsidRPr="00DD598D" w:rsidRDefault="006C3DEB" w:rsidP="006C3DEB">
      <w:pPr>
        <w:pStyle w:val="Style1"/>
      </w:pPr>
      <w:r w:rsidRPr="00DD598D">
        <w:t>Step 5:</w:t>
      </w:r>
      <w:r>
        <w:tab/>
      </w:r>
      <w:r w:rsidRPr="00DD598D">
        <w:t>Check if all goods markets clear, if wage is equalised across all sectors, if aggregate labour inputs equal</w:t>
      </w:r>
      <w:r>
        <w:t>s</w:t>
      </w:r>
      <w:r w:rsidRPr="00DD598D">
        <w:t xml:space="preserve"> labour supplied, and if the government’s budget constraint holds. </w:t>
      </w:r>
    </w:p>
    <w:p w14:paraId="1822279C" w14:textId="77777777" w:rsidR="006C3DEB" w:rsidRPr="00B370E6" w:rsidRDefault="006C3DEB" w:rsidP="006C3DEB">
      <w:pPr>
        <w:pStyle w:val="Style1"/>
        <w:rPr>
          <w:highlight w:val="green"/>
        </w:rPr>
      </w:pPr>
      <w:r w:rsidRPr="00DD598D">
        <w:t>Step 6:</w:t>
      </w:r>
      <w:r>
        <w:tab/>
      </w:r>
      <w:r w:rsidRPr="00DD598D">
        <w:t xml:space="preserve">If Step 5 is not passed, update the </w:t>
      </w:r>
      <w:r>
        <w:t>estimate</w:t>
      </w:r>
      <w:r w:rsidRPr="00DD598D">
        <w:t xml:space="preserve"> using the quasi-Newton method </w:t>
      </w:r>
      <w:r>
        <w:t xml:space="preserve">as </w:t>
      </w:r>
      <w:r w:rsidRPr="00DD598D">
        <w:t xml:space="preserve">suggested </w:t>
      </w:r>
      <w:r>
        <w:t>in</w:t>
      </w:r>
      <w:r w:rsidRPr="00DD598D">
        <w:t xml:space="preserve"> Ludwig (2007) and Heer and Maussner (2009); and return to Step 2.</w:t>
      </w:r>
    </w:p>
    <w:p w14:paraId="71565027" w14:textId="77777777" w:rsidR="006C3DEB" w:rsidRDefault="006C3DEB" w:rsidP="006C3DEB"/>
    <w:p w14:paraId="174DE91F" w14:textId="77777777" w:rsidR="006C3DEB" w:rsidRDefault="006C3DEB" w:rsidP="006C3DEB">
      <w:pPr>
        <w:sectPr w:rsidR="006C3DEB" w:rsidSect="00B7535E">
          <w:pgSz w:w="11906" w:h="16838" w:code="9"/>
          <w:pgMar w:top="1843" w:right="1418" w:bottom="1418" w:left="1418" w:header="709" w:footer="709" w:gutter="0"/>
          <w:cols w:space="708"/>
          <w:titlePg/>
          <w:docGrid w:linePitch="360"/>
        </w:sectPr>
      </w:pPr>
    </w:p>
    <w:p w14:paraId="31CB8960" w14:textId="4284AF35" w:rsidR="006C3DEB" w:rsidRPr="00134A7F" w:rsidRDefault="006C3DEB" w:rsidP="001B628E">
      <w:pPr>
        <w:pStyle w:val="Heading1"/>
      </w:pPr>
      <w:r w:rsidRPr="00134A7F">
        <w:lastRenderedPageBreak/>
        <w:t>Appendix G</w:t>
      </w:r>
      <w:r w:rsidR="006367B3">
        <w:t xml:space="preserve">: </w:t>
      </w:r>
      <w:r w:rsidRPr="00134A7F">
        <w:t>Sectoral concordance between OLGA and ABS Input-Output Industry Group (IOIG)</w:t>
      </w:r>
    </w:p>
    <w:tbl>
      <w:tblPr>
        <w:tblStyle w:val="TableGrid"/>
        <w:tblW w:w="0" w:type="auto"/>
        <w:shd w:val="clear" w:color="auto" w:fill="EEEEEE" w:themeFill="background2"/>
        <w:tblLook w:val="04A0" w:firstRow="1" w:lastRow="0" w:firstColumn="1" w:lastColumn="0" w:noHBand="0" w:noVBand="1"/>
      </w:tblPr>
      <w:tblGrid>
        <w:gridCol w:w="581"/>
        <w:gridCol w:w="6534"/>
        <w:gridCol w:w="1288"/>
        <w:gridCol w:w="667"/>
      </w:tblGrid>
      <w:tr w:rsidR="006C3DEB" w14:paraId="5AD1B712" w14:textId="77777777" w:rsidTr="004641CC">
        <w:trPr>
          <w:trHeight w:val="397"/>
        </w:trPr>
        <w:tc>
          <w:tcPr>
            <w:tcW w:w="0" w:type="auto"/>
            <w:tcBorders>
              <w:top w:val="single" w:sz="4" w:space="0" w:color="auto"/>
              <w:bottom w:val="single" w:sz="4" w:space="0" w:color="auto"/>
            </w:tcBorders>
            <w:shd w:val="clear" w:color="auto" w:fill="EEEEEE" w:themeFill="background2"/>
          </w:tcPr>
          <w:p w14:paraId="6861F726" w14:textId="77777777" w:rsidR="006C3DEB" w:rsidRPr="009F1ADA" w:rsidRDefault="006C3DEB" w:rsidP="005A7549">
            <w:pPr>
              <w:pStyle w:val="TableColumnHeadingLeft"/>
            </w:pPr>
            <w:r w:rsidRPr="009F1ADA">
              <w:t>IOIG</w:t>
            </w:r>
          </w:p>
        </w:tc>
        <w:tc>
          <w:tcPr>
            <w:tcW w:w="0" w:type="auto"/>
            <w:tcBorders>
              <w:top w:val="single" w:sz="4" w:space="0" w:color="auto"/>
              <w:bottom w:val="single" w:sz="4" w:space="0" w:color="auto"/>
            </w:tcBorders>
            <w:shd w:val="clear" w:color="auto" w:fill="EEEEEE" w:themeFill="background2"/>
          </w:tcPr>
          <w:p w14:paraId="11534D64" w14:textId="77777777" w:rsidR="006C3DEB" w:rsidRPr="009F1ADA" w:rsidRDefault="006C3DEB" w:rsidP="005A7549">
            <w:pPr>
              <w:pStyle w:val="TableColumnHeadingLeft"/>
            </w:pPr>
            <w:r w:rsidRPr="009F1ADA">
              <w:t>Description</w:t>
            </w:r>
          </w:p>
        </w:tc>
        <w:tc>
          <w:tcPr>
            <w:tcW w:w="0" w:type="auto"/>
            <w:tcBorders>
              <w:top w:val="single" w:sz="4" w:space="0" w:color="auto"/>
              <w:bottom w:val="single" w:sz="4" w:space="0" w:color="auto"/>
            </w:tcBorders>
            <w:shd w:val="clear" w:color="auto" w:fill="EEEEEE" w:themeFill="background2"/>
          </w:tcPr>
          <w:p w14:paraId="43CCADF9" w14:textId="77777777" w:rsidR="006C3DEB" w:rsidRPr="009F1ADA" w:rsidRDefault="006C3DEB" w:rsidP="005A7549">
            <w:pPr>
              <w:pStyle w:val="TableColumnHeadingLeft"/>
            </w:pPr>
            <w:r w:rsidRPr="009F1ADA">
              <w:t>OLGA Sector</w:t>
            </w:r>
          </w:p>
        </w:tc>
        <w:tc>
          <w:tcPr>
            <w:tcW w:w="0" w:type="auto"/>
            <w:tcBorders>
              <w:top w:val="single" w:sz="4" w:space="0" w:color="auto"/>
              <w:bottom w:val="single" w:sz="4" w:space="0" w:color="auto"/>
            </w:tcBorders>
            <w:shd w:val="clear" w:color="auto" w:fill="EEEEEE" w:themeFill="background2"/>
          </w:tcPr>
          <w:p w14:paraId="1E3B0F96" w14:textId="77777777" w:rsidR="006C3DEB" w:rsidRPr="009F1ADA" w:rsidRDefault="006C3DEB" w:rsidP="005A7549">
            <w:pPr>
              <w:pStyle w:val="TableColumnHeadingLeft"/>
            </w:pPr>
            <w:r w:rsidRPr="009F1ADA">
              <w:t>Code</w:t>
            </w:r>
          </w:p>
        </w:tc>
      </w:tr>
      <w:tr w:rsidR="006C3DEB" w14:paraId="320E13F2" w14:textId="77777777" w:rsidTr="004641CC">
        <w:trPr>
          <w:trHeight w:val="397"/>
        </w:trPr>
        <w:tc>
          <w:tcPr>
            <w:tcW w:w="0" w:type="auto"/>
            <w:tcBorders>
              <w:top w:val="single" w:sz="4" w:space="0" w:color="auto"/>
              <w:right w:val="single" w:sz="4" w:space="0" w:color="auto"/>
            </w:tcBorders>
            <w:shd w:val="clear" w:color="auto" w:fill="EEEEEE" w:themeFill="background2"/>
          </w:tcPr>
          <w:p w14:paraId="3A69159D" w14:textId="77777777" w:rsidR="006C3DEB" w:rsidRDefault="006C3DEB" w:rsidP="005A7549">
            <w:pPr>
              <w:pStyle w:val="TableTextLeft"/>
            </w:pPr>
            <w:r>
              <w:t>0101</w:t>
            </w:r>
          </w:p>
        </w:tc>
        <w:tc>
          <w:tcPr>
            <w:tcW w:w="0" w:type="auto"/>
            <w:tcBorders>
              <w:top w:val="single" w:sz="4" w:space="0" w:color="auto"/>
              <w:left w:val="single" w:sz="4" w:space="0" w:color="auto"/>
            </w:tcBorders>
            <w:shd w:val="clear" w:color="auto" w:fill="auto"/>
          </w:tcPr>
          <w:p w14:paraId="6C6F0D56" w14:textId="77777777" w:rsidR="006C3DEB" w:rsidRDefault="006C3DEB" w:rsidP="005A7549">
            <w:pPr>
              <w:pStyle w:val="TableTextLeft"/>
            </w:pPr>
            <w:r>
              <w:t>Sheep, Grains, Beef and Dairy Cattle</w:t>
            </w:r>
          </w:p>
        </w:tc>
        <w:tc>
          <w:tcPr>
            <w:tcW w:w="0" w:type="auto"/>
            <w:tcBorders>
              <w:top w:val="single" w:sz="4" w:space="0" w:color="auto"/>
            </w:tcBorders>
            <w:shd w:val="clear" w:color="auto" w:fill="auto"/>
          </w:tcPr>
          <w:p w14:paraId="7B5F8C42" w14:textId="77777777" w:rsidR="006C3DEB" w:rsidRDefault="006C3DEB" w:rsidP="005A7549">
            <w:pPr>
              <w:pStyle w:val="TableTextLeft"/>
            </w:pPr>
            <w:r>
              <w:t>Agriculture</w:t>
            </w:r>
          </w:p>
        </w:tc>
        <w:tc>
          <w:tcPr>
            <w:tcW w:w="0" w:type="auto"/>
            <w:tcBorders>
              <w:top w:val="single" w:sz="4" w:space="0" w:color="auto"/>
            </w:tcBorders>
            <w:shd w:val="clear" w:color="auto" w:fill="auto"/>
          </w:tcPr>
          <w:p w14:paraId="1B94AF19" w14:textId="77777777" w:rsidR="006C3DEB" w:rsidRDefault="006C3DEB" w:rsidP="005A7549">
            <w:pPr>
              <w:pStyle w:val="TableTextLeft"/>
            </w:pPr>
            <w:r>
              <w:rPr>
                <w:sz w:val="22"/>
                <w:szCs w:val="22"/>
              </w:rPr>
              <w:t>AGR</w:t>
            </w:r>
          </w:p>
        </w:tc>
      </w:tr>
      <w:tr w:rsidR="006C3DEB" w14:paraId="63504C6D" w14:textId="77777777" w:rsidTr="004641CC">
        <w:trPr>
          <w:trHeight w:val="397"/>
        </w:trPr>
        <w:tc>
          <w:tcPr>
            <w:tcW w:w="0" w:type="auto"/>
            <w:tcBorders>
              <w:right w:val="single" w:sz="4" w:space="0" w:color="auto"/>
            </w:tcBorders>
            <w:shd w:val="clear" w:color="auto" w:fill="EEEEEE" w:themeFill="background2"/>
          </w:tcPr>
          <w:p w14:paraId="611FF7CA" w14:textId="77777777" w:rsidR="006C3DEB" w:rsidRDefault="006C3DEB" w:rsidP="005A7549">
            <w:pPr>
              <w:pStyle w:val="TableTextLeft"/>
            </w:pPr>
            <w:r>
              <w:t>0102</w:t>
            </w:r>
          </w:p>
        </w:tc>
        <w:tc>
          <w:tcPr>
            <w:tcW w:w="0" w:type="auto"/>
            <w:tcBorders>
              <w:left w:val="single" w:sz="4" w:space="0" w:color="auto"/>
            </w:tcBorders>
            <w:shd w:val="clear" w:color="auto" w:fill="auto"/>
          </w:tcPr>
          <w:p w14:paraId="2271E829" w14:textId="77777777" w:rsidR="006C3DEB" w:rsidRDefault="006C3DEB" w:rsidP="005A7549">
            <w:pPr>
              <w:pStyle w:val="TableTextLeft"/>
            </w:pPr>
            <w:r>
              <w:t>Poultry and Other Livestock</w:t>
            </w:r>
          </w:p>
        </w:tc>
        <w:tc>
          <w:tcPr>
            <w:tcW w:w="0" w:type="auto"/>
            <w:shd w:val="clear" w:color="auto" w:fill="auto"/>
          </w:tcPr>
          <w:p w14:paraId="06E43654" w14:textId="77777777" w:rsidR="006C3DEB" w:rsidRDefault="006C3DEB" w:rsidP="005A7549">
            <w:pPr>
              <w:pStyle w:val="TableTextLeft"/>
            </w:pPr>
            <w:r>
              <w:t>Agriculture</w:t>
            </w:r>
          </w:p>
        </w:tc>
        <w:tc>
          <w:tcPr>
            <w:tcW w:w="0" w:type="auto"/>
            <w:shd w:val="clear" w:color="auto" w:fill="auto"/>
          </w:tcPr>
          <w:p w14:paraId="7C04E84A" w14:textId="77777777" w:rsidR="006C3DEB" w:rsidRDefault="006C3DEB" w:rsidP="005A7549">
            <w:pPr>
              <w:pStyle w:val="TableTextLeft"/>
            </w:pPr>
            <w:r>
              <w:rPr>
                <w:sz w:val="22"/>
                <w:szCs w:val="22"/>
              </w:rPr>
              <w:t>AGR</w:t>
            </w:r>
          </w:p>
        </w:tc>
      </w:tr>
      <w:tr w:rsidR="006C3DEB" w14:paraId="2D56BF68" w14:textId="77777777" w:rsidTr="004641CC">
        <w:trPr>
          <w:trHeight w:val="397"/>
        </w:trPr>
        <w:tc>
          <w:tcPr>
            <w:tcW w:w="0" w:type="auto"/>
            <w:tcBorders>
              <w:right w:val="single" w:sz="4" w:space="0" w:color="auto"/>
            </w:tcBorders>
            <w:shd w:val="clear" w:color="auto" w:fill="EEEEEE" w:themeFill="background2"/>
          </w:tcPr>
          <w:p w14:paraId="1A90E105" w14:textId="77777777" w:rsidR="006C3DEB" w:rsidRDefault="006C3DEB" w:rsidP="005A7549">
            <w:pPr>
              <w:pStyle w:val="TableTextLeft"/>
            </w:pPr>
            <w:r>
              <w:t>0103</w:t>
            </w:r>
          </w:p>
        </w:tc>
        <w:tc>
          <w:tcPr>
            <w:tcW w:w="0" w:type="auto"/>
            <w:tcBorders>
              <w:left w:val="single" w:sz="4" w:space="0" w:color="auto"/>
            </w:tcBorders>
            <w:shd w:val="clear" w:color="auto" w:fill="auto"/>
          </w:tcPr>
          <w:p w14:paraId="4315341D" w14:textId="77777777" w:rsidR="006C3DEB" w:rsidRDefault="006C3DEB" w:rsidP="005A7549">
            <w:pPr>
              <w:pStyle w:val="TableTextLeft"/>
            </w:pPr>
            <w:r>
              <w:t>Other Agriculture</w:t>
            </w:r>
          </w:p>
        </w:tc>
        <w:tc>
          <w:tcPr>
            <w:tcW w:w="0" w:type="auto"/>
            <w:shd w:val="clear" w:color="auto" w:fill="auto"/>
          </w:tcPr>
          <w:p w14:paraId="1F7D1853" w14:textId="77777777" w:rsidR="006C3DEB" w:rsidRDefault="006C3DEB" w:rsidP="005A7549">
            <w:pPr>
              <w:pStyle w:val="TableTextLeft"/>
            </w:pPr>
            <w:r>
              <w:t>Agriculture</w:t>
            </w:r>
          </w:p>
        </w:tc>
        <w:tc>
          <w:tcPr>
            <w:tcW w:w="0" w:type="auto"/>
            <w:shd w:val="clear" w:color="auto" w:fill="auto"/>
          </w:tcPr>
          <w:p w14:paraId="1D1AEF30" w14:textId="77777777" w:rsidR="006C3DEB" w:rsidRDefault="006C3DEB" w:rsidP="005A7549">
            <w:pPr>
              <w:pStyle w:val="TableTextLeft"/>
            </w:pPr>
            <w:r>
              <w:rPr>
                <w:sz w:val="22"/>
                <w:szCs w:val="22"/>
              </w:rPr>
              <w:t>AGR</w:t>
            </w:r>
          </w:p>
        </w:tc>
      </w:tr>
      <w:tr w:rsidR="006C3DEB" w14:paraId="26F89D2D" w14:textId="77777777" w:rsidTr="004641CC">
        <w:trPr>
          <w:trHeight w:val="397"/>
        </w:trPr>
        <w:tc>
          <w:tcPr>
            <w:tcW w:w="0" w:type="auto"/>
            <w:tcBorders>
              <w:right w:val="single" w:sz="4" w:space="0" w:color="auto"/>
            </w:tcBorders>
            <w:shd w:val="clear" w:color="auto" w:fill="EEEEEE" w:themeFill="background2"/>
          </w:tcPr>
          <w:p w14:paraId="73F9D0BF" w14:textId="77777777" w:rsidR="006C3DEB" w:rsidRDefault="006C3DEB" w:rsidP="005A7549">
            <w:pPr>
              <w:pStyle w:val="TableTextLeft"/>
            </w:pPr>
            <w:r>
              <w:t>0201</w:t>
            </w:r>
          </w:p>
        </w:tc>
        <w:tc>
          <w:tcPr>
            <w:tcW w:w="0" w:type="auto"/>
            <w:tcBorders>
              <w:left w:val="single" w:sz="4" w:space="0" w:color="auto"/>
            </w:tcBorders>
            <w:shd w:val="clear" w:color="auto" w:fill="auto"/>
          </w:tcPr>
          <w:p w14:paraId="51CA12AA" w14:textId="77777777" w:rsidR="006C3DEB" w:rsidRDefault="006C3DEB" w:rsidP="005A7549">
            <w:pPr>
              <w:pStyle w:val="TableTextLeft"/>
            </w:pPr>
            <w:r>
              <w:t>Aquaculture</w:t>
            </w:r>
          </w:p>
        </w:tc>
        <w:tc>
          <w:tcPr>
            <w:tcW w:w="0" w:type="auto"/>
            <w:shd w:val="clear" w:color="auto" w:fill="auto"/>
          </w:tcPr>
          <w:p w14:paraId="503AF785" w14:textId="77777777" w:rsidR="006C3DEB" w:rsidRDefault="006C3DEB" w:rsidP="005A7549">
            <w:pPr>
              <w:pStyle w:val="TableTextLeft"/>
            </w:pPr>
            <w:r>
              <w:t>Agriculture</w:t>
            </w:r>
          </w:p>
        </w:tc>
        <w:tc>
          <w:tcPr>
            <w:tcW w:w="0" w:type="auto"/>
            <w:shd w:val="clear" w:color="auto" w:fill="auto"/>
          </w:tcPr>
          <w:p w14:paraId="01369B83" w14:textId="77777777" w:rsidR="006C3DEB" w:rsidRDefault="006C3DEB" w:rsidP="005A7549">
            <w:pPr>
              <w:pStyle w:val="TableTextLeft"/>
            </w:pPr>
            <w:r>
              <w:rPr>
                <w:sz w:val="22"/>
                <w:szCs w:val="22"/>
              </w:rPr>
              <w:t>AGR</w:t>
            </w:r>
          </w:p>
        </w:tc>
      </w:tr>
      <w:tr w:rsidR="006C3DEB" w14:paraId="1418607A" w14:textId="77777777" w:rsidTr="004641CC">
        <w:trPr>
          <w:trHeight w:val="397"/>
        </w:trPr>
        <w:tc>
          <w:tcPr>
            <w:tcW w:w="0" w:type="auto"/>
            <w:tcBorders>
              <w:right w:val="single" w:sz="4" w:space="0" w:color="auto"/>
            </w:tcBorders>
            <w:shd w:val="clear" w:color="auto" w:fill="EEEEEE" w:themeFill="background2"/>
          </w:tcPr>
          <w:p w14:paraId="2AB27DC0" w14:textId="77777777" w:rsidR="006C3DEB" w:rsidRDefault="006C3DEB" w:rsidP="005A7549">
            <w:pPr>
              <w:pStyle w:val="TableTextLeft"/>
            </w:pPr>
            <w:r>
              <w:t>0301</w:t>
            </w:r>
          </w:p>
        </w:tc>
        <w:tc>
          <w:tcPr>
            <w:tcW w:w="0" w:type="auto"/>
            <w:tcBorders>
              <w:left w:val="single" w:sz="4" w:space="0" w:color="auto"/>
            </w:tcBorders>
            <w:shd w:val="clear" w:color="auto" w:fill="auto"/>
          </w:tcPr>
          <w:p w14:paraId="1C8EE8C9" w14:textId="77777777" w:rsidR="006C3DEB" w:rsidRDefault="006C3DEB" w:rsidP="005A7549">
            <w:pPr>
              <w:pStyle w:val="TableTextLeft"/>
            </w:pPr>
            <w:r>
              <w:t>Forestry and Logging</w:t>
            </w:r>
          </w:p>
        </w:tc>
        <w:tc>
          <w:tcPr>
            <w:tcW w:w="0" w:type="auto"/>
            <w:shd w:val="clear" w:color="auto" w:fill="auto"/>
          </w:tcPr>
          <w:p w14:paraId="3185216D" w14:textId="77777777" w:rsidR="006C3DEB" w:rsidRDefault="006C3DEB" w:rsidP="005A7549">
            <w:pPr>
              <w:pStyle w:val="TableTextLeft"/>
            </w:pPr>
            <w:r>
              <w:t>Agriculture</w:t>
            </w:r>
          </w:p>
        </w:tc>
        <w:tc>
          <w:tcPr>
            <w:tcW w:w="0" w:type="auto"/>
            <w:shd w:val="clear" w:color="auto" w:fill="auto"/>
          </w:tcPr>
          <w:p w14:paraId="5B602FD8" w14:textId="77777777" w:rsidR="006C3DEB" w:rsidRDefault="006C3DEB" w:rsidP="005A7549">
            <w:pPr>
              <w:pStyle w:val="TableTextLeft"/>
            </w:pPr>
            <w:r>
              <w:rPr>
                <w:sz w:val="22"/>
                <w:szCs w:val="22"/>
              </w:rPr>
              <w:t>AGR</w:t>
            </w:r>
          </w:p>
        </w:tc>
      </w:tr>
      <w:tr w:rsidR="006C3DEB" w14:paraId="6F621A86" w14:textId="77777777" w:rsidTr="004641CC">
        <w:trPr>
          <w:trHeight w:val="397"/>
        </w:trPr>
        <w:tc>
          <w:tcPr>
            <w:tcW w:w="0" w:type="auto"/>
            <w:tcBorders>
              <w:right w:val="single" w:sz="4" w:space="0" w:color="auto"/>
            </w:tcBorders>
            <w:shd w:val="clear" w:color="auto" w:fill="EEEEEE" w:themeFill="background2"/>
          </w:tcPr>
          <w:p w14:paraId="0639F2CE" w14:textId="77777777" w:rsidR="006C3DEB" w:rsidRDefault="006C3DEB" w:rsidP="005A7549">
            <w:pPr>
              <w:pStyle w:val="TableTextLeft"/>
            </w:pPr>
            <w:r>
              <w:t>0401</w:t>
            </w:r>
          </w:p>
        </w:tc>
        <w:tc>
          <w:tcPr>
            <w:tcW w:w="0" w:type="auto"/>
            <w:tcBorders>
              <w:left w:val="single" w:sz="4" w:space="0" w:color="auto"/>
            </w:tcBorders>
            <w:shd w:val="clear" w:color="auto" w:fill="auto"/>
          </w:tcPr>
          <w:p w14:paraId="78246B13" w14:textId="77777777" w:rsidR="006C3DEB" w:rsidRDefault="006C3DEB" w:rsidP="005A7549">
            <w:pPr>
              <w:pStyle w:val="TableTextLeft"/>
            </w:pPr>
            <w:r>
              <w:t>Fishing, Hunting and Trapping</w:t>
            </w:r>
          </w:p>
        </w:tc>
        <w:tc>
          <w:tcPr>
            <w:tcW w:w="0" w:type="auto"/>
            <w:shd w:val="clear" w:color="auto" w:fill="auto"/>
          </w:tcPr>
          <w:p w14:paraId="282CB87B" w14:textId="77777777" w:rsidR="006C3DEB" w:rsidRDefault="006C3DEB" w:rsidP="005A7549">
            <w:pPr>
              <w:pStyle w:val="TableTextLeft"/>
            </w:pPr>
            <w:r>
              <w:t>Agriculture</w:t>
            </w:r>
          </w:p>
        </w:tc>
        <w:tc>
          <w:tcPr>
            <w:tcW w:w="0" w:type="auto"/>
            <w:shd w:val="clear" w:color="auto" w:fill="auto"/>
          </w:tcPr>
          <w:p w14:paraId="56AE14D5" w14:textId="77777777" w:rsidR="006C3DEB" w:rsidRDefault="006C3DEB" w:rsidP="005A7549">
            <w:pPr>
              <w:pStyle w:val="TableTextLeft"/>
            </w:pPr>
            <w:r>
              <w:rPr>
                <w:sz w:val="22"/>
                <w:szCs w:val="22"/>
              </w:rPr>
              <w:t>AGR</w:t>
            </w:r>
          </w:p>
        </w:tc>
      </w:tr>
      <w:tr w:rsidR="006C3DEB" w14:paraId="4D864D70" w14:textId="77777777" w:rsidTr="004641CC">
        <w:trPr>
          <w:trHeight w:val="397"/>
        </w:trPr>
        <w:tc>
          <w:tcPr>
            <w:tcW w:w="0" w:type="auto"/>
            <w:tcBorders>
              <w:right w:val="single" w:sz="4" w:space="0" w:color="auto"/>
            </w:tcBorders>
            <w:shd w:val="clear" w:color="auto" w:fill="EEEEEE" w:themeFill="background2"/>
          </w:tcPr>
          <w:p w14:paraId="21A07D25" w14:textId="77777777" w:rsidR="006C3DEB" w:rsidRDefault="006C3DEB" w:rsidP="005A7549">
            <w:pPr>
              <w:pStyle w:val="TableTextLeft"/>
            </w:pPr>
            <w:r>
              <w:t>0501</w:t>
            </w:r>
          </w:p>
        </w:tc>
        <w:tc>
          <w:tcPr>
            <w:tcW w:w="0" w:type="auto"/>
            <w:tcBorders>
              <w:left w:val="single" w:sz="4" w:space="0" w:color="auto"/>
            </w:tcBorders>
            <w:shd w:val="clear" w:color="auto" w:fill="auto"/>
          </w:tcPr>
          <w:p w14:paraId="24EDAEAA" w14:textId="77777777" w:rsidR="006C3DEB" w:rsidRDefault="006C3DEB" w:rsidP="005A7549">
            <w:pPr>
              <w:pStyle w:val="TableTextLeft"/>
            </w:pPr>
            <w:r>
              <w:t>Agriculture, Forestry and Fishing Support Services</w:t>
            </w:r>
          </w:p>
        </w:tc>
        <w:tc>
          <w:tcPr>
            <w:tcW w:w="0" w:type="auto"/>
            <w:shd w:val="clear" w:color="auto" w:fill="auto"/>
          </w:tcPr>
          <w:p w14:paraId="4D526867" w14:textId="77777777" w:rsidR="006C3DEB" w:rsidRDefault="006C3DEB" w:rsidP="005A7549">
            <w:pPr>
              <w:pStyle w:val="TableTextLeft"/>
            </w:pPr>
            <w:r>
              <w:t>Agriculture</w:t>
            </w:r>
          </w:p>
        </w:tc>
        <w:tc>
          <w:tcPr>
            <w:tcW w:w="0" w:type="auto"/>
            <w:shd w:val="clear" w:color="auto" w:fill="auto"/>
          </w:tcPr>
          <w:p w14:paraId="6D7C1D8B" w14:textId="77777777" w:rsidR="006C3DEB" w:rsidRDefault="006C3DEB" w:rsidP="005A7549">
            <w:pPr>
              <w:pStyle w:val="TableTextLeft"/>
            </w:pPr>
            <w:r>
              <w:rPr>
                <w:sz w:val="22"/>
                <w:szCs w:val="22"/>
              </w:rPr>
              <w:t>AGR</w:t>
            </w:r>
          </w:p>
        </w:tc>
      </w:tr>
      <w:tr w:rsidR="006C3DEB" w14:paraId="20CD1FC4" w14:textId="77777777" w:rsidTr="004641CC">
        <w:trPr>
          <w:trHeight w:val="397"/>
        </w:trPr>
        <w:tc>
          <w:tcPr>
            <w:tcW w:w="0" w:type="auto"/>
            <w:tcBorders>
              <w:right w:val="single" w:sz="4" w:space="0" w:color="auto"/>
            </w:tcBorders>
            <w:shd w:val="clear" w:color="auto" w:fill="EEEEEE" w:themeFill="background2"/>
          </w:tcPr>
          <w:p w14:paraId="3455A9EA" w14:textId="77777777" w:rsidR="006C3DEB" w:rsidRDefault="006C3DEB" w:rsidP="005A7549">
            <w:pPr>
              <w:pStyle w:val="TableTextLeft"/>
            </w:pPr>
            <w:r>
              <w:t>0601</w:t>
            </w:r>
          </w:p>
        </w:tc>
        <w:tc>
          <w:tcPr>
            <w:tcW w:w="0" w:type="auto"/>
            <w:tcBorders>
              <w:left w:val="single" w:sz="4" w:space="0" w:color="auto"/>
            </w:tcBorders>
            <w:shd w:val="clear" w:color="auto" w:fill="auto"/>
          </w:tcPr>
          <w:p w14:paraId="556442E2" w14:textId="77777777" w:rsidR="006C3DEB" w:rsidRDefault="006C3DEB" w:rsidP="005A7549">
            <w:pPr>
              <w:pStyle w:val="TableTextLeft"/>
            </w:pPr>
            <w:r>
              <w:t>Coal Mining</w:t>
            </w:r>
          </w:p>
        </w:tc>
        <w:tc>
          <w:tcPr>
            <w:tcW w:w="0" w:type="auto"/>
            <w:shd w:val="clear" w:color="auto" w:fill="auto"/>
          </w:tcPr>
          <w:p w14:paraId="0266BFE2" w14:textId="77777777" w:rsidR="006C3DEB" w:rsidRDefault="006C3DEB" w:rsidP="005A7549">
            <w:pPr>
              <w:pStyle w:val="TableTextLeft"/>
            </w:pPr>
            <w:r>
              <w:t>Mining</w:t>
            </w:r>
          </w:p>
        </w:tc>
        <w:tc>
          <w:tcPr>
            <w:tcW w:w="0" w:type="auto"/>
            <w:shd w:val="clear" w:color="auto" w:fill="auto"/>
          </w:tcPr>
          <w:p w14:paraId="3ADBE42B" w14:textId="77777777" w:rsidR="006C3DEB" w:rsidRDefault="006C3DEB" w:rsidP="005A7549">
            <w:pPr>
              <w:pStyle w:val="TableTextLeft"/>
            </w:pPr>
            <w:r>
              <w:rPr>
                <w:sz w:val="22"/>
                <w:szCs w:val="22"/>
              </w:rPr>
              <w:t>MIN</w:t>
            </w:r>
          </w:p>
        </w:tc>
      </w:tr>
      <w:tr w:rsidR="006C3DEB" w14:paraId="4B0C0F4E" w14:textId="77777777" w:rsidTr="004641CC">
        <w:trPr>
          <w:trHeight w:val="397"/>
        </w:trPr>
        <w:tc>
          <w:tcPr>
            <w:tcW w:w="0" w:type="auto"/>
            <w:tcBorders>
              <w:right w:val="single" w:sz="4" w:space="0" w:color="auto"/>
            </w:tcBorders>
            <w:shd w:val="clear" w:color="auto" w:fill="EEEEEE" w:themeFill="background2"/>
          </w:tcPr>
          <w:p w14:paraId="78485A06" w14:textId="77777777" w:rsidR="006C3DEB" w:rsidRDefault="006C3DEB" w:rsidP="005A7549">
            <w:pPr>
              <w:pStyle w:val="TableTextLeft"/>
            </w:pPr>
            <w:r>
              <w:t>0701</w:t>
            </w:r>
          </w:p>
        </w:tc>
        <w:tc>
          <w:tcPr>
            <w:tcW w:w="0" w:type="auto"/>
            <w:tcBorders>
              <w:left w:val="single" w:sz="4" w:space="0" w:color="auto"/>
            </w:tcBorders>
            <w:shd w:val="clear" w:color="auto" w:fill="auto"/>
          </w:tcPr>
          <w:p w14:paraId="0AB27E63" w14:textId="77777777" w:rsidR="006C3DEB" w:rsidRDefault="006C3DEB" w:rsidP="005A7549">
            <w:pPr>
              <w:pStyle w:val="TableTextLeft"/>
            </w:pPr>
            <w:r>
              <w:t>Oil and Gas Extraction</w:t>
            </w:r>
          </w:p>
        </w:tc>
        <w:tc>
          <w:tcPr>
            <w:tcW w:w="0" w:type="auto"/>
            <w:shd w:val="clear" w:color="auto" w:fill="auto"/>
          </w:tcPr>
          <w:p w14:paraId="7CA74625" w14:textId="77777777" w:rsidR="006C3DEB" w:rsidRDefault="006C3DEB" w:rsidP="005A7549">
            <w:pPr>
              <w:pStyle w:val="TableTextLeft"/>
            </w:pPr>
            <w:r>
              <w:t>Mining</w:t>
            </w:r>
          </w:p>
        </w:tc>
        <w:tc>
          <w:tcPr>
            <w:tcW w:w="0" w:type="auto"/>
            <w:shd w:val="clear" w:color="auto" w:fill="auto"/>
          </w:tcPr>
          <w:p w14:paraId="383B03C3" w14:textId="77777777" w:rsidR="006C3DEB" w:rsidRDefault="006C3DEB" w:rsidP="005A7549">
            <w:pPr>
              <w:pStyle w:val="TableTextLeft"/>
            </w:pPr>
            <w:r>
              <w:rPr>
                <w:sz w:val="22"/>
                <w:szCs w:val="22"/>
              </w:rPr>
              <w:t>MIN</w:t>
            </w:r>
          </w:p>
        </w:tc>
      </w:tr>
      <w:tr w:rsidR="006C3DEB" w14:paraId="3BE25406" w14:textId="77777777" w:rsidTr="004641CC">
        <w:trPr>
          <w:trHeight w:val="397"/>
        </w:trPr>
        <w:tc>
          <w:tcPr>
            <w:tcW w:w="0" w:type="auto"/>
            <w:tcBorders>
              <w:right w:val="single" w:sz="4" w:space="0" w:color="auto"/>
            </w:tcBorders>
            <w:shd w:val="clear" w:color="auto" w:fill="EEEEEE" w:themeFill="background2"/>
          </w:tcPr>
          <w:p w14:paraId="28B3F768" w14:textId="77777777" w:rsidR="006C3DEB" w:rsidRDefault="006C3DEB" w:rsidP="005A7549">
            <w:pPr>
              <w:pStyle w:val="TableTextLeft"/>
            </w:pPr>
            <w:r>
              <w:t>0801</w:t>
            </w:r>
          </w:p>
        </w:tc>
        <w:tc>
          <w:tcPr>
            <w:tcW w:w="0" w:type="auto"/>
            <w:tcBorders>
              <w:left w:val="single" w:sz="4" w:space="0" w:color="auto"/>
            </w:tcBorders>
            <w:shd w:val="clear" w:color="auto" w:fill="auto"/>
          </w:tcPr>
          <w:p w14:paraId="1B2722FB" w14:textId="77777777" w:rsidR="006C3DEB" w:rsidRDefault="006C3DEB" w:rsidP="005A7549">
            <w:pPr>
              <w:pStyle w:val="TableTextLeft"/>
            </w:pPr>
            <w:r>
              <w:t>Iron Ore Mining</w:t>
            </w:r>
          </w:p>
        </w:tc>
        <w:tc>
          <w:tcPr>
            <w:tcW w:w="0" w:type="auto"/>
            <w:shd w:val="clear" w:color="auto" w:fill="auto"/>
          </w:tcPr>
          <w:p w14:paraId="4775B4A0" w14:textId="77777777" w:rsidR="006C3DEB" w:rsidRDefault="006C3DEB" w:rsidP="005A7549">
            <w:pPr>
              <w:pStyle w:val="TableTextLeft"/>
            </w:pPr>
            <w:r>
              <w:t>Mining</w:t>
            </w:r>
          </w:p>
        </w:tc>
        <w:tc>
          <w:tcPr>
            <w:tcW w:w="0" w:type="auto"/>
            <w:shd w:val="clear" w:color="auto" w:fill="auto"/>
          </w:tcPr>
          <w:p w14:paraId="099F35DF" w14:textId="77777777" w:rsidR="006C3DEB" w:rsidRDefault="006C3DEB" w:rsidP="005A7549">
            <w:pPr>
              <w:pStyle w:val="TableTextLeft"/>
            </w:pPr>
            <w:r>
              <w:rPr>
                <w:sz w:val="22"/>
                <w:szCs w:val="22"/>
              </w:rPr>
              <w:t>MIN</w:t>
            </w:r>
          </w:p>
        </w:tc>
      </w:tr>
      <w:tr w:rsidR="006C3DEB" w14:paraId="6AE62B30" w14:textId="77777777" w:rsidTr="004641CC">
        <w:trPr>
          <w:trHeight w:val="397"/>
        </w:trPr>
        <w:tc>
          <w:tcPr>
            <w:tcW w:w="0" w:type="auto"/>
            <w:tcBorders>
              <w:right w:val="single" w:sz="4" w:space="0" w:color="auto"/>
            </w:tcBorders>
            <w:shd w:val="clear" w:color="auto" w:fill="EEEEEE" w:themeFill="background2"/>
          </w:tcPr>
          <w:p w14:paraId="74BE43DE" w14:textId="77777777" w:rsidR="006C3DEB" w:rsidRDefault="006C3DEB" w:rsidP="005A7549">
            <w:pPr>
              <w:pStyle w:val="TableTextLeft"/>
            </w:pPr>
            <w:r>
              <w:t>0802</w:t>
            </w:r>
          </w:p>
        </w:tc>
        <w:tc>
          <w:tcPr>
            <w:tcW w:w="0" w:type="auto"/>
            <w:tcBorders>
              <w:left w:val="single" w:sz="4" w:space="0" w:color="auto"/>
            </w:tcBorders>
            <w:shd w:val="clear" w:color="auto" w:fill="auto"/>
          </w:tcPr>
          <w:p w14:paraId="423E85BF" w14:textId="77777777" w:rsidR="006C3DEB" w:rsidRDefault="006C3DEB" w:rsidP="005A7549">
            <w:pPr>
              <w:pStyle w:val="TableTextLeft"/>
            </w:pPr>
            <w:r>
              <w:t>Non Ferrous Metal Ore Mining</w:t>
            </w:r>
          </w:p>
        </w:tc>
        <w:tc>
          <w:tcPr>
            <w:tcW w:w="0" w:type="auto"/>
            <w:shd w:val="clear" w:color="auto" w:fill="auto"/>
          </w:tcPr>
          <w:p w14:paraId="739DD204" w14:textId="77777777" w:rsidR="006C3DEB" w:rsidRDefault="006C3DEB" w:rsidP="005A7549">
            <w:pPr>
              <w:pStyle w:val="TableTextLeft"/>
            </w:pPr>
            <w:r>
              <w:t>Mining</w:t>
            </w:r>
          </w:p>
        </w:tc>
        <w:tc>
          <w:tcPr>
            <w:tcW w:w="0" w:type="auto"/>
            <w:shd w:val="clear" w:color="auto" w:fill="auto"/>
          </w:tcPr>
          <w:p w14:paraId="088ED74C" w14:textId="77777777" w:rsidR="006C3DEB" w:rsidRDefault="006C3DEB" w:rsidP="005A7549">
            <w:pPr>
              <w:pStyle w:val="TableTextLeft"/>
            </w:pPr>
            <w:r>
              <w:rPr>
                <w:sz w:val="22"/>
                <w:szCs w:val="22"/>
              </w:rPr>
              <w:t>MIN</w:t>
            </w:r>
          </w:p>
        </w:tc>
      </w:tr>
      <w:tr w:rsidR="006C3DEB" w14:paraId="040D1064" w14:textId="77777777" w:rsidTr="004641CC">
        <w:trPr>
          <w:trHeight w:val="397"/>
        </w:trPr>
        <w:tc>
          <w:tcPr>
            <w:tcW w:w="0" w:type="auto"/>
            <w:tcBorders>
              <w:right w:val="single" w:sz="4" w:space="0" w:color="auto"/>
            </w:tcBorders>
            <w:shd w:val="clear" w:color="auto" w:fill="EEEEEE" w:themeFill="background2"/>
          </w:tcPr>
          <w:p w14:paraId="1B13D391" w14:textId="77777777" w:rsidR="006C3DEB" w:rsidRDefault="006C3DEB" w:rsidP="005A7549">
            <w:pPr>
              <w:pStyle w:val="TableTextLeft"/>
            </w:pPr>
            <w:r>
              <w:t>0901</w:t>
            </w:r>
          </w:p>
        </w:tc>
        <w:tc>
          <w:tcPr>
            <w:tcW w:w="0" w:type="auto"/>
            <w:tcBorders>
              <w:left w:val="single" w:sz="4" w:space="0" w:color="auto"/>
            </w:tcBorders>
            <w:shd w:val="clear" w:color="auto" w:fill="auto"/>
          </w:tcPr>
          <w:p w14:paraId="62A8105B" w14:textId="77777777" w:rsidR="006C3DEB" w:rsidRDefault="006C3DEB" w:rsidP="005A7549">
            <w:pPr>
              <w:pStyle w:val="TableTextLeft"/>
            </w:pPr>
            <w:r>
              <w:t>Non Metallic Mineral Mining</w:t>
            </w:r>
          </w:p>
        </w:tc>
        <w:tc>
          <w:tcPr>
            <w:tcW w:w="0" w:type="auto"/>
            <w:shd w:val="clear" w:color="auto" w:fill="auto"/>
          </w:tcPr>
          <w:p w14:paraId="6488531D" w14:textId="77777777" w:rsidR="006C3DEB" w:rsidRDefault="006C3DEB" w:rsidP="005A7549">
            <w:pPr>
              <w:pStyle w:val="TableTextLeft"/>
            </w:pPr>
            <w:r>
              <w:t>Mining</w:t>
            </w:r>
          </w:p>
        </w:tc>
        <w:tc>
          <w:tcPr>
            <w:tcW w:w="0" w:type="auto"/>
            <w:shd w:val="clear" w:color="auto" w:fill="auto"/>
          </w:tcPr>
          <w:p w14:paraId="5CE97A7E" w14:textId="77777777" w:rsidR="006C3DEB" w:rsidRDefault="006C3DEB" w:rsidP="005A7549">
            <w:pPr>
              <w:pStyle w:val="TableTextLeft"/>
            </w:pPr>
            <w:r>
              <w:rPr>
                <w:sz w:val="22"/>
                <w:szCs w:val="22"/>
              </w:rPr>
              <w:t>MIN</w:t>
            </w:r>
          </w:p>
        </w:tc>
      </w:tr>
      <w:tr w:rsidR="006C3DEB" w14:paraId="47EE86E4" w14:textId="77777777" w:rsidTr="004641CC">
        <w:trPr>
          <w:trHeight w:val="397"/>
        </w:trPr>
        <w:tc>
          <w:tcPr>
            <w:tcW w:w="0" w:type="auto"/>
            <w:tcBorders>
              <w:right w:val="single" w:sz="4" w:space="0" w:color="auto"/>
            </w:tcBorders>
            <w:shd w:val="clear" w:color="auto" w:fill="EEEEEE" w:themeFill="background2"/>
          </w:tcPr>
          <w:p w14:paraId="043A6CED" w14:textId="77777777" w:rsidR="006C3DEB" w:rsidRDefault="006C3DEB" w:rsidP="005A7549">
            <w:pPr>
              <w:pStyle w:val="TableTextLeft"/>
            </w:pPr>
            <w:r>
              <w:t>1001</w:t>
            </w:r>
          </w:p>
        </w:tc>
        <w:tc>
          <w:tcPr>
            <w:tcW w:w="0" w:type="auto"/>
            <w:tcBorders>
              <w:left w:val="single" w:sz="4" w:space="0" w:color="auto"/>
            </w:tcBorders>
            <w:shd w:val="clear" w:color="auto" w:fill="auto"/>
          </w:tcPr>
          <w:p w14:paraId="50717419" w14:textId="77777777" w:rsidR="006C3DEB" w:rsidRDefault="006C3DEB" w:rsidP="005A7549">
            <w:pPr>
              <w:pStyle w:val="TableTextLeft"/>
            </w:pPr>
            <w:r>
              <w:t>Exploration and Mining Support Services</w:t>
            </w:r>
          </w:p>
        </w:tc>
        <w:tc>
          <w:tcPr>
            <w:tcW w:w="0" w:type="auto"/>
            <w:shd w:val="clear" w:color="auto" w:fill="auto"/>
          </w:tcPr>
          <w:p w14:paraId="2B7FBF2C" w14:textId="77777777" w:rsidR="006C3DEB" w:rsidRDefault="006C3DEB" w:rsidP="005A7549">
            <w:pPr>
              <w:pStyle w:val="TableTextLeft"/>
            </w:pPr>
            <w:r>
              <w:t>Mining</w:t>
            </w:r>
          </w:p>
        </w:tc>
        <w:tc>
          <w:tcPr>
            <w:tcW w:w="0" w:type="auto"/>
            <w:shd w:val="clear" w:color="auto" w:fill="auto"/>
          </w:tcPr>
          <w:p w14:paraId="5ED5B786" w14:textId="77777777" w:rsidR="006C3DEB" w:rsidRDefault="006C3DEB" w:rsidP="005A7549">
            <w:pPr>
              <w:pStyle w:val="TableTextLeft"/>
            </w:pPr>
            <w:r>
              <w:rPr>
                <w:sz w:val="22"/>
                <w:szCs w:val="22"/>
              </w:rPr>
              <w:t>MIN</w:t>
            </w:r>
          </w:p>
        </w:tc>
      </w:tr>
      <w:tr w:rsidR="006C3DEB" w14:paraId="648DDB76" w14:textId="77777777" w:rsidTr="004641CC">
        <w:trPr>
          <w:trHeight w:val="397"/>
        </w:trPr>
        <w:tc>
          <w:tcPr>
            <w:tcW w:w="0" w:type="auto"/>
            <w:tcBorders>
              <w:right w:val="single" w:sz="4" w:space="0" w:color="auto"/>
            </w:tcBorders>
            <w:shd w:val="clear" w:color="auto" w:fill="EEEEEE" w:themeFill="background2"/>
          </w:tcPr>
          <w:p w14:paraId="24B9B24B" w14:textId="77777777" w:rsidR="006C3DEB" w:rsidRDefault="006C3DEB" w:rsidP="005A7549">
            <w:pPr>
              <w:pStyle w:val="TableTextLeft"/>
            </w:pPr>
            <w:r>
              <w:t>1101</w:t>
            </w:r>
          </w:p>
        </w:tc>
        <w:tc>
          <w:tcPr>
            <w:tcW w:w="0" w:type="auto"/>
            <w:tcBorders>
              <w:left w:val="single" w:sz="4" w:space="0" w:color="auto"/>
            </w:tcBorders>
            <w:shd w:val="clear" w:color="auto" w:fill="auto"/>
          </w:tcPr>
          <w:p w14:paraId="02F9BC72" w14:textId="77777777" w:rsidR="006C3DEB" w:rsidRDefault="006C3DEB" w:rsidP="005A7549">
            <w:pPr>
              <w:pStyle w:val="TableTextLeft"/>
            </w:pPr>
            <w:r>
              <w:t>Meat and Meat product Manufacturing</w:t>
            </w:r>
          </w:p>
        </w:tc>
        <w:tc>
          <w:tcPr>
            <w:tcW w:w="0" w:type="auto"/>
            <w:shd w:val="clear" w:color="auto" w:fill="auto"/>
          </w:tcPr>
          <w:p w14:paraId="41BF02AF" w14:textId="77777777" w:rsidR="006C3DEB" w:rsidRDefault="006C3DEB" w:rsidP="005A7549">
            <w:pPr>
              <w:pStyle w:val="TableTextLeft"/>
            </w:pPr>
            <w:r>
              <w:t>Manufacturing</w:t>
            </w:r>
          </w:p>
        </w:tc>
        <w:tc>
          <w:tcPr>
            <w:tcW w:w="0" w:type="auto"/>
            <w:shd w:val="clear" w:color="auto" w:fill="auto"/>
          </w:tcPr>
          <w:p w14:paraId="57D6BFED" w14:textId="77777777" w:rsidR="006C3DEB" w:rsidRDefault="006C3DEB" w:rsidP="005A7549">
            <w:pPr>
              <w:pStyle w:val="TableTextLeft"/>
            </w:pPr>
            <w:r>
              <w:rPr>
                <w:sz w:val="22"/>
                <w:szCs w:val="22"/>
              </w:rPr>
              <w:t>MAN</w:t>
            </w:r>
          </w:p>
        </w:tc>
      </w:tr>
      <w:tr w:rsidR="006C3DEB" w14:paraId="3ED05813" w14:textId="77777777" w:rsidTr="004641CC">
        <w:trPr>
          <w:trHeight w:val="397"/>
        </w:trPr>
        <w:tc>
          <w:tcPr>
            <w:tcW w:w="0" w:type="auto"/>
            <w:tcBorders>
              <w:right w:val="single" w:sz="4" w:space="0" w:color="auto"/>
            </w:tcBorders>
            <w:shd w:val="clear" w:color="auto" w:fill="EEEEEE" w:themeFill="background2"/>
          </w:tcPr>
          <w:p w14:paraId="31291B14" w14:textId="77777777" w:rsidR="006C3DEB" w:rsidRDefault="006C3DEB" w:rsidP="005A7549">
            <w:pPr>
              <w:pStyle w:val="TableTextLeft"/>
            </w:pPr>
            <w:r>
              <w:t>1102</w:t>
            </w:r>
          </w:p>
        </w:tc>
        <w:tc>
          <w:tcPr>
            <w:tcW w:w="0" w:type="auto"/>
            <w:tcBorders>
              <w:left w:val="single" w:sz="4" w:space="0" w:color="auto"/>
            </w:tcBorders>
            <w:shd w:val="clear" w:color="auto" w:fill="auto"/>
          </w:tcPr>
          <w:p w14:paraId="1100A69C" w14:textId="77777777" w:rsidR="006C3DEB" w:rsidRDefault="006C3DEB" w:rsidP="005A7549">
            <w:pPr>
              <w:pStyle w:val="TableTextLeft"/>
            </w:pPr>
            <w:r>
              <w:t>Processed Seafood Manufacturing</w:t>
            </w:r>
          </w:p>
        </w:tc>
        <w:tc>
          <w:tcPr>
            <w:tcW w:w="0" w:type="auto"/>
            <w:shd w:val="clear" w:color="auto" w:fill="auto"/>
          </w:tcPr>
          <w:p w14:paraId="61046811" w14:textId="77777777" w:rsidR="006C3DEB" w:rsidRDefault="006C3DEB" w:rsidP="005A7549">
            <w:pPr>
              <w:pStyle w:val="TableTextLeft"/>
            </w:pPr>
            <w:r>
              <w:t>Manufacturing</w:t>
            </w:r>
          </w:p>
        </w:tc>
        <w:tc>
          <w:tcPr>
            <w:tcW w:w="0" w:type="auto"/>
            <w:shd w:val="clear" w:color="auto" w:fill="auto"/>
          </w:tcPr>
          <w:p w14:paraId="01193344" w14:textId="77777777" w:rsidR="006C3DEB" w:rsidRDefault="006C3DEB" w:rsidP="005A7549">
            <w:pPr>
              <w:pStyle w:val="TableTextLeft"/>
            </w:pPr>
            <w:r>
              <w:rPr>
                <w:sz w:val="22"/>
                <w:szCs w:val="22"/>
              </w:rPr>
              <w:t>MAN</w:t>
            </w:r>
          </w:p>
        </w:tc>
      </w:tr>
      <w:tr w:rsidR="006C3DEB" w14:paraId="75084078" w14:textId="77777777" w:rsidTr="004641CC">
        <w:trPr>
          <w:trHeight w:val="397"/>
        </w:trPr>
        <w:tc>
          <w:tcPr>
            <w:tcW w:w="0" w:type="auto"/>
            <w:tcBorders>
              <w:right w:val="single" w:sz="4" w:space="0" w:color="auto"/>
            </w:tcBorders>
            <w:shd w:val="clear" w:color="auto" w:fill="EEEEEE" w:themeFill="background2"/>
          </w:tcPr>
          <w:p w14:paraId="59CF965C" w14:textId="77777777" w:rsidR="006C3DEB" w:rsidRDefault="006C3DEB" w:rsidP="005A7549">
            <w:pPr>
              <w:pStyle w:val="TableTextLeft"/>
            </w:pPr>
            <w:r>
              <w:t>1103</w:t>
            </w:r>
          </w:p>
        </w:tc>
        <w:tc>
          <w:tcPr>
            <w:tcW w:w="0" w:type="auto"/>
            <w:tcBorders>
              <w:left w:val="single" w:sz="4" w:space="0" w:color="auto"/>
            </w:tcBorders>
            <w:shd w:val="clear" w:color="auto" w:fill="auto"/>
          </w:tcPr>
          <w:p w14:paraId="0BC83B57" w14:textId="77777777" w:rsidR="006C3DEB" w:rsidRDefault="006C3DEB" w:rsidP="005A7549">
            <w:pPr>
              <w:pStyle w:val="TableTextLeft"/>
            </w:pPr>
            <w:r>
              <w:t>Dairy Product Manufacturing</w:t>
            </w:r>
          </w:p>
        </w:tc>
        <w:tc>
          <w:tcPr>
            <w:tcW w:w="0" w:type="auto"/>
            <w:shd w:val="clear" w:color="auto" w:fill="auto"/>
          </w:tcPr>
          <w:p w14:paraId="1B992C02" w14:textId="77777777" w:rsidR="006C3DEB" w:rsidRDefault="006C3DEB" w:rsidP="005A7549">
            <w:pPr>
              <w:pStyle w:val="TableTextLeft"/>
            </w:pPr>
            <w:r>
              <w:t>Manufacturing</w:t>
            </w:r>
          </w:p>
        </w:tc>
        <w:tc>
          <w:tcPr>
            <w:tcW w:w="0" w:type="auto"/>
            <w:shd w:val="clear" w:color="auto" w:fill="auto"/>
          </w:tcPr>
          <w:p w14:paraId="5E3A136E" w14:textId="77777777" w:rsidR="006C3DEB" w:rsidRDefault="006C3DEB" w:rsidP="005A7549">
            <w:pPr>
              <w:pStyle w:val="TableTextLeft"/>
            </w:pPr>
            <w:r>
              <w:rPr>
                <w:sz w:val="22"/>
                <w:szCs w:val="22"/>
              </w:rPr>
              <w:t>MAN</w:t>
            </w:r>
          </w:p>
        </w:tc>
      </w:tr>
      <w:tr w:rsidR="006C3DEB" w14:paraId="01D7E96A" w14:textId="77777777" w:rsidTr="004641CC">
        <w:trPr>
          <w:trHeight w:val="397"/>
        </w:trPr>
        <w:tc>
          <w:tcPr>
            <w:tcW w:w="0" w:type="auto"/>
            <w:tcBorders>
              <w:right w:val="single" w:sz="4" w:space="0" w:color="auto"/>
            </w:tcBorders>
            <w:shd w:val="clear" w:color="auto" w:fill="EEEEEE" w:themeFill="background2"/>
          </w:tcPr>
          <w:p w14:paraId="589E2FCE" w14:textId="77777777" w:rsidR="006C3DEB" w:rsidRDefault="006C3DEB" w:rsidP="005A7549">
            <w:pPr>
              <w:pStyle w:val="TableTextLeft"/>
            </w:pPr>
            <w:r>
              <w:t>1104</w:t>
            </w:r>
          </w:p>
        </w:tc>
        <w:tc>
          <w:tcPr>
            <w:tcW w:w="0" w:type="auto"/>
            <w:tcBorders>
              <w:left w:val="single" w:sz="4" w:space="0" w:color="auto"/>
            </w:tcBorders>
            <w:shd w:val="clear" w:color="auto" w:fill="auto"/>
          </w:tcPr>
          <w:p w14:paraId="479CE78C" w14:textId="77777777" w:rsidR="006C3DEB" w:rsidRDefault="006C3DEB" w:rsidP="005A7549">
            <w:pPr>
              <w:pStyle w:val="TableTextLeft"/>
            </w:pPr>
            <w:r>
              <w:t>Fruit and Vegetable Product Manufacturing</w:t>
            </w:r>
          </w:p>
        </w:tc>
        <w:tc>
          <w:tcPr>
            <w:tcW w:w="0" w:type="auto"/>
            <w:shd w:val="clear" w:color="auto" w:fill="auto"/>
          </w:tcPr>
          <w:p w14:paraId="696BCD68" w14:textId="77777777" w:rsidR="006C3DEB" w:rsidRDefault="006C3DEB" w:rsidP="005A7549">
            <w:pPr>
              <w:pStyle w:val="TableTextLeft"/>
            </w:pPr>
            <w:r>
              <w:t>Manufacturing</w:t>
            </w:r>
          </w:p>
        </w:tc>
        <w:tc>
          <w:tcPr>
            <w:tcW w:w="0" w:type="auto"/>
            <w:shd w:val="clear" w:color="auto" w:fill="auto"/>
          </w:tcPr>
          <w:p w14:paraId="67B41008" w14:textId="77777777" w:rsidR="006C3DEB" w:rsidRDefault="006C3DEB" w:rsidP="005A7549">
            <w:pPr>
              <w:pStyle w:val="TableTextLeft"/>
            </w:pPr>
            <w:r>
              <w:rPr>
                <w:sz w:val="22"/>
                <w:szCs w:val="22"/>
              </w:rPr>
              <w:t>MAN</w:t>
            </w:r>
          </w:p>
        </w:tc>
      </w:tr>
      <w:tr w:rsidR="006C3DEB" w14:paraId="2B14BD74" w14:textId="77777777" w:rsidTr="004641CC">
        <w:trPr>
          <w:trHeight w:val="397"/>
        </w:trPr>
        <w:tc>
          <w:tcPr>
            <w:tcW w:w="0" w:type="auto"/>
            <w:tcBorders>
              <w:right w:val="single" w:sz="4" w:space="0" w:color="auto"/>
            </w:tcBorders>
            <w:shd w:val="clear" w:color="auto" w:fill="EEEEEE" w:themeFill="background2"/>
          </w:tcPr>
          <w:p w14:paraId="53222734" w14:textId="77777777" w:rsidR="006C3DEB" w:rsidRDefault="006C3DEB" w:rsidP="005A7549">
            <w:pPr>
              <w:pStyle w:val="TableTextLeft"/>
            </w:pPr>
            <w:r>
              <w:t>1105</w:t>
            </w:r>
          </w:p>
        </w:tc>
        <w:tc>
          <w:tcPr>
            <w:tcW w:w="0" w:type="auto"/>
            <w:tcBorders>
              <w:left w:val="single" w:sz="4" w:space="0" w:color="auto"/>
            </w:tcBorders>
            <w:shd w:val="clear" w:color="auto" w:fill="auto"/>
          </w:tcPr>
          <w:p w14:paraId="6046C95D" w14:textId="77777777" w:rsidR="006C3DEB" w:rsidRDefault="006C3DEB" w:rsidP="005A7549">
            <w:pPr>
              <w:pStyle w:val="TableTextLeft"/>
            </w:pPr>
            <w:r>
              <w:t>Oils and Fats Manufacturing</w:t>
            </w:r>
          </w:p>
        </w:tc>
        <w:tc>
          <w:tcPr>
            <w:tcW w:w="0" w:type="auto"/>
            <w:shd w:val="clear" w:color="auto" w:fill="auto"/>
          </w:tcPr>
          <w:p w14:paraId="16A7CC9B" w14:textId="77777777" w:rsidR="006C3DEB" w:rsidRDefault="006C3DEB" w:rsidP="005A7549">
            <w:pPr>
              <w:pStyle w:val="TableTextLeft"/>
            </w:pPr>
            <w:r>
              <w:t>Manufacturing</w:t>
            </w:r>
          </w:p>
        </w:tc>
        <w:tc>
          <w:tcPr>
            <w:tcW w:w="0" w:type="auto"/>
            <w:shd w:val="clear" w:color="auto" w:fill="auto"/>
          </w:tcPr>
          <w:p w14:paraId="3E61054A" w14:textId="77777777" w:rsidR="006C3DEB" w:rsidRDefault="006C3DEB" w:rsidP="005A7549">
            <w:pPr>
              <w:pStyle w:val="TableTextLeft"/>
            </w:pPr>
            <w:r>
              <w:rPr>
                <w:sz w:val="22"/>
                <w:szCs w:val="22"/>
              </w:rPr>
              <w:t>MAN</w:t>
            </w:r>
          </w:p>
        </w:tc>
      </w:tr>
      <w:tr w:rsidR="006C3DEB" w14:paraId="03D0439D" w14:textId="77777777" w:rsidTr="004641CC">
        <w:trPr>
          <w:trHeight w:val="397"/>
        </w:trPr>
        <w:tc>
          <w:tcPr>
            <w:tcW w:w="0" w:type="auto"/>
            <w:tcBorders>
              <w:right w:val="single" w:sz="4" w:space="0" w:color="auto"/>
            </w:tcBorders>
            <w:shd w:val="clear" w:color="auto" w:fill="EEEEEE" w:themeFill="background2"/>
          </w:tcPr>
          <w:p w14:paraId="55B4CF40" w14:textId="77777777" w:rsidR="006C3DEB" w:rsidRDefault="006C3DEB" w:rsidP="005A7549">
            <w:pPr>
              <w:pStyle w:val="TableTextLeft"/>
            </w:pPr>
            <w:r>
              <w:t>1106</w:t>
            </w:r>
          </w:p>
        </w:tc>
        <w:tc>
          <w:tcPr>
            <w:tcW w:w="0" w:type="auto"/>
            <w:tcBorders>
              <w:left w:val="single" w:sz="4" w:space="0" w:color="auto"/>
            </w:tcBorders>
            <w:shd w:val="clear" w:color="auto" w:fill="auto"/>
          </w:tcPr>
          <w:p w14:paraId="147FA85D" w14:textId="77777777" w:rsidR="006C3DEB" w:rsidRDefault="006C3DEB" w:rsidP="005A7549">
            <w:pPr>
              <w:pStyle w:val="TableTextLeft"/>
            </w:pPr>
            <w:r>
              <w:t>Grain Mill and Cereal Product Manufacturing</w:t>
            </w:r>
          </w:p>
        </w:tc>
        <w:tc>
          <w:tcPr>
            <w:tcW w:w="0" w:type="auto"/>
            <w:shd w:val="clear" w:color="auto" w:fill="auto"/>
          </w:tcPr>
          <w:p w14:paraId="006AB0A9" w14:textId="77777777" w:rsidR="006C3DEB" w:rsidRDefault="006C3DEB" w:rsidP="005A7549">
            <w:pPr>
              <w:pStyle w:val="TableTextLeft"/>
            </w:pPr>
            <w:r>
              <w:t>Manufacturing</w:t>
            </w:r>
          </w:p>
        </w:tc>
        <w:tc>
          <w:tcPr>
            <w:tcW w:w="0" w:type="auto"/>
            <w:shd w:val="clear" w:color="auto" w:fill="auto"/>
          </w:tcPr>
          <w:p w14:paraId="1807F1B4" w14:textId="77777777" w:rsidR="006C3DEB" w:rsidRDefault="006C3DEB" w:rsidP="005A7549">
            <w:pPr>
              <w:pStyle w:val="TableTextLeft"/>
            </w:pPr>
            <w:r>
              <w:rPr>
                <w:sz w:val="22"/>
                <w:szCs w:val="22"/>
              </w:rPr>
              <w:t>MAN</w:t>
            </w:r>
          </w:p>
        </w:tc>
      </w:tr>
      <w:tr w:rsidR="006C3DEB" w14:paraId="7706E186" w14:textId="77777777" w:rsidTr="004641CC">
        <w:trPr>
          <w:trHeight w:val="397"/>
        </w:trPr>
        <w:tc>
          <w:tcPr>
            <w:tcW w:w="0" w:type="auto"/>
            <w:tcBorders>
              <w:right w:val="single" w:sz="4" w:space="0" w:color="auto"/>
            </w:tcBorders>
            <w:shd w:val="clear" w:color="auto" w:fill="EEEEEE" w:themeFill="background2"/>
          </w:tcPr>
          <w:p w14:paraId="67BE8602" w14:textId="77777777" w:rsidR="006C3DEB" w:rsidRDefault="006C3DEB" w:rsidP="005A7549">
            <w:pPr>
              <w:pStyle w:val="TableTextLeft"/>
            </w:pPr>
            <w:r>
              <w:t>1107</w:t>
            </w:r>
          </w:p>
        </w:tc>
        <w:tc>
          <w:tcPr>
            <w:tcW w:w="0" w:type="auto"/>
            <w:tcBorders>
              <w:left w:val="single" w:sz="4" w:space="0" w:color="auto"/>
            </w:tcBorders>
            <w:shd w:val="clear" w:color="auto" w:fill="auto"/>
          </w:tcPr>
          <w:p w14:paraId="1327E41E" w14:textId="77777777" w:rsidR="006C3DEB" w:rsidRDefault="006C3DEB" w:rsidP="005A7549">
            <w:pPr>
              <w:pStyle w:val="TableTextLeft"/>
            </w:pPr>
            <w:r>
              <w:t>Bakery Product Manufacturing</w:t>
            </w:r>
          </w:p>
        </w:tc>
        <w:tc>
          <w:tcPr>
            <w:tcW w:w="0" w:type="auto"/>
            <w:shd w:val="clear" w:color="auto" w:fill="auto"/>
          </w:tcPr>
          <w:p w14:paraId="7C67058C" w14:textId="77777777" w:rsidR="006C3DEB" w:rsidRDefault="006C3DEB" w:rsidP="005A7549">
            <w:pPr>
              <w:pStyle w:val="TableTextLeft"/>
            </w:pPr>
            <w:r>
              <w:t>Manufacturing</w:t>
            </w:r>
          </w:p>
        </w:tc>
        <w:tc>
          <w:tcPr>
            <w:tcW w:w="0" w:type="auto"/>
            <w:shd w:val="clear" w:color="auto" w:fill="auto"/>
          </w:tcPr>
          <w:p w14:paraId="174CC3F9" w14:textId="77777777" w:rsidR="006C3DEB" w:rsidRDefault="006C3DEB" w:rsidP="005A7549">
            <w:pPr>
              <w:pStyle w:val="TableTextLeft"/>
            </w:pPr>
            <w:r>
              <w:rPr>
                <w:sz w:val="22"/>
                <w:szCs w:val="22"/>
              </w:rPr>
              <w:t>MAN</w:t>
            </w:r>
          </w:p>
        </w:tc>
      </w:tr>
      <w:tr w:rsidR="006C3DEB" w14:paraId="7EADC86F" w14:textId="77777777" w:rsidTr="004641CC">
        <w:trPr>
          <w:trHeight w:val="397"/>
        </w:trPr>
        <w:tc>
          <w:tcPr>
            <w:tcW w:w="0" w:type="auto"/>
            <w:tcBorders>
              <w:right w:val="single" w:sz="4" w:space="0" w:color="auto"/>
            </w:tcBorders>
            <w:shd w:val="clear" w:color="auto" w:fill="EEEEEE" w:themeFill="background2"/>
          </w:tcPr>
          <w:p w14:paraId="5E06C91D" w14:textId="77777777" w:rsidR="006C3DEB" w:rsidRDefault="006C3DEB" w:rsidP="005A7549">
            <w:pPr>
              <w:pStyle w:val="TableTextLeft"/>
            </w:pPr>
            <w:r>
              <w:t>1108</w:t>
            </w:r>
          </w:p>
        </w:tc>
        <w:tc>
          <w:tcPr>
            <w:tcW w:w="0" w:type="auto"/>
            <w:tcBorders>
              <w:left w:val="single" w:sz="4" w:space="0" w:color="auto"/>
            </w:tcBorders>
            <w:shd w:val="clear" w:color="auto" w:fill="auto"/>
          </w:tcPr>
          <w:p w14:paraId="455E4C0E" w14:textId="77777777" w:rsidR="006C3DEB" w:rsidRDefault="006C3DEB" w:rsidP="005A7549">
            <w:pPr>
              <w:pStyle w:val="TableTextLeft"/>
            </w:pPr>
            <w:r>
              <w:t>Sugar and Confectionery Manufacturing</w:t>
            </w:r>
          </w:p>
        </w:tc>
        <w:tc>
          <w:tcPr>
            <w:tcW w:w="0" w:type="auto"/>
            <w:shd w:val="clear" w:color="auto" w:fill="auto"/>
          </w:tcPr>
          <w:p w14:paraId="4D988BDA" w14:textId="77777777" w:rsidR="006C3DEB" w:rsidRDefault="006C3DEB" w:rsidP="005A7549">
            <w:pPr>
              <w:pStyle w:val="TableTextLeft"/>
            </w:pPr>
            <w:r>
              <w:t>Manufacturing</w:t>
            </w:r>
          </w:p>
        </w:tc>
        <w:tc>
          <w:tcPr>
            <w:tcW w:w="0" w:type="auto"/>
            <w:shd w:val="clear" w:color="auto" w:fill="auto"/>
          </w:tcPr>
          <w:p w14:paraId="703A1112" w14:textId="77777777" w:rsidR="006C3DEB" w:rsidRDefault="006C3DEB" w:rsidP="005A7549">
            <w:pPr>
              <w:pStyle w:val="TableTextLeft"/>
            </w:pPr>
            <w:r>
              <w:rPr>
                <w:sz w:val="22"/>
                <w:szCs w:val="22"/>
              </w:rPr>
              <w:t>MAN</w:t>
            </w:r>
          </w:p>
        </w:tc>
      </w:tr>
      <w:tr w:rsidR="006C3DEB" w14:paraId="231F123F" w14:textId="77777777" w:rsidTr="004641CC">
        <w:trPr>
          <w:trHeight w:val="397"/>
        </w:trPr>
        <w:tc>
          <w:tcPr>
            <w:tcW w:w="0" w:type="auto"/>
            <w:tcBorders>
              <w:right w:val="single" w:sz="4" w:space="0" w:color="auto"/>
            </w:tcBorders>
            <w:shd w:val="clear" w:color="auto" w:fill="EEEEEE" w:themeFill="background2"/>
          </w:tcPr>
          <w:p w14:paraId="6BEF55EA" w14:textId="77777777" w:rsidR="006C3DEB" w:rsidRDefault="006C3DEB" w:rsidP="005A7549">
            <w:pPr>
              <w:pStyle w:val="TableTextLeft"/>
            </w:pPr>
            <w:r>
              <w:t>1109</w:t>
            </w:r>
          </w:p>
        </w:tc>
        <w:tc>
          <w:tcPr>
            <w:tcW w:w="0" w:type="auto"/>
            <w:tcBorders>
              <w:left w:val="single" w:sz="4" w:space="0" w:color="auto"/>
            </w:tcBorders>
            <w:shd w:val="clear" w:color="auto" w:fill="auto"/>
          </w:tcPr>
          <w:p w14:paraId="57BFDB22" w14:textId="77777777" w:rsidR="006C3DEB" w:rsidRDefault="006C3DEB" w:rsidP="005A7549">
            <w:pPr>
              <w:pStyle w:val="TableTextLeft"/>
            </w:pPr>
            <w:r>
              <w:t>Other Food Product Manufacturing</w:t>
            </w:r>
          </w:p>
        </w:tc>
        <w:tc>
          <w:tcPr>
            <w:tcW w:w="0" w:type="auto"/>
            <w:shd w:val="clear" w:color="auto" w:fill="auto"/>
          </w:tcPr>
          <w:p w14:paraId="76467B31" w14:textId="77777777" w:rsidR="006C3DEB" w:rsidRDefault="006C3DEB" w:rsidP="005A7549">
            <w:pPr>
              <w:pStyle w:val="TableTextLeft"/>
            </w:pPr>
            <w:r>
              <w:t>Manufacturing</w:t>
            </w:r>
          </w:p>
        </w:tc>
        <w:tc>
          <w:tcPr>
            <w:tcW w:w="0" w:type="auto"/>
            <w:shd w:val="clear" w:color="auto" w:fill="auto"/>
          </w:tcPr>
          <w:p w14:paraId="08F110D3" w14:textId="77777777" w:rsidR="006C3DEB" w:rsidRDefault="006C3DEB" w:rsidP="005A7549">
            <w:pPr>
              <w:pStyle w:val="TableTextLeft"/>
            </w:pPr>
            <w:r>
              <w:rPr>
                <w:sz w:val="22"/>
                <w:szCs w:val="22"/>
              </w:rPr>
              <w:t>MAN</w:t>
            </w:r>
          </w:p>
        </w:tc>
      </w:tr>
      <w:tr w:rsidR="006C3DEB" w14:paraId="4B43CB48" w14:textId="77777777" w:rsidTr="004641CC">
        <w:trPr>
          <w:trHeight w:val="397"/>
        </w:trPr>
        <w:tc>
          <w:tcPr>
            <w:tcW w:w="0" w:type="auto"/>
            <w:tcBorders>
              <w:right w:val="single" w:sz="4" w:space="0" w:color="auto"/>
            </w:tcBorders>
            <w:shd w:val="clear" w:color="auto" w:fill="EEEEEE" w:themeFill="background2"/>
          </w:tcPr>
          <w:p w14:paraId="7A0BB913" w14:textId="77777777" w:rsidR="006C3DEB" w:rsidRDefault="006C3DEB" w:rsidP="005A7549">
            <w:pPr>
              <w:pStyle w:val="TableTextLeft"/>
            </w:pPr>
            <w:r>
              <w:t>1201</w:t>
            </w:r>
          </w:p>
        </w:tc>
        <w:tc>
          <w:tcPr>
            <w:tcW w:w="0" w:type="auto"/>
            <w:tcBorders>
              <w:left w:val="single" w:sz="4" w:space="0" w:color="auto"/>
            </w:tcBorders>
            <w:shd w:val="clear" w:color="auto" w:fill="auto"/>
          </w:tcPr>
          <w:p w14:paraId="2EC804F7" w14:textId="77777777" w:rsidR="006C3DEB" w:rsidRDefault="006C3DEB" w:rsidP="005A7549">
            <w:pPr>
              <w:pStyle w:val="TableTextLeft"/>
            </w:pPr>
            <w:r>
              <w:t>Soft Drinks, Cordials and Syrup Manufacturing</w:t>
            </w:r>
          </w:p>
        </w:tc>
        <w:tc>
          <w:tcPr>
            <w:tcW w:w="0" w:type="auto"/>
            <w:shd w:val="clear" w:color="auto" w:fill="auto"/>
          </w:tcPr>
          <w:p w14:paraId="4A734355" w14:textId="77777777" w:rsidR="006C3DEB" w:rsidRDefault="006C3DEB" w:rsidP="005A7549">
            <w:pPr>
              <w:pStyle w:val="TableTextLeft"/>
            </w:pPr>
            <w:r>
              <w:t>Manufacturing</w:t>
            </w:r>
          </w:p>
        </w:tc>
        <w:tc>
          <w:tcPr>
            <w:tcW w:w="0" w:type="auto"/>
            <w:shd w:val="clear" w:color="auto" w:fill="auto"/>
          </w:tcPr>
          <w:p w14:paraId="42EAF848" w14:textId="77777777" w:rsidR="006C3DEB" w:rsidRDefault="006C3DEB" w:rsidP="005A7549">
            <w:pPr>
              <w:pStyle w:val="TableTextLeft"/>
            </w:pPr>
            <w:r>
              <w:rPr>
                <w:sz w:val="22"/>
                <w:szCs w:val="22"/>
              </w:rPr>
              <w:t>MAN</w:t>
            </w:r>
          </w:p>
        </w:tc>
      </w:tr>
      <w:tr w:rsidR="006C3DEB" w14:paraId="04620D4B" w14:textId="77777777" w:rsidTr="004641CC">
        <w:trPr>
          <w:trHeight w:val="397"/>
        </w:trPr>
        <w:tc>
          <w:tcPr>
            <w:tcW w:w="0" w:type="auto"/>
            <w:tcBorders>
              <w:right w:val="single" w:sz="4" w:space="0" w:color="auto"/>
            </w:tcBorders>
            <w:shd w:val="clear" w:color="auto" w:fill="EEEEEE" w:themeFill="background2"/>
          </w:tcPr>
          <w:p w14:paraId="02DA5CEE" w14:textId="77777777" w:rsidR="006C3DEB" w:rsidRDefault="006C3DEB" w:rsidP="005A7549">
            <w:pPr>
              <w:pStyle w:val="TableTextLeft"/>
            </w:pPr>
            <w:r>
              <w:t>1202</w:t>
            </w:r>
          </w:p>
        </w:tc>
        <w:tc>
          <w:tcPr>
            <w:tcW w:w="0" w:type="auto"/>
            <w:tcBorders>
              <w:left w:val="single" w:sz="4" w:space="0" w:color="auto"/>
            </w:tcBorders>
            <w:shd w:val="clear" w:color="auto" w:fill="auto"/>
          </w:tcPr>
          <w:p w14:paraId="0E2BCCCA" w14:textId="77777777" w:rsidR="006C3DEB" w:rsidRDefault="006C3DEB" w:rsidP="005A7549">
            <w:pPr>
              <w:pStyle w:val="TableTextLeft"/>
            </w:pPr>
            <w:r>
              <w:t>Beer Manufacturing</w:t>
            </w:r>
          </w:p>
        </w:tc>
        <w:tc>
          <w:tcPr>
            <w:tcW w:w="0" w:type="auto"/>
            <w:shd w:val="clear" w:color="auto" w:fill="auto"/>
          </w:tcPr>
          <w:p w14:paraId="415C08F3" w14:textId="77777777" w:rsidR="006C3DEB" w:rsidRDefault="006C3DEB" w:rsidP="005A7549">
            <w:pPr>
              <w:pStyle w:val="TableTextLeft"/>
            </w:pPr>
            <w:r>
              <w:t>Manufacturing</w:t>
            </w:r>
          </w:p>
        </w:tc>
        <w:tc>
          <w:tcPr>
            <w:tcW w:w="0" w:type="auto"/>
            <w:shd w:val="clear" w:color="auto" w:fill="auto"/>
          </w:tcPr>
          <w:p w14:paraId="02D0192A" w14:textId="77777777" w:rsidR="006C3DEB" w:rsidRDefault="006C3DEB" w:rsidP="005A7549">
            <w:pPr>
              <w:pStyle w:val="TableTextLeft"/>
            </w:pPr>
            <w:r>
              <w:rPr>
                <w:sz w:val="22"/>
                <w:szCs w:val="22"/>
              </w:rPr>
              <w:t>MAN</w:t>
            </w:r>
          </w:p>
        </w:tc>
      </w:tr>
      <w:tr w:rsidR="006C3DEB" w14:paraId="40D40C9D" w14:textId="77777777" w:rsidTr="004641CC">
        <w:trPr>
          <w:trHeight w:val="397"/>
        </w:trPr>
        <w:tc>
          <w:tcPr>
            <w:tcW w:w="0" w:type="auto"/>
            <w:tcBorders>
              <w:right w:val="single" w:sz="4" w:space="0" w:color="auto"/>
            </w:tcBorders>
            <w:shd w:val="clear" w:color="auto" w:fill="EEEEEE" w:themeFill="background2"/>
          </w:tcPr>
          <w:p w14:paraId="40A4B018" w14:textId="77777777" w:rsidR="006C3DEB" w:rsidRDefault="006C3DEB" w:rsidP="005A7549">
            <w:pPr>
              <w:pStyle w:val="TableTextLeft"/>
            </w:pPr>
            <w:r>
              <w:t>1205</w:t>
            </w:r>
          </w:p>
        </w:tc>
        <w:tc>
          <w:tcPr>
            <w:tcW w:w="0" w:type="auto"/>
            <w:tcBorders>
              <w:left w:val="single" w:sz="4" w:space="0" w:color="auto"/>
            </w:tcBorders>
            <w:shd w:val="clear" w:color="auto" w:fill="auto"/>
          </w:tcPr>
          <w:p w14:paraId="09045BE2" w14:textId="77777777" w:rsidR="006C3DEB" w:rsidRDefault="006C3DEB" w:rsidP="005A7549">
            <w:pPr>
              <w:pStyle w:val="TableTextLeft"/>
            </w:pPr>
            <w:r>
              <w:t>Wine, Spirits and Tobacco</w:t>
            </w:r>
          </w:p>
        </w:tc>
        <w:tc>
          <w:tcPr>
            <w:tcW w:w="0" w:type="auto"/>
            <w:shd w:val="clear" w:color="auto" w:fill="auto"/>
          </w:tcPr>
          <w:p w14:paraId="0745A91F" w14:textId="77777777" w:rsidR="006C3DEB" w:rsidRDefault="006C3DEB" w:rsidP="005A7549">
            <w:pPr>
              <w:pStyle w:val="TableTextLeft"/>
            </w:pPr>
            <w:r>
              <w:t>Manufacturing</w:t>
            </w:r>
          </w:p>
        </w:tc>
        <w:tc>
          <w:tcPr>
            <w:tcW w:w="0" w:type="auto"/>
            <w:shd w:val="clear" w:color="auto" w:fill="auto"/>
          </w:tcPr>
          <w:p w14:paraId="1675D0B2" w14:textId="77777777" w:rsidR="006C3DEB" w:rsidRDefault="006C3DEB" w:rsidP="005A7549">
            <w:pPr>
              <w:pStyle w:val="TableTextLeft"/>
            </w:pPr>
            <w:r>
              <w:rPr>
                <w:sz w:val="22"/>
                <w:szCs w:val="22"/>
              </w:rPr>
              <w:t>MAN</w:t>
            </w:r>
          </w:p>
        </w:tc>
      </w:tr>
      <w:tr w:rsidR="006C3DEB" w14:paraId="5A2F06C7" w14:textId="77777777" w:rsidTr="004641CC">
        <w:trPr>
          <w:trHeight w:val="397"/>
        </w:trPr>
        <w:tc>
          <w:tcPr>
            <w:tcW w:w="0" w:type="auto"/>
            <w:tcBorders>
              <w:right w:val="single" w:sz="4" w:space="0" w:color="auto"/>
            </w:tcBorders>
            <w:shd w:val="clear" w:color="auto" w:fill="EEEEEE" w:themeFill="background2"/>
          </w:tcPr>
          <w:p w14:paraId="21F4B59C" w14:textId="77777777" w:rsidR="006C3DEB" w:rsidRDefault="006C3DEB" w:rsidP="005A7549">
            <w:pPr>
              <w:pStyle w:val="TableTextLeft"/>
            </w:pPr>
            <w:r>
              <w:t>1301</w:t>
            </w:r>
          </w:p>
        </w:tc>
        <w:tc>
          <w:tcPr>
            <w:tcW w:w="0" w:type="auto"/>
            <w:tcBorders>
              <w:left w:val="single" w:sz="4" w:space="0" w:color="auto"/>
            </w:tcBorders>
            <w:shd w:val="clear" w:color="auto" w:fill="auto"/>
          </w:tcPr>
          <w:p w14:paraId="43E7DB97" w14:textId="77777777" w:rsidR="006C3DEB" w:rsidRDefault="006C3DEB" w:rsidP="005A7549">
            <w:pPr>
              <w:pStyle w:val="TableTextLeft"/>
            </w:pPr>
            <w:r>
              <w:t>Textile Manufacturing</w:t>
            </w:r>
          </w:p>
        </w:tc>
        <w:tc>
          <w:tcPr>
            <w:tcW w:w="0" w:type="auto"/>
            <w:shd w:val="clear" w:color="auto" w:fill="auto"/>
          </w:tcPr>
          <w:p w14:paraId="30E0195B" w14:textId="77777777" w:rsidR="006C3DEB" w:rsidRDefault="006C3DEB" w:rsidP="005A7549">
            <w:pPr>
              <w:pStyle w:val="TableTextLeft"/>
            </w:pPr>
            <w:r>
              <w:t>Manufacturing</w:t>
            </w:r>
          </w:p>
        </w:tc>
        <w:tc>
          <w:tcPr>
            <w:tcW w:w="0" w:type="auto"/>
            <w:shd w:val="clear" w:color="auto" w:fill="auto"/>
          </w:tcPr>
          <w:p w14:paraId="2039884F" w14:textId="77777777" w:rsidR="006C3DEB" w:rsidRDefault="006C3DEB" w:rsidP="005A7549">
            <w:pPr>
              <w:pStyle w:val="TableTextLeft"/>
            </w:pPr>
            <w:r>
              <w:rPr>
                <w:sz w:val="22"/>
                <w:szCs w:val="22"/>
              </w:rPr>
              <w:t>MAN</w:t>
            </w:r>
          </w:p>
        </w:tc>
      </w:tr>
      <w:tr w:rsidR="006C3DEB" w14:paraId="221B13F0" w14:textId="77777777" w:rsidTr="004641CC">
        <w:trPr>
          <w:trHeight w:val="397"/>
        </w:trPr>
        <w:tc>
          <w:tcPr>
            <w:tcW w:w="0" w:type="auto"/>
            <w:tcBorders>
              <w:right w:val="single" w:sz="4" w:space="0" w:color="auto"/>
            </w:tcBorders>
            <w:shd w:val="clear" w:color="auto" w:fill="EEEEEE" w:themeFill="background2"/>
          </w:tcPr>
          <w:p w14:paraId="5923F674" w14:textId="77777777" w:rsidR="006C3DEB" w:rsidRDefault="006C3DEB" w:rsidP="005A7549">
            <w:pPr>
              <w:pStyle w:val="TableTextLeft"/>
            </w:pPr>
            <w:r>
              <w:t>1302</w:t>
            </w:r>
          </w:p>
        </w:tc>
        <w:tc>
          <w:tcPr>
            <w:tcW w:w="0" w:type="auto"/>
            <w:tcBorders>
              <w:left w:val="single" w:sz="4" w:space="0" w:color="auto"/>
            </w:tcBorders>
            <w:shd w:val="clear" w:color="auto" w:fill="auto"/>
          </w:tcPr>
          <w:p w14:paraId="53B2AB23" w14:textId="77777777" w:rsidR="006C3DEB" w:rsidRDefault="006C3DEB" w:rsidP="005A7549">
            <w:pPr>
              <w:pStyle w:val="TableTextLeft"/>
            </w:pPr>
            <w:r>
              <w:t>Tanned Leather, Dressed Fur and Leather Product Manufacturing</w:t>
            </w:r>
          </w:p>
        </w:tc>
        <w:tc>
          <w:tcPr>
            <w:tcW w:w="0" w:type="auto"/>
            <w:shd w:val="clear" w:color="auto" w:fill="auto"/>
          </w:tcPr>
          <w:p w14:paraId="085C463E" w14:textId="77777777" w:rsidR="006C3DEB" w:rsidRDefault="006C3DEB" w:rsidP="005A7549">
            <w:pPr>
              <w:pStyle w:val="TableTextLeft"/>
            </w:pPr>
            <w:r>
              <w:t>Manufacturing</w:t>
            </w:r>
          </w:p>
        </w:tc>
        <w:tc>
          <w:tcPr>
            <w:tcW w:w="0" w:type="auto"/>
            <w:shd w:val="clear" w:color="auto" w:fill="auto"/>
          </w:tcPr>
          <w:p w14:paraId="56FF7AE9" w14:textId="77777777" w:rsidR="006C3DEB" w:rsidRDefault="006C3DEB" w:rsidP="005A7549">
            <w:pPr>
              <w:pStyle w:val="TableTextLeft"/>
            </w:pPr>
            <w:r>
              <w:rPr>
                <w:sz w:val="22"/>
                <w:szCs w:val="22"/>
              </w:rPr>
              <w:t>MAN</w:t>
            </w:r>
          </w:p>
        </w:tc>
      </w:tr>
      <w:tr w:rsidR="006C3DEB" w14:paraId="7BA5F2FB" w14:textId="77777777" w:rsidTr="004641CC">
        <w:trPr>
          <w:trHeight w:val="397"/>
        </w:trPr>
        <w:tc>
          <w:tcPr>
            <w:tcW w:w="0" w:type="auto"/>
            <w:tcBorders>
              <w:right w:val="single" w:sz="4" w:space="0" w:color="auto"/>
            </w:tcBorders>
            <w:shd w:val="clear" w:color="auto" w:fill="EEEEEE" w:themeFill="background2"/>
          </w:tcPr>
          <w:p w14:paraId="03D8A91F" w14:textId="77777777" w:rsidR="006C3DEB" w:rsidRDefault="006C3DEB" w:rsidP="005A7549">
            <w:pPr>
              <w:pStyle w:val="TableTextLeft"/>
            </w:pPr>
            <w:r>
              <w:t>1303</w:t>
            </w:r>
          </w:p>
        </w:tc>
        <w:tc>
          <w:tcPr>
            <w:tcW w:w="0" w:type="auto"/>
            <w:tcBorders>
              <w:left w:val="single" w:sz="4" w:space="0" w:color="auto"/>
            </w:tcBorders>
            <w:shd w:val="clear" w:color="auto" w:fill="auto"/>
          </w:tcPr>
          <w:p w14:paraId="29DCAFF4" w14:textId="77777777" w:rsidR="006C3DEB" w:rsidRDefault="006C3DEB" w:rsidP="005A7549">
            <w:pPr>
              <w:pStyle w:val="TableTextLeft"/>
            </w:pPr>
            <w:r>
              <w:t>Textile Product Manufacturing</w:t>
            </w:r>
          </w:p>
        </w:tc>
        <w:tc>
          <w:tcPr>
            <w:tcW w:w="0" w:type="auto"/>
            <w:shd w:val="clear" w:color="auto" w:fill="auto"/>
          </w:tcPr>
          <w:p w14:paraId="1256E522" w14:textId="77777777" w:rsidR="006C3DEB" w:rsidRDefault="006C3DEB" w:rsidP="005A7549">
            <w:pPr>
              <w:pStyle w:val="TableTextLeft"/>
            </w:pPr>
            <w:r>
              <w:t>Manufacturing</w:t>
            </w:r>
          </w:p>
        </w:tc>
        <w:tc>
          <w:tcPr>
            <w:tcW w:w="0" w:type="auto"/>
            <w:shd w:val="clear" w:color="auto" w:fill="auto"/>
          </w:tcPr>
          <w:p w14:paraId="2AA0F363" w14:textId="77777777" w:rsidR="006C3DEB" w:rsidRDefault="006C3DEB" w:rsidP="005A7549">
            <w:pPr>
              <w:pStyle w:val="TableTextLeft"/>
            </w:pPr>
            <w:r>
              <w:rPr>
                <w:sz w:val="22"/>
                <w:szCs w:val="22"/>
              </w:rPr>
              <w:t>MAN</w:t>
            </w:r>
          </w:p>
        </w:tc>
      </w:tr>
      <w:tr w:rsidR="006C3DEB" w14:paraId="5C31B5B0" w14:textId="77777777" w:rsidTr="004641CC">
        <w:trPr>
          <w:trHeight w:val="397"/>
        </w:trPr>
        <w:tc>
          <w:tcPr>
            <w:tcW w:w="0" w:type="auto"/>
            <w:tcBorders>
              <w:right w:val="single" w:sz="4" w:space="0" w:color="auto"/>
            </w:tcBorders>
            <w:shd w:val="clear" w:color="auto" w:fill="EEEEEE" w:themeFill="background2"/>
          </w:tcPr>
          <w:p w14:paraId="2867751B" w14:textId="77777777" w:rsidR="006C3DEB" w:rsidRDefault="006C3DEB" w:rsidP="005A7549">
            <w:pPr>
              <w:pStyle w:val="TableTextLeft"/>
            </w:pPr>
            <w:r>
              <w:t>1304</w:t>
            </w:r>
          </w:p>
        </w:tc>
        <w:tc>
          <w:tcPr>
            <w:tcW w:w="0" w:type="auto"/>
            <w:tcBorders>
              <w:left w:val="single" w:sz="4" w:space="0" w:color="auto"/>
            </w:tcBorders>
            <w:shd w:val="clear" w:color="auto" w:fill="auto"/>
          </w:tcPr>
          <w:p w14:paraId="24045245" w14:textId="77777777" w:rsidR="006C3DEB" w:rsidRDefault="006C3DEB" w:rsidP="005A7549">
            <w:pPr>
              <w:pStyle w:val="TableTextLeft"/>
            </w:pPr>
            <w:r>
              <w:t>Knitted Product Manufacturing</w:t>
            </w:r>
          </w:p>
        </w:tc>
        <w:tc>
          <w:tcPr>
            <w:tcW w:w="0" w:type="auto"/>
            <w:shd w:val="clear" w:color="auto" w:fill="auto"/>
          </w:tcPr>
          <w:p w14:paraId="54D4E327" w14:textId="77777777" w:rsidR="006C3DEB" w:rsidRDefault="006C3DEB" w:rsidP="005A7549">
            <w:pPr>
              <w:pStyle w:val="TableTextLeft"/>
            </w:pPr>
            <w:r>
              <w:t>Manufacturing</w:t>
            </w:r>
          </w:p>
        </w:tc>
        <w:tc>
          <w:tcPr>
            <w:tcW w:w="0" w:type="auto"/>
            <w:shd w:val="clear" w:color="auto" w:fill="auto"/>
          </w:tcPr>
          <w:p w14:paraId="061B30F4" w14:textId="77777777" w:rsidR="006C3DEB" w:rsidRDefault="006C3DEB" w:rsidP="005A7549">
            <w:pPr>
              <w:pStyle w:val="TableTextLeft"/>
            </w:pPr>
            <w:r>
              <w:rPr>
                <w:sz w:val="22"/>
                <w:szCs w:val="22"/>
              </w:rPr>
              <w:t>MAN</w:t>
            </w:r>
          </w:p>
        </w:tc>
      </w:tr>
      <w:tr w:rsidR="006C3DEB" w14:paraId="0EFCED78" w14:textId="77777777" w:rsidTr="004641CC">
        <w:trPr>
          <w:trHeight w:val="397"/>
        </w:trPr>
        <w:tc>
          <w:tcPr>
            <w:tcW w:w="0" w:type="auto"/>
            <w:tcBorders>
              <w:right w:val="single" w:sz="4" w:space="0" w:color="auto"/>
            </w:tcBorders>
            <w:shd w:val="clear" w:color="auto" w:fill="EEEEEE" w:themeFill="background2"/>
          </w:tcPr>
          <w:p w14:paraId="7A1411DA" w14:textId="77777777" w:rsidR="006C3DEB" w:rsidRDefault="006C3DEB" w:rsidP="005A7549">
            <w:pPr>
              <w:pStyle w:val="TableTextLeft"/>
            </w:pPr>
            <w:r>
              <w:lastRenderedPageBreak/>
              <w:t>1305</w:t>
            </w:r>
          </w:p>
        </w:tc>
        <w:tc>
          <w:tcPr>
            <w:tcW w:w="0" w:type="auto"/>
            <w:tcBorders>
              <w:left w:val="single" w:sz="4" w:space="0" w:color="auto"/>
            </w:tcBorders>
            <w:shd w:val="clear" w:color="auto" w:fill="auto"/>
          </w:tcPr>
          <w:p w14:paraId="6EFDCE21" w14:textId="77777777" w:rsidR="006C3DEB" w:rsidRDefault="006C3DEB" w:rsidP="005A7549">
            <w:pPr>
              <w:pStyle w:val="TableTextLeft"/>
            </w:pPr>
            <w:r>
              <w:t>Clothing Manufacturing</w:t>
            </w:r>
          </w:p>
        </w:tc>
        <w:tc>
          <w:tcPr>
            <w:tcW w:w="0" w:type="auto"/>
            <w:shd w:val="clear" w:color="auto" w:fill="auto"/>
          </w:tcPr>
          <w:p w14:paraId="19D9C499" w14:textId="77777777" w:rsidR="006C3DEB" w:rsidRDefault="006C3DEB" w:rsidP="005A7549">
            <w:pPr>
              <w:pStyle w:val="TableTextLeft"/>
            </w:pPr>
            <w:r>
              <w:t>Manufacturing</w:t>
            </w:r>
          </w:p>
        </w:tc>
        <w:tc>
          <w:tcPr>
            <w:tcW w:w="0" w:type="auto"/>
            <w:shd w:val="clear" w:color="auto" w:fill="auto"/>
          </w:tcPr>
          <w:p w14:paraId="5257D7C1" w14:textId="77777777" w:rsidR="006C3DEB" w:rsidRDefault="006C3DEB" w:rsidP="005A7549">
            <w:pPr>
              <w:pStyle w:val="TableTextLeft"/>
            </w:pPr>
            <w:r>
              <w:rPr>
                <w:sz w:val="22"/>
                <w:szCs w:val="22"/>
              </w:rPr>
              <w:t>MAN</w:t>
            </w:r>
          </w:p>
        </w:tc>
      </w:tr>
      <w:tr w:rsidR="006C3DEB" w14:paraId="07390C46" w14:textId="77777777" w:rsidTr="004641CC">
        <w:trPr>
          <w:trHeight w:val="397"/>
        </w:trPr>
        <w:tc>
          <w:tcPr>
            <w:tcW w:w="0" w:type="auto"/>
            <w:tcBorders>
              <w:right w:val="single" w:sz="4" w:space="0" w:color="auto"/>
            </w:tcBorders>
            <w:shd w:val="clear" w:color="auto" w:fill="EEEEEE" w:themeFill="background2"/>
          </w:tcPr>
          <w:p w14:paraId="182ECCB8" w14:textId="77777777" w:rsidR="006C3DEB" w:rsidRDefault="006C3DEB" w:rsidP="005A7549">
            <w:pPr>
              <w:pStyle w:val="TableTextLeft"/>
            </w:pPr>
            <w:r>
              <w:t>1306</w:t>
            </w:r>
          </w:p>
        </w:tc>
        <w:tc>
          <w:tcPr>
            <w:tcW w:w="0" w:type="auto"/>
            <w:tcBorders>
              <w:left w:val="single" w:sz="4" w:space="0" w:color="auto"/>
            </w:tcBorders>
            <w:shd w:val="clear" w:color="auto" w:fill="auto"/>
          </w:tcPr>
          <w:p w14:paraId="56706431" w14:textId="77777777" w:rsidR="006C3DEB" w:rsidRDefault="006C3DEB" w:rsidP="005A7549">
            <w:pPr>
              <w:pStyle w:val="TableTextLeft"/>
            </w:pPr>
            <w:r>
              <w:t>Footwear Manufacturing</w:t>
            </w:r>
          </w:p>
        </w:tc>
        <w:tc>
          <w:tcPr>
            <w:tcW w:w="0" w:type="auto"/>
            <w:shd w:val="clear" w:color="auto" w:fill="auto"/>
          </w:tcPr>
          <w:p w14:paraId="30C0923B" w14:textId="77777777" w:rsidR="006C3DEB" w:rsidRDefault="006C3DEB" w:rsidP="005A7549">
            <w:pPr>
              <w:pStyle w:val="TableTextLeft"/>
            </w:pPr>
            <w:r>
              <w:t>Manufacturing</w:t>
            </w:r>
          </w:p>
        </w:tc>
        <w:tc>
          <w:tcPr>
            <w:tcW w:w="0" w:type="auto"/>
            <w:shd w:val="clear" w:color="auto" w:fill="auto"/>
          </w:tcPr>
          <w:p w14:paraId="66B6A085" w14:textId="77777777" w:rsidR="006C3DEB" w:rsidRDefault="006C3DEB" w:rsidP="005A7549">
            <w:pPr>
              <w:pStyle w:val="TableTextLeft"/>
            </w:pPr>
            <w:r>
              <w:rPr>
                <w:sz w:val="22"/>
                <w:szCs w:val="22"/>
              </w:rPr>
              <w:t>MAN</w:t>
            </w:r>
          </w:p>
        </w:tc>
      </w:tr>
      <w:tr w:rsidR="006C3DEB" w14:paraId="1B423AF1" w14:textId="77777777" w:rsidTr="004641CC">
        <w:trPr>
          <w:trHeight w:val="397"/>
        </w:trPr>
        <w:tc>
          <w:tcPr>
            <w:tcW w:w="0" w:type="auto"/>
            <w:tcBorders>
              <w:right w:val="single" w:sz="4" w:space="0" w:color="auto"/>
            </w:tcBorders>
            <w:shd w:val="clear" w:color="auto" w:fill="EEEEEE" w:themeFill="background2"/>
          </w:tcPr>
          <w:p w14:paraId="329899DF" w14:textId="77777777" w:rsidR="006C3DEB" w:rsidRDefault="006C3DEB" w:rsidP="005A7549">
            <w:pPr>
              <w:pStyle w:val="TableTextLeft"/>
            </w:pPr>
            <w:r>
              <w:t>1401</w:t>
            </w:r>
          </w:p>
        </w:tc>
        <w:tc>
          <w:tcPr>
            <w:tcW w:w="0" w:type="auto"/>
            <w:tcBorders>
              <w:left w:val="single" w:sz="4" w:space="0" w:color="auto"/>
            </w:tcBorders>
            <w:shd w:val="clear" w:color="auto" w:fill="auto"/>
          </w:tcPr>
          <w:p w14:paraId="2353BB95" w14:textId="77777777" w:rsidR="006C3DEB" w:rsidRDefault="006C3DEB" w:rsidP="005A7549">
            <w:pPr>
              <w:pStyle w:val="TableTextLeft"/>
            </w:pPr>
            <w:r>
              <w:t>Sawmill Product Manufacturing</w:t>
            </w:r>
          </w:p>
        </w:tc>
        <w:tc>
          <w:tcPr>
            <w:tcW w:w="0" w:type="auto"/>
            <w:shd w:val="clear" w:color="auto" w:fill="auto"/>
          </w:tcPr>
          <w:p w14:paraId="5E50061D" w14:textId="77777777" w:rsidR="006C3DEB" w:rsidRDefault="006C3DEB" w:rsidP="005A7549">
            <w:pPr>
              <w:pStyle w:val="TableTextLeft"/>
            </w:pPr>
            <w:r>
              <w:t>Manufacturing</w:t>
            </w:r>
          </w:p>
        </w:tc>
        <w:tc>
          <w:tcPr>
            <w:tcW w:w="0" w:type="auto"/>
            <w:shd w:val="clear" w:color="auto" w:fill="auto"/>
          </w:tcPr>
          <w:p w14:paraId="3F076F36" w14:textId="77777777" w:rsidR="006C3DEB" w:rsidRDefault="006C3DEB" w:rsidP="005A7549">
            <w:pPr>
              <w:pStyle w:val="TableTextLeft"/>
            </w:pPr>
            <w:r>
              <w:rPr>
                <w:sz w:val="22"/>
                <w:szCs w:val="22"/>
              </w:rPr>
              <w:t>MAN</w:t>
            </w:r>
          </w:p>
        </w:tc>
      </w:tr>
      <w:tr w:rsidR="006C3DEB" w14:paraId="15C61035" w14:textId="77777777" w:rsidTr="004641CC">
        <w:trPr>
          <w:trHeight w:val="397"/>
        </w:trPr>
        <w:tc>
          <w:tcPr>
            <w:tcW w:w="0" w:type="auto"/>
            <w:tcBorders>
              <w:right w:val="single" w:sz="4" w:space="0" w:color="auto"/>
            </w:tcBorders>
            <w:shd w:val="clear" w:color="auto" w:fill="EEEEEE" w:themeFill="background2"/>
          </w:tcPr>
          <w:p w14:paraId="56DBFE99" w14:textId="77777777" w:rsidR="006C3DEB" w:rsidRDefault="006C3DEB" w:rsidP="005A7549">
            <w:pPr>
              <w:pStyle w:val="TableTextLeft"/>
            </w:pPr>
            <w:r>
              <w:t>1402</w:t>
            </w:r>
          </w:p>
        </w:tc>
        <w:tc>
          <w:tcPr>
            <w:tcW w:w="0" w:type="auto"/>
            <w:tcBorders>
              <w:left w:val="single" w:sz="4" w:space="0" w:color="auto"/>
            </w:tcBorders>
            <w:shd w:val="clear" w:color="auto" w:fill="auto"/>
          </w:tcPr>
          <w:p w14:paraId="50C3259F" w14:textId="77777777" w:rsidR="006C3DEB" w:rsidRDefault="006C3DEB" w:rsidP="005A7549">
            <w:pPr>
              <w:pStyle w:val="TableTextLeft"/>
            </w:pPr>
            <w:r>
              <w:t>Other Wood Product Manufacturing</w:t>
            </w:r>
          </w:p>
        </w:tc>
        <w:tc>
          <w:tcPr>
            <w:tcW w:w="0" w:type="auto"/>
            <w:shd w:val="clear" w:color="auto" w:fill="auto"/>
          </w:tcPr>
          <w:p w14:paraId="69873022" w14:textId="77777777" w:rsidR="006C3DEB" w:rsidRDefault="006C3DEB" w:rsidP="005A7549">
            <w:pPr>
              <w:pStyle w:val="TableTextLeft"/>
            </w:pPr>
            <w:r>
              <w:t>Manufacturing</w:t>
            </w:r>
          </w:p>
        </w:tc>
        <w:tc>
          <w:tcPr>
            <w:tcW w:w="0" w:type="auto"/>
            <w:shd w:val="clear" w:color="auto" w:fill="auto"/>
          </w:tcPr>
          <w:p w14:paraId="024E6D5C" w14:textId="77777777" w:rsidR="006C3DEB" w:rsidRDefault="006C3DEB" w:rsidP="005A7549">
            <w:pPr>
              <w:pStyle w:val="TableTextLeft"/>
            </w:pPr>
            <w:r>
              <w:rPr>
                <w:sz w:val="22"/>
                <w:szCs w:val="22"/>
              </w:rPr>
              <w:t>MAN</w:t>
            </w:r>
          </w:p>
        </w:tc>
      </w:tr>
      <w:tr w:rsidR="006C3DEB" w14:paraId="3C4F744B" w14:textId="77777777" w:rsidTr="004641CC">
        <w:trPr>
          <w:trHeight w:val="397"/>
        </w:trPr>
        <w:tc>
          <w:tcPr>
            <w:tcW w:w="0" w:type="auto"/>
            <w:tcBorders>
              <w:right w:val="single" w:sz="4" w:space="0" w:color="auto"/>
            </w:tcBorders>
            <w:shd w:val="clear" w:color="auto" w:fill="EEEEEE" w:themeFill="background2"/>
          </w:tcPr>
          <w:p w14:paraId="6A68740E" w14:textId="77777777" w:rsidR="006C3DEB" w:rsidRDefault="006C3DEB" w:rsidP="005A7549">
            <w:pPr>
              <w:pStyle w:val="TableTextLeft"/>
            </w:pPr>
            <w:r>
              <w:t>1501</w:t>
            </w:r>
          </w:p>
        </w:tc>
        <w:tc>
          <w:tcPr>
            <w:tcW w:w="0" w:type="auto"/>
            <w:tcBorders>
              <w:left w:val="single" w:sz="4" w:space="0" w:color="auto"/>
            </w:tcBorders>
            <w:shd w:val="clear" w:color="auto" w:fill="auto"/>
          </w:tcPr>
          <w:p w14:paraId="443933C6" w14:textId="77777777" w:rsidR="006C3DEB" w:rsidRDefault="006C3DEB" w:rsidP="005A7549">
            <w:pPr>
              <w:pStyle w:val="TableTextLeft"/>
            </w:pPr>
            <w:r>
              <w:t>Pulp, Paper and Paperboard Manufacturing</w:t>
            </w:r>
          </w:p>
        </w:tc>
        <w:tc>
          <w:tcPr>
            <w:tcW w:w="0" w:type="auto"/>
            <w:shd w:val="clear" w:color="auto" w:fill="auto"/>
          </w:tcPr>
          <w:p w14:paraId="618401FA" w14:textId="77777777" w:rsidR="006C3DEB" w:rsidRDefault="006C3DEB" w:rsidP="005A7549">
            <w:pPr>
              <w:pStyle w:val="TableTextLeft"/>
            </w:pPr>
            <w:r>
              <w:t>Manufacturing</w:t>
            </w:r>
          </w:p>
        </w:tc>
        <w:tc>
          <w:tcPr>
            <w:tcW w:w="0" w:type="auto"/>
            <w:shd w:val="clear" w:color="auto" w:fill="auto"/>
          </w:tcPr>
          <w:p w14:paraId="204CC5DD" w14:textId="77777777" w:rsidR="006C3DEB" w:rsidRDefault="006C3DEB" w:rsidP="005A7549">
            <w:pPr>
              <w:pStyle w:val="TableTextLeft"/>
            </w:pPr>
            <w:r>
              <w:rPr>
                <w:sz w:val="22"/>
                <w:szCs w:val="22"/>
              </w:rPr>
              <w:t>MAN</w:t>
            </w:r>
          </w:p>
        </w:tc>
      </w:tr>
      <w:tr w:rsidR="006C3DEB" w14:paraId="5064BFA3" w14:textId="77777777" w:rsidTr="004641CC">
        <w:trPr>
          <w:trHeight w:val="397"/>
        </w:trPr>
        <w:tc>
          <w:tcPr>
            <w:tcW w:w="0" w:type="auto"/>
            <w:tcBorders>
              <w:right w:val="single" w:sz="4" w:space="0" w:color="auto"/>
            </w:tcBorders>
            <w:shd w:val="clear" w:color="auto" w:fill="EEEEEE" w:themeFill="background2"/>
          </w:tcPr>
          <w:p w14:paraId="4F2D4640" w14:textId="77777777" w:rsidR="006C3DEB" w:rsidRDefault="006C3DEB" w:rsidP="005A7549">
            <w:pPr>
              <w:pStyle w:val="TableTextLeft"/>
            </w:pPr>
            <w:r>
              <w:t>1502</w:t>
            </w:r>
          </w:p>
        </w:tc>
        <w:tc>
          <w:tcPr>
            <w:tcW w:w="0" w:type="auto"/>
            <w:tcBorders>
              <w:left w:val="single" w:sz="4" w:space="0" w:color="auto"/>
            </w:tcBorders>
            <w:shd w:val="clear" w:color="auto" w:fill="auto"/>
          </w:tcPr>
          <w:p w14:paraId="16ECD966" w14:textId="77777777" w:rsidR="006C3DEB" w:rsidRDefault="006C3DEB" w:rsidP="005A7549">
            <w:pPr>
              <w:pStyle w:val="TableTextLeft"/>
            </w:pPr>
            <w:r>
              <w:t>Paper Stationery and Other Converted Paper Product Manufacturing</w:t>
            </w:r>
          </w:p>
        </w:tc>
        <w:tc>
          <w:tcPr>
            <w:tcW w:w="0" w:type="auto"/>
            <w:shd w:val="clear" w:color="auto" w:fill="auto"/>
          </w:tcPr>
          <w:p w14:paraId="175CD0DC" w14:textId="77777777" w:rsidR="006C3DEB" w:rsidRDefault="006C3DEB" w:rsidP="005A7549">
            <w:pPr>
              <w:pStyle w:val="TableTextLeft"/>
            </w:pPr>
            <w:r>
              <w:t>Manufacturing</w:t>
            </w:r>
          </w:p>
        </w:tc>
        <w:tc>
          <w:tcPr>
            <w:tcW w:w="0" w:type="auto"/>
            <w:shd w:val="clear" w:color="auto" w:fill="auto"/>
          </w:tcPr>
          <w:p w14:paraId="5EC5413E" w14:textId="77777777" w:rsidR="006C3DEB" w:rsidRDefault="006C3DEB" w:rsidP="005A7549">
            <w:pPr>
              <w:pStyle w:val="TableTextLeft"/>
            </w:pPr>
            <w:r>
              <w:rPr>
                <w:sz w:val="22"/>
                <w:szCs w:val="22"/>
              </w:rPr>
              <w:t>MAN</w:t>
            </w:r>
          </w:p>
        </w:tc>
      </w:tr>
      <w:tr w:rsidR="006C3DEB" w14:paraId="51A94141" w14:textId="77777777" w:rsidTr="004641CC">
        <w:trPr>
          <w:trHeight w:val="397"/>
        </w:trPr>
        <w:tc>
          <w:tcPr>
            <w:tcW w:w="0" w:type="auto"/>
            <w:tcBorders>
              <w:right w:val="single" w:sz="4" w:space="0" w:color="auto"/>
            </w:tcBorders>
            <w:shd w:val="clear" w:color="auto" w:fill="EEEEEE" w:themeFill="background2"/>
          </w:tcPr>
          <w:p w14:paraId="4418C16E" w14:textId="77777777" w:rsidR="006C3DEB" w:rsidRDefault="006C3DEB" w:rsidP="005A7549">
            <w:pPr>
              <w:pStyle w:val="TableTextLeft"/>
            </w:pPr>
            <w:r>
              <w:t>1601</w:t>
            </w:r>
          </w:p>
        </w:tc>
        <w:tc>
          <w:tcPr>
            <w:tcW w:w="0" w:type="auto"/>
            <w:tcBorders>
              <w:left w:val="single" w:sz="4" w:space="0" w:color="auto"/>
            </w:tcBorders>
            <w:shd w:val="clear" w:color="auto" w:fill="auto"/>
          </w:tcPr>
          <w:p w14:paraId="04C18469" w14:textId="77777777" w:rsidR="006C3DEB" w:rsidRDefault="006C3DEB" w:rsidP="005A7549">
            <w:pPr>
              <w:pStyle w:val="TableTextLeft"/>
            </w:pPr>
            <w:r>
              <w:t>Printing (including the reproduction of recorded media)</w:t>
            </w:r>
          </w:p>
        </w:tc>
        <w:tc>
          <w:tcPr>
            <w:tcW w:w="0" w:type="auto"/>
            <w:shd w:val="clear" w:color="auto" w:fill="auto"/>
          </w:tcPr>
          <w:p w14:paraId="0F0175C2" w14:textId="77777777" w:rsidR="006C3DEB" w:rsidRDefault="006C3DEB" w:rsidP="005A7549">
            <w:pPr>
              <w:pStyle w:val="TableTextLeft"/>
            </w:pPr>
            <w:r>
              <w:t>Manufacturing</w:t>
            </w:r>
          </w:p>
        </w:tc>
        <w:tc>
          <w:tcPr>
            <w:tcW w:w="0" w:type="auto"/>
            <w:shd w:val="clear" w:color="auto" w:fill="auto"/>
          </w:tcPr>
          <w:p w14:paraId="460F3D23" w14:textId="77777777" w:rsidR="006C3DEB" w:rsidRDefault="006C3DEB" w:rsidP="005A7549">
            <w:pPr>
              <w:pStyle w:val="TableTextLeft"/>
            </w:pPr>
            <w:r>
              <w:rPr>
                <w:sz w:val="22"/>
                <w:szCs w:val="22"/>
              </w:rPr>
              <w:t>MAN</w:t>
            </w:r>
          </w:p>
        </w:tc>
      </w:tr>
      <w:tr w:rsidR="006C3DEB" w14:paraId="3E1CE1D7" w14:textId="77777777" w:rsidTr="004641CC">
        <w:trPr>
          <w:trHeight w:val="397"/>
        </w:trPr>
        <w:tc>
          <w:tcPr>
            <w:tcW w:w="0" w:type="auto"/>
            <w:tcBorders>
              <w:right w:val="single" w:sz="4" w:space="0" w:color="auto"/>
            </w:tcBorders>
            <w:shd w:val="clear" w:color="auto" w:fill="EEEEEE" w:themeFill="background2"/>
          </w:tcPr>
          <w:p w14:paraId="653936C6" w14:textId="77777777" w:rsidR="006C3DEB" w:rsidRDefault="006C3DEB" w:rsidP="005A7549">
            <w:pPr>
              <w:pStyle w:val="TableTextLeft"/>
            </w:pPr>
            <w:r>
              <w:t>1701</w:t>
            </w:r>
          </w:p>
        </w:tc>
        <w:tc>
          <w:tcPr>
            <w:tcW w:w="0" w:type="auto"/>
            <w:tcBorders>
              <w:left w:val="single" w:sz="4" w:space="0" w:color="auto"/>
            </w:tcBorders>
            <w:shd w:val="clear" w:color="auto" w:fill="auto"/>
          </w:tcPr>
          <w:p w14:paraId="5EF733CD" w14:textId="77777777" w:rsidR="006C3DEB" w:rsidRDefault="006C3DEB" w:rsidP="005A7549">
            <w:pPr>
              <w:pStyle w:val="TableTextLeft"/>
            </w:pPr>
            <w:r>
              <w:t>Petroleum and Coal Product Manufacturing</w:t>
            </w:r>
          </w:p>
        </w:tc>
        <w:tc>
          <w:tcPr>
            <w:tcW w:w="0" w:type="auto"/>
            <w:shd w:val="clear" w:color="auto" w:fill="auto"/>
          </w:tcPr>
          <w:p w14:paraId="4C8B3290" w14:textId="77777777" w:rsidR="006C3DEB" w:rsidRDefault="006C3DEB" w:rsidP="005A7549">
            <w:pPr>
              <w:pStyle w:val="TableTextLeft"/>
            </w:pPr>
            <w:r>
              <w:t>Manufacturing</w:t>
            </w:r>
          </w:p>
        </w:tc>
        <w:tc>
          <w:tcPr>
            <w:tcW w:w="0" w:type="auto"/>
            <w:shd w:val="clear" w:color="auto" w:fill="auto"/>
          </w:tcPr>
          <w:p w14:paraId="131F9828" w14:textId="77777777" w:rsidR="006C3DEB" w:rsidRDefault="006C3DEB" w:rsidP="005A7549">
            <w:pPr>
              <w:pStyle w:val="TableTextLeft"/>
            </w:pPr>
            <w:r>
              <w:rPr>
                <w:sz w:val="22"/>
                <w:szCs w:val="22"/>
              </w:rPr>
              <w:t>MAN</w:t>
            </w:r>
          </w:p>
        </w:tc>
      </w:tr>
      <w:tr w:rsidR="006C3DEB" w14:paraId="55CB940E" w14:textId="77777777" w:rsidTr="004641CC">
        <w:trPr>
          <w:trHeight w:val="397"/>
        </w:trPr>
        <w:tc>
          <w:tcPr>
            <w:tcW w:w="0" w:type="auto"/>
            <w:tcBorders>
              <w:right w:val="single" w:sz="4" w:space="0" w:color="auto"/>
            </w:tcBorders>
            <w:shd w:val="clear" w:color="auto" w:fill="EEEEEE" w:themeFill="background2"/>
          </w:tcPr>
          <w:p w14:paraId="7510CE7E" w14:textId="77777777" w:rsidR="006C3DEB" w:rsidRDefault="006C3DEB" w:rsidP="005A7549">
            <w:pPr>
              <w:pStyle w:val="TableTextLeft"/>
            </w:pPr>
            <w:r>
              <w:t>1801</w:t>
            </w:r>
          </w:p>
        </w:tc>
        <w:tc>
          <w:tcPr>
            <w:tcW w:w="0" w:type="auto"/>
            <w:tcBorders>
              <w:left w:val="single" w:sz="4" w:space="0" w:color="auto"/>
            </w:tcBorders>
            <w:shd w:val="clear" w:color="auto" w:fill="auto"/>
          </w:tcPr>
          <w:p w14:paraId="20CEAC5D" w14:textId="77777777" w:rsidR="006C3DEB" w:rsidRDefault="006C3DEB" w:rsidP="005A7549">
            <w:pPr>
              <w:pStyle w:val="TableTextLeft"/>
            </w:pPr>
            <w:r>
              <w:t>Human Pharmaceutical and Medicinal Product Manufacturing</w:t>
            </w:r>
          </w:p>
        </w:tc>
        <w:tc>
          <w:tcPr>
            <w:tcW w:w="0" w:type="auto"/>
            <w:shd w:val="clear" w:color="auto" w:fill="auto"/>
          </w:tcPr>
          <w:p w14:paraId="33B7378A" w14:textId="77777777" w:rsidR="006C3DEB" w:rsidRDefault="006C3DEB" w:rsidP="005A7549">
            <w:pPr>
              <w:pStyle w:val="TableTextLeft"/>
            </w:pPr>
            <w:r>
              <w:t>Manufacturing</w:t>
            </w:r>
          </w:p>
        </w:tc>
        <w:tc>
          <w:tcPr>
            <w:tcW w:w="0" w:type="auto"/>
            <w:shd w:val="clear" w:color="auto" w:fill="auto"/>
          </w:tcPr>
          <w:p w14:paraId="16DA751D" w14:textId="77777777" w:rsidR="006C3DEB" w:rsidRDefault="006C3DEB" w:rsidP="005A7549">
            <w:pPr>
              <w:pStyle w:val="TableTextLeft"/>
            </w:pPr>
            <w:r>
              <w:rPr>
                <w:sz w:val="22"/>
                <w:szCs w:val="22"/>
              </w:rPr>
              <w:t>MAN</w:t>
            </w:r>
          </w:p>
        </w:tc>
      </w:tr>
      <w:tr w:rsidR="006C3DEB" w14:paraId="6538AFE0" w14:textId="77777777" w:rsidTr="004641CC">
        <w:trPr>
          <w:trHeight w:val="397"/>
        </w:trPr>
        <w:tc>
          <w:tcPr>
            <w:tcW w:w="0" w:type="auto"/>
            <w:tcBorders>
              <w:right w:val="single" w:sz="4" w:space="0" w:color="auto"/>
            </w:tcBorders>
            <w:shd w:val="clear" w:color="auto" w:fill="EEEEEE" w:themeFill="background2"/>
          </w:tcPr>
          <w:p w14:paraId="7DFBB19A" w14:textId="77777777" w:rsidR="006C3DEB" w:rsidRDefault="006C3DEB" w:rsidP="005A7549">
            <w:pPr>
              <w:pStyle w:val="TableTextLeft"/>
            </w:pPr>
            <w:r>
              <w:t>1802</w:t>
            </w:r>
          </w:p>
        </w:tc>
        <w:tc>
          <w:tcPr>
            <w:tcW w:w="0" w:type="auto"/>
            <w:tcBorders>
              <w:left w:val="single" w:sz="4" w:space="0" w:color="auto"/>
            </w:tcBorders>
            <w:shd w:val="clear" w:color="auto" w:fill="auto"/>
          </w:tcPr>
          <w:p w14:paraId="3BD95CF4" w14:textId="77777777" w:rsidR="006C3DEB" w:rsidRDefault="006C3DEB" w:rsidP="005A7549">
            <w:pPr>
              <w:pStyle w:val="TableTextLeft"/>
            </w:pPr>
            <w:r>
              <w:t>Veterinary Pharmaceutical and Medicinal Product Manufacturing</w:t>
            </w:r>
          </w:p>
        </w:tc>
        <w:tc>
          <w:tcPr>
            <w:tcW w:w="0" w:type="auto"/>
            <w:shd w:val="clear" w:color="auto" w:fill="auto"/>
          </w:tcPr>
          <w:p w14:paraId="1CCFC7CC" w14:textId="77777777" w:rsidR="006C3DEB" w:rsidRDefault="006C3DEB" w:rsidP="005A7549">
            <w:pPr>
              <w:pStyle w:val="TableTextLeft"/>
            </w:pPr>
            <w:r>
              <w:t>Manufacturing</w:t>
            </w:r>
          </w:p>
        </w:tc>
        <w:tc>
          <w:tcPr>
            <w:tcW w:w="0" w:type="auto"/>
            <w:shd w:val="clear" w:color="auto" w:fill="auto"/>
          </w:tcPr>
          <w:p w14:paraId="6A3097B3" w14:textId="77777777" w:rsidR="006C3DEB" w:rsidRDefault="006C3DEB" w:rsidP="005A7549">
            <w:pPr>
              <w:pStyle w:val="TableTextLeft"/>
            </w:pPr>
            <w:r>
              <w:rPr>
                <w:sz w:val="22"/>
                <w:szCs w:val="22"/>
              </w:rPr>
              <w:t>MAN</w:t>
            </w:r>
          </w:p>
        </w:tc>
      </w:tr>
      <w:tr w:rsidR="006C3DEB" w14:paraId="52AC5591" w14:textId="77777777" w:rsidTr="004641CC">
        <w:trPr>
          <w:trHeight w:val="397"/>
        </w:trPr>
        <w:tc>
          <w:tcPr>
            <w:tcW w:w="0" w:type="auto"/>
            <w:tcBorders>
              <w:right w:val="single" w:sz="4" w:space="0" w:color="auto"/>
            </w:tcBorders>
            <w:shd w:val="clear" w:color="auto" w:fill="EEEEEE" w:themeFill="background2"/>
          </w:tcPr>
          <w:p w14:paraId="4AC01C43" w14:textId="77777777" w:rsidR="006C3DEB" w:rsidRDefault="006C3DEB" w:rsidP="005A7549">
            <w:pPr>
              <w:pStyle w:val="TableTextLeft"/>
            </w:pPr>
            <w:r>
              <w:t>1803</w:t>
            </w:r>
          </w:p>
        </w:tc>
        <w:tc>
          <w:tcPr>
            <w:tcW w:w="0" w:type="auto"/>
            <w:tcBorders>
              <w:left w:val="single" w:sz="4" w:space="0" w:color="auto"/>
            </w:tcBorders>
            <w:shd w:val="clear" w:color="auto" w:fill="auto"/>
          </w:tcPr>
          <w:p w14:paraId="470901CB" w14:textId="77777777" w:rsidR="006C3DEB" w:rsidRDefault="006C3DEB" w:rsidP="005A7549">
            <w:pPr>
              <w:pStyle w:val="TableTextLeft"/>
            </w:pPr>
            <w:r>
              <w:t>Basic Chemical Manufacturing</w:t>
            </w:r>
          </w:p>
        </w:tc>
        <w:tc>
          <w:tcPr>
            <w:tcW w:w="0" w:type="auto"/>
            <w:shd w:val="clear" w:color="auto" w:fill="auto"/>
          </w:tcPr>
          <w:p w14:paraId="3F969F37" w14:textId="77777777" w:rsidR="006C3DEB" w:rsidRDefault="006C3DEB" w:rsidP="005A7549">
            <w:pPr>
              <w:pStyle w:val="TableTextLeft"/>
            </w:pPr>
            <w:r>
              <w:t>Manufacturing</w:t>
            </w:r>
          </w:p>
        </w:tc>
        <w:tc>
          <w:tcPr>
            <w:tcW w:w="0" w:type="auto"/>
            <w:shd w:val="clear" w:color="auto" w:fill="auto"/>
          </w:tcPr>
          <w:p w14:paraId="1066CBFD" w14:textId="77777777" w:rsidR="006C3DEB" w:rsidRDefault="006C3DEB" w:rsidP="005A7549">
            <w:pPr>
              <w:pStyle w:val="TableTextLeft"/>
            </w:pPr>
            <w:r>
              <w:rPr>
                <w:sz w:val="22"/>
                <w:szCs w:val="22"/>
              </w:rPr>
              <w:t>MAN</w:t>
            </w:r>
          </w:p>
        </w:tc>
      </w:tr>
      <w:tr w:rsidR="006C3DEB" w14:paraId="2CB6682C" w14:textId="77777777" w:rsidTr="004641CC">
        <w:trPr>
          <w:trHeight w:val="397"/>
        </w:trPr>
        <w:tc>
          <w:tcPr>
            <w:tcW w:w="0" w:type="auto"/>
            <w:tcBorders>
              <w:right w:val="single" w:sz="4" w:space="0" w:color="auto"/>
            </w:tcBorders>
            <w:shd w:val="clear" w:color="auto" w:fill="EEEEEE" w:themeFill="background2"/>
          </w:tcPr>
          <w:p w14:paraId="385B7F68" w14:textId="77777777" w:rsidR="006C3DEB" w:rsidRDefault="006C3DEB" w:rsidP="005A7549">
            <w:pPr>
              <w:pStyle w:val="TableTextLeft"/>
            </w:pPr>
            <w:r>
              <w:t>1804</w:t>
            </w:r>
          </w:p>
        </w:tc>
        <w:tc>
          <w:tcPr>
            <w:tcW w:w="0" w:type="auto"/>
            <w:tcBorders>
              <w:left w:val="single" w:sz="4" w:space="0" w:color="auto"/>
            </w:tcBorders>
            <w:shd w:val="clear" w:color="auto" w:fill="auto"/>
          </w:tcPr>
          <w:p w14:paraId="2933898E" w14:textId="77777777" w:rsidR="006C3DEB" w:rsidRDefault="006C3DEB" w:rsidP="005A7549">
            <w:pPr>
              <w:pStyle w:val="TableTextLeft"/>
            </w:pPr>
            <w:r>
              <w:t>Cleaning Compounds and Toiletry Preparation Manufacturing</w:t>
            </w:r>
          </w:p>
        </w:tc>
        <w:tc>
          <w:tcPr>
            <w:tcW w:w="0" w:type="auto"/>
            <w:shd w:val="clear" w:color="auto" w:fill="auto"/>
          </w:tcPr>
          <w:p w14:paraId="3930DF15" w14:textId="77777777" w:rsidR="006C3DEB" w:rsidRDefault="006C3DEB" w:rsidP="005A7549">
            <w:pPr>
              <w:pStyle w:val="TableTextLeft"/>
            </w:pPr>
            <w:r>
              <w:t>Manufacturing</w:t>
            </w:r>
          </w:p>
        </w:tc>
        <w:tc>
          <w:tcPr>
            <w:tcW w:w="0" w:type="auto"/>
            <w:shd w:val="clear" w:color="auto" w:fill="auto"/>
          </w:tcPr>
          <w:p w14:paraId="22EB01F2" w14:textId="77777777" w:rsidR="006C3DEB" w:rsidRDefault="006C3DEB" w:rsidP="005A7549">
            <w:pPr>
              <w:pStyle w:val="TableTextLeft"/>
            </w:pPr>
            <w:r>
              <w:rPr>
                <w:sz w:val="22"/>
                <w:szCs w:val="22"/>
              </w:rPr>
              <w:t>MAN</w:t>
            </w:r>
          </w:p>
        </w:tc>
      </w:tr>
      <w:tr w:rsidR="006C3DEB" w14:paraId="7FD4EEC5" w14:textId="77777777" w:rsidTr="004641CC">
        <w:trPr>
          <w:trHeight w:val="397"/>
        </w:trPr>
        <w:tc>
          <w:tcPr>
            <w:tcW w:w="0" w:type="auto"/>
            <w:tcBorders>
              <w:right w:val="single" w:sz="4" w:space="0" w:color="auto"/>
            </w:tcBorders>
            <w:shd w:val="clear" w:color="auto" w:fill="EEEEEE" w:themeFill="background2"/>
          </w:tcPr>
          <w:p w14:paraId="6CC72FDB" w14:textId="77777777" w:rsidR="006C3DEB" w:rsidRDefault="006C3DEB" w:rsidP="005A7549">
            <w:pPr>
              <w:pStyle w:val="TableTextLeft"/>
            </w:pPr>
            <w:r>
              <w:t>1901</w:t>
            </w:r>
          </w:p>
        </w:tc>
        <w:tc>
          <w:tcPr>
            <w:tcW w:w="0" w:type="auto"/>
            <w:tcBorders>
              <w:left w:val="single" w:sz="4" w:space="0" w:color="auto"/>
            </w:tcBorders>
            <w:shd w:val="clear" w:color="auto" w:fill="auto"/>
          </w:tcPr>
          <w:p w14:paraId="3083D687" w14:textId="77777777" w:rsidR="006C3DEB" w:rsidRDefault="006C3DEB" w:rsidP="005A7549">
            <w:pPr>
              <w:pStyle w:val="TableTextLeft"/>
            </w:pPr>
            <w:r>
              <w:t>Polymer Product Manufacturing</w:t>
            </w:r>
          </w:p>
        </w:tc>
        <w:tc>
          <w:tcPr>
            <w:tcW w:w="0" w:type="auto"/>
            <w:shd w:val="clear" w:color="auto" w:fill="auto"/>
          </w:tcPr>
          <w:p w14:paraId="4CC9B728" w14:textId="77777777" w:rsidR="006C3DEB" w:rsidRDefault="006C3DEB" w:rsidP="005A7549">
            <w:pPr>
              <w:pStyle w:val="TableTextLeft"/>
            </w:pPr>
            <w:r>
              <w:t>Manufacturing</w:t>
            </w:r>
          </w:p>
        </w:tc>
        <w:tc>
          <w:tcPr>
            <w:tcW w:w="0" w:type="auto"/>
            <w:shd w:val="clear" w:color="auto" w:fill="auto"/>
          </w:tcPr>
          <w:p w14:paraId="7184699F" w14:textId="77777777" w:rsidR="006C3DEB" w:rsidRDefault="006C3DEB" w:rsidP="005A7549">
            <w:pPr>
              <w:pStyle w:val="TableTextLeft"/>
            </w:pPr>
            <w:r>
              <w:rPr>
                <w:sz w:val="22"/>
                <w:szCs w:val="22"/>
              </w:rPr>
              <w:t>MAN</w:t>
            </w:r>
          </w:p>
        </w:tc>
      </w:tr>
      <w:tr w:rsidR="006C3DEB" w14:paraId="1EDD31B6" w14:textId="77777777" w:rsidTr="004641CC">
        <w:trPr>
          <w:trHeight w:val="397"/>
        </w:trPr>
        <w:tc>
          <w:tcPr>
            <w:tcW w:w="0" w:type="auto"/>
            <w:tcBorders>
              <w:right w:val="single" w:sz="4" w:space="0" w:color="auto"/>
            </w:tcBorders>
            <w:shd w:val="clear" w:color="auto" w:fill="EEEEEE" w:themeFill="background2"/>
          </w:tcPr>
          <w:p w14:paraId="26D8FF11" w14:textId="77777777" w:rsidR="006C3DEB" w:rsidRDefault="006C3DEB" w:rsidP="005A7549">
            <w:pPr>
              <w:pStyle w:val="TableTextLeft"/>
            </w:pPr>
            <w:r>
              <w:t>1902</w:t>
            </w:r>
          </w:p>
        </w:tc>
        <w:tc>
          <w:tcPr>
            <w:tcW w:w="0" w:type="auto"/>
            <w:tcBorders>
              <w:left w:val="single" w:sz="4" w:space="0" w:color="auto"/>
            </w:tcBorders>
            <w:shd w:val="clear" w:color="auto" w:fill="auto"/>
          </w:tcPr>
          <w:p w14:paraId="6DBE009F" w14:textId="77777777" w:rsidR="006C3DEB" w:rsidRDefault="006C3DEB" w:rsidP="005A7549">
            <w:pPr>
              <w:pStyle w:val="TableTextLeft"/>
            </w:pPr>
            <w:r>
              <w:t>Natural Rubber Product Manufacturing</w:t>
            </w:r>
          </w:p>
        </w:tc>
        <w:tc>
          <w:tcPr>
            <w:tcW w:w="0" w:type="auto"/>
            <w:shd w:val="clear" w:color="auto" w:fill="auto"/>
          </w:tcPr>
          <w:p w14:paraId="2D2ABE9C" w14:textId="77777777" w:rsidR="006C3DEB" w:rsidRDefault="006C3DEB" w:rsidP="005A7549">
            <w:pPr>
              <w:pStyle w:val="TableTextLeft"/>
            </w:pPr>
            <w:r>
              <w:t>Manufacturing</w:t>
            </w:r>
          </w:p>
        </w:tc>
        <w:tc>
          <w:tcPr>
            <w:tcW w:w="0" w:type="auto"/>
            <w:shd w:val="clear" w:color="auto" w:fill="auto"/>
          </w:tcPr>
          <w:p w14:paraId="5BDF4169" w14:textId="77777777" w:rsidR="006C3DEB" w:rsidRDefault="006C3DEB" w:rsidP="005A7549">
            <w:pPr>
              <w:pStyle w:val="TableTextLeft"/>
            </w:pPr>
            <w:r>
              <w:rPr>
                <w:sz w:val="22"/>
                <w:szCs w:val="22"/>
              </w:rPr>
              <w:t>MAN</w:t>
            </w:r>
          </w:p>
        </w:tc>
      </w:tr>
      <w:tr w:rsidR="006C3DEB" w14:paraId="3612C6E5" w14:textId="77777777" w:rsidTr="004641CC">
        <w:trPr>
          <w:trHeight w:val="397"/>
        </w:trPr>
        <w:tc>
          <w:tcPr>
            <w:tcW w:w="0" w:type="auto"/>
            <w:tcBorders>
              <w:right w:val="single" w:sz="4" w:space="0" w:color="auto"/>
            </w:tcBorders>
            <w:shd w:val="clear" w:color="auto" w:fill="EEEEEE" w:themeFill="background2"/>
          </w:tcPr>
          <w:p w14:paraId="26C8E16B" w14:textId="77777777" w:rsidR="006C3DEB" w:rsidRDefault="006C3DEB" w:rsidP="005A7549">
            <w:pPr>
              <w:pStyle w:val="TableTextLeft"/>
            </w:pPr>
            <w:r>
              <w:t>2001</w:t>
            </w:r>
          </w:p>
        </w:tc>
        <w:tc>
          <w:tcPr>
            <w:tcW w:w="0" w:type="auto"/>
            <w:tcBorders>
              <w:left w:val="single" w:sz="4" w:space="0" w:color="auto"/>
            </w:tcBorders>
            <w:shd w:val="clear" w:color="auto" w:fill="auto"/>
          </w:tcPr>
          <w:p w14:paraId="037C9899" w14:textId="77777777" w:rsidR="006C3DEB" w:rsidRDefault="006C3DEB" w:rsidP="005A7549">
            <w:pPr>
              <w:pStyle w:val="TableTextLeft"/>
            </w:pPr>
            <w:r>
              <w:t>Glass and Glass Product Manufacturing</w:t>
            </w:r>
          </w:p>
        </w:tc>
        <w:tc>
          <w:tcPr>
            <w:tcW w:w="0" w:type="auto"/>
            <w:shd w:val="clear" w:color="auto" w:fill="auto"/>
          </w:tcPr>
          <w:p w14:paraId="5DF6C713" w14:textId="77777777" w:rsidR="006C3DEB" w:rsidRDefault="006C3DEB" w:rsidP="005A7549">
            <w:pPr>
              <w:pStyle w:val="TableTextLeft"/>
            </w:pPr>
            <w:r>
              <w:t>Manufacturing</w:t>
            </w:r>
          </w:p>
        </w:tc>
        <w:tc>
          <w:tcPr>
            <w:tcW w:w="0" w:type="auto"/>
            <w:shd w:val="clear" w:color="auto" w:fill="auto"/>
          </w:tcPr>
          <w:p w14:paraId="5F400528" w14:textId="77777777" w:rsidR="006C3DEB" w:rsidRDefault="006C3DEB" w:rsidP="005A7549">
            <w:pPr>
              <w:pStyle w:val="TableTextLeft"/>
            </w:pPr>
            <w:r>
              <w:rPr>
                <w:sz w:val="22"/>
                <w:szCs w:val="22"/>
              </w:rPr>
              <w:t>MAN</w:t>
            </w:r>
          </w:p>
        </w:tc>
      </w:tr>
      <w:tr w:rsidR="006C3DEB" w14:paraId="4BF99618" w14:textId="77777777" w:rsidTr="004641CC">
        <w:trPr>
          <w:trHeight w:val="397"/>
        </w:trPr>
        <w:tc>
          <w:tcPr>
            <w:tcW w:w="0" w:type="auto"/>
            <w:tcBorders>
              <w:right w:val="single" w:sz="4" w:space="0" w:color="auto"/>
            </w:tcBorders>
            <w:shd w:val="clear" w:color="auto" w:fill="EEEEEE" w:themeFill="background2"/>
          </w:tcPr>
          <w:p w14:paraId="0965003C" w14:textId="77777777" w:rsidR="006C3DEB" w:rsidRDefault="006C3DEB" w:rsidP="005A7549">
            <w:pPr>
              <w:pStyle w:val="TableTextLeft"/>
            </w:pPr>
            <w:r>
              <w:t>2002</w:t>
            </w:r>
          </w:p>
        </w:tc>
        <w:tc>
          <w:tcPr>
            <w:tcW w:w="0" w:type="auto"/>
            <w:tcBorders>
              <w:left w:val="single" w:sz="4" w:space="0" w:color="auto"/>
            </w:tcBorders>
            <w:shd w:val="clear" w:color="auto" w:fill="auto"/>
          </w:tcPr>
          <w:p w14:paraId="02C6A464" w14:textId="77777777" w:rsidR="006C3DEB" w:rsidRDefault="006C3DEB" w:rsidP="005A7549">
            <w:pPr>
              <w:pStyle w:val="TableTextLeft"/>
            </w:pPr>
            <w:r>
              <w:t>Ceramic Product Manufacturing</w:t>
            </w:r>
          </w:p>
        </w:tc>
        <w:tc>
          <w:tcPr>
            <w:tcW w:w="0" w:type="auto"/>
            <w:shd w:val="clear" w:color="auto" w:fill="auto"/>
          </w:tcPr>
          <w:p w14:paraId="199D3259" w14:textId="77777777" w:rsidR="006C3DEB" w:rsidRDefault="006C3DEB" w:rsidP="005A7549">
            <w:pPr>
              <w:pStyle w:val="TableTextLeft"/>
            </w:pPr>
            <w:r>
              <w:t>Manufacturing</w:t>
            </w:r>
          </w:p>
        </w:tc>
        <w:tc>
          <w:tcPr>
            <w:tcW w:w="0" w:type="auto"/>
            <w:shd w:val="clear" w:color="auto" w:fill="auto"/>
          </w:tcPr>
          <w:p w14:paraId="3EA145A5" w14:textId="77777777" w:rsidR="006C3DEB" w:rsidRDefault="006C3DEB" w:rsidP="005A7549">
            <w:pPr>
              <w:pStyle w:val="TableTextLeft"/>
            </w:pPr>
            <w:r>
              <w:rPr>
                <w:sz w:val="22"/>
                <w:szCs w:val="22"/>
              </w:rPr>
              <w:t>MAN</w:t>
            </w:r>
          </w:p>
        </w:tc>
      </w:tr>
      <w:tr w:rsidR="006C3DEB" w14:paraId="6221287F" w14:textId="77777777" w:rsidTr="004641CC">
        <w:trPr>
          <w:trHeight w:val="397"/>
        </w:trPr>
        <w:tc>
          <w:tcPr>
            <w:tcW w:w="0" w:type="auto"/>
            <w:tcBorders>
              <w:right w:val="single" w:sz="4" w:space="0" w:color="auto"/>
            </w:tcBorders>
            <w:shd w:val="clear" w:color="auto" w:fill="EEEEEE" w:themeFill="background2"/>
          </w:tcPr>
          <w:p w14:paraId="40FFF7AD" w14:textId="77777777" w:rsidR="006C3DEB" w:rsidRDefault="006C3DEB" w:rsidP="005A7549">
            <w:pPr>
              <w:pStyle w:val="TableTextLeft"/>
            </w:pPr>
            <w:r>
              <w:t>2003</w:t>
            </w:r>
          </w:p>
        </w:tc>
        <w:tc>
          <w:tcPr>
            <w:tcW w:w="0" w:type="auto"/>
            <w:tcBorders>
              <w:left w:val="single" w:sz="4" w:space="0" w:color="auto"/>
            </w:tcBorders>
            <w:shd w:val="clear" w:color="auto" w:fill="auto"/>
          </w:tcPr>
          <w:p w14:paraId="36CD8356" w14:textId="77777777" w:rsidR="006C3DEB" w:rsidRDefault="006C3DEB" w:rsidP="005A7549">
            <w:pPr>
              <w:pStyle w:val="TableTextLeft"/>
            </w:pPr>
            <w:r>
              <w:t>Cement, Lime and Ready-Mixed Concrete Manufacturing</w:t>
            </w:r>
          </w:p>
        </w:tc>
        <w:tc>
          <w:tcPr>
            <w:tcW w:w="0" w:type="auto"/>
            <w:shd w:val="clear" w:color="auto" w:fill="auto"/>
          </w:tcPr>
          <w:p w14:paraId="05344BC5" w14:textId="77777777" w:rsidR="006C3DEB" w:rsidRDefault="006C3DEB" w:rsidP="005A7549">
            <w:pPr>
              <w:pStyle w:val="TableTextLeft"/>
            </w:pPr>
            <w:r>
              <w:t>Manufacturing</w:t>
            </w:r>
          </w:p>
        </w:tc>
        <w:tc>
          <w:tcPr>
            <w:tcW w:w="0" w:type="auto"/>
            <w:shd w:val="clear" w:color="auto" w:fill="auto"/>
          </w:tcPr>
          <w:p w14:paraId="424B69A8" w14:textId="77777777" w:rsidR="006C3DEB" w:rsidRDefault="006C3DEB" w:rsidP="005A7549">
            <w:pPr>
              <w:pStyle w:val="TableTextLeft"/>
            </w:pPr>
            <w:r>
              <w:rPr>
                <w:sz w:val="22"/>
                <w:szCs w:val="22"/>
              </w:rPr>
              <w:t>MAN</w:t>
            </w:r>
          </w:p>
        </w:tc>
      </w:tr>
      <w:tr w:rsidR="006C3DEB" w14:paraId="48E193AA" w14:textId="77777777" w:rsidTr="004641CC">
        <w:trPr>
          <w:trHeight w:val="397"/>
        </w:trPr>
        <w:tc>
          <w:tcPr>
            <w:tcW w:w="0" w:type="auto"/>
            <w:tcBorders>
              <w:right w:val="single" w:sz="4" w:space="0" w:color="auto"/>
            </w:tcBorders>
            <w:shd w:val="clear" w:color="auto" w:fill="EEEEEE" w:themeFill="background2"/>
          </w:tcPr>
          <w:p w14:paraId="2D1B8181" w14:textId="77777777" w:rsidR="006C3DEB" w:rsidRDefault="006C3DEB" w:rsidP="005A7549">
            <w:pPr>
              <w:pStyle w:val="TableTextLeft"/>
            </w:pPr>
            <w:r>
              <w:t>2004</w:t>
            </w:r>
          </w:p>
        </w:tc>
        <w:tc>
          <w:tcPr>
            <w:tcW w:w="0" w:type="auto"/>
            <w:tcBorders>
              <w:left w:val="single" w:sz="4" w:space="0" w:color="auto"/>
            </w:tcBorders>
            <w:shd w:val="clear" w:color="auto" w:fill="auto"/>
          </w:tcPr>
          <w:p w14:paraId="134404E3" w14:textId="77777777" w:rsidR="006C3DEB" w:rsidRDefault="006C3DEB" w:rsidP="005A7549">
            <w:pPr>
              <w:pStyle w:val="TableTextLeft"/>
            </w:pPr>
            <w:r>
              <w:t>Plaster and Concrete Product Manufacturing</w:t>
            </w:r>
          </w:p>
        </w:tc>
        <w:tc>
          <w:tcPr>
            <w:tcW w:w="0" w:type="auto"/>
            <w:shd w:val="clear" w:color="auto" w:fill="auto"/>
          </w:tcPr>
          <w:p w14:paraId="337C35D5" w14:textId="77777777" w:rsidR="006C3DEB" w:rsidRDefault="006C3DEB" w:rsidP="005A7549">
            <w:pPr>
              <w:pStyle w:val="TableTextLeft"/>
            </w:pPr>
            <w:r>
              <w:t>Manufacturing</w:t>
            </w:r>
          </w:p>
        </w:tc>
        <w:tc>
          <w:tcPr>
            <w:tcW w:w="0" w:type="auto"/>
            <w:shd w:val="clear" w:color="auto" w:fill="auto"/>
          </w:tcPr>
          <w:p w14:paraId="3F29FD27" w14:textId="77777777" w:rsidR="006C3DEB" w:rsidRDefault="006C3DEB" w:rsidP="005A7549">
            <w:pPr>
              <w:pStyle w:val="TableTextLeft"/>
            </w:pPr>
            <w:r>
              <w:rPr>
                <w:sz w:val="22"/>
                <w:szCs w:val="22"/>
              </w:rPr>
              <w:t>MAN</w:t>
            </w:r>
          </w:p>
        </w:tc>
      </w:tr>
      <w:tr w:rsidR="006C3DEB" w14:paraId="2A445107" w14:textId="77777777" w:rsidTr="004641CC">
        <w:trPr>
          <w:trHeight w:val="397"/>
        </w:trPr>
        <w:tc>
          <w:tcPr>
            <w:tcW w:w="0" w:type="auto"/>
            <w:tcBorders>
              <w:right w:val="single" w:sz="4" w:space="0" w:color="auto"/>
            </w:tcBorders>
            <w:shd w:val="clear" w:color="auto" w:fill="EEEEEE" w:themeFill="background2"/>
          </w:tcPr>
          <w:p w14:paraId="10EABA13" w14:textId="77777777" w:rsidR="006C3DEB" w:rsidRDefault="006C3DEB" w:rsidP="005A7549">
            <w:pPr>
              <w:pStyle w:val="TableTextLeft"/>
            </w:pPr>
            <w:r>
              <w:t>2005</w:t>
            </w:r>
          </w:p>
        </w:tc>
        <w:tc>
          <w:tcPr>
            <w:tcW w:w="0" w:type="auto"/>
            <w:tcBorders>
              <w:left w:val="single" w:sz="4" w:space="0" w:color="auto"/>
            </w:tcBorders>
            <w:shd w:val="clear" w:color="auto" w:fill="auto"/>
          </w:tcPr>
          <w:p w14:paraId="17F13229" w14:textId="77777777" w:rsidR="006C3DEB" w:rsidRDefault="006C3DEB" w:rsidP="005A7549">
            <w:pPr>
              <w:pStyle w:val="TableTextLeft"/>
            </w:pPr>
            <w:r>
              <w:t>Other Non-Metallic Mineral Product Manufacturing</w:t>
            </w:r>
          </w:p>
        </w:tc>
        <w:tc>
          <w:tcPr>
            <w:tcW w:w="0" w:type="auto"/>
            <w:shd w:val="clear" w:color="auto" w:fill="auto"/>
          </w:tcPr>
          <w:p w14:paraId="1B1E1EC5" w14:textId="77777777" w:rsidR="006C3DEB" w:rsidRDefault="006C3DEB" w:rsidP="005A7549">
            <w:pPr>
              <w:pStyle w:val="TableTextLeft"/>
            </w:pPr>
            <w:r>
              <w:t>Manufacturing</w:t>
            </w:r>
          </w:p>
        </w:tc>
        <w:tc>
          <w:tcPr>
            <w:tcW w:w="0" w:type="auto"/>
            <w:shd w:val="clear" w:color="auto" w:fill="auto"/>
          </w:tcPr>
          <w:p w14:paraId="6D8F372B" w14:textId="77777777" w:rsidR="006C3DEB" w:rsidRDefault="006C3DEB" w:rsidP="005A7549">
            <w:pPr>
              <w:pStyle w:val="TableTextLeft"/>
            </w:pPr>
            <w:r>
              <w:rPr>
                <w:sz w:val="22"/>
                <w:szCs w:val="22"/>
              </w:rPr>
              <w:t>MAN</w:t>
            </w:r>
          </w:p>
        </w:tc>
      </w:tr>
      <w:tr w:rsidR="006C3DEB" w14:paraId="5CD6B20E" w14:textId="77777777" w:rsidTr="004641CC">
        <w:trPr>
          <w:trHeight w:val="397"/>
        </w:trPr>
        <w:tc>
          <w:tcPr>
            <w:tcW w:w="0" w:type="auto"/>
            <w:tcBorders>
              <w:right w:val="single" w:sz="4" w:space="0" w:color="auto"/>
            </w:tcBorders>
            <w:shd w:val="clear" w:color="auto" w:fill="EEEEEE" w:themeFill="background2"/>
          </w:tcPr>
          <w:p w14:paraId="19E53C4F" w14:textId="77777777" w:rsidR="006C3DEB" w:rsidRDefault="006C3DEB" w:rsidP="005A7549">
            <w:pPr>
              <w:pStyle w:val="TableTextLeft"/>
            </w:pPr>
            <w:r>
              <w:t>2101</w:t>
            </w:r>
          </w:p>
        </w:tc>
        <w:tc>
          <w:tcPr>
            <w:tcW w:w="0" w:type="auto"/>
            <w:tcBorders>
              <w:left w:val="single" w:sz="4" w:space="0" w:color="auto"/>
            </w:tcBorders>
            <w:shd w:val="clear" w:color="auto" w:fill="auto"/>
          </w:tcPr>
          <w:p w14:paraId="0A47501C" w14:textId="77777777" w:rsidR="006C3DEB" w:rsidRDefault="006C3DEB" w:rsidP="005A7549">
            <w:pPr>
              <w:pStyle w:val="TableTextLeft"/>
            </w:pPr>
            <w:r>
              <w:t>Iron and Steel Manufacturing</w:t>
            </w:r>
          </w:p>
        </w:tc>
        <w:tc>
          <w:tcPr>
            <w:tcW w:w="0" w:type="auto"/>
            <w:shd w:val="clear" w:color="auto" w:fill="auto"/>
          </w:tcPr>
          <w:p w14:paraId="6CD8F87E" w14:textId="77777777" w:rsidR="006C3DEB" w:rsidRDefault="006C3DEB" w:rsidP="005A7549">
            <w:pPr>
              <w:pStyle w:val="TableTextLeft"/>
            </w:pPr>
            <w:r>
              <w:t>Manufacturing</w:t>
            </w:r>
          </w:p>
        </w:tc>
        <w:tc>
          <w:tcPr>
            <w:tcW w:w="0" w:type="auto"/>
            <w:shd w:val="clear" w:color="auto" w:fill="auto"/>
          </w:tcPr>
          <w:p w14:paraId="5AC1EE10" w14:textId="77777777" w:rsidR="006C3DEB" w:rsidRDefault="006C3DEB" w:rsidP="005A7549">
            <w:pPr>
              <w:pStyle w:val="TableTextLeft"/>
            </w:pPr>
            <w:r>
              <w:rPr>
                <w:sz w:val="22"/>
                <w:szCs w:val="22"/>
              </w:rPr>
              <w:t>MAN</w:t>
            </w:r>
          </w:p>
        </w:tc>
      </w:tr>
      <w:tr w:rsidR="006C3DEB" w14:paraId="48DE391A" w14:textId="77777777" w:rsidTr="004641CC">
        <w:trPr>
          <w:trHeight w:val="397"/>
        </w:trPr>
        <w:tc>
          <w:tcPr>
            <w:tcW w:w="0" w:type="auto"/>
            <w:tcBorders>
              <w:right w:val="single" w:sz="4" w:space="0" w:color="auto"/>
            </w:tcBorders>
            <w:shd w:val="clear" w:color="auto" w:fill="EEEEEE" w:themeFill="background2"/>
          </w:tcPr>
          <w:p w14:paraId="33799F8C" w14:textId="77777777" w:rsidR="006C3DEB" w:rsidRDefault="006C3DEB" w:rsidP="005A7549">
            <w:pPr>
              <w:pStyle w:val="TableTextLeft"/>
            </w:pPr>
            <w:r>
              <w:t>2102</w:t>
            </w:r>
          </w:p>
        </w:tc>
        <w:tc>
          <w:tcPr>
            <w:tcW w:w="0" w:type="auto"/>
            <w:tcBorders>
              <w:left w:val="single" w:sz="4" w:space="0" w:color="auto"/>
            </w:tcBorders>
            <w:shd w:val="clear" w:color="auto" w:fill="auto"/>
          </w:tcPr>
          <w:p w14:paraId="5BEA9D3E" w14:textId="77777777" w:rsidR="006C3DEB" w:rsidRDefault="006C3DEB" w:rsidP="005A7549">
            <w:pPr>
              <w:pStyle w:val="TableTextLeft"/>
            </w:pPr>
            <w:r>
              <w:t>Basic Non-Ferrous Metal Manufacturing</w:t>
            </w:r>
          </w:p>
        </w:tc>
        <w:tc>
          <w:tcPr>
            <w:tcW w:w="0" w:type="auto"/>
            <w:shd w:val="clear" w:color="auto" w:fill="auto"/>
          </w:tcPr>
          <w:p w14:paraId="529F3621" w14:textId="77777777" w:rsidR="006C3DEB" w:rsidRDefault="006C3DEB" w:rsidP="005A7549">
            <w:pPr>
              <w:pStyle w:val="TableTextLeft"/>
            </w:pPr>
            <w:r>
              <w:t>Manufacturing</w:t>
            </w:r>
          </w:p>
        </w:tc>
        <w:tc>
          <w:tcPr>
            <w:tcW w:w="0" w:type="auto"/>
            <w:shd w:val="clear" w:color="auto" w:fill="auto"/>
          </w:tcPr>
          <w:p w14:paraId="40EC6B53" w14:textId="77777777" w:rsidR="006C3DEB" w:rsidRDefault="006C3DEB" w:rsidP="005A7549">
            <w:pPr>
              <w:pStyle w:val="TableTextLeft"/>
            </w:pPr>
            <w:r>
              <w:rPr>
                <w:sz w:val="22"/>
                <w:szCs w:val="22"/>
              </w:rPr>
              <w:t>MAN</w:t>
            </w:r>
          </w:p>
        </w:tc>
      </w:tr>
      <w:tr w:rsidR="006C3DEB" w14:paraId="21A8A10A" w14:textId="77777777" w:rsidTr="004641CC">
        <w:trPr>
          <w:trHeight w:val="397"/>
        </w:trPr>
        <w:tc>
          <w:tcPr>
            <w:tcW w:w="0" w:type="auto"/>
            <w:tcBorders>
              <w:right w:val="single" w:sz="4" w:space="0" w:color="auto"/>
            </w:tcBorders>
            <w:shd w:val="clear" w:color="auto" w:fill="EEEEEE" w:themeFill="background2"/>
          </w:tcPr>
          <w:p w14:paraId="10416E25" w14:textId="77777777" w:rsidR="006C3DEB" w:rsidRDefault="006C3DEB" w:rsidP="005A7549">
            <w:pPr>
              <w:pStyle w:val="TableTextLeft"/>
            </w:pPr>
            <w:r>
              <w:t>2201</w:t>
            </w:r>
          </w:p>
        </w:tc>
        <w:tc>
          <w:tcPr>
            <w:tcW w:w="0" w:type="auto"/>
            <w:tcBorders>
              <w:left w:val="single" w:sz="4" w:space="0" w:color="auto"/>
            </w:tcBorders>
            <w:shd w:val="clear" w:color="auto" w:fill="auto"/>
          </w:tcPr>
          <w:p w14:paraId="392B30CC" w14:textId="77777777" w:rsidR="006C3DEB" w:rsidRDefault="006C3DEB" w:rsidP="005A7549">
            <w:pPr>
              <w:pStyle w:val="TableTextLeft"/>
            </w:pPr>
            <w:r>
              <w:t>Forged Iron and Steel Product Manufacturing</w:t>
            </w:r>
          </w:p>
        </w:tc>
        <w:tc>
          <w:tcPr>
            <w:tcW w:w="0" w:type="auto"/>
            <w:shd w:val="clear" w:color="auto" w:fill="auto"/>
          </w:tcPr>
          <w:p w14:paraId="48FBD428" w14:textId="77777777" w:rsidR="006C3DEB" w:rsidRDefault="006C3DEB" w:rsidP="005A7549">
            <w:pPr>
              <w:pStyle w:val="TableTextLeft"/>
            </w:pPr>
            <w:r>
              <w:t>Manufacturing</w:t>
            </w:r>
          </w:p>
        </w:tc>
        <w:tc>
          <w:tcPr>
            <w:tcW w:w="0" w:type="auto"/>
            <w:shd w:val="clear" w:color="auto" w:fill="auto"/>
          </w:tcPr>
          <w:p w14:paraId="0006D867" w14:textId="77777777" w:rsidR="006C3DEB" w:rsidRDefault="006C3DEB" w:rsidP="005A7549">
            <w:pPr>
              <w:pStyle w:val="TableTextLeft"/>
            </w:pPr>
            <w:r>
              <w:rPr>
                <w:sz w:val="22"/>
                <w:szCs w:val="22"/>
              </w:rPr>
              <w:t>MAN</w:t>
            </w:r>
          </w:p>
        </w:tc>
      </w:tr>
      <w:tr w:rsidR="006C3DEB" w14:paraId="4DDBFA3D" w14:textId="77777777" w:rsidTr="004641CC">
        <w:trPr>
          <w:trHeight w:val="397"/>
        </w:trPr>
        <w:tc>
          <w:tcPr>
            <w:tcW w:w="0" w:type="auto"/>
            <w:tcBorders>
              <w:right w:val="single" w:sz="4" w:space="0" w:color="auto"/>
            </w:tcBorders>
            <w:shd w:val="clear" w:color="auto" w:fill="EEEEEE" w:themeFill="background2"/>
          </w:tcPr>
          <w:p w14:paraId="5D36CA42" w14:textId="77777777" w:rsidR="006C3DEB" w:rsidRDefault="006C3DEB" w:rsidP="005A7549">
            <w:pPr>
              <w:pStyle w:val="TableTextLeft"/>
            </w:pPr>
            <w:r>
              <w:t>2202</w:t>
            </w:r>
          </w:p>
        </w:tc>
        <w:tc>
          <w:tcPr>
            <w:tcW w:w="0" w:type="auto"/>
            <w:tcBorders>
              <w:left w:val="single" w:sz="4" w:space="0" w:color="auto"/>
            </w:tcBorders>
            <w:shd w:val="clear" w:color="auto" w:fill="auto"/>
          </w:tcPr>
          <w:p w14:paraId="19FA3459" w14:textId="77777777" w:rsidR="006C3DEB" w:rsidRDefault="006C3DEB" w:rsidP="005A7549">
            <w:pPr>
              <w:pStyle w:val="TableTextLeft"/>
            </w:pPr>
            <w:r>
              <w:t>Structural Metal Product Manufacturing</w:t>
            </w:r>
          </w:p>
        </w:tc>
        <w:tc>
          <w:tcPr>
            <w:tcW w:w="0" w:type="auto"/>
            <w:shd w:val="clear" w:color="auto" w:fill="auto"/>
          </w:tcPr>
          <w:p w14:paraId="2EB7032A" w14:textId="77777777" w:rsidR="006C3DEB" w:rsidRDefault="006C3DEB" w:rsidP="005A7549">
            <w:pPr>
              <w:pStyle w:val="TableTextLeft"/>
            </w:pPr>
            <w:r>
              <w:t>Manufacturing</w:t>
            </w:r>
          </w:p>
        </w:tc>
        <w:tc>
          <w:tcPr>
            <w:tcW w:w="0" w:type="auto"/>
            <w:shd w:val="clear" w:color="auto" w:fill="auto"/>
          </w:tcPr>
          <w:p w14:paraId="3E012B03" w14:textId="77777777" w:rsidR="006C3DEB" w:rsidRDefault="006C3DEB" w:rsidP="005A7549">
            <w:pPr>
              <w:pStyle w:val="TableTextLeft"/>
            </w:pPr>
            <w:r>
              <w:rPr>
                <w:sz w:val="22"/>
                <w:szCs w:val="22"/>
              </w:rPr>
              <w:t>MAN</w:t>
            </w:r>
          </w:p>
        </w:tc>
      </w:tr>
      <w:tr w:rsidR="006C3DEB" w14:paraId="41481379" w14:textId="77777777" w:rsidTr="004641CC">
        <w:trPr>
          <w:trHeight w:val="397"/>
        </w:trPr>
        <w:tc>
          <w:tcPr>
            <w:tcW w:w="0" w:type="auto"/>
            <w:tcBorders>
              <w:right w:val="single" w:sz="4" w:space="0" w:color="auto"/>
            </w:tcBorders>
            <w:shd w:val="clear" w:color="auto" w:fill="EEEEEE" w:themeFill="background2"/>
          </w:tcPr>
          <w:p w14:paraId="0B1BE26F" w14:textId="77777777" w:rsidR="006C3DEB" w:rsidRDefault="006C3DEB" w:rsidP="005A7549">
            <w:pPr>
              <w:pStyle w:val="TableTextLeft"/>
            </w:pPr>
            <w:r>
              <w:t>2203</w:t>
            </w:r>
          </w:p>
        </w:tc>
        <w:tc>
          <w:tcPr>
            <w:tcW w:w="0" w:type="auto"/>
            <w:tcBorders>
              <w:left w:val="single" w:sz="4" w:space="0" w:color="auto"/>
            </w:tcBorders>
            <w:shd w:val="clear" w:color="auto" w:fill="auto"/>
          </w:tcPr>
          <w:p w14:paraId="47CA81DC" w14:textId="77777777" w:rsidR="006C3DEB" w:rsidRDefault="006C3DEB" w:rsidP="005A7549">
            <w:pPr>
              <w:pStyle w:val="TableTextLeft"/>
            </w:pPr>
            <w:r>
              <w:t>Metal Containers and Other Sheet Metal Product manufacturing</w:t>
            </w:r>
          </w:p>
        </w:tc>
        <w:tc>
          <w:tcPr>
            <w:tcW w:w="0" w:type="auto"/>
            <w:shd w:val="clear" w:color="auto" w:fill="auto"/>
          </w:tcPr>
          <w:p w14:paraId="3EE49DFA" w14:textId="77777777" w:rsidR="006C3DEB" w:rsidRDefault="006C3DEB" w:rsidP="005A7549">
            <w:pPr>
              <w:pStyle w:val="TableTextLeft"/>
            </w:pPr>
            <w:r>
              <w:t>Manufacturing</w:t>
            </w:r>
          </w:p>
        </w:tc>
        <w:tc>
          <w:tcPr>
            <w:tcW w:w="0" w:type="auto"/>
            <w:shd w:val="clear" w:color="auto" w:fill="auto"/>
          </w:tcPr>
          <w:p w14:paraId="638D5D7B" w14:textId="77777777" w:rsidR="006C3DEB" w:rsidRDefault="006C3DEB" w:rsidP="005A7549">
            <w:pPr>
              <w:pStyle w:val="TableTextLeft"/>
            </w:pPr>
            <w:r>
              <w:rPr>
                <w:sz w:val="22"/>
                <w:szCs w:val="22"/>
              </w:rPr>
              <w:t>MAN</w:t>
            </w:r>
          </w:p>
        </w:tc>
      </w:tr>
      <w:tr w:rsidR="006C3DEB" w14:paraId="036961B5" w14:textId="77777777" w:rsidTr="004641CC">
        <w:trPr>
          <w:trHeight w:val="397"/>
        </w:trPr>
        <w:tc>
          <w:tcPr>
            <w:tcW w:w="0" w:type="auto"/>
            <w:tcBorders>
              <w:right w:val="single" w:sz="4" w:space="0" w:color="auto"/>
            </w:tcBorders>
            <w:shd w:val="clear" w:color="auto" w:fill="EEEEEE" w:themeFill="background2"/>
          </w:tcPr>
          <w:p w14:paraId="051FCFFE" w14:textId="77777777" w:rsidR="006C3DEB" w:rsidRDefault="006C3DEB" w:rsidP="005A7549">
            <w:pPr>
              <w:pStyle w:val="TableTextLeft"/>
            </w:pPr>
            <w:r>
              <w:t>2204</w:t>
            </w:r>
          </w:p>
        </w:tc>
        <w:tc>
          <w:tcPr>
            <w:tcW w:w="0" w:type="auto"/>
            <w:tcBorders>
              <w:left w:val="single" w:sz="4" w:space="0" w:color="auto"/>
            </w:tcBorders>
            <w:shd w:val="clear" w:color="auto" w:fill="auto"/>
          </w:tcPr>
          <w:p w14:paraId="307AFE3E" w14:textId="77777777" w:rsidR="006C3DEB" w:rsidRDefault="006C3DEB" w:rsidP="005A7549">
            <w:pPr>
              <w:pStyle w:val="TableTextLeft"/>
            </w:pPr>
            <w:r>
              <w:t>Other Fabricated Metal Product manufacturing</w:t>
            </w:r>
          </w:p>
        </w:tc>
        <w:tc>
          <w:tcPr>
            <w:tcW w:w="0" w:type="auto"/>
            <w:shd w:val="clear" w:color="auto" w:fill="auto"/>
          </w:tcPr>
          <w:p w14:paraId="7978687C" w14:textId="77777777" w:rsidR="006C3DEB" w:rsidRDefault="006C3DEB" w:rsidP="005A7549">
            <w:pPr>
              <w:pStyle w:val="TableTextLeft"/>
            </w:pPr>
            <w:r>
              <w:t>Manufacturing</w:t>
            </w:r>
          </w:p>
        </w:tc>
        <w:tc>
          <w:tcPr>
            <w:tcW w:w="0" w:type="auto"/>
            <w:shd w:val="clear" w:color="auto" w:fill="auto"/>
          </w:tcPr>
          <w:p w14:paraId="1B4D66B1" w14:textId="77777777" w:rsidR="006C3DEB" w:rsidRDefault="006C3DEB" w:rsidP="005A7549">
            <w:pPr>
              <w:pStyle w:val="TableTextLeft"/>
            </w:pPr>
            <w:r>
              <w:rPr>
                <w:sz w:val="22"/>
                <w:szCs w:val="22"/>
              </w:rPr>
              <w:t>MAN</w:t>
            </w:r>
          </w:p>
        </w:tc>
      </w:tr>
      <w:tr w:rsidR="006C3DEB" w14:paraId="6F4863C0" w14:textId="77777777" w:rsidTr="004641CC">
        <w:trPr>
          <w:trHeight w:val="397"/>
        </w:trPr>
        <w:tc>
          <w:tcPr>
            <w:tcW w:w="0" w:type="auto"/>
            <w:tcBorders>
              <w:right w:val="single" w:sz="4" w:space="0" w:color="auto"/>
            </w:tcBorders>
            <w:shd w:val="clear" w:color="auto" w:fill="EEEEEE" w:themeFill="background2"/>
          </w:tcPr>
          <w:p w14:paraId="7CD60237" w14:textId="77777777" w:rsidR="006C3DEB" w:rsidRDefault="006C3DEB" w:rsidP="005A7549">
            <w:pPr>
              <w:pStyle w:val="TableTextLeft"/>
            </w:pPr>
            <w:r>
              <w:t>2301</w:t>
            </w:r>
          </w:p>
        </w:tc>
        <w:tc>
          <w:tcPr>
            <w:tcW w:w="0" w:type="auto"/>
            <w:tcBorders>
              <w:left w:val="single" w:sz="4" w:space="0" w:color="auto"/>
            </w:tcBorders>
            <w:shd w:val="clear" w:color="auto" w:fill="auto"/>
          </w:tcPr>
          <w:p w14:paraId="391FF14A" w14:textId="77777777" w:rsidR="006C3DEB" w:rsidRDefault="006C3DEB" w:rsidP="005A7549">
            <w:pPr>
              <w:pStyle w:val="TableTextLeft"/>
            </w:pPr>
            <w:r>
              <w:t>Motor Vehicles and Parts; Other Transport Equipment manufacturing</w:t>
            </w:r>
          </w:p>
        </w:tc>
        <w:tc>
          <w:tcPr>
            <w:tcW w:w="0" w:type="auto"/>
            <w:shd w:val="clear" w:color="auto" w:fill="auto"/>
          </w:tcPr>
          <w:p w14:paraId="197880B9" w14:textId="77777777" w:rsidR="006C3DEB" w:rsidRDefault="006C3DEB" w:rsidP="005A7549">
            <w:pPr>
              <w:pStyle w:val="TableTextLeft"/>
            </w:pPr>
            <w:r>
              <w:t>Manufacturing</w:t>
            </w:r>
          </w:p>
        </w:tc>
        <w:tc>
          <w:tcPr>
            <w:tcW w:w="0" w:type="auto"/>
            <w:shd w:val="clear" w:color="auto" w:fill="auto"/>
          </w:tcPr>
          <w:p w14:paraId="3EEEEEB5" w14:textId="77777777" w:rsidR="006C3DEB" w:rsidRDefault="006C3DEB" w:rsidP="005A7549">
            <w:pPr>
              <w:pStyle w:val="TableTextLeft"/>
            </w:pPr>
            <w:r>
              <w:rPr>
                <w:sz w:val="22"/>
                <w:szCs w:val="22"/>
              </w:rPr>
              <w:t>MAN</w:t>
            </w:r>
          </w:p>
        </w:tc>
      </w:tr>
      <w:tr w:rsidR="006C3DEB" w14:paraId="57919981" w14:textId="77777777" w:rsidTr="004641CC">
        <w:trPr>
          <w:trHeight w:val="397"/>
        </w:trPr>
        <w:tc>
          <w:tcPr>
            <w:tcW w:w="0" w:type="auto"/>
            <w:tcBorders>
              <w:right w:val="single" w:sz="4" w:space="0" w:color="auto"/>
            </w:tcBorders>
            <w:shd w:val="clear" w:color="auto" w:fill="EEEEEE" w:themeFill="background2"/>
          </w:tcPr>
          <w:p w14:paraId="4727C053" w14:textId="77777777" w:rsidR="006C3DEB" w:rsidRDefault="006C3DEB" w:rsidP="005A7549">
            <w:pPr>
              <w:pStyle w:val="TableTextLeft"/>
            </w:pPr>
            <w:r>
              <w:t>2302</w:t>
            </w:r>
          </w:p>
        </w:tc>
        <w:tc>
          <w:tcPr>
            <w:tcW w:w="0" w:type="auto"/>
            <w:tcBorders>
              <w:left w:val="single" w:sz="4" w:space="0" w:color="auto"/>
            </w:tcBorders>
            <w:shd w:val="clear" w:color="auto" w:fill="auto"/>
          </w:tcPr>
          <w:p w14:paraId="5B0A087E" w14:textId="77777777" w:rsidR="006C3DEB" w:rsidRDefault="006C3DEB" w:rsidP="005A7549">
            <w:pPr>
              <w:pStyle w:val="TableTextLeft"/>
            </w:pPr>
            <w:r>
              <w:t>Ships and Boat Manufacturing</w:t>
            </w:r>
          </w:p>
        </w:tc>
        <w:tc>
          <w:tcPr>
            <w:tcW w:w="0" w:type="auto"/>
            <w:shd w:val="clear" w:color="auto" w:fill="auto"/>
          </w:tcPr>
          <w:p w14:paraId="2AF4A989" w14:textId="77777777" w:rsidR="006C3DEB" w:rsidRDefault="006C3DEB" w:rsidP="005A7549">
            <w:pPr>
              <w:pStyle w:val="TableTextLeft"/>
            </w:pPr>
            <w:r>
              <w:t>Manufacturing</w:t>
            </w:r>
          </w:p>
        </w:tc>
        <w:tc>
          <w:tcPr>
            <w:tcW w:w="0" w:type="auto"/>
            <w:shd w:val="clear" w:color="auto" w:fill="auto"/>
          </w:tcPr>
          <w:p w14:paraId="0718A57E" w14:textId="77777777" w:rsidR="006C3DEB" w:rsidRDefault="006C3DEB" w:rsidP="005A7549">
            <w:pPr>
              <w:pStyle w:val="TableTextLeft"/>
            </w:pPr>
            <w:r>
              <w:rPr>
                <w:sz w:val="22"/>
                <w:szCs w:val="22"/>
              </w:rPr>
              <w:t>MAN</w:t>
            </w:r>
          </w:p>
        </w:tc>
      </w:tr>
      <w:tr w:rsidR="006C3DEB" w14:paraId="7BD56935" w14:textId="77777777" w:rsidTr="004641CC">
        <w:trPr>
          <w:trHeight w:val="397"/>
        </w:trPr>
        <w:tc>
          <w:tcPr>
            <w:tcW w:w="0" w:type="auto"/>
            <w:tcBorders>
              <w:right w:val="single" w:sz="4" w:space="0" w:color="auto"/>
            </w:tcBorders>
            <w:shd w:val="clear" w:color="auto" w:fill="EEEEEE" w:themeFill="background2"/>
          </w:tcPr>
          <w:p w14:paraId="07BAD5B0" w14:textId="77777777" w:rsidR="006C3DEB" w:rsidRDefault="006C3DEB" w:rsidP="005A7549">
            <w:pPr>
              <w:pStyle w:val="TableTextLeft"/>
            </w:pPr>
            <w:r>
              <w:t>2303</w:t>
            </w:r>
          </w:p>
        </w:tc>
        <w:tc>
          <w:tcPr>
            <w:tcW w:w="0" w:type="auto"/>
            <w:tcBorders>
              <w:left w:val="single" w:sz="4" w:space="0" w:color="auto"/>
            </w:tcBorders>
            <w:shd w:val="clear" w:color="auto" w:fill="auto"/>
          </w:tcPr>
          <w:p w14:paraId="25A48307" w14:textId="77777777" w:rsidR="006C3DEB" w:rsidRDefault="006C3DEB" w:rsidP="005A7549">
            <w:pPr>
              <w:pStyle w:val="TableTextLeft"/>
            </w:pPr>
            <w:r>
              <w:t>Railway Rolling Stock Manufacturing</w:t>
            </w:r>
          </w:p>
        </w:tc>
        <w:tc>
          <w:tcPr>
            <w:tcW w:w="0" w:type="auto"/>
            <w:shd w:val="clear" w:color="auto" w:fill="auto"/>
          </w:tcPr>
          <w:p w14:paraId="33435EF6" w14:textId="77777777" w:rsidR="006C3DEB" w:rsidRDefault="006C3DEB" w:rsidP="005A7549">
            <w:pPr>
              <w:pStyle w:val="TableTextLeft"/>
            </w:pPr>
            <w:r>
              <w:t>Manufacturing</w:t>
            </w:r>
          </w:p>
        </w:tc>
        <w:tc>
          <w:tcPr>
            <w:tcW w:w="0" w:type="auto"/>
            <w:shd w:val="clear" w:color="auto" w:fill="auto"/>
          </w:tcPr>
          <w:p w14:paraId="3A9EDEC8" w14:textId="77777777" w:rsidR="006C3DEB" w:rsidRDefault="006C3DEB" w:rsidP="005A7549">
            <w:pPr>
              <w:pStyle w:val="TableTextLeft"/>
            </w:pPr>
            <w:r>
              <w:rPr>
                <w:sz w:val="22"/>
                <w:szCs w:val="22"/>
              </w:rPr>
              <w:t>MAN</w:t>
            </w:r>
          </w:p>
        </w:tc>
      </w:tr>
      <w:tr w:rsidR="006C3DEB" w14:paraId="40E71612" w14:textId="77777777" w:rsidTr="004641CC">
        <w:trPr>
          <w:trHeight w:val="397"/>
        </w:trPr>
        <w:tc>
          <w:tcPr>
            <w:tcW w:w="0" w:type="auto"/>
            <w:tcBorders>
              <w:right w:val="single" w:sz="4" w:space="0" w:color="auto"/>
            </w:tcBorders>
            <w:shd w:val="clear" w:color="auto" w:fill="EEEEEE" w:themeFill="background2"/>
          </w:tcPr>
          <w:p w14:paraId="45320C31" w14:textId="77777777" w:rsidR="006C3DEB" w:rsidRDefault="006C3DEB" w:rsidP="005A7549">
            <w:pPr>
              <w:pStyle w:val="TableTextLeft"/>
            </w:pPr>
            <w:r>
              <w:t>2304</w:t>
            </w:r>
          </w:p>
        </w:tc>
        <w:tc>
          <w:tcPr>
            <w:tcW w:w="0" w:type="auto"/>
            <w:tcBorders>
              <w:left w:val="single" w:sz="4" w:space="0" w:color="auto"/>
            </w:tcBorders>
            <w:shd w:val="clear" w:color="auto" w:fill="auto"/>
          </w:tcPr>
          <w:p w14:paraId="2C0A8A0B" w14:textId="77777777" w:rsidR="006C3DEB" w:rsidRDefault="006C3DEB" w:rsidP="005A7549">
            <w:pPr>
              <w:pStyle w:val="TableTextLeft"/>
            </w:pPr>
            <w:r>
              <w:t>Aircraft Manufacturing</w:t>
            </w:r>
          </w:p>
        </w:tc>
        <w:tc>
          <w:tcPr>
            <w:tcW w:w="0" w:type="auto"/>
            <w:shd w:val="clear" w:color="auto" w:fill="auto"/>
          </w:tcPr>
          <w:p w14:paraId="2B5EA476" w14:textId="77777777" w:rsidR="006C3DEB" w:rsidRDefault="006C3DEB" w:rsidP="005A7549">
            <w:pPr>
              <w:pStyle w:val="TableTextLeft"/>
            </w:pPr>
            <w:r>
              <w:t>Manufacturing</w:t>
            </w:r>
          </w:p>
        </w:tc>
        <w:tc>
          <w:tcPr>
            <w:tcW w:w="0" w:type="auto"/>
            <w:shd w:val="clear" w:color="auto" w:fill="auto"/>
          </w:tcPr>
          <w:p w14:paraId="68D7FBE3" w14:textId="77777777" w:rsidR="006C3DEB" w:rsidRDefault="006C3DEB" w:rsidP="005A7549">
            <w:pPr>
              <w:pStyle w:val="TableTextLeft"/>
            </w:pPr>
            <w:r>
              <w:rPr>
                <w:sz w:val="22"/>
                <w:szCs w:val="22"/>
              </w:rPr>
              <w:t>MAN</w:t>
            </w:r>
          </w:p>
        </w:tc>
      </w:tr>
      <w:tr w:rsidR="006C3DEB" w14:paraId="6D55F60C" w14:textId="77777777" w:rsidTr="004641CC">
        <w:trPr>
          <w:trHeight w:val="397"/>
        </w:trPr>
        <w:tc>
          <w:tcPr>
            <w:tcW w:w="0" w:type="auto"/>
            <w:tcBorders>
              <w:right w:val="single" w:sz="4" w:space="0" w:color="auto"/>
            </w:tcBorders>
            <w:shd w:val="clear" w:color="auto" w:fill="EEEEEE" w:themeFill="background2"/>
          </w:tcPr>
          <w:p w14:paraId="7C468BE0" w14:textId="77777777" w:rsidR="006C3DEB" w:rsidRDefault="006C3DEB" w:rsidP="005A7549">
            <w:pPr>
              <w:pStyle w:val="TableTextLeft"/>
            </w:pPr>
            <w:r>
              <w:t>2401</w:t>
            </w:r>
          </w:p>
        </w:tc>
        <w:tc>
          <w:tcPr>
            <w:tcW w:w="0" w:type="auto"/>
            <w:tcBorders>
              <w:left w:val="single" w:sz="4" w:space="0" w:color="auto"/>
            </w:tcBorders>
            <w:shd w:val="clear" w:color="auto" w:fill="auto"/>
          </w:tcPr>
          <w:p w14:paraId="3970FA53" w14:textId="77777777" w:rsidR="006C3DEB" w:rsidRDefault="006C3DEB" w:rsidP="005A7549">
            <w:pPr>
              <w:pStyle w:val="TableTextLeft"/>
            </w:pPr>
            <w:r>
              <w:t>Professional, Scientific, Computer and Electronic Equipment Manufacturing</w:t>
            </w:r>
          </w:p>
        </w:tc>
        <w:tc>
          <w:tcPr>
            <w:tcW w:w="0" w:type="auto"/>
            <w:shd w:val="clear" w:color="auto" w:fill="auto"/>
          </w:tcPr>
          <w:p w14:paraId="3E4015FF" w14:textId="77777777" w:rsidR="006C3DEB" w:rsidRDefault="006C3DEB" w:rsidP="005A7549">
            <w:pPr>
              <w:pStyle w:val="TableTextLeft"/>
            </w:pPr>
            <w:r>
              <w:t>Manufacturing</w:t>
            </w:r>
          </w:p>
        </w:tc>
        <w:tc>
          <w:tcPr>
            <w:tcW w:w="0" w:type="auto"/>
            <w:shd w:val="clear" w:color="auto" w:fill="auto"/>
          </w:tcPr>
          <w:p w14:paraId="3B98BB4B" w14:textId="77777777" w:rsidR="006C3DEB" w:rsidRDefault="006C3DEB" w:rsidP="005A7549">
            <w:pPr>
              <w:pStyle w:val="TableTextLeft"/>
            </w:pPr>
            <w:r>
              <w:rPr>
                <w:sz w:val="22"/>
                <w:szCs w:val="22"/>
              </w:rPr>
              <w:t>MAN</w:t>
            </w:r>
          </w:p>
        </w:tc>
      </w:tr>
      <w:tr w:rsidR="006C3DEB" w14:paraId="75F59135" w14:textId="77777777" w:rsidTr="004641CC">
        <w:trPr>
          <w:trHeight w:val="397"/>
        </w:trPr>
        <w:tc>
          <w:tcPr>
            <w:tcW w:w="0" w:type="auto"/>
            <w:tcBorders>
              <w:right w:val="single" w:sz="4" w:space="0" w:color="auto"/>
            </w:tcBorders>
            <w:shd w:val="clear" w:color="auto" w:fill="EEEEEE" w:themeFill="background2"/>
          </w:tcPr>
          <w:p w14:paraId="15CD2758" w14:textId="77777777" w:rsidR="006C3DEB" w:rsidRDefault="006C3DEB" w:rsidP="005A7549">
            <w:pPr>
              <w:pStyle w:val="TableTextLeft"/>
            </w:pPr>
            <w:r>
              <w:t>2403</w:t>
            </w:r>
          </w:p>
        </w:tc>
        <w:tc>
          <w:tcPr>
            <w:tcW w:w="0" w:type="auto"/>
            <w:tcBorders>
              <w:left w:val="single" w:sz="4" w:space="0" w:color="auto"/>
            </w:tcBorders>
            <w:shd w:val="clear" w:color="auto" w:fill="auto"/>
          </w:tcPr>
          <w:p w14:paraId="7A6B0D8B" w14:textId="77777777" w:rsidR="006C3DEB" w:rsidRDefault="006C3DEB" w:rsidP="005A7549">
            <w:pPr>
              <w:pStyle w:val="TableTextLeft"/>
            </w:pPr>
            <w:r>
              <w:t>Electrical Equipment Manufacturing</w:t>
            </w:r>
          </w:p>
        </w:tc>
        <w:tc>
          <w:tcPr>
            <w:tcW w:w="0" w:type="auto"/>
            <w:shd w:val="clear" w:color="auto" w:fill="auto"/>
          </w:tcPr>
          <w:p w14:paraId="77F37EA2" w14:textId="77777777" w:rsidR="006C3DEB" w:rsidRDefault="006C3DEB" w:rsidP="005A7549">
            <w:pPr>
              <w:pStyle w:val="TableTextLeft"/>
            </w:pPr>
            <w:r>
              <w:t>Manufacturing</w:t>
            </w:r>
          </w:p>
        </w:tc>
        <w:tc>
          <w:tcPr>
            <w:tcW w:w="0" w:type="auto"/>
            <w:shd w:val="clear" w:color="auto" w:fill="auto"/>
          </w:tcPr>
          <w:p w14:paraId="534E17D8" w14:textId="77777777" w:rsidR="006C3DEB" w:rsidRDefault="006C3DEB" w:rsidP="005A7549">
            <w:pPr>
              <w:pStyle w:val="TableTextLeft"/>
            </w:pPr>
            <w:r>
              <w:rPr>
                <w:sz w:val="22"/>
                <w:szCs w:val="22"/>
              </w:rPr>
              <w:t>MAN</w:t>
            </w:r>
          </w:p>
        </w:tc>
      </w:tr>
      <w:tr w:rsidR="006C3DEB" w14:paraId="33FEA82B" w14:textId="77777777" w:rsidTr="004641CC">
        <w:trPr>
          <w:trHeight w:val="397"/>
        </w:trPr>
        <w:tc>
          <w:tcPr>
            <w:tcW w:w="0" w:type="auto"/>
            <w:tcBorders>
              <w:right w:val="single" w:sz="4" w:space="0" w:color="auto"/>
            </w:tcBorders>
            <w:shd w:val="clear" w:color="auto" w:fill="EEEEEE" w:themeFill="background2"/>
          </w:tcPr>
          <w:p w14:paraId="68D092FD" w14:textId="77777777" w:rsidR="006C3DEB" w:rsidRDefault="006C3DEB" w:rsidP="005A7549">
            <w:pPr>
              <w:pStyle w:val="TableTextLeft"/>
            </w:pPr>
            <w:r>
              <w:t>2404</w:t>
            </w:r>
          </w:p>
        </w:tc>
        <w:tc>
          <w:tcPr>
            <w:tcW w:w="0" w:type="auto"/>
            <w:tcBorders>
              <w:left w:val="single" w:sz="4" w:space="0" w:color="auto"/>
            </w:tcBorders>
            <w:shd w:val="clear" w:color="auto" w:fill="auto"/>
          </w:tcPr>
          <w:p w14:paraId="24A3F41D" w14:textId="77777777" w:rsidR="006C3DEB" w:rsidRDefault="006C3DEB" w:rsidP="005A7549">
            <w:pPr>
              <w:pStyle w:val="TableTextLeft"/>
            </w:pPr>
            <w:r>
              <w:t>Domestic Appliance Manufacturing</w:t>
            </w:r>
          </w:p>
        </w:tc>
        <w:tc>
          <w:tcPr>
            <w:tcW w:w="0" w:type="auto"/>
            <w:shd w:val="clear" w:color="auto" w:fill="auto"/>
          </w:tcPr>
          <w:p w14:paraId="40D8CE35" w14:textId="77777777" w:rsidR="006C3DEB" w:rsidRDefault="006C3DEB" w:rsidP="005A7549">
            <w:pPr>
              <w:pStyle w:val="TableTextLeft"/>
            </w:pPr>
            <w:r>
              <w:t>Manufacturing</w:t>
            </w:r>
          </w:p>
        </w:tc>
        <w:tc>
          <w:tcPr>
            <w:tcW w:w="0" w:type="auto"/>
            <w:shd w:val="clear" w:color="auto" w:fill="auto"/>
          </w:tcPr>
          <w:p w14:paraId="586BA0A4" w14:textId="77777777" w:rsidR="006C3DEB" w:rsidRDefault="006C3DEB" w:rsidP="005A7549">
            <w:pPr>
              <w:pStyle w:val="TableTextLeft"/>
            </w:pPr>
            <w:r>
              <w:rPr>
                <w:sz w:val="22"/>
                <w:szCs w:val="22"/>
              </w:rPr>
              <w:t>MAN</w:t>
            </w:r>
          </w:p>
        </w:tc>
      </w:tr>
      <w:tr w:rsidR="006C3DEB" w14:paraId="3037A289" w14:textId="77777777" w:rsidTr="004641CC">
        <w:trPr>
          <w:trHeight w:val="397"/>
        </w:trPr>
        <w:tc>
          <w:tcPr>
            <w:tcW w:w="0" w:type="auto"/>
            <w:tcBorders>
              <w:right w:val="single" w:sz="4" w:space="0" w:color="auto"/>
            </w:tcBorders>
            <w:shd w:val="clear" w:color="auto" w:fill="EEEEEE" w:themeFill="background2"/>
          </w:tcPr>
          <w:p w14:paraId="4B864560" w14:textId="77777777" w:rsidR="006C3DEB" w:rsidRDefault="006C3DEB" w:rsidP="005A7549">
            <w:pPr>
              <w:pStyle w:val="TableTextLeft"/>
            </w:pPr>
            <w:r>
              <w:t>2405</w:t>
            </w:r>
          </w:p>
        </w:tc>
        <w:tc>
          <w:tcPr>
            <w:tcW w:w="0" w:type="auto"/>
            <w:tcBorders>
              <w:left w:val="single" w:sz="4" w:space="0" w:color="auto"/>
            </w:tcBorders>
            <w:shd w:val="clear" w:color="auto" w:fill="auto"/>
          </w:tcPr>
          <w:p w14:paraId="79203FD9" w14:textId="77777777" w:rsidR="006C3DEB" w:rsidRDefault="006C3DEB" w:rsidP="005A7549">
            <w:pPr>
              <w:pStyle w:val="TableTextLeft"/>
            </w:pPr>
            <w:r>
              <w:t>Specialised and other Machinery and Equipment Manufacturing</w:t>
            </w:r>
          </w:p>
        </w:tc>
        <w:tc>
          <w:tcPr>
            <w:tcW w:w="0" w:type="auto"/>
            <w:shd w:val="clear" w:color="auto" w:fill="auto"/>
          </w:tcPr>
          <w:p w14:paraId="653E6F13" w14:textId="77777777" w:rsidR="006C3DEB" w:rsidRDefault="006C3DEB" w:rsidP="005A7549">
            <w:pPr>
              <w:pStyle w:val="TableTextLeft"/>
            </w:pPr>
            <w:r>
              <w:t>Manufacturing</w:t>
            </w:r>
          </w:p>
        </w:tc>
        <w:tc>
          <w:tcPr>
            <w:tcW w:w="0" w:type="auto"/>
            <w:shd w:val="clear" w:color="auto" w:fill="auto"/>
          </w:tcPr>
          <w:p w14:paraId="273826DD" w14:textId="77777777" w:rsidR="006C3DEB" w:rsidRDefault="006C3DEB" w:rsidP="005A7549">
            <w:pPr>
              <w:pStyle w:val="TableTextLeft"/>
            </w:pPr>
            <w:r>
              <w:rPr>
                <w:sz w:val="22"/>
                <w:szCs w:val="22"/>
              </w:rPr>
              <w:t>MAN</w:t>
            </w:r>
          </w:p>
        </w:tc>
      </w:tr>
      <w:tr w:rsidR="006C3DEB" w14:paraId="6A7FBC11" w14:textId="77777777" w:rsidTr="004641CC">
        <w:trPr>
          <w:trHeight w:val="397"/>
        </w:trPr>
        <w:tc>
          <w:tcPr>
            <w:tcW w:w="0" w:type="auto"/>
            <w:tcBorders>
              <w:right w:val="single" w:sz="4" w:space="0" w:color="auto"/>
            </w:tcBorders>
            <w:shd w:val="clear" w:color="auto" w:fill="EEEEEE" w:themeFill="background2"/>
          </w:tcPr>
          <w:p w14:paraId="616328BA" w14:textId="77777777" w:rsidR="006C3DEB" w:rsidRDefault="006C3DEB" w:rsidP="005A7549">
            <w:pPr>
              <w:pStyle w:val="TableTextLeft"/>
            </w:pPr>
            <w:r>
              <w:t>2501</w:t>
            </w:r>
          </w:p>
        </w:tc>
        <w:tc>
          <w:tcPr>
            <w:tcW w:w="0" w:type="auto"/>
            <w:tcBorders>
              <w:left w:val="single" w:sz="4" w:space="0" w:color="auto"/>
            </w:tcBorders>
            <w:shd w:val="clear" w:color="auto" w:fill="auto"/>
          </w:tcPr>
          <w:p w14:paraId="341E41EF" w14:textId="77777777" w:rsidR="006C3DEB" w:rsidRDefault="006C3DEB" w:rsidP="005A7549">
            <w:pPr>
              <w:pStyle w:val="TableTextLeft"/>
            </w:pPr>
            <w:r>
              <w:t>Furniture Manufacturing</w:t>
            </w:r>
          </w:p>
        </w:tc>
        <w:tc>
          <w:tcPr>
            <w:tcW w:w="0" w:type="auto"/>
            <w:shd w:val="clear" w:color="auto" w:fill="auto"/>
          </w:tcPr>
          <w:p w14:paraId="07D449EA" w14:textId="77777777" w:rsidR="006C3DEB" w:rsidRDefault="006C3DEB" w:rsidP="005A7549">
            <w:pPr>
              <w:pStyle w:val="TableTextLeft"/>
            </w:pPr>
            <w:r>
              <w:t>Manufacturing</w:t>
            </w:r>
          </w:p>
        </w:tc>
        <w:tc>
          <w:tcPr>
            <w:tcW w:w="0" w:type="auto"/>
            <w:shd w:val="clear" w:color="auto" w:fill="auto"/>
          </w:tcPr>
          <w:p w14:paraId="7624528C" w14:textId="77777777" w:rsidR="006C3DEB" w:rsidRDefault="006C3DEB" w:rsidP="005A7549">
            <w:pPr>
              <w:pStyle w:val="TableTextLeft"/>
            </w:pPr>
            <w:r>
              <w:rPr>
                <w:sz w:val="22"/>
                <w:szCs w:val="22"/>
              </w:rPr>
              <w:t>MAN</w:t>
            </w:r>
          </w:p>
        </w:tc>
      </w:tr>
      <w:tr w:rsidR="006C3DEB" w14:paraId="61F17F48" w14:textId="77777777" w:rsidTr="004641CC">
        <w:trPr>
          <w:trHeight w:val="397"/>
        </w:trPr>
        <w:tc>
          <w:tcPr>
            <w:tcW w:w="0" w:type="auto"/>
            <w:tcBorders>
              <w:right w:val="single" w:sz="4" w:space="0" w:color="auto"/>
            </w:tcBorders>
            <w:shd w:val="clear" w:color="auto" w:fill="EEEEEE" w:themeFill="background2"/>
          </w:tcPr>
          <w:p w14:paraId="415ED814" w14:textId="77777777" w:rsidR="006C3DEB" w:rsidRDefault="006C3DEB" w:rsidP="005A7549">
            <w:pPr>
              <w:pStyle w:val="TableTextLeft"/>
            </w:pPr>
            <w:r>
              <w:lastRenderedPageBreak/>
              <w:t>2502</w:t>
            </w:r>
          </w:p>
        </w:tc>
        <w:tc>
          <w:tcPr>
            <w:tcW w:w="0" w:type="auto"/>
            <w:tcBorders>
              <w:left w:val="single" w:sz="4" w:space="0" w:color="auto"/>
            </w:tcBorders>
            <w:shd w:val="clear" w:color="auto" w:fill="auto"/>
          </w:tcPr>
          <w:p w14:paraId="6E94536D" w14:textId="77777777" w:rsidR="006C3DEB" w:rsidRDefault="006C3DEB" w:rsidP="005A7549">
            <w:pPr>
              <w:pStyle w:val="TableTextLeft"/>
            </w:pPr>
            <w:r>
              <w:t>Other Manufactured Products</w:t>
            </w:r>
          </w:p>
        </w:tc>
        <w:tc>
          <w:tcPr>
            <w:tcW w:w="0" w:type="auto"/>
            <w:shd w:val="clear" w:color="auto" w:fill="auto"/>
          </w:tcPr>
          <w:p w14:paraId="4B516679" w14:textId="77777777" w:rsidR="006C3DEB" w:rsidRDefault="006C3DEB" w:rsidP="005A7549">
            <w:pPr>
              <w:pStyle w:val="TableTextLeft"/>
            </w:pPr>
            <w:r>
              <w:t>Manufacturing</w:t>
            </w:r>
          </w:p>
        </w:tc>
        <w:tc>
          <w:tcPr>
            <w:tcW w:w="0" w:type="auto"/>
            <w:shd w:val="clear" w:color="auto" w:fill="auto"/>
          </w:tcPr>
          <w:p w14:paraId="0CD4FCC3" w14:textId="77777777" w:rsidR="006C3DEB" w:rsidRDefault="006C3DEB" w:rsidP="005A7549">
            <w:pPr>
              <w:pStyle w:val="TableTextLeft"/>
            </w:pPr>
            <w:r>
              <w:rPr>
                <w:sz w:val="22"/>
                <w:szCs w:val="22"/>
              </w:rPr>
              <w:t>MAN</w:t>
            </w:r>
          </w:p>
        </w:tc>
      </w:tr>
      <w:tr w:rsidR="006C3DEB" w14:paraId="037B022B" w14:textId="77777777" w:rsidTr="004641CC">
        <w:trPr>
          <w:trHeight w:val="397"/>
        </w:trPr>
        <w:tc>
          <w:tcPr>
            <w:tcW w:w="0" w:type="auto"/>
            <w:tcBorders>
              <w:right w:val="single" w:sz="4" w:space="0" w:color="auto"/>
            </w:tcBorders>
            <w:shd w:val="clear" w:color="auto" w:fill="EEEEEE" w:themeFill="background2"/>
          </w:tcPr>
          <w:p w14:paraId="08ACE113" w14:textId="77777777" w:rsidR="006C3DEB" w:rsidRDefault="006C3DEB" w:rsidP="005A7549">
            <w:pPr>
              <w:pStyle w:val="TableTextLeft"/>
            </w:pPr>
            <w:r>
              <w:t>2601</w:t>
            </w:r>
          </w:p>
        </w:tc>
        <w:tc>
          <w:tcPr>
            <w:tcW w:w="0" w:type="auto"/>
            <w:tcBorders>
              <w:left w:val="single" w:sz="4" w:space="0" w:color="auto"/>
            </w:tcBorders>
            <w:shd w:val="clear" w:color="auto" w:fill="auto"/>
          </w:tcPr>
          <w:p w14:paraId="6B43494D" w14:textId="77777777" w:rsidR="006C3DEB" w:rsidRDefault="006C3DEB" w:rsidP="005A7549">
            <w:pPr>
              <w:pStyle w:val="TableTextLeft"/>
            </w:pPr>
            <w:r>
              <w:t>Electricity Generation</w:t>
            </w:r>
          </w:p>
        </w:tc>
        <w:tc>
          <w:tcPr>
            <w:tcW w:w="0" w:type="auto"/>
            <w:shd w:val="clear" w:color="auto" w:fill="auto"/>
          </w:tcPr>
          <w:p w14:paraId="0F60000B" w14:textId="77777777" w:rsidR="006C3DEB" w:rsidRDefault="006C3DEB" w:rsidP="005A7549">
            <w:pPr>
              <w:pStyle w:val="TableTextLeft"/>
            </w:pPr>
            <w:r>
              <w:t>Utilities</w:t>
            </w:r>
          </w:p>
        </w:tc>
        <w:tc>
          <w:tcPr>
            <w:tcW w:w="0" w:type="auto"/>
            <w:shd w:val="clear" w:color="auto" w:fill="auto"/>
          </w:tcPr>
          <w:p w14:paraId="70EE5D37" w14:textId="77777777" w:rsidR="006C3DEB" w:rsidRDefault="006C3DEB" w:rsidP="005A7549">
            <w:pPr>
              <w:pStyle w:val="TableTextLeft"/>
            </w:pPr>
            <w:r>
              <w:rPr>
                <w:sz w:val="22"/>
                <w:szCs w:val="22"/>
              </w:rPr>
              <w:t>UTL</w:t>
            </w:r>
          </w:p>
        </w:tc>
      </w:tr>
      <w:tr w:rsidR="006C3DEB" w14:paraId="4DB69CC9" w14:textId="77777777" w:rsidTr="004641CC">
        <w:trPr>
          <w:trHeight w:val="397"/>
        </w:trPr>
        <w:tc>
          <w:tcPr>
            <w:tcW w:w="0" w:type="auto"/>
            <w:tcBorders>
              <w:right w:val="single" w:sz="4" w:space="0" w:color="auto"/>
            </w:tcBorders>
            <w:shd w:val="clear" w:color="auto" w:fill="EEEEEE" w:themeFill="background2"/>
          </w:tcPr>
          <w:p w14:paraId="210ED06A" w14:textId="77777777" w:rsidR="006C3DEB" w:rsidRDefault="006C3DEB" w:rsidP="005A7549">
            <w:pPr>
              <w:pStyle w:val="TableTextLeft"/>
            </w:pPr>
            <w:r>
              <w:t>2605</w:t>
            </w:r>
          </w:p>
        </w:tc>
        <w:tc>
          <w:tcPr>
            <w:tcW w:w="0" w:type="auto"/>
            <w:tcBorders>
              <w:left w:val="single" w:sz="4" w:space="0" w:color="auto"/>
            </w:tcBorders>
            <w:shd w:val="clear" w:color="auto" w:fill="auto"/>
          </w:tcPr>
          <w:p w14:paraId="505E2D1A" w14:textId="77777777" w:rsidR="006C3DEB" w:rsidRDefault="006C3DEB" w:rsidP="005A7549">
            <w:pPr>
              <w:pStyle w:val="TableTextLeft"/>
            </w:pPr>
            <w:r>
              <w:t>Electricity Transmission, Distribution, On Selling and Electricity Market Operation</w:t>
            </w:r>
          </w:p>
        </w:tc>
        <w:tc>
          <w:tcPr>
            <w:tcW w:w="0" w:type="auto"/>
            <w:shd w:val="clear" w:color="auto" w:fill="auto"/>
          </w:tcPr>
          <w:p w14:paraId="47F519EF" w14:textId="77777777" w:rsidR="006C3DEB" w:rsidRDefault="006C3DEB" w:rsidP="005A7549">
            <w:pPr>
              <w:pStyle w:val="TableTextLeft"/>
            </w:pPr>
            <w:r>
              <w:t>Utilities</w:t>
            </w:r>
          </w:p>
        </w:tc>
        <w:tc>
          <w:tcPr>
            <w:tcW w:w="0" w:type="auto"/>
            <w:shd w:val="clear" w:color="auto" w:fill="auto"/>
          </w:tcPr>
          <w:p w14:paraId="20F0B759" w14:textId="77777777" w:rsidR="006C3DEB" w:rsidRDefault="006C3DEB" w:rsidP="005A7549">
            <w:pPr>
              <w:pStyle w:val="TableTextLeft"/>
            </w:pPr>
            <w:r>
              <w:rPr>
                <w:sz w:val="22"/>
                <w:szCs w:val="22"/>
              </w:rPr>
              <w:t>UTL</w:t>
            </w:r>
          </w:p>
        </w:tc>
      </w:tr>
      <w:tr w:rsidR="006C3DEB" w14:paraId="1AA8F898" w14:textId="77777777" w:rsidTr="004641CC">
        <w:trPr>
          <w:trHeight w:val="397"/>
        </w:trPr>
        <w:tc>
          <w:tcPr>
            <w:tcW w:w="0" w:type="auto"/>
            <w:tcBorders>
              <w:right w:val="single" w:sz="4" w:space="0" w:color="auto"/>
            </w:tcBorders>
            <w:shd w:val="clear" w:color="auto" w:fill="EEEEEE" w:themeFill="background2"/>
          </w:tcPr>
          <w:p w14:paraId="71A9A17C" w14:textId="77777777" w:rsidR="006C3DEB" w:rsidRDefault="006C3DEB" w:rsidP="005A7549">
            <w:pPr>
              <w:pStyle w:val="TableTextLeft"/>
            </w:pPr>
            <w:r>
              <w:t>2701</w:t>
            </w:r>
          </w:p>
        </w:tc>
        <w:tc>
          <w:tcPr>
            <w:tcW w:w="0" w:type="auto"/>
            <w:tcBorders>
              <w:left w:val="single" w:sz="4" w:space="0" w:color="auto"/>
            </w:tcBorders>
            <w:shd w:val="clear" w:color="auto" w:fill="auto"/>
          </w:tcPr>
          <w:p w14:paraId="13A5036B" w14:textId="77777777" w:rsidR="006C3DEB" w:rsidRDefault="006C3DEB" w:rsidP="005A7549">
            <w:pPr>
              <w:pStyle w:val="TableTextLeft"/>
            </w:pPr>
            <w:r>
              <w:t>Gas Supply</w:t>
            </w:r>
          </w:p>
        </w:tc>
        <w:tc>
          <w:tcPr>
            <w:tcW w:w="0" w:type="auto"/>
            <w:shd w:val="clear" w:color="auto" w:fill="auto"/>
          </w:tcPr>
          <w:p w14:paraId="3C80CC9B" w14:textId="77777777" w:rsidR="006C3DEB" w:rsidRDefault="006C3DEB" w:rsidP="005A7549">
            <w:pPr>
              <w:pStyle w:val="TableTextLeft"/>
            </w:pPr>
            <w:r>
              <w:t>Utilities</w:t>
            </w:r>
          </w:p>
        </w:tc>
        <w:tc>
          <w:tcPr>
            <w:tcW w:w="0" w:type="auto"/>
            <w:shd w:val="clear" w:color="auto" w:fill="auto"/>
          </w:tcPr>
          <w:p w14:paraId="34361AA5" w14:textId="77777777" w:rsidR="006C3DEB" w:rsidRDefault="006C3DEB" w:rsidP="005A7549">
            <w:pPr>
              <w:pStyle w:val="TableTextLeft"/>
            </w:pPr>
            <w:r>
              <w:rPr>
                <w:sz w:val="22"/>
                <w:szCs w:val="22"/>
              </w:rPr>
              <w:t>UTL</w:t>
            </w:r>
          </w:p>
        </w:tc>
      </w:tr>
      <w:tr w:rsidR="006C3DEB" w14:paraId="1BB72FA1" w14:textId="77777777" w:rsidTr="004641CC">
        <w:trPr>
          <w:trHeight w:val="397"/>
        </w:trPr>
        <w:tc>
          <w:tcPr>
            <w:tcW w:w="0" w:type="auto"/>
            <w:tcBorders>
              <w:right w:val="single" w:sz="4" w:space="0" w:color="auto"/>
            </w:tcBorders>
            <w:shd w:val="clear" w:color="auto" w:fill="EEEEEE" w:themeFill="background2"/>
          </w:tcPr>
          <w:p w14:paraId="5F55B216" w14:textId="77777777" w:rsidR="006C3DEB" w:rsidRDefault="006C3DEB" w:rsidP="005A7549">
            <w:pPr>
              <w:pStyle w:val="TableTextLeft"/>
            </w:pPr>
            <w:r>
              <w:t>2801</w:t>
            </w:r>
          </w:p>
        </w:tc>
        <w:tc>
          <w:tcPr>
            <w:tcW w:w="0" w:type="auto"/>
            <w:tcBorders>
              <w:left w:val="single" w:sz="4" w:space="0" w:color="auto"/>
            </w:tcBorders>
            <w:shd w:val="clear" w:color="auto" w:fill="auto"/>
          </w:tcPr>
          <w:p w14:paraId="759DF225" w14:textId="77777777" w:rsidR="006C3DEB" w:rsidRDefault="006C3DEB" w:rsidP="005A7549">
            <w:pPr>
              <w:pStyle w:val="TableTextLeft"/>
            </w:pPr>
            <w:r>
              <w:t>Water Supply, Sewerage and Drainage Services</w:t>
            </w:r>
          </w:p>
        </w:tc>
        <w:tc>
          <w:tcPr>
            <w:tcW w:w="0" w:type="auto"/>
            <w:shd w:val="clear" w:color="auto" w:fill="auto"/>
          </w:tcPr>
          <w:p w14:paraId="475F74D2" w14:textId="77777777" w:rsidR="006C3DEB" w:rsidRDefault="006C3DEB" w:rsidP="005A7549">
            <w:pPr>
              <w:pStyle w:val="TableTextLeft"/>
            </w:pPr>
            <w:r>
              <w:t>Utilities</w:t>
            </w:r>
          </w:p>
        </w:tc>
        <w:tc>
          <w:tcPr>
            <w:tcW w:w="0" w:type="auto"/>
            <w:shd w:val="clear" w:color="auto" w:fill="auto"/>
          </w:tcPr>
          <w:p w14:paraId="34116E09" w14:textId="77777777" w:rsidR="006C3DEB" w:rsidRDefault="006C3DEB" w:rsidP="005A7549">
            <w:pPr>
              <w:pStyle w:val="TableTextLeft"/>
            </w:pPr>
            <w:r>
              <w:rPr>
                <w:sz w:val="22"/>
                <w:szCs w:val="22"/>
              </w:rPr>
              <w:t>UTL</w:t>
            </w:r>
          </w:p>
        </w:tc>
      </w:tr>
      <w:tr w:rsidR="006C3DEB" w14:paraId="2FE650CA" w14:textId="77777777" w:rsidTr="004641CC">
        <w:trPr>
          <w:trHeight w:val="397"/>
        </w:trPr>
        <w:tc>
          <w:tcPr>
            <w:tcW w:w="0" w:type="auto"/>
            <w:tcBorders>
              <w:right w:val="single" w:sz="4" w:space="0" w:color="auto"/>
            </w:tcBorders>
            <w:shd w:val="clear" w:color="auto" w:fill="EEEEEE" w:themeFill="background2"/>
          </w:tcPr>
          <w:p w14:paraId="5DAAFD97" w14:textId="77777777" w:rsidR="006C3DEB" w:rsidRDefault="006C3DEB" w:rsidP="005A7549">
            <w:pPr>
              <w:pStyle w:val="TableTextLeft"/>
            </w:pPr>
            <w:r>
              <w:t>2901</w:t>
            </w:r>
          </w:p>
        </w:tc>
        <w:tc>
          <w:tcPr>
            <w:tcW w:w="0" w:type="auto"/>
            <w:tcBorders>
              <w:left w:val="single" w:sz="4" w:space="0" w:color="auto"/>
            </w:tcBorders>
            <w:shd w:val="clear" w:color="auto" w:fill="auto"/>
          </w:tcPr>
          <w:p w14:paraId="03CF7C5A" w14:textId="77777777" w:rsidR="006C3DEB" w:rsidRDefault="006C3DEB" w:rsidP="005A7549">
            <w:pPr>
              <w:pStyle w:val="TableTextLeft"/>
            </w:pPr>
            <w:r>
              <w:t>Waste Collection, Treatment and Disposal Services</w:t>
            </w:r>
          </w:p>
        </w:tc>
        <w:tc>
          <w:tcPr>
            <w:tcW w:w="0" w:type="auto"/>
            <w:shd w:val="clear" w:color="auto" w:fill="auto"/>
          </w:tcPr>
          <w:p w14:paraId="49E22ACA" w14:textId="77777777" w:rsidR="006C3DEB" w:rsidRDefault="006C3DEB" w:rsidP="005A7549">
            <w:pPr>
              <w:pStyle w:val="TableTextLeft"/>
            </w:pPr>
            <w:r>
              <w:t>Utilities</w:t>
            </w:r>
          </w:p>
        </w:tc>
        <w:tc>
          <w:tcPr>
            <w:tcW w:w="0" w:type="auto"/>
            <w:shd w:val="clear" w:color="auto" w:fill="auto"/>
          </w:tcPr>
          <w:p w14:paraId="049053AA" w14:textId="77777777" w:rsidR="006C3DEB" w:rsidRDefault="006C3DEB" w:rsidP="005A7549">
            <w:pPr>
              <w:pStyle w:val="TableTextLeft"/>
            </w:pPr>
            <w:r>
              <w:rPr>
                <w:sz w:val="22"/>
                <w:szCs w:val="22"/>
              </w:rPr>
              <w:t>UTL</w:t>
            </w:r>
          </w:p>
        </w:tc>
      </w:tr>
      <w:tr w:rsidR="006C3DEB" w14:paraId="55DBFADB" w14:textId="77777777" w:rsidTr="004641CC">
        <w:trPr>
          <w:trHeight w:val="397"/>
        </w:trPr>
        <w:tc>
          <w:tcPr>
            <w:tcW w:w="0" w:type="auto"/>
            <w:tcBorders>
              <w:right w:val="single" w:sz="4" w:space="0" w:color="auto"/>
            </w:tcBorders>
            <w:shd w:val="clear" w:color="auto" w:fill="EEEEEE" w:themeFill="background2"/>
          </w:tcPr>
          <w:p w14:paraId="31B6196B" w14:textId="77777777" w:rsidR="006C3DEB" w:rsidRDefault="006C3DEB" w:rsidP="005A7549">
            <w:pPr>
              <w:pStyle w:val="TableTextLeft"/>
            </w:pPr>
            <w:r>
              <w:t>3001</w:t>
            </w:r>
          </w:p>
        </w:tc>
        <w:tc>
          <w:tcPr>
            <w:tcW w:w="0" w:type="auto"/>
            <w:tcBorders>
              <w:left w:val="single" w:sz="4" w:space="0" w:color="auto"/>
            </w:tcBorders>
            <w:shd w:val="clear" w:color="auto" w:fill="auto"/>
          </w:tcPr>
          <w:p w14:paraId="31F9F504" w14:textId="77777777" w:rsidR="006C3DEB" w:rsidRDefault="006C3DEB" w:rsidP="005A7549">
            <w:pPr>
              <w:pStyle w:val="TableTextLeft"/>
            </w:pPr>
            <w:r>
              <w:t>Residential Building Construction</w:t>
            </w:r>
          </w:p>
        </w:tc>
        <w:tc>
          <w:tcPr>
            <w:tcW w:w="0" w:type="auto"/>
            <w:shd w:val="clear" w:color="auto" w:fill="auto"/>
          </w:tcPr>
          <w:p w14:paraId="5D395771" w14:textId="77777777" w:rsidR="006C3DEB" w:rsidRDefault="006C3DEB" w:rsidP="005A7549">
            <w:pPr>
              <w:pStyle w:val="TableTextLeft"/>
            </w:pPr>
            <w:r>
              <w:t>Construction</w:t>
            </w:r>
          </w:p>
        </w:tc>
        <w:tc>
          <w:tcPr>
            <w:tcW w:w="0" w:type="auto"/>
            <w:shd w:val="clear" w:color="auto" w:fill="auto"/>
          </w:tcPr>
          <w:p w14:paraId="7BDC84B4" w14:textId="77777777" w:rsidR="006C3DEB" w:rsidRDefault="006C3DEB" w:rsidP="005A7549">
            <w:pPr>
              <w:pStyle w:val="TableTextLeft"/>
            </w:pPr>
            <w:r>
              <w:rPr>
                <w:sz w:val="22"/>
                <w:szCs w:val="22"/>
              </w:rPr>
              <w:t>CST</w:t>
            </w:r>
          </w:p>
        </w:tc>
      </w:tr>
      <w:tr w:rsidR="006C3DEB" w14:paraId="5D03A0F1" w14:textId="77777777" w:rsidTr="004641CC">
        <w:trPr>
          <w:trHeight w:val="397"/>
        </w:trPr>
        <w:tc>
          <w:tcPr>
            <w:tcW w:w="0" w:type="auto"/>
            <w:tcBorders>
              <w:right w:val="single" w:sz="4" w:space="0" w:color="auto"/>
            </w:tcBorders>
            <w:shd w:val="clear" w:color="auto" w:fill="EEEEEE" w:themeFill="background2"/>
          </w:tcPr>
          <w:p w14:paraId="73337AFF" w14:textId="77777777" w:rsidR="006C3DEB" w:rsidRDefault="006C3DEB" w:rsidP="005A7549">
            <w:pPr>
              <w:pStyle w:val="TableTextLeft"/>
            </w:pPr>
            <w:r>
              <w:t>3002</w:t>
            </w:r>
          </w:p>
        </w:tc>
        <w:tc>
          <w:tcPr>
            <w:tcW w:w="0" w:type="auto"/>
            <w:tcBorders>
              <w:left w:val="single" w:sz="4" w:space="0" w:color="auto"/>
            </w:tcBorders>
            <w:shd w:val="clear" w:color="auto" w:fill="auto"/>
          </w:tcPr>
          <w:p w14:paraId="190287DE" w14:textId="77777777" w:rsidR="006C3DEB" w:rsidRDefault="006C3DEB" w:rsidP="005A7549">
            <w:pPr>
              <w:pStyle w:val="TableTextLeft"/>
            </w:pPr>
            <w:r>
              <w:t>Non-Residential Building Construction</w:t>
            </w:r>
          </w:p>
        </w:tc>
        <w:tc>
          <w:tcPr>
            <w:tcW w:w="0" w:type="auto"/>
            <w:shd w:val="clear" w:color="auto" w:fill="auto"/>
          </w:tcPr>
          <w:p w14:paraId="1123139D" w14:textId="77777777" w:rsidR="006C3DEB" w:rsidRDefault="006C3DEB" w:rsidP="005A7549">
            <w:pPr>
              <w:pStyle w:val="TableTextLeft"/>
            </w:pPr>
            <w:r>
              <w:t>Construction</w:t>
            </w:r>
          </w:p>
        </w:tc>
        <w:tc>
          <w:tcPr>
            <w:tcW w:w="0" w:type="auto"/>
            <w:shd w:val="clear" w:color="auto" w:fill="auto"/>
          </w:tcPr>
          <w:p w14:paraId="09B417D9" w14:textId="77777777" w:rsidR="006C3DEB" w:rsidRDefault="006C3DEB" w:rsidP="005A7549">
            <w:pPr>
              <w:pStyle w:val="TableTextLeft"/>
            </w:pPr>
            <w:r>
              <w:rPr>
                <w:sz w:val="22"/>
                <w:szCs w:val="22"/>
              </w:rPr>
              <w:t>CST</w:t>
            </w:r>
          </w:p>
        </w:tc>
      </w:tr>
      <w:tr w:rsidR="006C3DEB" w14:paraId="2F855401" w14:textId="77777777" w:rsidTr="004641CC">
        <w:trPr>
          <w:trHeight w:val="397"/>
        </w:trPr>
        <w:tc>
          <w:tcPr>
            <w:tcW w:w="0" w:type="auto"/>
            <w:tcBorders>
              <w:right w:val="single" w:sz="4" w:space="0" w:color="auto"/>
            </w:tcBorders>
            <w:shd w:val="clear" w:color="auto" w:fill="EEEEEE" w:themeFill="background2"/>
          </w:tcPr>
          <w:p w14:paraId="6F4237D5" w14:textId="77777777" w:rsidR="006C3DEB" w:rsidRDefault="006C3DEB" w:rsidP="005A7549">
            <w:pPr>
              <w:pStyle w:val="TableTextLeft"/>
            </w:pPr>
            <w:r>
              <w:t>3101</w:t>
            </w:r>
          </w:p>
        </w:tc>
        <w:tc>
          <w:tcPr>
            <w:tcW w:w="0" w:type="auto"/>
            <w:tcBorders>
              <w:left w:val="single" w:sz="4" w:space="0" w:color="auto"/>
            </w:tcBorders>
            <w:shd w:val="clear" w:color="auto" w:fill="auto"/>
          </w:tcPr>
          <w:p w14:paraId="5A64D100" w14:textId="77777777" w:rsidR="006C3DEB" w:rsidRDefault="006C3DEB" w:rsidP="005A7549">
            <w:pPr>
              <w:pStyle w:val="TableTextLeft"/>
            </w:pPr>
            <w:r>
              <w:t>Heavy and Civil Engineering Construction</w:t>
            </w:r>
          </w:p>
        </w:tc>
        <w:tc>
          <w:tcPr>
            <w:tcW w:w="0" w:type="auto"/>
            <w:shd w:val="clear" w:color="auto" w:fill="auto"/>
          </w:tcPr>
          <w:p w14:paraId="68B2D91F" w14:textId="77777777" w:rsidR="006C3DEB" w:rsidRDefault="006C3DEB" w:rsidP="005A7549">
            <w:pPr>
              <w:pStyle w:val="TableTextLeft"/>
            </w:pPr>
            <w:r>
              <w:t>Construction</w:t>
            </w:r>
          </w:p>
        </w:tc>
        <w:tc>
          <w:tcPr>
            <w:tcW w:w="0" w:type="auto"/>
            <w:shd w:val="clear" w:color="auto" w:fill="auto"/>
          </w:tcPr>
          <w:p w14:paraId="30405839" w14:textId="77777777" w:rsidR="006C3DEB" w:rsidRDefault="006C3DEB" w:rsidP="005A7549">
            <w:pPr>
              <w:pStyle w:val="TableTextLeft"/>
            </w:pPr>
            <w:r>
              <w:rPr>
                <w:sz w:val="22"/>
                <w:szCs w:val="22"/>
              </w:rPr>
              <w:t>CST</w:t>
            </w:r>
          </w:p>
        </w:tc>
      </w:tr>
      <w:tr w:rsidR="006C3DEB" w14:paraId="0167A749" w14:textId="77777777" w:rsidTr="004641CC">
        <w:trPr>
          <w:trHeight w:val="397"/>
        </w:trPr>
        <w:tc>
          <w:tcPr>
            <w:tcW w:w="0" w:type="auto"/>
            <w:tcBorders>
              <w:right w:val="single" w:sz="4" w:space="0" w:color="auto"/>
            </w:tcBorders>
            <w:shd w:val="clear" w:color="auto" w:fill="EEEEEE" w:themeFill="background2"/>
          </w:tcPr>
          <w:p w14:paraId="28F48747" w14:textId="77777777" w:rsidR="006C3DEB" w:rsidRDefault="006C3DEB" w:rsidP="005A7549">
            <w:pPr>
              <w:pStyle w:val="TableTextLeft"/>
            </w:pPr>
            <w:r>
              <w:t>3201</w:t>
            </w:r>
          </w:p>
        </w:tc>
        <w:tc>
          <w:tcPr>
            <w:tcW w:w="0" w:type="auto"/>
            <w:tcBorders>
              <w:left w:val="single" w:sz="4" w:space="0" w:color="auto"/>
            </w:tcBorders>
            <w:shd w:val="clear" w:color="auto" w:fill="auto"/>
          </w:tcPr>
          <w:p w14:paraId="47F66B43" w14:textId="77777777" w:rsidR="006C3DEB" w:rsidRDefault="006C3DEB" w:rsidP="005A7549">
            <w:pPr>
              <w:pStyle w:val="TableTextLeft"/>
            </w:pPr>
            <w:r>
              <w:t>Construction Services</w:t>
            </w:r>
          </w:p>
        </w:tc>
        <w:tc>
          <w:tcPr>
            <w:tcW w:w="0" w:type="auto"/>
            <w:shd w:val="clear" w:color="auto" w:fill="auto"/>
          </w:tcPr>
          <w:p w14:paraId="537DB338" w14:textId="77777777" w:rsidR="006C3DEB" w:rsidRDefault="006C3DEB" w:rsidP="005A7549">
            <w:pPr>
              <w:pStyle w:val="TableTextLeft"/>
            </w:pPr>
            <w:r>
              <w:t>Construction</w:t>
            </w:r>
          </w:p>
        </w:tc>
        <w:tc>
          <w:tcPr>
            <w:tcW w:w="0" w:type="auto"/>
            <w:shd w:val="clear" w:color="auto" w:fill="auto"/>
          </w:tcPr>
          <w:p w14:paraId="185148EF" w14:textId="77777777" w:rsidR="006C3DEB" w:rsidRDefault="006C3DEB" w:rsidP="005A7549">
            <w:pPr>
              <w:pStyle w:val="TableTextLeft"/>
            </w:pPr>
            <w:r>
              <w:rPr>
                <w:sz w:val="22"/>
                <w:szCs w:val="22"/>
              </w:rPr>
              <w:t>CST</w:t>
            </w:r>
          </w:p>
        </w:tc>
      </w:tr>
      <w:tr w:rsidR="006C3DEB" w14:paraId="1F37877B" w14:textId="77777777" w:rsidTr="004641CC">
        <w:trPr>
          <w:trHeight w:val="397"/>
        </w:trPr>
        <w:tc>
          <w:tcPr>
            <w:tcW w:w="0" w:type="auto"/>
            <w:tcBorders>
              <w:right w:val="single" w:sz="4" w:space="0" w:color="auto"/>
            </w:tcBorders>
            <w:shd w:val="clear" w:color="auto" w:fill="EEEEEE" w:themeFill="background2"/>
          </w:tcPr>
          <w:p w14:paraId="00894050" w14:textId="77777777" w:rsidR="006C3DEB" w:rsidRDefault="006C3DEB" w:rsidP="005A7549">
            <w:pPr>
              <w:pStyle w:val="TableTextLeft"/>
            </w:pPr>
            <w:r>
              <w:t>3301</w:t>
            </w:r>
          </w:p>
        </w:tc>
        <w:tc>
          <w:tcPr>
            <w:tcW w:w="0" w:type="auto"/>
            <w:tcBorders>
              <w:left w:val="single" w:sz="4" w:space="0" w:color="auto"/>
            </w:tcBorders>
            <w:shd w:val="clear" w:color="auto" w:fill="auto"/>
          </w:tcPr>
          <w:p w14:paraId="2C74F7A9" w14:textId="77777777" w:rsidR="006C3DEB" w:rsidRDefault="006C3DEB" w:rsidP="005A7549">
            <w:pPr>
              <w:pStyle w:val="TableTextLeft"/>
            </w:pPr>
            <w:r>
              <w:t>Wholesale Trade</w:t>
            </w:r>
          </w:p>
        </w:tc>
        <w:tc>
          <w:tcPr>
            <w:tcW w:w="0" w:type="auto"/>
            <w:shd w:val="clear" w:color="auto" w:fill="auto"/>
          </w:tcPr>
          <w:p w14:paraId="1E4DCF05" w14:textId="77777777" w:rsidR="006C3DEB" w:rsidRDefault="006C3DEB" w:rsidP="005A7549">
            <w:pPr>
              <w:pStyle w:val="TableTextLeft"/>
            </w:pPr>
            <w:r>
              <w:t>Services</w:t>
            </w:r>
          </w:p>
        </w:tc>
        <w:tc>
          <w:tcPr>
            <w:tcW w:w="0" w:type="auto"/>
            <w:shd w:val="clear" w:color="auto" w:fill="auto"/>
          </w:tcPr>
          <w:p w14:paraId="2A0BBBFC" w14:textId="77777777" w:rsidR="006C3DEB" w:rsidRDefault="006C3DEB" w:rsidP="005A7549">
            <w:pPr>
              <w:pStyle w:val="TableTextLeft"/>
            </w:pPr>
            <w:r>
              <w:rPr>
                <w:sz w:val="22"/>
                <w:szCs w:val="22"/>
              </w:rPr>
              <w:t>SRV</w:t>
            </w:r>
          </w:p>
        </w:tc>
      </w:tr>
      <w:tr w:rsidR="006C3DEB" w14:paraId="1702F239" w14:textId="77777777" w:rsidTr="004641CC">
        <w:trPr>
          <w:trHeight w:val="397"/>
        </w:trPr>
        <w:tc>
          <w:tcPr>
            <w:tcW w:w="0" w:type="auto"/>
            <w:tcBorders>
              <w:right w:val="single" w:sz="4" w:space="0" w:color="auto"/>
            </w:tcBorders>
            <w:shd w:val="clear" w:color="auto" w:fill="EEEEEE" w:themeFill="background2"/>
          </w:tcPr>
          <w:p w14:paraId="30553C1C" w14:textId="77777777" w:rsidR="006C3DEB" w:rsidRDefault="006C3DEB" w:rsidP="005A7549">
            <w:pPr>
              <w:pStyle w:val="TableTextLeft"/>
            </w:pPr>
            <w:r>
              <w:t>3901</w:t>
            </w:r>
          </w:p>
        </w:tc>
        <w:tc>
          <w:tcPr>
            <w:tcW w:w="0" w:type="auto"/>
            <w:tcBorders>
              <w:left w:val="single" w:sz="4" w:space="0" w:color="auto"/>
            </w:tcBorders>
            <w:shd w:val="clear" w:color="auto" w:fill="auto"/>
          </w:tcPr>
          <w:p w14:paraId="50EFC5C4" w14:textId="77777777" w:rsidR="006C3DEB" w:rsidRDefault="006C3DEB" w:rsidP="005A7549">
            <w:pPr>
              <w:pStyle w:val="TableTextLeft"/>
            </w:pPr>
            <w:r>
              <w:t>Retail Trade</w:t>
            </w:r>
          </w:p>
        </w:tc>
        <w:tc>
          <w:tcPr>
            <w:tcW w:w="0" w:type="auto"/>
            <w:shd w:val="clear" w:color="auto" w:fill="auto"/>
          </w:tcPr>
          <w:p w14:paraId="1982CC41" w14:textId="77777777" w:rsidR="006C3DEB" w:rsidRDefault="006C3DEB" w:rsidP="005A7549">
            <w:pPr>
              <w:pStyle w:val="TableTextLeft"/>
            </w:pPr>
            <w:r>
              <w:t>Services</w:t>
            </w:r>
          </w:p>
        </w:tc>
        <w:tc>
          <w:tcPr>
            <w:tcW w:w="0" w:type="auto"/>
            <w:shd w:val="clear" w:color="auto" w:fill="auto"/>
          </w:tcPr>
          <w:p w14:paraId="49E2A5E4" w14:textId="77777777" w:rsidR="006C3DEB" w:rsidRDefault="006C3DEB" w:rsidP="005A7549">
            <w:pPr>
              <w:pStyle w:val="TableTextLeft"/>
            </w:pPr>
            <w:r>
              <w:rPr>
                <w:sz w:val="22"/>
                <w:szCs w:val="22"/>
              </w:rPr>
              <w:t>SRV</w:t>
            </w:r>
          </w:p>
        </w:tc>
      </w:tr>
      <w:tr w:rsidR="006C3DEB" w14:paraId="3A5CF29E" w14:textId="77777777" w:rsidTr="004641CC">
        <w:trPr>
          <w:trHeight w:val="397"/>
        </w:trPr>
        <w:tc>
          <w:tcPr>
            <w:tcW w:w="0" w:type="auto"/>
            <w:tcBorders>
              <w:right w:val="single" w:sz="4" w:space="0" w:color="auto"/>
            </w:tcBorders>
            <w:shd w:val="clear" w:color="auto" w:fill="EEEEEE" w:themeFill="background2"/>
          </w:tcPr>
          <w:p w14:paraId="671338BD" w14:textId="77777777" w:rsidR="006C3DEB" w:rsidRDefault="006C3DEB" w:rsidP="005A7549">
            <w:pPr>
              <w:pStyle w:val="TableTextLeft"/>
            </w:pPr>
            <w:r>
              <w:t>4401</w:t>
            </w:r>
          </w:p>
        </w:tc>
        <w:tc>
          <w:tcPr>
            <w:tcW w:w="0" w:type="auto"/>
            <w:tcBorders>
              <w:left w:val="single" w:sz="4" w:space="0" w:color="auto"/>
            </w:tcBorders>
            <w:shd w:val="clear" w:color="auto" w:fill="auto"/>
          </w:tcPr>
          <w:p w14:paraId="6774A82A" w14:textId="77777777" w:rsidR="006C3DEB" w:rsidRDefault="006C3DEB" w:rsidP="005A7549">
            <w:pPr>
              <w:pStyle w:val="TableTextLeft"/>
            </w:pPr>
            <w:r>
              <w:t>Accommodation</w:t>
            </w:r>
          </w:p>
        </w:tc>
        <w:tc>
          <w:tcPr>
            <w:tcW w:w="0" w:type="auto"/>
            <w:shd w:val="clear" w:color="auto" w:fill="auto"/>
          </w:tcPr>
          <w:p w14:paraId="0164369E" w14:textId="77777777" w:rsidR="006C3DEB" w:rsidRDefault="006C3DEB" w:rsidP="005A7549">
            <w:pPr>
              <w:pStyle w:val="TableTextLeft"/>
            </w:pPr>
            <w:r>
              <w:t>Services</w:t>
            </w:r>
          </w:p>
        </w:tc>
        <w:tc>
          <w:tcPr>
            <w:tcW w:w="0" w:type="auto"/>
            <w:shd w:val="clear" w:color="auto" w:fill="auto"/>
          </w:tcPr>
          <w:p w14:paraId="7C8FF953" w14:textId="77777777" w:rsidR="006C3DEB" w:rsidRDefault="006C3DEB" w:rsidP="005A7549">
            <w:pPr>
              <w:pStyle w:val="TableTextLeft"/>
            </w:pPr>
            <w:r>
              <w:rPr>
                <w:sz w:val="22"/>
                <w:szCs w:val="22"/>
              </w:rPr>
              <w:t>SRV</w:t>
            </w:r>
          </w:p>
        </w:tc>
      </w:tr>
      <w:tr w:rsidR="006C3DEB" w14:paraId="281AEFAB" w14:textId="77777777" w:rsidTr="004641CC">
        <w:trPr>
          <w:trHeight w:val="397"/>
        </w:trPr>
        <w:tc>
          <w:tcPr>
            <w:tcW w:w="0" w:type="auto"/>
            <w:tcBorders>
              <w:right w:val="single" w:sz="4" w:space="0" w:color="auto"/>
            </w:tcBorders>
            <w:shd w:val="clear" w:color="auto" w:fill="EEEEEE" w:themeFill="background2"/>
          </w:tcPr>
          <w:p w14:paraId="1AD47A62" w14:textId="77777777" w:rsidR="006C3DEB" w:rsidRDefault="006C3DEB" w:rsidP="005A7549">
            <w:pPr>
              <w:pStyle w:val="TableTextLeft"/>
            </w:pPr>
            <w:r>
              <w:t>4501</w:t>
            </w:r>
          </w:p>
        </w:tc>
        <w:tc>
          <w:tcPr>
            <w:tcW w:w="0" w:type="auto"/>
            <w:tcBorders>
              <w:left w:val="single" w:sz="4" w:space="0" w:color="auto"/>
            </w:tcBorders>
            <w:shd w:val="clear" w:color="auto" w:fill="auto"/>
          </w:tcPr>
          <w:p w14:paraId="6467B30D" w14:textId="77777777" w:rsidR="006C3DEB" w:rsidRDefault="006C3DEB" w:rsidP="005A7549">
            <w:pPr>
              <w:pStyle w:val="TableTextLeft"/>
            </w:pPr>
            <w:r>
              <w:t>Food and Beverage Services</w:t>
            </w:r>
          </w:p>
        </w:tc>
        <w:tc>
          <w:tcPr>
            <w:tcW w:w="0" w:type="auto"/>
            <w:shd w:val="clear" w:color="auto" w:fill="auto"/>
          </w:tcPr>
          <w:p w14:paraId="794CF56D" w14:textId="77777777" w:rsidR="006C3DEB" w:rsidRDefault="006C3DEB" w:rsidP="005A7549">
            <w:pPr>
              <w:pStyle w:val="TableTextLeft"/>
            </w:pPr>
            <w:r>
              <w:t>Services</w:t>
            </w:r>
          </w:p>
        </w:tc>
        <w:tc>
          <w:tcPr>
            <w:tcW w:w="0" w:type="auto"/>
            <w:shd w:val="clear" w:color="auto" w:fill="auto"/>
          </w:tcPr>
          <w:p w14:paraId="18705288" w14:textId="77777777" w:rsidR="006C3DEB" w:rsidRDefault="006C3DEB" w:rsidP="005A7549">
            <w:pPr>
              <w:pStyle w:val="TableTextLeft"/>
            </w:pPr>
            <w:r>
              <w:rPr>
                <w:sz w:val="22"/>
                <w:szCs w:val="22"/>
              </w:rPr>
              <w:t>SRV</w:t>
            </w:r>
          </w:p>
        </w:tc>
      </w:tr>
      <w:tr w:rsidR="006C3DEB" w14:paraId="7300CF45" w14:textId="77777777" w:rsidTr="004641CC">
        <w:trPr>
          <w:trHeight w:val="397"/>
        </w:trPr>
        <w:tc>
          <w:tcPr>
            <w:tcW w:w="0" w:type="auto"/>
            <w:tcBorders>
              <w:right w:val="single" w:sz="4" w:space="0" w:color="auto"/>
            </w:tcBorders>
            <w:shd w:val="clear" w:color="auto" w:fill="EEEEEE" w:themeFill="background2"/>
          </w:tcPr>
          <w:p w14:paraId="2C6938CE" w14:textId="77777777" w:rsidR="006C3DEB" w:rsidRDefault="006C3DEB" w:rsidP="005A7549">
            <w:pPr>
              <w:pStyle w:val="TableTextLeft"/>
            </w:pPr>
            <w:r>
              <w:t>4601</w:t>
            </w:r>
          </w:p>
        </w:tc>
        <w:tc>
          <w:tcPr>
            <w:tcW w:w="0" w:type="auto"/>
            <w:tcBorders>
              <w:left w:val="single" w:sz="4" w:space="0" w:color="auto"/>
            </w:tcBorders>
            <w:shd w:val="clear" w:color="auto" w:fill="auto"/>
          </w:tcPr>
          <w:p w14:paraId="5BB50DD4" w14:textId="77777777" w:rsidR="006C3DEB" w:rsidRDefault="006C3DEB" w:rsidP="005A7549">
            <w:pPr>
              <w:pStyle w:val="TableTextLeft"/>
            </w:pPr>
            <w:r>
              <w:t>Road Transport</w:t>
            </w:r>
          </w:p>
        </w:tc>
        <w:tc>
          <w:tcPr>
            <w:tcW w:w="0" w:type="auto"/>
            <w:shd w:val="clear" w:color="auto" w:fill="auto"/>
          </w:tcPr>
          <w:p w14:paraId="4BE0536F" w14:textId="77777777" w:rsidR="006C3DEB" w:rsidRDefault="006C3DEB" w:rsidP="005A7549">
            <w:pPr>
              <w:pStyle w:val="TableTextLeft"/>
            </w:pPr>
            <w:r>
              <w:t>Services</w:t>
            </w:r>
          </w:p>
        </w:tc>
        <w:tc>
          <w:tcPr>
            <w:tcW w:w="0" w:type="auto"/>
            <w:shd w:val="clear" w:color="auto" w:fill="auto"/>
          </w:tcPr>
          <w:p w14:paraId="77EDA5DC" w14:textId="77777777" w:rsidR="006C3DEB" w:rsidRDefault="006C3DEB" w:rsidP="005A7549">
            <w:pPr>
              <w:pStyle w:val="TableTextLeft"/>
            </w:pPr>
            <w:r>
              <w:rPr>
                <w:sz w:val="22"/>
                <w:szCs w:val="22"/>
              </w:rPr>
              <w:t>SRV</w:t>
            </w:r>
          </w:p>
        </w:tc>
      </w:tr>
      <w:tr w:rsidR="006C3DEB" w14:paraId="149CE811" w14:textId="77777777" w:rsidTr="004641CC">
        <w:trPr>
          <w:trHeight w:val="397"/>
        </w:trPr>
        <w:tc>
          <w:tcPr>
            <w:tcW w:w="0" w:type="auto"/>
            <w:tcBorders>
              <w:right w:val="single" w:sz="4" w:space="0" w:color="auto"/>
            </w:tcBorders>
            <w:shd w:val="clear" w:color="auto" w:fill="EEEEEE" w:themeFill="background2"/>
          </w:tcPr>
          <w:p w14:paraId="011C8F11" w14:textId="77777777" w:rsidR="006C3DEB" w:rsidRDefault="006C3DEB" w:rsidP="005A7549">
            <w:pPr>
              <w:pStyle w:val="TableTextLeft"/>
            </w:pPr>
            <w:r>
              <w:t>4701</w:t>
            </w:r>
          </w:p>
        </w:tc>
        <w:tc>
          <w:tcPr>
            <w:tcW w:w="0" w:type="auto"/>
            <w:tcBorders>
              <w:left w:val="single" w:sz="4" w:space="0" w:color="auto"/>
            </w:tcBorders>
            <w:shd w:val="clear" w:color="auto" w:fill="auto"/>
          </w:tcPr>
          <w:p w14:paraId="3FA94289" w14:textId="77777777" w:rsidR="006C3DEB" w:rsidRDefault="006C3DEB" w:rsidP="005A7549">
            <w:pPr>
              <w:pStyle w:val="TableTextLeft"/>
            </w:pPr>
            <w:r>
              <w:t>Rail Transport</w:t>
            </w:r>
          </w:p>
        </w:tc>
        <w:tc>
          <w:tcPr>
            <w:tcW w:w="0" w:type="auto"/>
            <w:shd w:val="clear" w:color="auto" w:fill="auto"/>
          </w:tcPr>
          <w:p w14:paraId="5B6A66EC" w14:textId="77777777" w:rsidR="006C3DEB" w:rsidRDefault="006C3DEB" w:rsidP="005A7549">
            <w:pPr>
              <w:pStyle w:val="TableTextLeft"/>
            </w:pPr>
            <w:r>
              <w:t>Services</w:t>
            </w:r>
          </w:p>
        </w:tc>
        <w:tc>
          <w:tcPr>
            <w:tcW w:w="0" w:type="auto"/>
            <w:shd w:val="clear" w:color="auto" w:fill="auto"/>
          </w:tcPr>
          <w:p w14:paraId="1BFB5948" w14:textId="77777777" w:rsidR="006C3DEB" w:rsidRDefault="006C3DEB" w:rsidP="005A7549">
            <w:pPr>
              <w:pStyle w:val="TableTextLeft"/>
            </w:pPr>
            <w:r>
              <w:rPr>
                <w:sz w:val="22"/>
                <w:szCs w:val="22"/>
              </w:rPr>
              <w:t>SRV</w:t>
            </w:r>
          </w:p>
        </w:tc>
      </w:tr>
      <w:tr w:rsidR="006C3DEB" w14:paraId="4B94AC39" w14:textId="77777777" w:rsidTr="004641CC">
        <w:trPr>
          <w:trHeight w:val="397"/>
        </w:trPr>
        <w:tc>
          <w:tcPr>
            <w:tcW w:w="0" w:type="auto"/>
            <w:tcBorders>
              <w:right w:val="single" w:sz="4" w:space="0" w:color="auto"/>
            </w:tcBorders>
            <w:shd w:val="clear" w:color="auto" w:fill="EEEEEE" w:themeFill="background2"/>
          </w:tcPr>
          <w:p w14:paraId="627F7D89" w14:textId="77777777" w:rsidR="006C3DEB" w:rsidRDefault="006C3DEB" w:rsidP="005A7549">
            <w:pPr>
              <w:pStyle w:val="TableTextLeft"/>
            </w:pPr>
            <w:r>
              <w:t>4801</w:t>
            </w:r>
          </w:p>
        </w:tc>
        <w:tc>
          <w:tcPr>
            <w:tcW w:w="0" w:type="auto"/>
            <w:tcBorders>
              <w:left w:val="single" w:sz="4" w:space="0" w:color="auto"/>
            </w:tcBorders>
            <w:shd w:val="clear" w:color="auto" w:fill="auto"/>
          </w:tcPr>
          <w:p w14:paraId="4FFFD4CC" w14:textId="77777777" w:rsidR="006C3DEB" w:rsidRDefault="006C3DEB" w:rsidP="005A7549">
            <w:pPr>
              <w:pStyle w:val="TableTextLeft"/>
            </w:pPr>
            <w:r>
              <w:t>Water, Pipeline and Other Transport</w:t>
            </w:r>
          </w:p>
        </w:tc>
        <w:tc>
          <w:tcPr>
            <w:tcW w:w="0" w:type="auto"/>
            <w:shd w:val="clear" w:color="auto" w:fill="auto"/>
          </w:tcPr>
          <w:p w14:paraId="249382C2" w14:textId="77777777" w:rsidR="006C3DEB" w:rsidRDefault="006C3DEB" w:rsidP="005A7549">
            <w:pPr>
              <w:pStyle w:val="TableTextLeft"/>
            </w:pPr>
            <w:r>
              <w:t>Services</w:t>
            </w:r>
          </w:p>
        </w:tc>
        <w:tc>
          <w:tcPr>
            <w:tcW w:w="0" w:type="auto"/>
            <w:shd w:val="clear" w:color="auto" w:fill="auto"/>
          </w:tcPr>
          <w:p w14:paraId="4A0C0E7D" w14:textId="77777777" w:rsidR="006C3DEB" w:rsidRDefault="006C3DEB" w:rsidP="005A7549">
            <w:pPr>
              <w:pStyle w:val="TableTextLeft"/>
            </w:pPr>
            <w:r>
              <w:rPr>
                <w:sz w:val="22"/>
                <w:szCs w:val="22"/>
              </w:rPr>
              <w:t>SRV</w:t>
            </w:r>
          </w:p>
        </w:tc>
      </w:tr>
      <w:tr w:rsidR="006C3DEB" w14:paraId="5672E50A" w14:textId="77777777" w:rsidTr="004641CC">
        <w:trPr>
          <w:trHeight w:val="397"/>
        </w:trPr>
        <w:tc>
          <w:tcPr>
            <w:tcW w:w="0" w:type="auto"/>
            <w:tcBorders>
              <w:right w:val="single" w:sz="4" w:space="0" w:color="auto"/>
            </w:tcBorders>
            <w:shd w:val="clear" w:color="auto" w:fill="EEEEEE" w:themeFill="background2"/>
          </w:tcPr>
          <w:p w14:paraId="219FE63E" w14:textId="77777777" w:rsidR="006C3DEB" w:rsidRDefault="006C3DEB" w:rsidP="005A7549">
            <w:pPr>
              <w:pStyle w:val="TableTextLeft"/>
            </w:pPr>
            <w:r>
              <w:t>4901</w:t>
            </w:r>
          </w:p>
        </w:tc>
        <w:tc>
          <w:tcPr>
            <w:tcW w:w="0" w:type="auto"/>
            <w:tcBorders>
              <w:left w:val="single" w:sz="4" w:space="0" w:color="auto"/>
            </w:tcBorders>
            <w:shd w:val="clear" w:color="auto" w:fill="auto"/>
          </w:tcPr>
          <w:p w14:paraId="0E50A2B5" w14:textId="77777777" w:rsidR="006C3DEB" w:rsidRDefault="006C3DEB" w:rsidP="005A7549">
            <w:pPr>
              <w:pStyle w:val="TableTextLeft"/>
            </w:pPr>
            <w:r>
              <w:t>Air and Space Transport</w:t>
            </w:r>
          </w:p>
        </w:tc>
        <w:tc>
          <w:tcPr>
            <w:tcW w:w="0" w:type="auto"/>
            <w:shd w:val="clear" w:color="auto" w:fill="auto"/>
          </w:tcPr>
          <w:p w14:paraId="467EA67C" w14:textId="77777777" w:rsidR="006C3DEB" w:rsidRDefault="006C3DEB" w:rsidP="005A7549">
            <w:pPr>
              <w:pStyle w:val="TableTextLeft"/>
            </w:pPr>
            <w:r>
              <w:t>Services</w:t>
            </w:r>
          </w:p>
        </w:tc>
        <w:tc>
          <w:tcPr>
            <w:tcW w:w="0" w:type="auto"/>
            <w:shd w:val="clear" w:color="auto" w:fill="auto"/>
          </w:tcPr>
          <w:p w14:paraId="03C5CDC0" w14:textId="77777777" w:rsidR="006C3DEB" w:rsidRDefault="006C3DEB" w:rsidP="005A7549">
            <w:pPr>
              <w:pStyle w:val="TableTextLeft"/>
            </w:pPr>
            <w:r>
              <w:rPr>
                <w:sz w:val="22"/>
                <w:szCs w:val="22"/>
              </w:rPr>
              <w:t>SRV</w:t>
            </w:r>
          </w:p>
        </w:tc>
      </w:tr>
      <w:tr w:rsidR="006C3DEB" w14:paraId="66C6CD3D" w14:textId="77777777" w:rsidTr="004641CC">
        <w:trPr>
          <w:trHeight w:val="397"/>
        </w:trPr>
        <w:tc>
          <w:tcPr>
            <w:tcW w:w="0" w:type="auto"/>
            <w:tcBorders>
              <w:right w:val="single" w:sz="4" w:space="0" w:color="auto"/>
            </w:tcBorders>
            <w:shd w:val="clear" w:color="auto" w:fill="EEEEEE" w:themeFill="background2"/>
          </w:tcPr>
          <w:p w14:paraId="10C98382" w14:textId="77777777" w:rsidR="006C3DEB" w:rsidRDefault="006C3DEB" w:rsidP="005A7549">
            <w:pPr>
              <w:pStyle w:val="TableTextLeft"/>
            </w:pPr>
            <w:r>
              <w:t>5101</w:t>
            </w:r>
          </w:p>
        </w:tc>
        <w:tc>
          <w:tcPr>
            <w:tcW w:w="0" w:type="auto"/>
            <w:tcBorders>
              <w:left w:val="single" w:sz="4" w:space="0" w:color="auto"/>
            </w:tcBorders>
            <w:shd w:val="clear" w:color="auto" w:fill="auto"/>
          </w:tcPr>
          <w:p w14:paraId="1DC6C1A9" w14:textId="77777777" w:rsidR="006C3DEB" w:rsidRDefault="006C3DEB" w:rsidP="005A7549">
            <w:pPr>
              <w:pStyle w:val="TableTextLeft"/>
            </w:pPr>
            <w:r>
              <w:t>Postal and Courier Pick-up and Delivery Service</w:t>
            </w:r>
          </w:p>
        </w:tc>
        <w:tc>
          <w:tcPr>
            <w:tcW w:w="0" w:type="auto"/>
            <w:shd w:val="clear" w:color="auto" w:fill="auto"/>
          </w:tcPr>
          <w:p w14:paraId="6D00230B" w14:textId="77777777" w:rsidR="006C3DEB" w:rsidRDefault="006C3DEB" w:rsidP="005A7549">
            <w:pPr>
              <w:pStyle w:val="TableTextLeft"/>
            </w:pPr>
            <w:r>
              <w:t>Services</w:t>
            </w:r>
          </w:p>
        </w:tc>
        <w:tc>
          <w:tcPr>
            <w:tcW w:w="0" w:type="auto"/>
            <w:shd w:val="clear" w:color="auto" w:fill="auto"/>
          </w:tcPr>
          <w:p w14:paraId="394D551B" w14:textId="77777777" w:rsidR="006C3DEB" w:rsidRDefault="006C3DEB" w:rsidP="005A7549">
            <w:pPr>
              <w:pStyle w:val="TableTextLeft"/>
            </w:pPr>
            <w:r>
              <w:rPr>
                <w:sz w:val="22"/>
                <w:szCs w:val="22"/>
              </w:rPr>
              <w:t>SRV</w:t>
            </w:r>
          </w:p>
        </w:tc>
      </w:tr>
      <w:tr w:rsidR="006C3DEB" w14:paraId="79852E57" w14:textId="77777777" w:rsidTr="004641CC">
        <w:trPr>
          <w:trHeight w:val="397"/>
        </w:trPr>
        <w:tc>
          <w:tcPr>
            <w:tcW w:w="0" w:type="auto"/>
            <w:tcBorders>
              <w:right w:val="single" w:sz="4" w:space="0" w:color="auto"/>
            </w:tcBorders>
            <w:shd w:val="clear" w:color="auto" w:fill="EEEEEE" w:themeFill="background2"/>
          </w:tcPr>
          <w:p w14:paraId="73BC9498" w14:textId="77777777" w:rsidR="006C3DEB" w:rsidRDefault="006C3DEB" w:rsidP="005A7549">
            <w:pPr>
              <w:pStyle w:val="TableTextLeft"/>
            </w:pPr>
            <w:r>
              <w:t>5201</w:t>
            </w:r>
          </w:p>
        </w:tc>
        <w:tc>
          <w:tcPr>
            <w:tcW w:w="0" w:type="auto"/>
            <w:tcBorders>
              <w:left w:val="single" w:sz="4" w:space="0" w:color="auto"/>
            </w:tcBorders>
            <w:shd w:val="clear" w:color="auto" w:fill="auto"/>
          </w:tcPr>
          <w:p w14:paraId="249D7997" w14:textId="77777777" w:rsidR="006C3DEB" w:rsidRDefault="006C3DEB" w:rsidP="005A7549">
            <w:pPr>
              <w:pStyle w:val="TableTextLeft"/>
            </w:pPr>
            <w:r>
              <w:t>Transport Support services and storage</w:t>
            </w:r>
          </w:p>
        </w:tc>
        <w:tc>
          <w:tcPr>
            <w:tcW w:w="0" w:type="auto"/>
            <w:shd w:val="clear" w:color="auto" w:fill="auto"/>
          </w:tcPr>
          <w:p w14:paraId="484E5EC3" w14:textId="77777777" w:rsidR="006C3DEB" w:rsidRDefault="006C3DEB" w:rsidP="005A7549">
            <w:pPr>
              <w:pStyle w:val="TableTextLeft"/>
            </w:pPr>
            <w:r>
              <w:t>Services</w:t>
            </w:r>
          </w:p>
        </w:tc>
        <w:tc>
          <w:tcPr>
            <w:tcW w:w="0" w:type="auto"/>
            <w:shd w:val="clear" w:color="auto" w:fill="auto"/>
          </w:tcPr>
          <w:p w14:paraId="01962E91" w14:textId="77777777" w:rsidR="006C3DEB" w:rsidRDefault="006C3DEB" w:rsidP="005A7549">
            <w:pPr>
              <w:pStyle w:val="TableTextLeft"/>
            </w:pPr>
            <w:r>
              <w:rPr>
                <w:sz w:val="22"/>
                <w:szCs w:val="22"/>
              </w:rPr>
              <w:t>SRV</w:t>
            </w:r>
          </w:p>
        </w:tc>
      </w:tr>
      <w:tr w:rsidR="006C3DEB" w14:paraId="0FE8DB9E" w14:textId="77777777" w:rsidTr="004641CC">
        <w:trPr>
          <w:trHeight w:val="397"/>
        </w:trPr>
        <w:tc>
          <w:tcPr>
            <w:tcW w:w="0" w:type="auto"/>
            <w:tcBorders>
              <w:right w:val="single" w:sz="4" w:space="0" w:color="auto"/>
            </w:tcBorders>
            <w:shd w:val="clear" w:color="auto" w:fill="EEEEEE" w:themeFill="background2"/>
          </w:tcPr>
          <w:p w14:paraId="054FAC42" w14:textId="77777777" w:rsidR="006C3DEB" w:rsidRDefault="006C3DEB" w:rsidP="005A7549">
            <w:pPr>
              <w:pStyle w:val="TableTextLeft"/>
            </w:pPr>
            <w:r>
              <w:t>5401</w:t>
            </w:r>
          </w:p>
        </w:tc>
        <w:tc>
          <w:tcPr>
            <w:tcW w:w="0" w:type="auto"/>
            <w:tcBorders>
              <w:left w:val="single" w:sz="4" w:space="0" w:color="auto"/>
            </w:tcBorders>
            <w:shd w:val="clear" w:color="auto" w:fill="auto"/>
          </w:tcPr>
          <w:p w14:paraId="5C90072A" w14:textId="77777777" w:rsidR="006C3DEB" w:rsidRDefault="006C3DEB" w:rsidP="005A7549">
            <w:pPr>
              <w:pStyle w:val="TableTextLeft"/>
            </w:pPr>
            <w:r>
              <w:t>Publishing (except Internet and Music Publishing)</w:t>
            </w:r>
          </w:p>
        </w:tc>
        <w:tc>
          <w:tcPr>
            <w:tcW w:w="0" w:type="auto"/>
            <w:shd w:val="clear" w:color="auto" w:fill="auto"/>
          </w:tcPr>
          <w:p w14:paraId="1C6FB006" w14:textId="77777777" w:rsidR="006C3DEB" w:rsidRDefault="006C3DEB" w:rsidP="005A7549">
            <w:pPr>
              <w:pStyle w:val="TableTextLeft"/>
            </w:pPr>
            <w:r>
              <w:t>Services</w:t>
            </w:r>
          </w:p>
        </w:tc>
        <w:tc>
          <w:tcPr>
            <w:tcW w:w="0" w:type="auto"/>
            <w:shd w:val="clear" w:color="auto" w:fill="auto"/>
          </w:tcPr>
          <w:p w14:paraId="03C0A0E3" w14:textId="77777777" w:rsidR="006C3DEB" w:rsidRDefault="006C3DEB" w:rsidP="005A7549">
            <w:pPr>
              <w:pStyle w:val="TableTextLeft"/>
            </w:pPr>
            <w:r>
              <w:rPr>
                <w:sz w:val="22"/>
                <w:szCs w:val="22"/>
              </w:rPr>
              <w:t>SRV</w:t>
            </w:r>
          </w:p>
        </w:tc>
      </w:tr>
      <w:tr w:rsidR="006C3DEB" w14:paraId="456E7D77" w14:textId="77777777" w:rsidTr="004641CC">
        <w:trPr>
          <w:trHeight w:val="397"/>
        </w:trPr>
        <w:tc>
          <w:tcPr>
            <w:tcW w:w="0" w:type="auto"/>
            <w:tcBorders>
              <w:right w:val="single" w:sz="4" w:space="0" w:color="auto"/>
            </w:tcBorders>
            <w:shd w:val="clear" w:color="auto" w:fill="EEEEEE" w:themeFill="background2"/>
          </w:tcPr>
          <w:p w14:paraId="733DE3E2" w14:textId="77777777" w:rsidR="006C3DEB" w:rsidRDefault="006C3DEB" w:rsidP="005A7549">
            <w:pPr>
              <w:pStyle w:val="TableTextLeft"/>
            </w:pPr>
            <w:r>
              <w:t>5501</w:t>
            </w:r>
          </w:p>
        </w:tc>
        <w:tc>
          <w:tcPr>
            <w:tcW w:w="0" w:type="auto"/>
            <w:tcBorders>
              <w:left w:val="single" w:sz="4" w:space="0" w:color="auto"/>
            </w:tcBorders>
            <w:shd w:val="clear" w:color="auto" w:fill="auto"/>
          </w:tcPr>
          <w:p w14:paraId="285C4ABE" w14:textId="77777777" w:rsidR="006C3DEB" w:rsidRDefault="006C3DEB" w:rsidP="005A7549">
            <w:pPr>
              <w:pStyle w:val="TableTextLeft"/>
            </w:pPr>
            <w:r>
              <w:t>Motion Picture and Sound Recording</w:t>
            </w:r>
          </w:p>
        </w:tc>
        <w:tc>
          <w:tcPr>
            <w:tcW w:w="0" w:type="auto"/>
            <w:shd w:val="clear" w:color="auto" w:fill="auto"/>
          </w:tcPr>
          <w:p w14:paraId="77AC1564" w14:textId="77777777" w:rsidR="006C3DEB" w:rsidRDefault="006C3DEB" w:rsidP="005A7549">
            <w:pPr>
              <w:pStyle w:val="TableTextLeft"/>
            </w:pPr>
            <w:r>
              <w:t>Services</w:t>
            </w:r>
          </w:p>
        </w:tc>
        <w:tc>
          <w:tcPr>
            <w:tcW w:w="0" w:type="auto"/>
            <w:shd w:val="clear" w:color="auto" w:fill="auto"/>
          </w:tcPr>
          <w:p w14:paraId="1FBD8A47" w14:textId="77777777" w:rsidR="006C3DEB" w:rsidRDefault="006C3DEB" w:rsidP="005A7549">
            <w:pPr>
              <w:pStyle w:val="TableTextLeft"/>
            </w:pPr>
            <w:r>
              <w:rPr>
                <w:sz w:val="22"/>
                <w:szCs w:val="22"/>
              </w:rPr>
              <w:t>SRV</w:t>
            </w:r>
          </w:p>
        </w:tc>
      </w:tr>
      <w:tr w:rsidR="006C3DEB" w14:paraId="0DF588A6" w14:textId="77777777" w:rsidTr="004641CC">
        <w:trPr>
          <w:trHeight w:val="397"/>
        </w:trPr>
        <w:tc>
          <w:tcPr>
            <w:tcW w:w="0" w:type="auto"/>
            <w:tcBorders>
              <w:right w:val="single" w:sz="4" w:space="0" w:color="auto"/>
            </w:tcBorders>
            <w:shd w:val="clear" w:color="auto" w:fill="EEEEEE" w:themeFill="background2"/>
          </w:tcPr>
          <w:p w14:paraId="3AD0167F" w14:textId="77777777" w:rsidR="006C3DEB" w:rsidRDefault="006C3DEB" w:rsidP="005A7549">
            <w:pPr>
              <w:pStyle w:val="TableTextLeft"/>
            </w:pPr>
            <w:r>
              <w:t>5601</w:t>
            </w:r>
          </w:p>
        </w:tc>
        <w:tc>
          <w:tcPr>
            <w:tcW w:w="0" w:type="auto"/>
            <w:tcBorders>
              <w:left w:val="single" w:sz="4" w:space="0" w:color="auto"/>
            </w:tcBorders>
            <w:shd w:val="clear" w:color="auto" w:fill="auto"/>
          </w:tcPr>
          <w:p w14:paraId="5BFBDEED" w14:textId="77777777" w:rsidR="006C3DEB" w:rsidRDefault="006C3DEB" w:rsidP="005A7549">
            <w:pPr>
              <w:pStyle w:val="TableTextLeft"/>
            </w:pPr>
            <w:r>
              <w:t>Broadcasting (except Internet)</w:t>
            </w:r>
          </w:p>
        </w:tc>
        <w:tc>
          <w:tcPr>
            <w:tcW w:w="0" w:type="auto"/>
            <w:shd w:val="clear" w:color="auto" w:fill="auto"/>
          </w:tcPr>
          <w:p w14:paraId="68A40D4D" w14:textId="77777777" w:rsidR="006C3DEB" w:rsidRDefault="006C3DEB" w:rsidP="005A7549">
            <w:pPr>
              <w:pStyle w:val="TableTextLeft"/>
            </w:pPr>
            <w:r>
              <w:t>Services</w:t>
            </w:r>
          </w:p>
        </w:tc>
        <w:tc>
          <w:tcPr>
            <w:tcW w:w="0" w:type="auto"/>
            <w:shd w:val="clear" w:color="auto" w:fill="auto"/>
          </w:tcPr>
          <w:p w14:paraId="789F2FB1" w14:textId="77777777" w:rsidR="006C3DEB" w:rsidRDefault="006C3DEB" w:rsidP="005A7549">
            <w:pPr>
              <w:pStyle w:val="TableTextLeft"/>
            </w:pPr>
            <w:r>
              <w:rPr>
                <w:sz w:val="22"/>
                <w:szCs w:val="22"/>
              </w:rPr>
              <w:t>SRV</w:t>
            </w:r>
          </w:p>
        </w:tc>
      </w:tr>
      <w:tr w:rsidR="006C3DEB" w14:paraId="2884AE39" w14:textId="77777777" w:rsidTr="004641CC">
        <w:trPr>
          <w:trHeight w:val="397"/>
        </w:trPr>
        <w:tc>
          <w:tcPr>
            <w:tcW w:w="0" w:type="auto"/>
            <w:tcBorders>
              <w:right w:val="single" w:sz="4" w:space="0" w:color="auto"/>
            </w:tcBorders>
            <w:shd w:val="clear" w:color="auto" w:fill="EEEEEE" w:themeFill="background2"/>
          </w:tcPr>
          <w:p w14:paraId="1F87F8C9" w14:textId="77777777" w:rsidR="006C3DEB" w:rsidRDefault="006C3DEB" w:rsidP="005A7549">
            <w:pPr>
              <w:pStyle w:val="TableTextLeft"/>
            </w:pPr>
            <w:r>
              <w:t>5701</w:t>
            </w:r>
          </w:p>
        </w:tc>
        <w:tc>
          <w:tcPr>
            <w:tcW w:w="0" w:type="auto"/>
            <w:tcBorders>
              <w:left w:val="single" w:sz="4" w:space="0" w:color="auto"/>
            </w:tcBorders>
            <w:shd w:val="clear" w:color="auto" w:fill="auto"/>
          </w:tcPr>
          <w:p w14:paraId="3E5FFE80" w14:textId="77777777" w:rsidR="006C3DEB" w:rsidRDefault="006C3DEB" w:rsidP="005A7549">
            <w:pPr>
              <w:pStyle w:val="TableTextLeft"/>
            </w:pPr>
            <w:r>
              <w:t>Internet Service Providers, Internet Publishing and Broadcasting, Websearch Portals and Data Processing</w:t>
            </w:r>
          </w:p>
        </w:tc>
        <w:tc>
          <w:tcPr>
            <w:tcW w:w="0" w:type="auto"/>
            <w:shd w:val="clear" w:color="auto" w:fill="auto"/>
          </w:tcPr>
          <w:p w14:paraId="03B35948" w14:textId="77777777" w:rsidR="006C3DEB" w:rsidRDefault="006C3DEB" w:rsidP="005A7549">
            <w:pPr>
              <w:pStyle w:val="TableTextLeft"/>
            </w:pPr>
            <w:r>
              <w:t>Services</w:t>
            </w:r>
          </w:p>
        </w:tc>
        <w:tc>
          <w:tcPr>
            <w:tcW w:w="0" w:type="auto"/>
            <w:shd w:val="clear" w:color="auto" w:fill="auto"/>
          </w:tcPr>
          <w:p w14:paraId="1274DE66" w14:textId="77777777" w:rsidR="006C3DEB" w:rsidRDefault="006C3DEB" w:rsidP="005A7549">
            <w:pPr>
              <w:pStyle w:val="TableTextLeft"/>
            </w:pPr>
            <w:r>
              <w:rPr>
                <w:sz w:val="22"/>
                <w:szCs w:val="22"/>
              </w:rPr>
              <w:t>SRV</w:t>
            </w:r>
          </w:p>
        </w:tc>
      </w:tr>
      <w:tr w:rsidR="006C3DEB" w14:paraId="66431250" w14:textId="77777777" w:rsidTr="004641CC">
        <w:trPr>
          <w:trHeight w:val="397"/>
        </w:trPr>
        <w:tc>
          <w:tcPr>
            <w:tcW w:w="0" w:type="auto"/>
            <w:tcBorders>
              <w:right w:val="single" w:sz="4" w:space="0" w:color="auto"/>
            </w:tcBorders>
            <w:shd w:val="clear" w:color="auto" w:fill="EEEEEE" w:themeFill="background2"/>
          </w:tcPr>
          <w:p w14:paraId="051C78E8" w14:textId="77777777" w:rsidR="006C3DEB" w:rsidRDefault="006C3DEB" w:rsidP="005A7549">
            <w:pPr>
              <w:pStyle w:val="TableTextLeft"/>
            </w:pPr>
            <w:r>
              <w:t>5801</w:t>
            </w:r>
          </w:p>
        </w:tc>
        <w:tc>
          <w:tcPr>
            <w:tcW w:w="0" w:type="auto"/>
            <w:tcBorders>
              <w:left w:val="single" w:sz="4" w:space="0" w:color="auto"/>
            </w:tcBorders>
            <w:shd w:val="clear" w:color="auto" w:fill="auto"/>
          </w:tcPr>
          <w:p w14:paraId="3057189A" w14:textId="77777777" w:rsidR="006C3DEB" w:rsidRDefault="006C3DEB" w:rsidP="005A7549">
            <w:pPr>
              <w:pStyle w:val="TableTextLeft"/>
            </w:pPr>
            <w:r>
              <w:t>Telecommunication Services</w:t>
            </w:r>
          </w:p>
        </w:tc>
        <w:tc>
          <w:tcPr>
            <w:tcW w:w="0" w:type="auto"/>
            <w:shd w:val="clear" w:color="auto" w:fill="auto"/>
          </w:tcPr>
          <w:p w14:paraId="185787E4" w14:textId="77777777" w:rsidR="006C3DEB" w:rsidRDefault="006C3DEB" w:rsidP="005A7549">
            <w:pPr>
              <w:pStyle w:val="TableTextLeft"/>
            </w:pPr>
            <w:r>
              <w:t>Services</w:t>
            </w:r>
          </w:p>
        </w:tc>
        <w:tc>
          <w:tcPr>
            <w:tcW w:w="0" w:type="auto"/>
            <w:shd w:val="clear" w:color="auto" w:fill="auto"/>
          </w:tcPr>
          <w:p w14:paraId="7104F54A" w14:textId="77777777" w:rsidR="006C3DEB" w:rsidRDefault="006C3DEB" w:rsidP="005A7549">
            <w:pPr>
              <w:pStyle w:val="TableTextLeft"/>
            </w:pPr>
            <w:r>
              <w:rPr>
                <w:sz w:val="22"/>
                <w:szCs w:val="22"/>
              </w:rPr>
              <w:t>SRV</w:t>
            </w:r>
          </w:p>
        </w:tc>
      </w:tr>
      <w:tr w:rsidR="006C3DEB" w14:paraId="0A9CF852" w14:textId="77777777" w:rsidTr="004641CC">
        <w:trPr>
          <w:trHeight w:val="397"/>
        </w:trPr>
        <w:tc>
          <w:tcPr>
            <w:tcW w:w="0" w:type="auto"/>
            <w:tcBorders>
              <w:right w:val="single" w:sz="4" w:space="0" w:color="auto"/>
            </w:tcBorders>
            <w:shd w:val="clear" w:color="auto" w:fill="EEEEEE" w:themeFill="background2"/>
          </w:tcPr>
          <w:p w14:paraId="36227FC6" w14:textId="77777777" w:rsidR="006C3DEB" w:rsidRDefault="006C3DEB" w:rsidP="005A7549">
            <w:pPr>
              <w:pStyle w:val="TableTextLeft"/>
            </w:pPr>
            <w:r>
              <w:t>6001</w:t>
            </w:r>
          </w:p>
        </w:tc>
        <w:tc>
          <w:tcPr>
            <w:tcW w:w="0" w:type="auto"/>
            <w:tcBorders>
              <w:left w:val="single" w:sz="4" w:space="0" w:color="auto"/>
            </w:tcBorders>
            <w:shd w:val="clear" w:color="auto" w:fill="auto"/>
          </w:tcPr>
          <w:p w14:paraId="648C9A4E" w14:textId="77777777" w:rsidR="006C3DEB" w:rsidRDefault="006C3DEB" w:rsidP="005A7549">
            <w:pPr>
              <w:pStyle w:val="TableTextLeft"/>
            </w:pPr>
            <w:r>
              <w:t>Library and Other Information Services</w:t>
            </w:r>
          </w:p>
        </w:tc>
        <w:tc>
          <w:tcPr>
            <w:tcW w:w="0" w:type="auto"/>
            <w:shd w:val="clear" w:color="auto" w:fill="auto"/>
          </w:tcPr>
          <w:p w14:paraId="01089834" w14:textId="77777777" w:rsidR="006C3DEB" w:rsidRDefault="006C3DEB" w:rsidP="005A7549">
            <w:pPr>
              <w:pStyle w:val="TableTextLeft"/>
            </w:pPr>
            <w:r>
              <w:t>Services</w:t>
            </w:r>
          </w:p>
        </w:tc>
        <w:tc>
          <w:tcPr>
            <w:tcW w:w="0" w:type="auto"/>
            <w:shd w:val="clear" w:color="auto" w:fill="auto"/>
          </w:tcPr>
          <w:p w14:paraId="41C3ABA7" w14:textId="77777777" w:rsidR="006C3DEB" w:rsidRDefault="006C3DEB" w:rsidP="005A7549">
            <w:pPr>
              <w:pStyle w:val="TableTextLeft"/>
            </w:pPr>
            <w:r>
              <w:rPr>
                <w:sz w:val="22"/>
                <w:szCs w:val="22"/>
              </w:rPr>
              <w:t>SRV</w:t>
            </w:r>
          </w:p>
        </w:tc>
      </w:tr>
      <w:tr w:rsidR="006C3DEB" w14:paraId="787B98CB" w14:textId="77777777" w:rsidTr="004641CC">
        <w:trPr>
          <w:trHeight w:val="397"/>
        </w:trPr>
        <w:tc>
          <w:tcPr>
            <w:tcW w:w="0" w:type="auto"/>
            <w:tcBorders>
              <w:right w:val="single" w:sz="4" w:space="0" w:color="auto"/>
            </w:tcBorders>
            <w:shd w:val="clear" w:color="auto" w:fill="EEEEEE" w:themeFill="background2"/>
          </w:tcPr>
          <w:p w14:paraId="42EF07C7" w14:textId="77777777" w:rsidR="006C3DEB" w:rsidRDefault="006C3DEB" w:rsidP="005A7549">
            <w:pPr>
              <w:pStyle w:val="TableTextLeft"/>
            </w:pPr>
            <w:r>
              <w:t>6201</w:t>
            </w:r>
          </w:p>
        </w:tc>
        <w:tc>
          <w:tcPr>
            <w:tcW w:w="0" w:type="auto"/>
            <w:tcBorders>
              <w:left w:val="single" w:sz="4" w:space="0" w:color="auto"/>
            </w:tcBorders>
            <w:shd w:val="clear" w:color="auto" w:fill="auto"/>
          </w:tcPr>
          <w:p w14:paraId="670A3AA7" w14:textId="77777777" w:rsidR="006C3DEB" w:rsidRDefault="006C3DEB" w:rsidP="005A7549">
            <w:pPr>
              <w:pStyle w:val="TableTextLeft"/>
            </w:pPr>
            <w:r>
              <w:t>Finance</w:t>
            </w:r>
          </w:p>
        </w:tc>
        <w:tc>
          <w:tcPr>
            <w:tcW w:w="0" w:type="auto"/>
            <w:shd w:val="clear" w:color="auto" w:fill="auto"/>
          </w:tcPr>
          <w:p w14:paraId="0E78FEF3" w14:textId="77777777" w:rsidR="006C3DEB" w:rsidRDefault="006C3DEB" w:rsidP="005A7549">
            <w:pPr>
              <w:pStyle w:val="TableTextLeft"/>
            </w:pPr>
            <w:r>
              <w:t>Services</w:t>
            </w:r>
          </w:p>
        </w:tc>
        <w:tc>
          <w:tcPr>
            <w:tcW w:w="0" w:type="auto"/>
            <w:shd w:val="clear" w:color="auto" w:fill="auto"/>
          </w:tcPr>
          <w:p w14:paraId="52D9616E" w14:textId="77777777" w:rsidR="006C3DEB" w:rsidRDefault="006C3DEB" w:rsidP="005A7549">
            <w:pPr>
              <w:pStyle w:val="TableTextLeft"/>
            </w:pPr>
            <w:r>
              <w:rPr>
                <w:sz w:val="22"/>
                <w:szCs w:val="22"/>
              </w:rPr>
              <w:t>SRV</w:t>
            </w:r>
          </w:p>
        </w:tc>
      </w:tr>
      <w:tr w:rsidR="006C3DEB" w14:paraId="2274F1B6" w14:textId="77777777" w:rsidTr="004641CC">
        <w:trPr>
          <w:trHeight w:val="397"/>
        </w:trPr>
        <w:tc>
          <w:tcPr>
            <w:tcW w:w="0" w:type="auto"/>
            <w:tcBorders>
              <w:right w:val="single" w:sz="4" w:space="0" w:color="auto"/>
            </w:tcBorders>
            <w:shd w:val="clear" w:color="auto" w:fill="EEEEEE" w:themeFill="background2"/>
          </w:tcPr>
          <w:p w14:paraId="38A189CD" w14:textId="77777777" w:rsidR="006C3DEB" w:rsidRDefault="006C3DEB" w:rsidP="005A7549">
            <w:pPr>
              <w:pStyle w:val="TableTextLeft"/>
            </w:pPr>
            <w:r>
              <w:t>6301</w:t>
            </w:r>
          </w:p>
        </w:tc>
        <w:tc>
          <w:tcPr>
            <w:tcW w:w="0" w:type="auto"/>
            <w:tcBorders>
              <w:left w:val="single" w:sz="4" w:space="0" w:color="auto"/>
            </w:tcBorders>
            <w:shd w:val="clear" w:color="auto" w:fill="auto"/>
          </w:tcPr>
          <w:p w14:paraId="2830403C" w14:textId="77777777" w:rsidR="006C3DEB" w:rsidRDefault="006C3DEB" w:rsidP="005A7549">
            <w:pPr>
              <w:pStyle w:val="TableTextLeft"/>
            </w:pPr>
            <w:r>
              <w:t>Insurance and Superannuation Funds</w:t>
            </w:r>
          </w:p>
        </w:tc>
        <w:tc>
          <w:tcPr>
            <w:tcW w:w="0" w:type="auto"/>
            <w:shd w:val="clear" w:color="auto" w:fill="auto"/>
          </w:tcPr>
          <w:p w14:paraId="5E1D1191" w14:textId="77777777" w:rsidR="006C3DEB" w:rsidRDefault="006C3DEB" w:rsidP="005A7549">
            <w:pPr>
              <w:pStyle w:val="TableTextLeft"/>
            </w:pPr>
            <w:r>
              <w:t>Services</w:t>
            </w:r>
          </w:p>
        </w:tc>
        <w:tc>
          <w:tcPr>
            <w:tcW w:w="0" w:type="auto"/>
            <w:shd w:val="clear" w:color="auto" w:fill="auto"/>
          </w:tcPr>
          <w:p w14:paraId="1C37C45D" w14:textId="77777777" w:rsidR="006C3DEB" w:rsidRDefault="006C3DEB" w:rsidP="005A7549">
            <w:pPr>
              <w:pStyle w:val="TableTextLeft"/>
            </w:pPr>
            <w:r>
              <w:rPr>
                <w:sz w:val="22"/>
                <w:szCs w:val="22"/>
              </w:rPr>
              <w:t>SRV</w:t>
            </w:r>
          </w:p>
        </w:tc>
      </w:tr>
      <w:tr w:rsidR="006C3DEB" w14:paraId="15B587CA" w14:textId="77777777" w:rsidTr="004641CC">
        <w:trPr>
          <w:trHeight w:val="397"/>
        </w:trPr>
        <w:tc>
          <w:tcPr>
            <w:tcW w:w="0" w:type="auto"/>
            <w:tcBorders>
              <w:right w:val="single" w:sz="4" w:space="0" w:color="auto"/>
            </w:tcBorders>
            <w:shd w:val="clear" w:color="auto" w:fill="EEEEEE" w:themeFill="background2"/>
          </w:tcPr>
          <w:p w14:paraId="7B69A95B" w14:textId="77777777" w:rsidR="006C3DEB" w:rsidRDefault="006C3DEB" w:rsidP="005A7549">
            <w:pPr>
              <w:pStyle w:val="TableTextLeft"/>
            </w:pPr>
            <w:r>
              <w:t>6401</w:t>
            </w:r>
          </w:p>
        </w:tc>
        <w:tc>
          <w:tcPr>
            <w:tcW w:w="0" w:type="auto"/>
            <w:tcBorders>
              <w:left w:val="single" w:sz="4" w:space="0" w:color="auto"/>
            </w:tcBorders>
            <w:shd w:val="clear" w:color="auto" w:fill="auto"/>
          </w:tcPr>
          <w:p w14:paraId="1F930AE3" w14:textId="77777777" w:rsidR="006C3DEB" w:rsidRDefault="006C3DEB" w:rsidP="005A7549">
            <w:pPr>
              <w:pStyle w:val="TableTextLeft"/>
            </w:pPr>
            <w:r>
              <w:t>Auxiliary Finance and Insurance Services</w:t>
            </w:r>
          </w:p>
        </w:tc>
        <w:tc>
          <w:tcPr>
            <w:tcW w:w="0" w:type="auto"/>
            <w:shd w:val="clear" w:color="auto" w:fill="auto"/>
          </w:tcPr>
          <w:p w14:paraId="67155FA2" w14:textId="77777777" w:rsidR="006C3DEB" w:rsidRDefault="006C3DEB" w:rsidP="005A7549">
            <w:pPr>
              <w:pStyle w:val="TableTextLeft"/>
            </w:pPr>
            <w:r>
              <w:t>Services</w:t>
            </w:r>
          </w:p>
        </w:tc>
        <w:tc>
          <w:tcPr>
            <w:tcW w:w="0" w:type="auto"/>
            <w:shd w:val="clear" w:color="auto" w:fill="auto"/>
          </w:tcPr>
          <w:p w14:paraId="3A02BA65" w14:textId="77777777" w:rsidR="006C3DEB" w:rsidRDefault="006C3DEB" w:rsidP="005A7549">
            <w:pPr>
              <w:pStyle w:val="TableTextLeft"/>
            </w:pPr>
            <w:r>
              <w:rPr>
                <w:sz w:val="22"/>
                <w:szCs w:val="22"/>
              </w:rPr>
              <w:t>SRV</w:t>
            </w:r>
          </w:p>
        </w:tc>
      </w:tr>
      <w:tr w:rsidR="006C3DEB" w14:paraId="2DDFAD39" w14:textId="77777777" w:rsidTr="004641CC">
        <w:trPr>
          <w:trHeight w:val="397"/>
        </w:trPr>
        <w:tc>
          <w:tcPr>
            <w:tcW w:w="0" w:type="auto"/>
            <w:tcBorders>
              <w:right w:val="single" w:sz="4" w:space="0" w:color="auto"/>
            </w:tcBorders>
            <w:shd w:val="clear" w:color="auto" w:fill="EEEEEE" w:themeFill="background2"/>
          </w:tcPr>
          <w:p w14:paraId="702714B7" w14:textId="77777777" w:rsidR="006C3DEB" w:rsidRDefault="006C3DEB" w:rsidP="005A7549">
            <w:pPr>
              <w:pStyle w:val="TableTextLeft"/>
            </w:pPr>
            <w:r>
              <w:t>6601</w:t>
            </w:r>
          </w:p>
        </w:tc>
        <w:tc>
          <w:tcPr>
            <w:tcW w:w="0" w:type="auto"/>
            <w:tcBorders>
              <w:left w:val="single" w:sz="4" w:space="0" w:color="auto"/>
            </w:tcBorders>
            <w:shd w:val="clear" w:color="auto" w:fill="auto"/>
          </w:tcPr>
          <w:p w14:paraId="2652A37F" w14:textId="77777777" w:rsidR="006C3DEB" w:rsidRDefault="006C3DEB" w:rsidP="005A7549">
            <w:pPr>
              <w:pStyle w:val="TableTextLeft"/>
            </w:pPr>
            <w:r>
              <w:t>Rental and Hiring Services (except Real Estate)</w:t>
            </w:r>
          </w:p>
        </w:tc>
        <w:tc>
          <w:tcPr>
            <w:tcW w:w="0" w:type="auto"/>
            <w:shd w:val="clear" w:color="auto" w:fill="auto"/>
          </w:tcPr>
          <w:p w14:paraId="4B571215" w14:textId="77777777" w:rsidR="006C3DEB" w:rsidRDefault="006C3DEB" w:rsidP="005A7549">
            <w:pPr>
              <w:pStyle w:val="TableTextLeft"/>
            </w:pPr>
            <w:r>
              <w:t>Services</w:t>
            </w:r>
          </w:p>
        </w:tc>
        <w:tc>
          <w:tcPr>
            <w:tcW w:w="0" w:type="auto"/>
            <w:shd w:val="clear" w:color="auto" w:fill="auto"/>
          </w:tcPr>
          <w:p w14:paraId="665D8C63" w14:textId="77777777" w:rsidR="006C3DEB" w:rsidRDefault="006C3DEB" w:rsidP="005A7549">
            <w:pPr>
              <w:pStyle w:val="TableTextLeft"/>
            </w:pPr>
            <w:r>
              <w:rPr>
                <w:sz w:val="22"/>
                <w:szCs w:val="22"/>
              </w:rPr>
              <w:t>SRV</w:t>
            </w:r>
          </w:p>
        </w:tc>
      </w:tr>
      <w:tr w:rsidR="006C3DEB" w14:paraId="646EA4E1" w14:textId="77777777" w:rsidTr="004641CC">
        <w:trPr>
          <w:trHeight w:val="397"/>
        </w:trPr>
        <w:tc>
          <w:tcPr>
            <w:tcW w:w="0" w:type="auto"/>
            <w:tcBorders>
              <w:right w:val="single" w:sz="4" w:space="0" w:color="auto"/>
            </w:tcBorders>
            <w:shd w:val="clear" w:color="auto" w:fill="EEEEEE" w:themeFill="background2"/>
          </w:tcPr>
          <w:p w14:paraId="790535D3" w14:textId="77777777" w:rsidR="006C3DEB" w:rsidRDefault="006C3DEB" w:rsidP="005A7549">
            <w:pPr>
              <w:pStyle w:val="TableTextLeft"/>
            </w:pPr>
            <w:r>
              <w:t>6701</w:t>
            </w:r>
          </w:p>
        </w:tc>
        <w:tc>
          <w:tcPr>
            <w:tcW w:w="0" w:type="auto"/>
            <w:tcBorders>
              <w:left w:val="single" w:sz="4" w:space="0" w:color="auto"/>
            </w:tcBorders>
            <w:shd w:val="clear" w:color="auto" w:fill="auto"/>
          </w:tcPr>
          <w:p w14:paraId="57EEE2DA" w14:textId="77777777" w:rsidR="006C3DEB" w:rsidRDefault="006C3DEB" w:rsidP="005A7549">
            <w:pPr>
              <w:pStyle w:val="TableTextLeft"/>
            </w:pPr>
            <w:r>
              <w:t>Ownership of Dwellings</w:t>
            </w:r>
          </w:p>
        </w:tc>
        <w:tc>
          <w:tcPr>
            <w:tcW w:w="0" w:type="auto"/>
            <w:shd w:val="clear" w:color="auto" w:fill="auto"/>
          </w:tcPr>
          <w:p w14:paraId="0281A123" w14:textId="77777777" w:rsidR="006C3DEB" w:rsidRDefault="006C3DEB" w:rsidP="005A7549">
            <w:pPr>
              <w:pStyle w:val="TableTextLeft"/>
            </w:pPr>
            <w:r>
              <w:t>Dwellings</w:t>
            </w:r>
          </w:p>
        </w:tc>
        <w:tc>
          <w:tcPr>
            <w:tcW w:w="0" w:type="auto"/>
            <w:shd w:val="clear" w:color="auto" w:fill="auto"/>
          </w:tcPr>
          <w:p w14:paraId="420F6A52" w14:textId="77777777" w:rsidR="006C3DEB" w:rsidRDefault="006C3DEB" w:rsidP="005A7549">
            <w:pPr>
              <w:pStyle w:val="TableTextLeft"/>
            </w:pPr>
            <w:r>
              <w:rPr>
                <w:sz w:val="22"/>
                <w:szCs w:val="22"/>
              </w:rPr>
              <w:t>DWE</w:t>
            </w:r>
          </w:p>
        </w:tc>
      </w:tr>
      <w:tr w:rsidR="006C3DEB" w14:paraId="2CBF3046" w14:textId="77777777" w:rsidTr="004641CC">
        <w:trPr>
          <w:trHeight w:val="397"/>
        </w:trPr>
        <w:tc>
          <w:tcPr>
            <w:tcW w:w="0" w:type="auto"/>
            <w:tcBorders>
              <w:right w:val="single" w:sz="4" w:space="0" w:color="auto"/>
            </w:tcBorders>
            <w:shd w:val="clear" w:color="auto" w:fill="EEEEEE" w:themeFill="background2"/>
          </w:tcPr>
          <w:p w14:paraId="03B83B76" w14:textId="77777777" w:rsidR="006C3DEB" w:rsidRDefault="006C3DEB" w:rsidP="005A7549">
            <w:pPr>
              <w:pStyle w:val="TableTextLeft"/>
            </w:pPr>
            <w:r>
              <w:t>6702</w:t>
            </w:r>
          </w:p>
        </w:tc>
        <w:tc>
          <w:tcPr>
            <w:tcW w:w="0" w:type="auto"/>
            <w:tcBorders>
              <w:left w:val="single" w:sz="4" w:space="0" w:color="auto"/>
            </w:tcBorders>
            <w:shd w:val="clear" w:color="auto" w:fill="auto"/>
          </w:tcPr>
          <w:p w14:paraId="4DCDCAAC" w14:textId="77777777" w:rsidR="006C3DEB" w:rsidRDefault="006C3DEB" w:rsidP="005A7549">
            <w:pPr>
              <w:pStyle w:val="TableTextLeft"/>
            </w:pPr>
            <w:r>
              <w:t>Non-Residential Property Operators and Real Estate Services</w:t>
            </w:r>
          </w:p>
        </w:tc>
        <w:tc>
          <w:tcPr>
            <w:tcW w:w="0" w:type="auto"/>
            <w:shd w:val="clear" w:color="auto" w:fill="auto"/>
          </w:tcPr>
          <w:p w14:paraId="6AE51A26" w14:textId="77777777" w:rsidR="006C3DEB" w:rsidRDefault="006C3DEB" w:rsidP="005A7549">
            <w:pPr>
              <w:pStyle w:val="TableTextLeft"/>
            </w:pPr>
            <w:r>
              <w:t>Services</w:t>
            </w:r>
          </w:p>
        </w:tc>
        <w:tc>
          <w:tcPr>
            <w:tcW w:w="0" w:type="auto"/>
            <w:shd w:val="clear" w:color="auto" w:fill="auto"/>
          </w:tcPr>
          <w:p w14:paraId="722912B2" w14:textId="77777777" w:rsidR="006C3DEB" w:rsidRDefault="006C3DEB" w:rsidP="005A7549">
            <w:pPr>
              <w:pStyle w:val="TableTextLeft"/>
            </w:pPr>
            <w:r>
              <w:rPr>
                <w:sz w:val="22"/>
                <w:szCs w:val="22"/>
              </w:rPr>
              <w:t>SRV</w:t>
            </w:r>
          </w:p>
        </w:tc>
      </w:tr>
      <w:tr w:rsidR="006C3DEB" w14:paraId="030AABA2" w14:textId="77777777" w:rsidTr="004641CC">
        <w:trPr>
          <w:trHeight w:val="397"/>
        </w:trPr>
        <w:tc>
          <w:tcPr>
            <w:tcW w:w="0" w:type="auto"/>
            <w:tcBorders>
              <w:right w:val="single" w:sz="4" w:space="0" w:color="auto"/>
            </w:tcBorders>
            <w:shd w:val="clear" w:color="auto" w:fill="EEEEEE" w:themeFill="background2"/>
          </w:tcPr>
          <w:p w14:paraId="3DABBFC7" w14:textId="77777777" w:rsidR="006C3DEB" w:rsidRDefault="006C3DEB" w:rsidP="005A7549">
            <w:pPr>
              <w:pStyle w:val="TableTextLeft"/>
            </w:pPr>
            <w:r>
              <w:t>6901</w:t>
            </w:r>
          </w:p>
        </w:tc>
        <w:tc>
          <w:tcPr>
            <w:tcW w:w="0" w:type="auto"/>
            <w:tcBorders>
              <w:left w:val="single" w:sz="4" w:space="0" w:color="auto"/>
            </w:tcBorders>
            <w:shd w:val="clear" w:color="auto" w:fill="auto"/>
          </w:tcPr>
          <w:p w14:paraId="00E900AD" w14:textId="77777777" w:rsidR="006C3DEB" w:rsidRDefault="006C3DEB" w:rsidP="005A7549">
            <w:pPr>
              <w:pStyle w:val="TableTextLeft"/>
            </w:pPr>
            <w:r>
              <w:t>Professional, Scientific and Technical Services</w:t>
            </w:r>
          </w:p>
        </w:tc>
        <w:tc>
          <w:tcPr>
            <w:tcW w:w="0" w:type="auto"/>
            <w:shd w:val="clear" w:color="auto" w:fill="auto"/>
          </w:tcPr>
          <w:p w14:paraId="05CB95FD" w14:textId="77777777" w:rsidR="006C3DEB" w:rsidRDefault="006C3DEB" w:rsidP="005A7549">
            <w:pPr>
              <w:pStyle w:val="TableTextLeft"/>
            </w:pPr>
            <w:r>
              <w:t>Services</w:t>
            </w:r>
          </w:p>
        </w:tc>
        <w:tc>
          <w:tcPr>
            <w:tcW w:w="0" w:type="auto"/>
            <w:shd w:val="clear" w:color="auto" w:fill="auto"/>
          </w:tcPr>
          <w:p w14:paraId="6E45B3AB" w14:textId="77777777" w:rsidR="006C3DEB" w:rsidRDefault="006C3DEB" w:rsidP="005A7549">
            <w:pPr>
              <w:pStyle w:val="TableTextLeft"/>
            </w:pPr>
            <w:r>
              <w:rPr>
                <w:sz w:val="22"/>
                <w:szCs w:val="22"/>
              </w:rPr>
              <w:t>SRV</w:t>
            </w:r>
          </w:p>
        </w:tc>
      </w:tr>
      <w:tr w:rsidR="006C3DEB" w14:paraId="74198AE3" w14:textId="77777777" w:rsidTr="004641CC">
        <w:trPr>
          <w:trHeight w:val="397"/>
        </w:trPr>
        <w:tc>
          <w:tcPr>
            <w:tcW w:w="0" w:type="auto"/>
            <w:tcBorders>
              <w:right w:val="single" w:sz="4" w:space="0" w:color="auto"/>
            </w:tcBorders>
            <w:shd w:val="clear" w:color="auto" w:fill="EEEEEE" w:themeFill="background2"/>
          </w:tcPr>
          <w:p w14:paraId="4B67077E" w14:textId="77777777" w:rsidR="006C3DEB" w:rsidRDefault="006C3DEB" w:rsidP="005A7549">
            <w:pPr>
              <w:pStyle w:val="TableTextLeft"/>
            </w:pPr>
            <w:r>
              <w:lastRenderedPageBreak/>
              <w:t>7001</w:t>
            </w:r>
          </w:p>
        </w:tc>
        <w:tc>
          <w:tcPr>
            <w:tcW w:w="0" w:type="auto"/>
            <w:tcBorders>
              <w:left w:val="single" w:sz="4" w:space="0" w:color="auto"/>
            </w:tcBorders>
            <w:shd w:val="clear" w:color="auto" w:fill="auto"/>
          </w:tcPr>
          <w:p w14:paraId="4A975BF8" w14:textId="77777777" w:rsidR="006C3DEB" w:rsidRDefault="006C3DEB" w:rsidP="005A7549">
            <w:pPr>
              <w:pStyle w:val="TableTextLeft"/>
            </w:pPr>
            <w:r>
              <w:t>Computer Systems Design and Related Services</w:t>
            </w:r>
          </w:p>
        </w:tc>
        <w:tc>
          <w:tcPr>
            <w:tcW w:w="0" w:type="auto"/>
            <w:shd w:val="clear" w:color="auto" w:fill="auto"/>
          </w:tcPr>
          <w:p w14:paraId="2BB018DB" w14:textId="77777777" w:rsidR="006C3DEB" w:rsidRDefault="006C3DEB" w:rsidP="005A7549">
            <w:pPr>
              <w:pStyle w:val="TableTextLeft"/>
            </w:pPr>
            <w:r>
              <w:t>Services</w:t>
            </w:r>
          </w:p>
        </w:tc>
        <w:tc>
          <w:tcPr>
            <w:tcW w:w="0" w:type="auto"/>
            <w:shd w:val="clear" w:color="auto" w:fill="auto"/>
          </w:tcPr>
          <w:p w14:paraId="1DB64248" w14:textId="77777777" w:rsidR="006C3DEB" w:rsidRDefault="006C3DEB" w:rsidP="005A7549">
            <w:pPr>
              <w:pStyle w:val="TableTextLeft"/>
            </w:pPr>
            <w:r>
              <w:rPr>
                <w:sz w:val="22"/>
                <w:szCs w:val="22"/>
              </w:rPr>
              <w:t>SRV</w:t>
            </w:r>
          </w:p>
        </w:tc>
      </w:tr>
      <w:tr w:rsidR="006C3DEB" w14:paraId="30E1E8E2" w14:textId="77777777" w:rsidTr="004641CC">
        <w:trPr>
          <w:trHeight w:val="397"/>
        </w:trPr>
        <w:tc>
          <w:tcPr>
            <w:tcW w:w="0" w:type="auto"/>
            <w:tcBorders>
              <w:right w:val="single" w:sz="4" w:space="0" w:color="auto"/>
            </w:tcBorders>
            <w:shd w:val="clear" w:color="auto" w:fill="EEEEEE" w:themeFill="background2"/>
          </w:tcPr>
          <w:p w14:paraId="12F2124A" w14:textId="77777777" w:rsidR="006C3DEB" w:rsidRDefault="006C3DEB" w:rsidP="005A7549">
            <w:pPr>
              <w:pStyle w:val="TableTextLeft"/>
            </w:pPr>
            <w:r>
              <w:t>7210</w:t>
            </w:r>
          </w:p>
        </w:tc>
        <w:tc>
          <w:tcPr>
            <w:tcW w:w="0" w:type="auto"/>
            <w:tcBorders>
              <w:left w:val="single" w:sz="4" w:space="0" w:color="auto"/>
            </w:tcBorders>
            <w:shd w:val="clear" w:color="auto" w:fill="auto"/>
          </w:tcPr>
          <w:p w14:paraId="6BB4630B" w14:textId="77777777" w:rsidR="006C3DEB" w:rsidRDefault="006C3DEB" w:rsidP="005A7549">
            <w:pPr>
              <w:pStyle w:val="TableTextLeft"/>
            </w:pPr>
            <w:r>
              <w:t>Employment, Travel Agency and Other Administrative Services</w:t>
            </w:r>
          </w:p>
        </w:tc>
        <w:tc>
          <w:tcPr>
            <w:tcW w:w="0" w:type="auto"/>
            <w:shd w:val="clear" w:color="auto" w:fill="auto"/>
          </w:tcPr>
          <w:p w14:paraId="024885C0" w14:textId="77777777" w:rsidR="006C3DEB" w:rsidRDefault="006C3DEB" w:rsidP="005A7549">
            <w:pPr>
              <w:pStyle w:val="TableTextLeft"/>
            </w:pPr>
            <w:r>
              <w:t>Services</w:t>
            </w:r>
          </w:p>
        </w:tc>
        <w:tc>
          <w:tcPr>
            <w:tcW w:w="0" w:type="auto"/>
            <w:shd w:val="clear" w:color="auto" w:fill="auto"/>
          </w:tcPr>
          <w:p w14:paraId="333FC7D4" w14:textId="77777777" w:rsidR="006C3DEB" w:rsidRDefault="006C3DEB" w:rsidP="005A7549">
            <w:pPr>
              <w:pStyle w:val="TableTextLeft"/>
            </w:pPr>
            <w:r>
              <w:rPr>
                <w:sz w:val="22"/>
                <w:szCs w:val="22"/>
              </w:rPr>
              <w:t>SRV</w:t>
            </w:r>
          </w:p>
        </w:tc>
      </w:tr>
      <w:tr w:rsidR="006C3DEB" w14:paraId="59C9293F" w14:textId="77777777" w:rsidTr="004641CC">
        <w:trPr>
          <w:trHeight w:val="397"/>
        </w:trPr>
        <w:tc>
          <w:tcPr>
            <w:tcW w:w="0" w:type="auto"/>
            <w:tcBorders>
              <w:right w:val="single" w:sz="4" w:space="0" w:color="auto"/>
            </w:tcBorders>
            <w:shd w:val="clear" w:color="auto" w:fill="EEEEEE" w:themeFill="background2"/>
          </w:tcPr>
          <w:p w14:paraId="65B000EA" w14:textId="77777777" w:rsidR="006C3DEB" w:rsidRDefault="006C3DEB" w:rsidP="005A7549">
            <w:pPr>
              <w:pStyle w:val="TableTextLeft"/>
            </w:pPr>
            <w:r>
              <w:t>7310</w:t>
            </w:r>
          </w:p>
        </w:tc>
        <w:tc>
          <w:tcPr>
            <w:tcW w:w="0" w:type="auto"/>
            <w:tcBorders>
              <w:left w:val="single" w:sz="4" w:space="0" w:color="auto"/>
            </w:tcBorders>
            <w:shd w:val="clear" w:color="auto" w:fill="auto"/>
          </w:tcPr>
          <w:p w14:paraId="2C1FF08B" w14:textId="77777777" w:rsidR="006C3DEB" w:rsidRDefault="006C3DEB" w:rsidP="005A7549">
            <w:pPr>
              <w:pStyle w:val="TableTextLeft"/>
            </w:pPr>
            <w:r>
              <w:t>Building Cleaning, Pest Control and Other Support Services</w:t>
            </w:r>
          </w:p>
        </w:tc>
        <w:tc>
          <w:tcPr>
            <w:tcW w:w="0" w:type="auto"/>
            <w:shd w:val="clear" w:color="auto" w:fill="auto"/>
          </w:tcPr>
          <w:p w14:paraId="605BCEAC" w14:textId="77777777" w:rsidR="006C3DEB" w:rsidRDefault="006C3DEB" w:rsidP="005A7549">
            <w:pPr>
              <w:pStyle w:val="TableTextLeft"/>
            </w:pPr>
            <w:r>
              <w:t>Services</w:t>
            </w:r>
          </w:p>
        </w:tc>
        <w:tc>
          <w:tcPr>
            <w:tcW w:w="0" w:type="auto"/>
            <w:shd w:val="clear" w:color="auto" w:fill="auto"/>
          </w:tcPr>
          <w:p w14:paraId="3D1495F2" w14:textId="77777777" w:rsidR="006C3DEB" w:rsidRDefault="006C3DEB" w:rsidP="005A7549">
            <w:pPr>
              <w:pStyle w:val="TableTextLeft"/>
            </w:pPr>
            <w:r>
              <w:rPr>
                <w:sz w:val="22"/>
                <w:szCs w:val="22"/>
              </w:rPr>
              <w:t>SRV</w:t>
            </w:r>
          </w:p>
        </w:tc>
      </w:tr>
      <w:tr w:rsidR="006C3DEB" w14:paraId="4449C788" w14:textId="77777777" w:rsidTr="004641CC">
        <w:trPr>
          <w:trHeight w:val="397"/>
        </w:trPr>
        <w:tc>
          <w:tcPr>
            <w:tcW w:w="0" w:type="auto"/>
            <w:tcBorders>
              <w:right w:val="single" w:sz="4" w:space="0" w:color="auto"/>
            </w:tcBorders>
            <w:shd w:val="clear" w:color="auto" w:fill="EEEEEE" w:themeFill="background2"/>
          </w:tcPr>
          <w:p w14:paraId="154048E8" w14:textId="77777777" w:rsidR="006C3DEB" w:rsidRDefault="006C3DEB" w:rsidP="005A7549">
            <w:pPr>
              <w:pStyle w:val="TableTextLeft"/>
            </w:pPr>
            <w:r>
              <w:t>7501</w:t>
            </w:r>
          </w:p>
        </w:tc>
        <w:tc>
          <w:tcPr>
            <w:tcW w:w="0" w:type="auto"/>
            <w:tcBorders>
              <w:left w:val="single" w:sz="4" w:space="0" w:color="auto"/>
            </w:tcBorders>
            <w:shd w:val="clear" w:color="auto" w:fill="auto"/>
          </w:tcPr>
          <w:p w14:paraId="5E3998CA" w14:textId="77777777" w:rsidR="006C3DEB" w:rsidRDefault="006C3DEB" w:rsidP="005A7549">
            <w:pPr>
              <w:pStyle w:val="TableTextLeft"/>
            </w:pPr>
            <w:r>
              <w:t>Public Administration and Regulatory Services</w:t>
            </w:r>
          </w:p>
        </w:tc>
        <w:tc>
          <w:tcPr>
            <w:tcW w:w="0" w:type="auto"/>
            <w:shd w:val="clear" w:color="auto" w:fill="auto"/>
          </w:tcPr>
          <w:p w14:paraId="62A7532D" w14:textId="77777777" w:rsidR="006C3DEB" w:rsidRDefault="006C3DEB" w:rsidP="005A7549">
            <w:pPr>
              <w:pStyle w:val="TableTextLeft"/>
            </w:pPr>
            <w:r>
              <w:t>Services</w:t>
            </w:r>
          </w:p>
        </w:tc>
        <w:tc>
          <w:tcPr>
            <w:tcW w:w="0" w:type="auto"/>
            <w:shd w:val="clear" w:color="auto" w:fill="auto"/>
          </w:tcPr>
          <w:p w14:paraId="482EBE5D" w14:textId="77777777" w:rsidR="006C3DEB" w:rsidRDefault="006C3DEB" w:rsidP="005A7549">
            <w:pPr>
              <w:pStyle w:val="TableTextLeft"/>
            </w:pPr>
            <w:r>
              <w:rPr>
                <w:sz w:val="22"/>
                <w:szCs w:val="22"/>
              </w:rPr>
              <w:t>SRV</w:t>
            </w:r>
          </w:p>
        </w:tc>
      </w:tr>
      <w:tr w:rsidR="006C3DEB" w14:paraId="7DC6723B" w14:textId="77777777" w:rsidTr="004641CC">
        <w:trPr>
          <w:trHeight w:val="397"/>
        </w:trPr>
        <w:tc>
          <w:tcPr>
            <w:tcW w:w="0" w:type="auto"/>
            <w:tcBorders>
              <w:right w:val="single" w:sz="4" w:space="0" w:color="auto"/>
            </w:tcBorders>
            <w:shd w:val="clear" w:color="auto" w:fill="EEEEEE" w:themeFill="background2"/>
          </w:tcPr>
          <w:p w14:paraId="5D788CC3" w14:textId="77777777" w:rsidR="006C3DEB" w:rsidRDefault="006C3DEB" w:rsidP="005A7549">
            <w:pPr>
              <w:pStyle w:val="TableTextLeft"/>
            </w:pPr>
            <w:r>
              <w:t>7601</w:t>
            </w:r>
          </w:p>
        </w:tc>
        <w:tc>
          <w:tcPr>
            <w:tcW w:w="0" w:type="auto"/>
            <w:tcBorders>
              <w:left w:val="single" w:sz="4" w:space="0" w:color="auto"/>
            </w:tcBorders>
            <w:shd w:val="clear" w:color="auto" w:fill="auto"/>
          </w:tcPr>
          <w:p w14:paraId="74BD054E" w14:textId="77777777" w:rsidR="006C3DEB" w:rsidRDefault="006C3DEB" w:rsidP="005A7549">
            <w:pPr>
              <w:pStyle w:val="TableTextLeft"/>
            </w:pPr>
            <w:r>
              <w:t>Defence</w:t>
            </w:r>
          </w:p>
        </w:tc>
        <w:tc>
          <w:tcPr>
            <w:tcW w:w="0" w:type="auto"/>
            <w:shd w:val="clear" w:color="auto" w:fill="auto"/>
          </w:tcPr>
          <w:p w14:paraId="128173D4" w14:textId="77777777" w:rsidR="006C3DEB" w:rsidRDefault="006C3DEB" w:rsidP="005A7549">
            <w:pPr>
              <w:pStyle w:val="TableTextLeft"/>
            </w:pPr>
            <w:r>
              <w:t>Services</w:t>
            </w:r>
          </w:p>
        </w:tc>
        <w:tc>
          <w:tcPr>
            <w:tcW w:w="0" w:type="auto"/>
            <w:shd w:val="clear" w:color="auto" w:fill="auto"/>
          </w:tcPr>
          <w:p w14:paraId="0B45547A" w14:textId="77777777" w:rsidR="006C3DEB" w:rsidRDefault="006C3DEB" w:rsidP="005A7549">
            <w:pPr>
              <w:pStyle w:val="TableTextLeft"/>
            </w:pPr>
            <w:r>
              <w:rPr>
                <w:sz w:val="22"/>
                <w:szCs w:val="22"/>
              </w:rPr>
              <w:t>SRV</w:t>
            </w:r>
          </w:p>
        </w:tc>
      </w:tr>
      <w:tr w:rsidR="006C3DEB" w14:paraId="0FA1229E" w14:textId="77777777" w:rsidTr="004641CC">
        <w:trPr>
          <w:trHeight w:val="397"/>
        </w:trPr>
        <w:tc>
          <w:tcPr>
            <w:tcW w:w="0" w:type="auto"/>
            <w:tcBorders>
              <w:right w:val="single" w:sz="4" w:space="0" w:color="auto"/>
            </w:tcBorders>
            <w:shd w:val="clear" w:color="auto" w:fill="EEEEEE" w:themeFill="background2"/>
          </w:tcPr>
          <w:p w14:paraId="41193E31" w14:textId="77777777" w:rsidR="006C3DEB" w:rsidRDefault="006C3DEB" w:rsidP="005A7549">
            <w:pPr>
              <w:pStyle w:val="TableTextLeft"/>
            </w:pPr>
            <w:r>
              <w:t>7701</w:t>
            </w:r>
          </w:p>
        </w:tc>
        <w:tc>
          <w:tcPr>
            <w:tcW w:w="0" w:type="auto"/>
            <w:tcBorders>
              <w:left w:val="single" w:sz="4" w:space="0" w:color="auto"/>
            </w:tcBorders>
            <w:shd w:val="clear" w:color="auto" w:fill="auto"/>
          </w:tcPr>
          <w:p w14:paraId="0073A1EA" w14:textId="77777777" w:rsidR="006C3DEB" w:rsidRDefault="006C3DEB" w:rsidP="005A7549">
            <w:pPr>
              <w:pStyle w:val="TableTextLeft"/>
            </w:pPr>
            <w:r>
              <w:t>Public Order and Safety</w:t>
            </w:r>
          </w:p>
        </w:tc>
        <w:tc>
          <w:tcPr>
            <w:tcW w:w="0" w:type="auto"/>
            <w:shd w:val="clear" w:color="auto" w:fill="auto"/>
          </w:tcPr>
          <w:p w14:paraId="6F1745C0" w14:textId="77777777" w:rsidR="006C3DEB" w:rsidRDefault="006C3DEB" w:rsidP="005A7549">
            <w:pPr>
              <w:pStyle w:val="TableTextLeft"/>
            </w:pPr>
            <w:r>
              <w:t>Services</w:t>
            </w:r>
          </w:p>
        </w:tc>
        <w:tc>
          <w:tcPr>
            <w:tcW w:w="0" w:type="auto"/>
            <w:shd w:val="clear" w:color="auto" w:fill="auto"/>
          </w:tcPr>
          <w:p w14:paraId="6ADBDC59" w14:textId="77777777" w:rsidR="006C3DEB" w:rsidRDefault="006C3DEB" w:rsidP="005A7549">
            <w:pPr>
              <w:pStyle w:val="TableTextLeft"/>
            </w:pPr>
            <w:r>
              <w:rPr>
                <w:sz w:val="22"/>
                <w:szCs w:val="22"/>
              </w:rPr>
              <w:t>SRV</w:t>
            </w:r>
          </w:p>
        </w:tc>
      </w:tr>
      <w:tr w:rsidR="006C3DEB" w14:paraId="51198AEF" w14:textId="77777777" w:rsidTr="004641CC">
        <w:trPr>
          <w:trHeight w:val="397"/>
        </w:trPr>
        <w:tc>
          <w:tcPr>
            <w:tcW w:w="0" w:type="auto"/>
            <w:tcBorders>
              <w:right w:val="single" w:sz="4" w:space="0" w:color="auto"/>
            </w:tcBorders>
            <w:shd w:val="clear" w:color="auto" w:fill="EEEEEE" w:themeFill="background2"/>
          </w:tcPr>
          <w:p w14:paraId="33B9CA9C" w14:textId="77777777" w:rsidR="006C3DEB" w:rsidRDefault="006C3DEB" w:rsidP="005A7549">
            <w:pPr>
              <w:pStyle w:val="TableTextLeft"/>
            </w:pPr>
            <w:r>
              <w:t>8010</w:t>
            </w:r>
          </w:p>
        </w:tc>
        <w:tc>
          <w:tcPr>
            <w:tcW w:w="0" w:type="auto"/>
            <w:tcBorders>
              <w:left w:val="single" w:sz="4" w:space="0" w:color="auto"/>
            </w:tcBorders>
            <w:shd w:val="clear" w:color="auto" w:fill="auto"/>
          </w:tcPr>
          <w:p w14:paraId="799E99E3" w14:textId="77777777" w:rsidR="006C3DEB" w:rsidRDefault="006C3DEB" w:rsidP="005A7549">
            <w:pPr>
              <w:pStyle w:val="TableTextLeft"/>
            </w:pPr>
            <w:r>
              <w:t>Primary and Secondary Education Services (incl Pre-Schools and Special Schools)</w:t>
            </w:r>
          </w:p>
        </w:tc>
        <w:tc>
          <w:tcPr>
            <w:tcW w:w="0" w:type="auto"/>
            <w:shd w:val="clear" w:color="auto" w:fill="auto"/>
          </w:tcPr>
          <w:p w14:paraId="548283CA" w14:textId="77777777" w:rsidR="006C3DEB" w:rsidRDefault="006C3DEB" w:rsidP="005A7549">
            <w:pPr>
              <w:pStyle w:val="TableTextLeft"/>
            </w:pPr>
            <w:r>
              <w:t>Services</w:t>
            </w:r>
          </w:p>
        </w:tc>
        <w:tc>
          <w:tcPr>
            <w:tcW w:w="0" w:type="auto"/>
            <w:shd w:val="clear" w:color="auto" w:fill="auto"/>
          </w:tcPr>
          <w:p w14:paraId="2E06ACA2" w14:textId="77777777" w:rsidR="006C3DEB" w:rsidRDefault="006C3DEB" w:rsidP="005A7549">
            <w:pPr>
              <w:pStyle w:val="TableTextLeft"/>
            </w:pPr>
            <w:r>
              <w:rPr>
                <w:sz w:val="22"/>
                <w:szCs w:val="22"/>
              </w:rPr>
              <w:t>SRV</w:t>
            </w:r>
          </w:p>
        </w:tc>
      </w:tr>
      <w:tr w:rsidR="006C3DEB" w14:paraId="2BC6100B" w14:textId="77777777" w:rsidTr="004641CC">
        <w:trPr>
          <w:trHeight w:val="397"/>
        </w:trPr>
        <w:tc>
          <w:tcPr>
            <w:tcW w:w="0" w:type="auto"/>
            <w:tcBorders>
              <w:right w:val="single" w:sz="4" w:space="0" w:color="auto"/>
            </w:tcBorders>
            <w:shd w:val="clear" w:color="auto" w:fill="EEEEEE" w:themeFill="background2"/>
          </w:tcPr>
          <w:p w14:paraId="5BF3C29F" w14:textId="77777777" w:rsidR="006C3DEB" w:rsidRDefault="006C3DEB" w:rsidP="005A7549">
            <w:pPr>
              <w:pStyle w:val="TableTextLeft"/>
            </w:pPr>
            <w:r>
              <w:t>8110</w:t>
            </w:r>
          </w:p>
        </w:tc>
        <w:tc>
          <w:tcPr>
            <w:tcW w:w="0" w:type="auto"/>
            <w:tcBorders>
              <w:left w:val="single" w:sz="4" w:space="0" w:color="auto"/>
            </w:tcBorders>
            <w:shd w:val="clear" w:color="auto" w:fill="auto"/>
          </w:tcPr>
          <w:p w14:paraId="317E38C3" w14:textId="77777777" w:rsidR="006C3DEB" w:rsidRDefault="006C3DEB" w:rsidP="005A7549">
            <w:pPr>
              <w:pStyle w:val="TableTextLeft"/>
            </w:pPr>
            <w:r>
              <w:t>Technical, Vocational and Tertiary Education Services (incl undergraduate and postgraduate)</w:t>
            </w:r>
          </w:p>
        </w:tc>
        <w:tc>
          <w:tcPr>
            <w:tcW w:w="0" w:type="auto"/>
            <w:shd w:val="clear" w:color="auto" w:fill="auto"/>
          </w:tcPr>
          <w:p w14:paraId="52545300" w14:textId="77777777" w:rsidR="006C3DEB" w:rsidRDefault="006C3DEB" w:rsidP="005A7549">
            <w:pPr>
              <w:pStyle w:val="TableTextLeft"/>
            </w:pPr>
            <w:r>
              <w:t>Services</w:t>
            </w:r>
          </w:p>
        </w:tc>
        <w:tc>
          <w:tcPr>
            <w:tcW w:w="0" w:type="auto"/>
            <w:shd w:val="clear" w:color="auto" w:fill="auto"/>
          </w:tcPr>
          <w:p w14:paraId="08010FC1" w14:textId="77777777" w:rsidR="006C3DEB" w:rsidRDefault="006C3DEB" w:rsidP="005A7549">
            <w:pPr>
              <w:pStyle w:val="TableTextLeft"/>
            </w:pPr>
            <w:r>
              <w:rPr>
                <w:sz w:val="22"/>
                <w:szCs w:val="22"/>
              </w:rPr>
              <w:t>SRV</w:t>
            </w:r>
          </w:p>
        </w:tc>
      </w:tr>
      <w:tr w:rsidR="006C3DEB" w14:paraId="356F2BFB" w14:textId="77777777" w:rsidTr="004641CC">
        <w:trPr>
          <w:trHeight w:val="397"/>
        </w:trPr>
        <w:tc>
          <w:tcPr>
            <w:tcW w:w="0" w:type="auto"/>
            <w:tcBorders>
              <w:right w:val="single" w:sz="4" w:space="0" w:color="auto"/>
            </w:tcBorders>
            <w:shd w:val="clear" w:color="auto" w:fill="EEEEEE" w:themeFill="background2"/>
          </w:tcPr>
          <w:p w14:paraId="686240EC" w14:textId="77777777" w:rsidR="006C3DEB" w:rsidRDefault="006C3DEB" w:rsidP="005A7549">
            <w:pPr>
              <w:pStyle w:val="TableTextLeft"/>
            </w:pPr>
            <w:r>
              <w:t>8210</w:t>
            </w:r>
          </w:p>
        </w:tc>
        <w:tc>
          <w:tcPr>
            <w:tcW w:w="0" w:type="auto"/>
            <w:tcBorders>
              <w:left w:val="single" w:sz="4" w:space="0" w:color="auto"/>
            </w:tcBorders>
            <w:shd w:val="clear" w:color="auto" w:fill="auto"/>
          </w:tcPr>
          <w:p w14:paraId="1C619027" w14:textId="77777777" w:rsidR="006C3DEB" w:rsidRDefault="006C3DEB" w:rsidP="005A7549">
            <w:pPr>
              <w:pStyle w:val="TableTextLeft"/>
            </w:pPr>
            <w:r>
              <w:t>Arts, Sports, Adult and Other Education Services (incl community education)</w:t>
            </w:r>
          </w:p>
        </w:tc>
        <w:tc>
          <w:tcPr>
            <w:tcW w:w="0" w:type="auto"/>
            <w:shd w:val="clear" w:color="auto" w:fill="auto"/>
          </w:tcPr>
          <w:p w14:paraId="65E3E9A7" w14:textId="77777777" w:rsidR="006C3DEB" w:rsidRDefault="006C3DEB" w:rsidP="005A7549">
            <w:pPr>
              <w:pStyle w:val="TableTextLeft"/>
            </w:pPr>
            <w:r>
              <w:t>Services</w:t>
            </w:r>
          </w:p>
        </w:tc>
        <w:tc>
          <w:tcPr>
            <w:tcW w:w="0" w:type="auto"/>
            <w:shd w:val="clear" w:color="auto" w:fill="auto"/>
          </w:tcPr>
          <w:p w14:paraId="7387A26D" w14:textId="77777777" w:rsidR="006C3DEB" w:rsidRDefault="006C3DEB" w:rsidP="005A7549">
            <w:pPr>
              <w:pStyle w:val="TableTextLeft"/>
            </w:pPr>
            <w:r>
              <w:rPr>
                <w:sz w:val="22"/>
                <w:szCs w:val="22"/>
              </w:rPr>
              <w:t>SRV</w:t>
            </w:r>
          </w:p>
        </w:tc>
      </w:tr>
      <w:tr w:rsidR="006C3DEB" w14:paraId="1A5C6D90" w14:textId="77777777" w:rsidTr="004641CC">
        <w:trPr>
          <w:trHeight w:val="397"/>
        </w:trPr>
        <w:tc>
          <w:tcPr>
            <w:tcW w:w="0" w:type="auto"/>
            <w:tcBorders>
              <w:right w:val="single" w:sz="4" w:space="0" w:color="auto"/>
            </w:tcBorders>
            <w:shd w:val="clear" w:color="auto" w:fill="EEEEEE" w:themeFill="background2"/>
          </w:tcPr>
          <w:p w14:paraId="04F703BE" w14:textId="77777777" w:rsidR="006C3DEB" w:rsidRDefault="006C3DEB" w:rsidP="005A7549">
            <w:pPr>
              <w:pStyle w:val="TableTextLeft"/>
            </w:pPr>
            <w:r>
              <w:t>8401</w:t>
            </w:r>
          </w:p>
        </w:tc>
        <w:tc>
          <w:tcPr>
            <w:tcW w:w="0" w:type="auto"/>
            <w:tcBorders>
              <w:left w:val="single" w:sz="4" w:space="0" w:color="auto"/>
            </w:tcBorders>
            <w:shd w:val="clear" w:color="auto" w:fill="auto"/>
          </w:tcPr>
          <w:p w14:paraId="13575569" w14:textId="77777777" w:rsidR="006C3DEB" w:rsidRDefault="006C3DEB" w:rsidP="005A7549">
            <w:pPr>
              <w:pStyle w:val="TableTextLeft"/>
            </w:pPr>
            <w:r>
              <w:t>Health Care Services</w:t>
            </w:r>
          </w:p>
        </w:tc>
        <w:tc>
          <w:tcPr>
            <w:tcW w:w="0" w:type="auto"/>
            <w:shd w:val="clear" w:color="auto" w:fill="auto"/>
          </w:tcPr>
          <w:p w14:paraId="18745844" w14:textId="77777777" w:rsidR="006C3DEB" w:rsidRDefault="006C3DEB" w:rsidP="005A7549">
            <w:pPr>
              <w:pStyle w:val="TableTextLeft"/>
            </w:pPr>
            <w:r>
              <w:t>Services</w:t>
            </w:r>
          </w:p>
        </w:tc>
        <w:tc>
          <w:tcPr>
            <w:tcW w:w="0" w:type="auto"/>
            <w:shd w:val="clear" w:color="auto" w:fill="auto"/>
          </w:tcPr>
          <w:p w14:paraId="426AE83E" w14:textId="77777777" w:rsidR="006C3DEB" w:rsidRDefault="006C3DEB" w:rsidP="005A7549">
            <w:pPr>
              <w:pStyle w:val="TableTextLeft"/>
            </w:pPr>
            <w:r>
              <w:rPr>
                <w:sz w:val="22"/>
                <w:szCs w:val="22"/>
              </w:rPr>
              <w:t>SRV</w:t>
            </w:r>
          </w:p>
        </w:tc>
      </w:tr>
      <w:tr w:rsidR="006C3DEB" w14:paraId="6F1AC1AD" w14:textId="77777777" w:rsidTr="004641CC">
        <w:trPr>
          <w:trHeight w:val="397"/>
        </w:trPr>
        <w:tc>
          <w:tcPr>
            <w:tcW w:w="0" w:type="auto"/>
            <w:tcBorders>
              <w:right w:val="single" w:sz="4" w:space="0" w:color="auto"/>
            </w:tcBorders>
            <w:shd w:val="clear" w:color="auto" w:fill="EEEEEE" w:themeFill="background2"/>
          </w:tcPr>
          <w:p w14:paraId="66E3FB63" w14:textId="77777777" w:rsidR="006C3DEB" w:rsidRDefault="006C3DEB" w:rsidP="005A7549">
            <w:pPr>
              <w:pStyle w:val="TableTextLeft"/>
            </w:pPr>
            <w:r>
              <w:t>8601</w:t>
            </w:r>
          </w:p>
        </w:tc>
        <w:tc>
          <w:tcPr>
            <w:tcW w:w="0" w:type="auto"/>
            <w:tcBorders>
              <w:left w:val="single" w:sz="4" w:space="0" w:color="auto"/>
            </w:tcBorders>
            <w:shd w:val="clear" w:color="auto" w:fill="auto"/>
          </w:tcPr>
          <w:p w14:paraId="532FE925" w14:textId="77777777" w:rsidR="006C3DEB" w:rsidRDefault="006C3DEB" w:rsidP="005A7549">
            <w:pPr>
              <w:pStyle w:val="TableTextLeft"/>
            </w:pPr>
            <w:r>
              <w:t>Residential Care and Social Assistance Services</w:t>
            </w:r>
          </w:p>
        </w:tc>
        <w:tc>
          <w:tcPr>
            <w:tcW w:w="0" w:type="auto"/>
            <w:shd w:val="clear" w:color="auto" w:fill="auto"/>
          </w:tcPr>
          <w:p w14:paraId="701004A8" w14:textId="77777777" w:rsidR="006C3DEB" w:rsidRDefault="006C3DEB" w:rsidP="005A7549">
            <w:pPr>
              <w:pStyle w:val="TableTextLeft"/>
            </w:pPr>
            <w:r>
              <w:t>Services</w:t>
            </w:r>
          </w:p>
        </w:tc>
        <w:tc>
          <w:tcPr>
            <w:tcW w:w="0" w:type="auto"/>
            <w:shd w:val="clear" w:color="auto" w:fill="auto"/>
          </w:tcPr>
          <w:p w14:paraId="318FA787" w14:textId="77777777" w:rsidR="006C3DEB" w:rsidRDefault="006C3DEB" w:rsidP="005A7549">
            <w:pPr>
              <w:pStyle w:val="TableTextLeft"/>
            </w:pPr>
            <w:r>
              <w:rPr>
                <w:sz w:val="22"/>
                <w:szCs w:val="22"/>
              </w:rPr>
              <w:t>SRV</w:t>
            </w:r>
          </w:p>
        </w:tc>
      </w:tr>
      <w:tr w:rsidR="006C3DEB" w14:paraId="6A1AE16E" w14:textId="77777777" w:rsidTr="004641CC">
        <w:trPr>
          <w:trHeight w:val="397"/>
        </w:trPr>
        <w:tc>
          <w:tcPr>
            <w:tcW w:w="0" w:type="auto"/>
            <w:tcBorders>
              <w:right w:val="single" w:sz="4" w:space="0" w:color="auto"/>
            </w:tcBorders>
            <w:shd w:val="clear" w:color="auto" w:fill="EEEEEE" w:themeFill="background2"/>
          </w:tcPr>
          <w:p w14:paraId="70850FAB" w14:textId="77777777" w:rsidR="006C3DEB" w:rsidRDefault="006C3DEB" w:rsidP="005A7549">
            <w:pPr>
              <w:pStyle w:val="TableTextLeft"/>
            </w:pPr>
            <w:r>
              <w:t>8901</w:t>
            </w:r>
          </w:p>
        </w:tc>
        <w:tc>
          <w:tcPr>
            <w:tcW w:w="0" w:type="auto"/>
            <w:tcBorders>
              <w:left w:val="single" w:sz="4" w:space="0" w:color="auto"/>
            </w:tcBorders>
            <w:shd w:val="clear" w:color="auto" w:fill="auto"/>
          </w:tcPr>
          <w:p w14:paraId="3BB6FCD8" w14:textId="77777777" w:rsidR="006C3DEB" w:rsidRDefault="006C3DEB" w:rsidP="005A7549">
            <w:pPr>
              <w:pStyle w:val="TableTextLeft"/>
            </w:pPr>
            <w:r>
              <w:t>Heritage, Creative and Performing Arts</w:t>
            </w:r>
          </w:p>
        </w:tc>
        <w:tc>
          <w:tcPr>
            <w:tcW w:w="0" w:type="auto"/>
            <w:shd w:val="clear" w:color="auto" w:fill="auto"/>
          </w:tcPr>
          <w:p w14:paraId="760ECFB2" w14:textId="77777777" w:rsidR="006C3DEB" w:rsidRDefault="006C3DEB" w:rsidP="005A7549">
            <w:pPr>
              <w:pStyle w:val="TableTextLeft"/>
            </w:pPr>
            <w:r>
              <w:t>Services</w:t>
            </w:r>
          </w:p>
        </w:tc>
        <w:tc>
          <w:tcPr>
            <w:tcW w:w="0" w:type="auto"/>
            <w:shd w:val="clear" w:color="auto" w:fill="auto"/>
          </w:tcPr>
          <w:p w14:paraId="3142C8B7" w14:textId="77777777" w:rsidR="006C3DEB" w:rsidRDefault="006C3DEB" w:rsidP="005A7549">
            <w:pPr>
              <w:pStyle w:val="TableTextLeft"/>
            </w:pPr>
            <w:r>
              <w:rPr>
                <w:sz w:val="22"/>
                <w:szCs w:val="22"/>
              </w:rPr>
              <w:t>SRV</w:t>
            </w:r>
          </w:p>
        </w:tc>
      </w:tr>
      <w:tr w:rsidR="006C3DEB" w14:paraId="0855DB04" w14:textId="77777777" w:rsidTr="004641CC">
        <w:trPr>
          <w:trHeight w:val="397"/>
        </w:trPr>
        <w:tc>
          <w:tcPr>
            <w:tcW w:w="0" w:type="auto"/>
            <w:tcBorders>
              <w:right w:val="single" w:sz="4" w:space="0" w:color="auto"/>
            </w:tcBorders>
            <w:shd w:val="clear" w:color="auto" w:fill="EEEEEE" w:themeFill="background2"/>
          </w:tcPr>
          <w:p w14:paraId="244727B5" w14:textId="77777777" w:rsidR="006C3DEB" w:rsidRDefault="006C3DEB" w:rsidP="005A7549">
            <w:pPr>
              <w:pStyle w:val="TableTextLeft"/>
            </w:pPr>
            <w:r>
              <w:t>9101</w:t>
            </w:r>
          </w:p>
        </w:tc>
        <w:tc>
          <w:tcPr>
            <w:tcW w:w="0" w:type="auto"/>
            <w:tcBorders>
              <w:left w:val="single" w:sz="4" w:space="0" w:color="auto"/>
            </w:tcBorders>
            <w:shd w:val="clear" w:color="auto" w:fill="auto"/>
          </w:tcPr>
          <w:p w14:paraId="58CB1010" w14:textId="77777777" w:rsidR="006C3DEB" w:rsidRDefault="006C3DEB" w:rsidP="005A7549">
            <w:pPr>
              <w:pStyle w:val="TableTextLeft"/>
            </w:pPr>
            <w:r>
              <w:t>Sports and Recreation</w:t>
            </w:r>
          </w:p>
        </w:tc>
        <w:tc>
          <w:tcPr>
            <w:tcW w:w="0" w:type="auto"/>
            <w:shd w:val="clear" w:color="auto" w:fill="auto"/>
          </w:tcPr>
          <w:p w14:paraId="01341054" w14:textId="77777777" w:rsidR="006C3DEB" w:rsidRDefault="006C3DEB" w:rsidP="005A7549">
            <w:pPr>
              <w:pStyle w:val="TableTextLeft"/>
            </w:pPr>
            <w:r>
              <w:t>Services</w:t>
            </w:r>
          </w:p>
        </w:tc>
        <w:tc>
          <w:tcPr>
            <w:tcW w:w="0" w:type="auto"/>
            <w:shd w:val="clear" w:color="auto" w:fill="auto"/>
          </w:tcPr>
          <w:p w14:paraId="45632A2D" w14:textId="77777777" w:rsidR="006C3DEB" w:rsidRDefault="006C3DEB" w:rsidP="005A7549">
            <w:pPr>
              <w:pStyle w:val="TableTextLeft"/>
            </w:pPr>
            <w:r>
              <w:rPr>
                <w:sz w:val="22"/>
                <w:szCs w:val="22"/>
              </w:rPr>
              <w:t>SRV</w:t>
            </w:r>
          </w:p>
        </w:tc>
      </w:tr>
      <w:tr w:rsidR="006C3DEB" w14:paraId="3037CADF" w14:textId="77777777" w:rsidTr="004641CC">
        <w:trPr>
          <w:trHeight w:val="397"/>
        </w:trPr>
        <w:tc>
          <w:tcPr>
            <w:tcW w:w="0" w:type="auto"/>
            <w:tcBorders>
              <w:right w:val="single" w:sz="4" w:space="0" w:color="auto"/>
            </w:tcBorders>
            <w:shd w:val="clear" w:color="auto" w:fill="EEEEEE" w:themeFill="background2"/>
          </w:tcPr>
          <w:p w14:paraId="60BFDF26" w14:textId="77777777" w:rsidR="006C3DEB" w:rsidRDefault="006C3DEB" w:rsidP="005A7549">
            <w:pPr>
              <w:pStyle w:val="TableTextLeft"/>
            </w:pPr>
            <w:r>
              <w:t>9201</w:t>
            </w:r>
          </w:p>
        </w:tc>
        <w:tc>
          <w:tcPr>
            <w:tcW w:w="0" w:type="auto"/>
            <w:tcBorders>
              <w:left w:val="single" w:sz="4" w:space="0" w:color="auto"/>
            </w:tcBorders>
            <w:shd w:val="clear" w:color="auto" w:fill="auto"/>
          </w:tcPr>
          <w:p w14:paraId="3BE0A593" w14:textId="77777777" w:rsidR="006C3DEB" w:rsidRDefault="006C3DEB" w:rsidP="005A7549">
            <w:pPr>
              <w:pStyle w:val="TableTextLeft"/>
            </w:pPr>
            <w:r>
              <w:t>Gambling</w:t>
            </w:r>
          </w:p>
        </w:tc>
        <w:tc>
          <w:tcPr>
            <w:tcW w:w="0" w:type="auto"/>
            <w:shd w:val="clear" w:color="auto" w:fill="auto"/>
          </w:tcPr>
          <w:p w14:paraId="343CBA0A" w14:textId="77777777" w:rsidR="006C3DEB" w:rsidRDefault="006C3DEB" w:rsidP="005A7549">
            <w:pPr>
              <w:pStyle w:val="TableTextLeft"/>
            </w:pPr>
            <w:r>
              <w:t>Services</w:t>
            </w:r>
          </w:p>
        </w:tc>
        <w:tc>
          <w:tcPr>
            <w:tcW w:w="0" w:type="auto"/>
            <w:shd w:val="clear" w:color="auto" w:fill="auto"/>
          </w:tcPr>
          <w:p w14:paraId="18B9EFF8" w14:textId="77777777" w:rsidR="006C3DEB" w:rsidRDefault="006C3DEB" w:rsidP="005A7549">
            <w:pPr>
              <w:pStyle w:val="TableTextLeft"/>
            </w:pPr>
            <w:r>
              <w:rPr>
                <w:sz w:val="22"/>
                <w:szCs w:val="22"/>
              </w:rPr>
              <w:t>SRV</w:t>
            </w:r>
          </w:p>
        </w:tc>
      </w:tr>
      <w:tr w:rsidR="006C3DEB" w14:paraId="40076054" w14:textId="77777777" w:rsidTr="004641CC">
        <w:trPr>
          <w:trHeight w:val="397"/>
        </w:trPr>
        <w:tc>
          <w:tcPr>
            <w:tcW w:w="0" w:type="auto"/>
            <w:tcBorders>
              <w:right w:val="single" w:sz="4" w:space="0" w:color="auto"/>
            </w:tcBorders>
            <w:shd w:val="clear" w:color="auto" w:fill="EEEEEE" w:themeFill="background2"/>
          </w:tcPr>
          <w:p w14:paraId="676E9551" w14:textId="77777777" w:rsidR="006C3DEB" w:rsidRDefault="006C3DEB" w:rsidP="005A7549">
            <w:pPr>
              <w:pStyle w:val="TableTextLeft"/>
            </w:pPr>
            <w:r>
              <w:t>9401</w:t>
            </w:r>
          </w:p>
        </w:tc>
        <w:tc>
          <w:tcPr>
            <w:tcW w:w="0" w:type="auto"/>
            <w:tcBorders>
              <w:left w:val="single" w:sz="4" w:space="0" w:color="auto"/>
            </w:tcBorders>
            <w:shd w:val="clear" w:color="auto" w:fill="auto"/>
          </w:tcPr>
          <w:p w14:paraId="18632922" w14:textId="77777777" w:rsidR="006C3DEB" w:rsidRDefault="006C3DEB" w:rsidP="005A7549">
            <w:pPr>
              <w:pStyle w:val="TableTextLeft"/>
            </w:pPr>
            <w:r>
              <w:t>Automotive Repair and Maintenance</w:t>
            </w:r>
          </w:p>
        </w:tc>
        <w:tc>
          <w:tcPr>
            <w:tcW w:w="0" w:type="auto"/>
            <w:shd w:val="clear" w:color="auto" w:fill="auto"/>
          </w:tcPr>
          <w:p w14:paraId="2F2DB5A0" w14:textId="77777777" w:rsidR="006C3DEB" w:rsidRDefault="006C3DEB" w:rsidP="005A7549">
            <w:pPr>
              <w:pStyle w:val="TableTextLeft"/>
            </w:pPr>
            <w:r>
              <w:t>Services</w:t>
            </w:r>
          </w:p>
        </w:tc>
        <w:tc>
          <w:tcPr>
            <w:tcW w:w="0" w:type="auto"/>
            <w:shd w:val="clear" w:color="auto" w:fill="auto"/>
          </w:tcPr>
          <w:p w14:paraId="079D7E6A" w14:textId="77777777" w:rsidR="006C3DEB" w:rsidRDefault="006C3DEB" w:rsidP="005A7549">
            <w:pPr>
              <w:pStyle w:val="TableTextLeft"/>
            </w:pPr>
            <w:r>
              <w:rPr>
                <w:sz w:val="22"/>
                <w:szCs w:val="22"/>
              </w:rPr>
              <w:t>SRV</w:t>
            </w:r>
          </w:p>
        </w:tc>
      </w:tr>
      <w:tr w:rsidR="006C3DEB" w14:paraId="6272BFC4" w14:textId="77777777" w:rsidTr="004641CC">
        <w:trPr>
          <w:trHeight w:val="397"/>
        </w:trPr>
        <w:tc>
          <w:tcPr>
            <w:tcW w:w="0" w:type="auto"/>
            <w:tcBorders>
              <w:right w:val="single" w:sz="4" w:space="0" w:color="auto"/>
            </w:tcBorders>
            <w:shd w:val="clear" w:color="auto" w:fill="EEEEEE" w:themeFill="background2"/>
          </w:tcPr>
          <w:p w14:paraId="76075CB7" w14:textId="77777777" w:rsidR="006C3DEB" w:rsidRDefault="006C3DEB" w:rsidP="005A7549">
            <w:pPr>
              <w:pStyle w:val="TableTextLeft"/>
            </w:pPr>
            <w:r>
              <w:t>9402</w:t>
            </w:r>
          </w:p>
        </w:tc>
        <w:tc>
          <w:tcPr>
            <w:tcW w:w="0" w:type="auto"/>
            <w:tcBorders>
              <w:left w:val="single" w:sz="4" w:space="0" w:color="auto"/>
            </w:tcBorders>
            <w:shd w:val="clear" w:color="auto" w:fill="auto"/>
          </w:tcPr>
          <w:p w14:paraId="137CCF65" w14:textId="77777777" w:rsidR="006C3DEB" w:rsidRDefault="006C3DEB" w:rsidP="005A7549">
            <w:pPr>
              <w:pStyle w:val="TableTextLeft"/>
            </w:pPr>
            <w:r>
              <w:t>Other Repair and Maintenance</w:t>
            </w:r>
          </w:p>
        </w:tc>
        <w:tc>
          <w:tcPr>
            <w:tcW w:w="0" w:type="auto"/>
            <w:shd w:val="clear" w:color="auto" w:fill="auto"/>
          </w:tcPr>
          <w:p w14:paraId="362D135C" w14:textId="77777777" w:rsidR="006C3DEB" w:rsidRDefault="006C3DEB" w:rsidP="005A7549">
            <w:pPr>
              <w:pStyle w:val="TableTextLeft"/>
            </w:pPr>
            <w:r>
              <w:t>Services</w:t>
            </w:r>
          </w:p>
        </w:tc>
        <w:tc>
          <w:tcPr>
            <w:tcW w:w="0" w:type="auto"/>
            <w:shd w:val="clear" w:color="auto" w:fill="auto"/>
          </w:tcPr>
          <w:p w14:paraId="7A4C76B4" w14:textId="77777777" w:rsidR="006C3DEB" w:rsidRDefault="006C3DEB" w:rsidP="005A7549">
            <w:pPr>
              <w:pStyle w:val="TableTextLeft"/>
            </w:pPr>
            <w:r>
              <w:rPr>
                <w:sz w:val="22"/>
                <w:szCs w:val="22"/>
              </w:rPr>
              <w:t>SRV</w:t>
            </w:r>
          </w:p>
        </w:tc>
      </w:tr>
      <w:tr w:rsidR="006C3DEB" w14:paraId="10EAE7D9" w14:textId="77777777" w:rsidTr="004641CC">
        <w:trPr>
          <w:trHeight w:val="397"/>
        </w:trPr>
        <w:tc>
          <w:tcPr>
            <w:tcW w:w="0" w:type="auto"/>
            <w:tcBorders>
              <w:right w:val="single" w:sz="4" w:space="0" w:color="auto"/>
            </w:tcBorders>
            <w:shd w:val="clear" w:color="auto" w:fill="EEEEEE" w:themeFill="background2"/>
          </w:tcPr>
          <w:p w14:paraId="67339D17" w14:textId="77777777" w:rsidR="006C3DEB" w:rsidRDefault="006C3DEB" w:rsidP="005A7549">
            <w:pPr>
              <w:pStyle w:val="TableTextLeft"/>
            </w:pPr>
            <w:r>
              <w:t>9501</w:t>
            </w:r>
          </w:p>
        </w:tc>
        <w:tc>
          <w:tcPr>
            <w:tcW w:w="0" w:type="auto"/>
            <w:tcBorders>
              <w:left w:val="single" w:sz="4" w:space="0" w:color="auto"/>
            </w:tcBorders>
            <w:shd w:val="clear" w:color="auto" w:fill="auto"/>
          </w:tcPr>
          <w:p w14:paraId="421E61DC" w14:textId="77777777" w:rsidR="006C3DEB" w:rsidRDefault="006C3DEB" w:rsidP="005A7549">
            <w:pPr>
              <w:pStyle w:val="TableTextLeft"/>
            </w:pPr>
            <w:r>
              <w:t>Personal Services</w:t>
            </w:r>
          </w:p>
        </w:tc>
        <w:tc>
          <w:tcPr>
            <w:tcW w:w="0" w:type="auto"/>
            <w:shd w:val="clear" w:color="auto" w:fill="auto"/>
          </w:tcPr>
          <w:p w14:paraId="229CFAFB" w14:textId="77777777" w:rsidR="006C3DEB" w:rsidRDefault="006C3DEB" w:rsidP="005A7549">
            <w:pPr>
              <w:pStyle w:val="TableTextLeft"/>
            </w:pPr>
            <w:r>
              <w:t>Services</w:t>
            </w:r>
          </w:p>
        </w:tc>
        <w:tc>
          <w:tcPr>
            <w:tcW w:w="0" w:type="auto"/>
            <w:shd w:val="clear" w:color="auto" w:fill="auto"/>
          </w:tcPr>
          <w:p w14:paraId="7B5542A7" w14:textId="77777777" w:rsidR="006C3DEB" w:rsidRDefault="006C3DEB" w:rsidP="005A7549">
            <w:pPr>
              <w:pStyle w:val="TableTextLeft"/>
            </w:pPr>
            <w:r>
              <w:rPr>
                <w:sz w:val="22"/>
                <w:szCs w:val="22"/>
              </w:rPr>
              <w:t>SRV</w:t>
            </w:r>
          </w:p>
        </w:tc>
      </w:tr>
      <w:tr w:rsidR="006C3DEB" w14:paraId="63571412" w14:textId="77777777" w:rsidTr="004641CC">
        <w:trPr>
          <w:trHeight w:val="397"/>
        </w:trPr>
        <w:tc>
          <w:tcPr>
            <w:tcW w:w="0" w:type="auto"/>
            <w:tcBorders>
              <w:bottom w:val="single" w:sz="4" w:space="0" w:color="auto"/>
              <w:right w:val="single" w:sz="4" w:space="0" w:color="auto"/>
            </w:tcBorders>
            <w:shd w:val="clear" w:color="auto" w:fill="EEEEEE" w:themeFill="background2"/>
          </w:tcPr>
          <w:p w14:paraId="1ECD27F5" w14:textId="77777777" w:rsidR="006C3DEB" w:rsidRDefault="006C3DEB" w:rsidP="005A7549">
            <w:pPr>
              <w:pStyle w:val="TableTextLeft"/>
            </w:pPr>
            <w:r>
              <w:t>9502</w:t>
            </w:r>
          </w:p>
        </w:tc>
        <w:tc>
          <w:tcPr>
            <w:tcW w:w="0" w:type="auto"/>
            <w:tcBorders>
              <w:left w:val="single" w:sz="4" w:space="0" w:color="auto"/>
              <w:bottom w:val="single" w:sz="4" w:space="0" w:color="auto"/>
            </w:tcBorders>
            <w:shd w:val="clear" w:color="auto" w:fill="auto"/>
          </w:tcPr>
          <w:p w14:paraId="3F82975A" w14:textId="77777777" w:rsidR="006C3DEB" w:rsidRDefault="006C3DEB" w:rsidP="005A7549">
            <w:pPr>
              <w:pStyle w:val="TableTextLeft"/>
            </w:pPr>
            <w:r>
              <w:t>Other Services</w:t>
            </w:r>
          </w:p>
        </w:tc>
        <w:tc>
          <w:tcPr>
            <w:tcW w:w="0" w:type="auto"/>
            <w:tcBorders>
              <w:bottom w:val="single" w:sz="4" w:space="0" w:color="auto"/>
            </w:tcBorders>
            <w:shd w:val="clear" w:color="auto" w:fill="auto"/>
          </w:tcPr>
          <w:p w14:paraId="0FF53E20" w14:textId="77777777" w:rsidR="006C3DEB" w:rsidRDefault="006C3DEB" w:rsidP="005A7549">
            <w:pPr>
              <w:pStyle w:val="TableTextLeft"/>
            </w:pPr>
            <w:r>
              <w:t>Services</w:t>
            </w:r>
          </w:p>
        </w:tc>
        <w:tc>
          <w:tcPr>
            <w:tcW w:w="0" w:type="auto"/>
            <w:tcBorders>
              <w:bottom w:val="single" w:sz="4" w:space="0" w:color="auto"/>
            </w:tcBorders>
            <w:shd w:val="clear" w:color="auto" w:fill="auto"/>
          </w:tcPr>
          <w:p w14:paraId="4E5D10B7" w14:textId="77777777" w:rsidR="006C3DEB" w:rsidRDefault="006C3DEB" w:rsidP="005A7549">
            <w:pPr>
              <w:pStyle w:val="TableTextLeft"/>
            </w:pPr>
            <w:r>
              <w:rPr>
                <w:sz w:val="22"/>
                <w:szCs w:val="22"/>
              </w:rPr>
              <w:t>SRV</w:t>
            </w:r>
          </w:p>
        </w:tc>
      </w:tr>
    </w:tbl>
    <w:p w14:paraId="1EA9DD58" w14:textId="77777777" w:rsidR="006C3DEB" w:rsidRDefault="006C3DEB" w:rsidP="006C3DEB"/>
    <w:p w14:paraId="759D3489" w14:textId="77777777" w:rsidR="006C3DEB" w:rsidRDefault="006C3DEB" w:rsidP="006C3DEB"/>
    <w:p w14:paraId="2AF5551F" w14:textId="77777777" w:rsidR="006C3DEB" w:rsidRDefault="006C3DEB" w:rsidP="006C3DEB"/>
    <w:p w14:paraId="20CF48BA" w14:textId="77777777" w:rsidR="006C3DEB" w:rsidRDefault="006C3DEB" w:rsidP="006C3DEB"/>
    <w:p w14:paraId="4B25BF77" w14:textId="77777777" w:rsidR="006C3DEB" w:rsidRPr="008627B1" w:rsidRDefault="006C3DEB" w:rsidP="006C3DEB"/>
    <w:p w14:paraId="3EC5FC15" w14:textId="77777777" w:rsidR="00CF4181" w:rsidRPr="008627B1" w:rsidRDefault="00CF4181" w:rsidP="008627B1"/>
    <w:sectPr w:rsidR="00CF4181" w:rsidRPr="008627B1" w:rsidSect="00B7535E">
      <w:pgSz w:w="11906" w:h="16838" w:code="9"/>
      <w:pgMar w:top="1843" w:right="1418" w:bottom="1418"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9F229" w14:textId="77777777" w:rsidR="00F930E3" w:rsidRDefault="00F930E3" w:rsidP="005F100C">
      <w:pPr>
        <w:spacing w:after="0"/>
      </w:pPr>
      <w:r>
        <w:separator/>
      </w:r>
    </w:p>
  </w:endnote>
  <w:endnote w:type="continuationSeparator" w:id="0">
    <w:p w14:paraId="15332E62" w14:textId="77777777" w:rsidR="00F930E3" w:rsidRDefault="00F930E3" w:rsidP="005F100C">
      <w:pPr>
        <w:spacing w:after="0"/>
      </w:pPr>
      <w:r>
        <w:continuationSeparator/>
      </w:r>
    </w:p>
  </w:endnote>
  <w:endnote w:type="continuationNotice" w:id="1">
    <w:p w14:paraId="45278272" w14:textId="77777777" w:rsidR="00F930E3" w:rsidRDefault="00F930E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wiss 721 B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BBE8" w14:textId="77777777" w:rsidR="00F012EA" w:rsidRDefault="00365C6D"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2</w:t>
    </w:r>
    <w:r w:rsidRPr="00365C6D">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1F8" w14:textId="07589600" w:rsidR="00365C6D" w:rsidRPr="00B7535E" w:rsidRDefault="00B7535E" w:rsidP="00B7535E">
    <w:pPr>
      <w:pStyle w:val="FooterEven"/>
      <w:jc w:val="right"/>
      <w:rPr>
        <w:rStyle w:val="PageNumber"/>
        <w:rFonts w:ascii="Calibri Light" w:hAnsi="Calibri Light"/>
        <w:color w:val="2C384A" w:themeColor="accent1"/>
        <w:sz w:val="20"/>
      </w:rPr>
    </w:pPr>
    <w:r w:rsidRPr="00742366">
      <w:drawing>
        <wp:anchor distT="0" distB="0" distL="114300" distR="114300" simplePos="0" relativeHeight="251658242" behindDoc="1" locked="1" layoutInCell="1" allowOverlap="1" wp14:anchorId="502BF5FA" wp14:editId="41884974">
          <wp:simplePos x="0" y="0"/>
          <wp:positionH relativeFrom="margin">
            <wp:posOffset>5459095</wp:posOffset>
          </wp:positionH>
          <wp:positionV relativeFrom="page">
            <wp:posOffset>3280410</wp:posOffset>
          </wp:positionV>
          <wp:extent cx="7574280" cy="1043940"/>
          <wp:effectExtent l="762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1" behindDoc="1" locked="0" layoutInCell="1" allowOverlap="0" wp14:anchorId="2476D031" wp14:editId="7D1DB499">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48" name="Picture 4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009B2CE5">
      <w:fldChar w:fldCharType="begin"/>
    </w:r>
    <w:r w:rsidR="009B2CE5">
      <w:instrText xml:space="preserve"> STYLEREF  "Heading 1"  \* MERGEFORMAT </w:instrText>
    </w:r>
    <w:r w:rsidR="009B2CE5">
      <w:fldChar w:fldCharType="separate"/>
    </w:r>
    <w:r w:rsidR="009B2CE5">
      <w:t>The model</w:t>
    </w:r>
    <w:r w:rsidR="009B2CE5">
      <w:fldChar w:fldCharType="end"/>
    </w:r>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297F" w14:textId="3B12CF69" w:rsidR="006C3DEB" w:rsidRPr="00B7535E" w:rsidRDefault="006C3DEB" w:rsidP="00B7535E">
    <w:pPr>
      <w:pStyle w:val="FooterEven"/>
      <w:jc w:val="right"/>
      <w:rPr>
        <w:rStyle w:val="PageNumber"/>
        <w:rFonts w:ascii="Calibri Light" w:hAnsi="Calibri Light"/>
        <w:color w:val="2C384A" w:themeColor="accent1"/>
        <w:sz w:val="20"/>
      </w:rPr>
    </w:pPr>
    <w:r w:rsidRPr="00742366">
      <w:drawing>
        <wp:anchor distT="0" distB="0" distL="114300" distR="114300" simplePos="0" relativeHeight="251658244" behindDoc="1" locked="1" layoutInCell="1" allowOverlap="1" wp14:anchorId="6F1C7C76" wp14:editId="32DFA08C">
          <wp:simplePos x="0" y="0"/>
          <wp:positionH relativeFrom="margin">
            <wp:posOffset>5459095</wp:posOffset>
          </wp:positionH>
          <wp:positionV relativeFrom="page">
            <wp:posOffset>3280410</wp:posOffset>
          </wp:positionV>
          <wp:extent cx="7574280" cy="1043940"/>
          <wp:effectExtent l="762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3" behindDoc="1" locked="0" layoutInCell="1" allowOverlap="0" wp14:anchorId="481EE111" wp14:editId="63AD2A95">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51" name="Picture 5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009B2CE5">
      <w:fldChar w:fldCharType="begin"/>
    </w:r>
    <w:r w:rsidR="009B2CE5">
      <w:instrText>STYLEREF  "Heading 1"  \* MERGEFORMAT</w:instrText>
    </w:r>
    <w:r w:rsidR="009B2CE5">
      <w:fldChar w:fldCharType="separate"/>
    </w:r>
    <w:r w:rsidR="009B2CE5">
      <w:t>Introduction</w:t>
    </w:r>
    <w:r w:rsidR="009B2CE5">
      <w:fldChar w:fldCharType="end"/>
    </w:r>
    <w:r>
      <w:t xml:space="preserve"> | </w:t>
    </w:r>
    <w:r>
      <w:rPr>
        <w:noProof w:val="0"/>
      </w:rPr>
      <w:fldChar w:fldCharType="begin"/>
    </w:r>
    <w:r>
      <w:instrText xml:space="preserve"> PAGE   \* MERGEFORMAT </w:instrText>
    </w:r>
    <w:r>
      <w:rPr>
        <w:noProof w:val="0"/>
      </w:rP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E36DB" w14:textId="77777777" w:rsidR="00F930E3" w:rsidRDefault="00F930E3" w:rsidP="005F100C">
      <w:pPr>
        <w:spacing w:after="0"/>
      </w:pPr>
      <w:r>
        <w:separator/>
      </w:r>
    </w:p>
  </w:footnote>
  <w:footnote w:type="continuationSeparator" w:id="0">
    <w:p w14:paraId="6BBAFDFD" w14:textId="77777777" w:rsidR="00F930E3" w:rsidRDefault="00F930E3" w:rsidP="005F100C">
      <w:pPr>
        <w:spacing w:after="0"/>
      </w:pPr>
      <w:r>
        <w:continuationSeparator/>
      </w:r>
    </w:p>
  </w:footnote>
  <w:footnote w:type="continuationNotice" w:id="1">
    <w:p w14:paraId="6BDE0B38" w14:textId="77777777" w:rsidR="00F930E3" w:rsidRDefault="00F930E3">
      <w:pPr>
        <w:spacing w:before="0" w:after="0"/>
      </w:pPr>
    </w:p>
  </w:footnote>
  <w:footnote w:id="2">
    <w:p w14:paraId="393877CB" w14:textId="77777777" w:rsidR="00F012EA" w:rsidRDefault="00F012EA" w:rsidP="00F012EA">
      <w:pPr>
        <w:pStyle w:val="FootnoteText"/>
      </w:pPr>
      <w:r w:rsidRPr="000464B6">
        <w:rPr>
          <w:rStyle w:val="FootnoteReference"/>
        </w:rPr>
        <w:footnoteRef/>
      </w:r>
      <w:r w:rsidRPr="000464B6">
        <w:t xml:space="preserve"> </w:t>
      </w:r>
      <w:r>
        <w:tab/>
        <w:t>The views expressed in this paper are those of the authors and do not necessarily reflect those of The Australian Treasury or the Australian Government.</w:t>
      </w:r>
    </w:p>
    <w:p w14:paraId="46587AE4" w14:textId="77777777" w:rsidR="000464B6" w:rsidRDefault="000464B6" w:rsidP="00F012EA">
      <w:pPr>
        <w:pStyle w:val="FootnoteText"/>
      </w:pPr>
    </w:p>
  </w:footnote>
  <w:footnote w:id="3">
    <w:p w14:paraId="5ED0D692" w14:textId="69B13B72" w:rsidR="00261BC6" w:rsidRDefault="00261BC6">
      <w:pPr>
        <w:pStyle w:val="FootnoteText"/>
      </w:pPr>
      <w:r>
        <w:rPr>
          <w:rStyle w:val="FootnoteReference"/>
        </w:rPr>
        <w:footnoteRef/>
      </w:r>
      <w:r>
        <w:t xml:space="preserve"> </w:t>
      </w:r>
      <w:r>
        <w:tab/>
        <w:t xml:space="preserve">Macroeconomic Analysis and Policy Division, Macroeconomic Group, The Treasury, Langton Crescent, Parkes ACT 2600, </w:t>
      </w:r>
      <w:r w:rsidRPr="006B4A87">
        <w:t xml:space="preserve">Australia. Correspondence: </w:t>
      </w:r>
      <w:r>
        <w:t xml:space="preserve">Michael Kouparitsas, </w:t>
      </w:r>
      <w:hyperlink r:id="rId1" w:history="1">
        <w:r w:rsidRPr="00D04E46">
          <w:rPr>
            <w:rStyle w:val="Hyperlink"/>
            <w:color w:val="5D779D" w:themeColor="accent3"/>
          </w:rPr>
          <w:t>Michael.Kouparitsas@treasury.gov.au</w:t>
        </w:r>
      </w:hyperlink>
      <w:r w:rsidRPr="00614F35">
        <w:t>. We thank</w:t>
      </w:r>
      <w:r>
        <w:t xml:space="preserve"> </w:t>
      </w:r>
      <w:r w:rsidRPr="00616819">
        <w:t>Owen Freestone, James Glover, Jessica Hua and Louise Lilley for their technical support and considerable editorial assistance in completing this paper. We thank Chung Tran and George Kudrna for technical advice and extensive review of this paper/model specification. We also thank Michael Bath, Alex Beames, John Breusch, Graeme Davis, Mardi Dungey, Hans Fehr, Angelia Grant, Alex Heath, Fedor Iskhakov, Timothy Kam, Michael Keane, Mariano Kulish, Warwick McKibbin, Shinichi Nishiyama, John Piggott, Bruce Preston, Nigel Ray, John Stachurski, John Swieringa, Sebastian Wende and Alan Woodland for their support and comments on earlier model specifications and drafts of this paper, and participants at the 2018 Australian Conference of Economists, 2018 University of Tasmania Macroeconomic Conference, 2019 Australian National University – Treasury Fiscal Policy Modelling Workshop, and Treasury Macroeconomic Expert Panel Meetings from 2017 to 2019. We also thank the many staff across Treasury that have assisted us with data analysis and answers to our many questions around specific details of the Australian tax and transfer system</w:t>
      </w:r>
      <w:r w:rsidRPr="00614F35">
        <w:t>.</w:t>
      </w:r>
    </w:p>
  </w:footnote>
  <w:footnote w:id="4">
    <w:p w14:paraId="1447A4D2" w14:textId="6B773162" w:rsidR="006C3DEB" w:rsidRPr="009011F5" w:rsidRDefault="006C3DEB" w:rsidP="006C3DEB">
      <w:pPr>
        <w:pStyle w:val="FootnoteText"/>
      </w:pPr>
      <w:r w:rsidRPr="00FF7553">
        <w:rPr>
          <w:rStyle w:val="FootnoteReference"/>
          <w:sz w:val="20"/>
        </w:rPr>
        <w:footnoteRef/>
      </w:r>
      <w:r w:rsidRPr="009011F5">
        <w:t xml:space="preserve"> </w:t>
      </w:r>
      <w:r>
        <w:tab/>
      </w:r>
      <w:r w:rsidRPr="009011F5">
        <w:t>In the US context, for example, OLG models have been developed and used to investigate the economic efficiency of privatising social security (Nishiyama and Smetters</w:t>
      </w:r>
      <w:r>
        <w:t xml:space="preserve"> (</w:t>
      </w:r>
      <w:r w:rsidRPr="009011F5">
        <w:t>2007</w:t>
      </w:r>
      <w:r>
        <w:t>)</w:t>
      </w:r>
      <w:r w:rsidRPr="009011F5">
        <w:t>), the intergenerational effect of closing the fiscal gap (Nishiyama and Reichling</w:t>
      </w:r>
      <w:r>
        <w:t xml:space="preserve"> (</w:t>
      </w:r>
      <w:r w:rsidRPr="009011F5">
        <w:t>2015</w:t>
      </w:r>
      <w:r>
        <w:t>)</w:t>
      </w:r>
      <w:r w:rsidRPr="009011F5">
        <w:t xml:space="preserve">), the macroeconomic effects of reforming the Internal Revenue Code (JCT, 2018), and the budgetary and economic effects of a wealth tax (He </w:t>
      </w:r>
      <w:r w:rsidR="00F04F0E">
        <w:t>et al.</w:t>
      </w:r>
      <w:r>
        <w:t xml:space="preserve"> (</w:t>
      </w:r>
      <w:r w:rsidRPr="009011F5">
        <w:t>2019</w:t>
      </w:r>
      <w:r>
        <w:t>)</w:t>
      </w:r>
      <w:r w:rsidRPr="009011F5">
        <w:t>). In the Australian context, for example, OLG models have been developed and used to estimate the aggregate and distributional effects of various policy proposals to reform the retirement income system (Kudrna and Woodland</w:t>
      </w:r>
      <w:r>
        <w:t xml:space="preserve"> (</w:t>
      </w:r>
      <w:r w:rsidRPr="009011F5">
        <w:t>2010</w:t>
      </w:r>
      <w:r>
        <w:t>)</w:t>
      </w:r>
      <w:r w:rsidRPr="009011F5">
        <w:t>), the behavioural effects of means test on pensioners (Tran and Woodland</w:t>
      </w:r>
      <w:r>
        <w:t xml:space="preserve"> (</w:t>
      </w:r>
      <w:r w:rsidRPr="009011F5">
        <w:t>2011</w:t>
      </w:r>
      <w:r>
        <w:t>)</w:t>
      </w:r>
      <w:r w:rsidRPr="009011F5">
        <w:t>), the fiscal effects of demographic change (Kudrna</w:t>
      </w:r>
      <w:r w:rsidR="00F04F0E">
        <w:t xml:space="preserve"> et al.</w:t>
      </w:r>
      <w:r>
        <w:t xml:space="preserve"> (</w:t>
      </w:r>
      <w:r w:rsidRPr="009011F5">
        <w:t>2015</w:t>
      </w:r>
      <w:r>
        <w:t>)</w:t>
      </w:r>
      <w:r w:rsidRPr="009011F5">
        <w:t>), and the economic and welfare consequences of different budget repair measures (Kudrna and Tran</w:t>
      </w:r>
      <w:r>
        <w:t xml:space="preserve"> (</w:t>
      </w:r>
      <w:r w:rsidRPr="009011F5">
        <w:t>2018</w:t>
      </w:r>
      <w:r>
        <w:t>)</w:t>
      </w:r>
      <w:r w:rsidRPr="009011F5">
        <w:t>).</w:t>
      </w:r>
    </w:p>
  </w:footnote>
  <w:footnote w:id="5">
    <w:p w14:paraId="1B8AC995" w14:textId="4BE99D91" w:rsidR="006C3DEB" w:rsidRDefault="006C3DEB" w:rsidP="006C3DEB">
      <w:pPr>
        <w:pStyle w:val="FootnoteText"/>
      </w:pPr>
      <w:r w:rsidRPr="00FF7553">
        <w:rPr>
          <w:rStyle w:val="FootnoteReference"/>
        </w:rPr>
        <w:footnoteRef/>
      </w:r>
      <w:r>
        <w:t xml:space="preserve"> </w:t>
      </w:r>
      <w:r w:rsidR="00797B43">
        <w:t>For reference,</w:t>
      </w:r>
      <w:r w:rsidR="00E21AED">
        <w:t xml:space="preserve"> </w:t>
      </w:r>
      <w:r w:rsidR="00797B43">
        <w:t xml:space="preserve">see </w:t>
      </w:r>
      <w:hyperlink r:id="rId2" w:history="1">
        <w:r w:rsidR="00C03F12" w:rsidRPr="00A97858">
          <w:rPr>
            <w:rStyle w:val="Hyperlink"/>
          </w:rPr>
          <w:t>https://www.dss.gov.au/seniors/benefits-payments/age-pension</w:t>
        </w:r>
      </w:hyperlink>
      <w:r w:rsidR="00E21AED">
        <w:rPr>
          <w:rStyle w:val="ui-provider"/>
        </w:rPr>
        <w:t>.</w:t>
      </w:r>
    </w:p>
  </w:footnote>
  <w:footnote w:id="6">
    <w:p w14:paraId="366422EF" w14:textId="77777777" w:rsidR="006C3DEB" w:rsidRDefault="006C3DEB" w:rsidP="006C3DEB">
      <w:pPr>
        <w:pStyle w:val="FootnoteText"/>
        <w:tabs>
          <w:tab w:val="left" w:pos="0"/>
        </w:tabs>
        <w:ind w:left="0" w:firstLine="0"/>
      </w:pPr>
      <w:r w:rsidRPr="00FF7553">
        <w:rPr>
          <w:rStyle w:val="FootnoteReference"/>
        </w:rPr>
        <w:footnoteRef/>
      </w:r>
      <w:r w:rsidRPr="007B6BEC">
        <w:t xml:space="preserve"> </w:t>
      </w:r>
      <w:r>
        <w:t>Because efficiency units are perfect substitutes, we</w:t>
      </w:r>
      <w:r w:rsidRPr="007B6BEC">
        <w:t xml:space="preserve"> can</w:t>
      </w:r>
      <w:r>
        <w:t xml:space="preserve">not identify the share of total hours employed by the representative </w:t>
      </w:r>
      <w:r w:rsidRPr="007B6BEC">
        <w:t>firm</w:t>
      </w:r>
      <w:r>
        <w:t xml:space="preserve"> in sector </w:t>
      </w:r>
      <w:r w:rsidRPr="00D76C64">
        <w:rPr>
          <w:i/>
        </w:rPr>
        <w:t>j</w:t>
      </w:r>
      <w:r>
        <w:t>.</w:t>
      </w:r>
    </w:p>
  </w:footnote>
  <w:footnote w:id="7">
    <w:p w14:paraId="3A9D0171" w14:textId="77777777" w:rsidR="006C3DEB" w:rsidRPr="00EA1E94" w:rsidRDefault="006C3DEB" w:rsidP="006C3DEB">
      <w:pPr>
        <w:pStyle w:val="FootnoteText"/>
      </w:pPr>
      <w:r w:rsidRPr="00FF7553">
        <w:rPr>
          <w:rStyle w:val="FootnoteReference"/>
          <w:sz w:val="20"/>
        </w:rPr>
        <w:footnoteRef/>
      </w:r>
      <w:r w:rsidRPr="00EA1E94">
        <w:t xml:space="preserve"> </w:t>
      </w:r>
      <w:r>
        <w:tab/>
      </w:r>
      <w:r w:rsidRPr="00EA1E94">
        <w:t>See Ludwig (2007) and Heer and Maussner (2009).</w:t>
      </w:r>
    </w:p>
  </w:footnote>
  <w:footnote w:id="8">
    <w:p w14:paraId="344D24FE" w14:textId="77777777" w:rsidR="006C3DEB" w:rsidRDefault="006C3DEB" w:rsidP="006C3DEB">
      <w:pPr>
        <w:pStyle w:val="FootnoteText"/>
      </w:pPr>
      <w:r w:rsidRPr="00FF7553">
        <w:rPr>
          <w:rStyle w:val="FootnoteReference"/>
        </w:rPr>
        <w:footnoteRef/>
      </w:r>
      <w:r>
        <w:t xml:space="preserve"> </w:t>
      </w:r>
      <w:r>
        <w:tab/>
        <w:t xml:space="preserve">Given superannuation is not explicitly modelled in this version of OLGA we group superannuation fund tax together with personal income tax and abstract from the concessional nature of taxation on contributions and earnings.  </w:t>
      </w:r>
    </w:p>
  </w:footnote>
  <w:footnote w:id="9">
    <w:p w14:paraId="0E90EF0E" w14:textId="77777777" w:rsidR="006C3DEB" w:rsidRDefault="006C3DEB" w:rsidP="006C3DEB">
      <w:pPr>
        <w:pStyle w:val="FootnoteText"/>
      </w:pPr>
      <w:r w:rsidRPr="00FF7553">
        <w:rPr>
          <w:rStyle w:val="FootnoteReference"/>
        </w:rPr>
        <w:footnoteRef/>
      </w:r>
      <w:r>
        <w:t xml:space="preserve"> </w:t>
      </w:r>
      <w:r>
        <w:tab/>
        <w:t xml:space="preserve">Source: </w:t>
      </w:r>
      <w:r w:rsidRPr="003E04EE">
        <w:t>https://www.humanservices.gov.au/individuals/enablers/income-test-pensions/30406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0B1B" w14:textId="0F095FA2" w:rsidR="00F012EA" w:rsidRPr="00F012EA" w:rsidRDefault="00B86A64" w:rsidP="00F012EA">
    <w:pPr>
      <w:pStyle w:val="Header"/>
    </w:pPr>
    <w:r>
      <w:rPr>
        <w:noProof/>
        <w:lang w:eastAsia="zh-CN"/>
      </w:rPr>
      <w:drawing>
        <wp:anchor distT="0" distB="0" distL="114300" distR="114300" simplePos="0" relativeHeight="251658240" behindDoc="1" locked="0" layoutInCell="1" allowOverlap="1" wp14:anchorId="77A658C0" wp14:editId="43A7B1AA">
          <wp:simplePos x="0" y="0"/>
          <wp:positionH relativeFrom="page">
            <wp:align>center</wp:align>
          </wp:positionH>
          <wp:positionV relativeFrom="page">
            <wp:align>top</wp:align>
          </wp:positionV>
          <wp:extent cx="7578000" cy="1515600"/>
          <wp:effectExtent l="0" t="0" r="444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8000" cy="15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989B" w14:textId="015149FD" w:rsidR="00B86A64" w:rsidRDefault="00B86A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45A6" w14:textId="26901221" w:rsidR="00B86A64" w:rsidRDefault="00B86A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6074" w14:textId="00143DB5" w:rsidR="00F60530" w:rsidRPr="00F012EA" w:rsidRDefault="00F60530" w:rsidP="00F012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5635" w14:textId="238FECD5" w:rsidR="006C3DEB" w:rsidRDefault="006C3D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98A08" w14:textId="4F41071C" w:rsidR="006C3DEB" w:rsidRDefault="006C3DEB">
    <w:pPr>
      <w:pStyle w:val="Header"/>
    </w:pPr>
    <w:r>
      <w:rPr>
        <w:noProof/>
      </w:rPr>
      <w:drawing>
        <wp:anchor distT="0" distB="0" distL="114300" distR="114300" simplePos="0" relativeHeight="251658246" behindDoc="1" locked="1" layoutInCell="1" allowOverlap="1" wp14:anchorId="17422E38" wp14:editId="60F3D22A">
          <wp:simplePos x="0" y="0"/>
          <wp:positionH relativeFrom="page">
            <wp:align>center</wp:align>
          </wp:positionH>
          <wp:positionV relativeFrom="page">
            <wp:align>top</wp:align>
          </wp:positionV>
          <wp:extent cx="7570800" cy="104400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9F4D" w14:textId="4AFDE34F" w:rsidR="006C3DEB" w:rsidRPr="00B86A64" w:rsidRDefault="006C3DEB" w:rsidP="00B86A64">
    <w:pPr>
      <w:pStyle w:val="Header"/>
    </w:pPr>
    <w:r>
      <w:rPr>
        <w:noProof/>
      </w:rPr>
      <w:drawing>
        <wp:anchor distT="0" distB="0" distL="114300" distR="114300" simplePos="0" relativeHeight="251658245" behindDoc="1" locked="1" layoutInCell="1" allowOverlap="1" wp14:anchorId="04D27B77" wp14:editId="19D72E6B">
          <wp:simplePos x="0" y="0"/>
          <wp:positionH relativeFrom="page">
            <wp:align>center</wp:align>
          </wp:positionH>
          <wp:positionV relativeFrom="page">
            <wp:align>top</wp:align>
          </wp:positionV>
          <wp:extent cx="7570800" cy="104400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E83"/>
    <w:multiLevelType w:val="multilevel"/>
    <w:tmpl w:val="2BF0F2B8"/>
    <w:name w:val="StandardBulletedList"/>
    <w:lvl w:ilvl="0">
      <w:start w:val="1"/>
      <w:numFmt w:val="bullet"/>
      <w:lvlText w:val="•"/>
      <w:lvlJc w:val="left"/>
      <w:pPr>
        <w:tabs>
          <w:tab w:val="num" w:pos="4837"/>
        </w:tabs>
        <w:ind w:left="4837" w:hanging="520"/>
      </w:pPr>
      <w:rPr>
        <w:rFonts w:ascii="Times New Roman" w:hAnsi="Times New Roman"/>
      </w:rPr>
    </w:lvl>
    <w:lvl w:ilvl="1">
      <w:start w:val="1"/>
      <w:numFmt w:val="bullet"/>
      <w:lvlText w:val="–"/>
      <w:lvlJc w:val="left"/>
      <w:pPr>
        <w:tabs>
          <w:tab w:val="num" w:pos="5357"/>
        </w:tabs>
        <w:ind w:left="5357" w:hanging="520"/>
      </w:pPr>
      <w:rPr>
        <w:rFonts w:ascii="Times New Roman" w:hAnsi="Times New Roman"/>
      </w:rPr>
    </w:lvl>
    <w:lvl w:ilvl="2">
      <w:start w:val="1"/>
      <w:numFmt w:val="bullet"/>
      <w:lvlText w:val=":"/>
      <w:lvlJc w:val="left"/>
      <w:pPr>
        <w:tabs>
          <w:tab w:val="num" w:pos="5877"/>
        </w:tabs>
        <w:ind w:left="5877" w:hanging="520"/>
      </w:pPr>
      <w:rPr>
        <w:rFonts w:ascii="Times New Roman" w:hAnsi="Times New Roman"/>
      </w:rPr>
    </w:lvl>
    <w:lvl w:ilvl="3">
      <w:start w:val="1"/>
      <w:numFmt w:val="decimal"/>
      <w:lvlText w:val="(%4)"/>
      <w:lvlJc w:val="left"/>
      <w:pPr>
        <w:ind w:left="5757" w:hanging="360"/>
      </w:pPr>
      <w:rPr>
        <w:rFonts w:cs="Times New Roman"/>
      </w:rPr>
    </w:lvl>
    <w:lvl w:ilvl="4">
      <w:start w:val="1"/>
      <w:numFmt w:val="lowerLetter"/>
      <w:lvlText w:val="(%5)"/>
      <w:lvlJc w:val="left"/>
      <w:pPr>
        <w:ind w:left="6117" w:hanging="360"/>
      </w:pPr>
      <w:rPr>
        <w:rFonts w:cs="Times New Roman"/>
      </w:rPr>
    </w:lvl>
    <w:lvl w:ilvl="5">
      <w:start w:val="1"/>
      <w:numFmt w:val="lowerRoman"/>
      <w:lvlText w:val="(%6)"/>
      <w:lvlJc w:val="left"/>
      <w:pPr>
        <w:ind w:left="6477" w:hanging="360"/>
      </w:pPr>
      <w:rPr>
        <w:rFonts w:cs="Times New Roman"/>
      </w:rPr>
    </w:lvl>
    <w:lvl w:ilvl="6">
      <w:start w:val="1"/>
      <w:numFmt w:val="decimal"/>
      <w:lvlText w:val="%7."/>
      <w:lvlJc w:val="left"/>
      <w:pPr>
        <w:ind w:left="6837" w:hanging="360"/>
      </w:pPr>
      <w:rPr>
        <w:rFonts w:cs="Times New Roman"/>
      </w:rPr>
    </w:lvl>
    <w:lvl w:ilvl="7">
      <w:start w:val="1"/>
      <w:numFmt w:val="lowerLetter"/>
      <w:lvlText w:val="%8."/>
      <w:lvlJc w:val="left"/>
      <w:pPr>
        <w:ind w:left="7197" w:hanging="360"/>
      </w:pPr>
      <w:rPr>
        <w:rFonts w:cs="Times New Roman"/>
      </w:rPr>
    </w:lvl>
    <w:lvl w:ilvl="8">
      <w:start w:val="1"/>
      <w:numFmt w:val="lowerRoman"/>
      <w:lvlText w:val="%9."/>
      <w:lvlJc w:val="left"/>
      <w:pPr>
        <w:ind w:left="7557" w:hanging="360"/>
      </w:pPr>
      <w:rPr>
        <w:rFonts w:cs="Times New Roman"/>
      </w:rPr>
    </w:lvl>
  </w:abstractNum>
  <w:abstractNum w:abstractNumId="1" w15:restartNumberingAfterBreak="0">
    <w:nsid w:val="07CB28C4"/>
    <w:multiLevelType w:val="multilevel"/>
    <w:tmpl w:val="AD6A5182"/>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Theme="majorHAnsi" w:hAnsiTheme="majorHAnsi" w:cs="Arial" w:hint="default"/>
        <w:b w:val="0"/>
        <w:bCs/>
        <w:i w:val="0"/>
        <w:color w:val="003157"/>
      </w:rPr>
    </w:lvl>
    <w:lvl w:ilvl="2">
      <w:start w:val="1"/>
      <w:numFmt w:val="decimal"/>
      <w:pStyle w:val="AppendixHeadingLevel3"/>
      <w:lvlText w:val="%1.%2.%3"/>
      <w:lvlJc w:val="left"/>
      <w:pPr>
        <w:tabs>
          <w:tab w:val="num" w:pos="1134"/>
        </w:tabs>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Level4"/>
      <w:lvlText w:val="%1.%2.%3.%4"/>
      <w:lvlJc w:val="left"/>
      <w:pPr>
        <w:tabs>
          <w:tab w:val="num" w:pos="1135"/>
        </w:tabs>
        <w:ind w:left="1" w:hanging="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2563F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963A1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32BA81B0"/>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454" w:hanging="454"/>
      </w:pPr>
      <w:rPr>
        <w:rFonts w:hint="default"/>
      </w:rPr>
    </w:lvl>
    <w:lvl w:ilvl="2">
      <w:start w:val="1"/>
      <w:numFmt w:val="decimal"/>
      <w:pStyle w:val="Heading3Numbered"/>
      <w:lvlText w:val="%1.%2.%3"/>
      <w:lvlJc w:val="lef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9" w15:restartNumberingAfterBreak="0">
    <w:nsid w:val="1E6B29F1"/>
    <w:multiLevelType w:val="multilevel"/>
    <w:tmpl w:val="EDEE4FB6"/>
    <w:styleLink w:val="Recommendation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0A5F5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826BF0"/>
    <w:multiLevelType w:val="multilevel"/>
    <w:tmpl w:val="A4B40D48"/>
    <w:lvl w:ilvl="0">
      <w:start w:val="1"/>
      <w:numFmt w:val="lowerRoman"/>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4" w15:restartNumberingAfterBreak="0">
    <w:nsid w:val="2AB476BF"/>
    <w:multiLevelType w:val="hybridMultilevel"/>
    <w:tmpl w:val="87D6B698"/>
    <w:lvl w:ilvl="0" w:tplc="3FCA993E">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D27A9B"/>
    <w:multiLevelType w:val="multilevel"/>
    <w:tmpl w:val="72F8140E"/>
    <w:lvl w:ilvl="0">
      <w:start w:val="1"/>
      <w:numFmt w:val="decimal"/>
      <w:lvlText w:val="(%1)"/>
      <w:lvlJc w:val="left"/>
      <w:pPr>
        <w:tabs>
          <w:tab w:val="num" w:pos="851"/>
        </w:tabs>
        <w:ind w:left="851" w:hanging="851"/>
      </w:pPr>
      <w:rPr>
        <w:rFonts w:ascii="Calibri" w:eastAsiaTheme="minorHAnsi" w:hAnsi="Calibri" w:cstheme="minorBidi"/>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E676638"/>
    <w:multiLevelType w:val="multilevel"/>
    <w:tmpl w:val="F80218CC"/>
    <w:lvl w:ilvl="0">
      <w:start w:val="1"/>
      <w:numFmt w:val="bullet"/>
      <w:lvlText w:val=""/>
      <w:lvlJc w:val="left"/>
      <w:pPr>
        <w:tabs>
          <w:tab w:val="num" w:pos="974"/>
        </w:tabs>
        <w:ind w:left="974" w:hanging="614"/>
      </w:pPr>
      <w:rPr>
        <w:rFonts w:ascii="Symbol" w:hAnsi="Symbol" w:hint="default"/>
      </w:rPr>
    </w:lvl>
    <w:lvl w:ilvl="1">
      <w:start w:val="1"/>
      <w:numFmt w:val="bullet"/>
      <w:lvlText w:val="–"/>
      <w:lvlJc w:val="left"/>
      <w:pPr>
        <w:tabs>
          <w:tab w:val="num" w:pos="1588"/>
        </w:tabs>
        <w:ind w:left="1588" w:hanging="614"/>
      </w:pPr>
      <w:rPr>
        <w:rFonts w:ascii="Times New Roman" w:hAnsi="Times New Roman" w:cs="Times New Roman"/>
      </w:rPr>
    </w:lvl>
    <w:lvl w:ilvl="2">
      <w:start w:val="1"/>
      <w:numFmt w:val="bullet"/>
      <w:lvlText w:val=":"/>
      <w:lvlJc w:val="left"/>
      <w:pPr>
        <w:tabs>
          <w:tab w:val="num" w:pos="2202"/>
        </w:tabs>
        <w:ind w:left="2202" w:hanging="614"/>
      </w:pPr>
      <w:rPr>
        <w:rFonts w:ascii="Times New Roman" w:hAnsi="Times New Roman" w:cs="Times New Roman"/>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F71347"/>
    <w:multiLevelType w:val="multilevel"/>
    <w:tmpl w:val="72F8140E"/>
    <w:lvl w:ilvl="0">
      <w:start w:val="1"/>
      <w:numFmt w:val="decimal"/>
      <w:lvlText w:val="(%1)"/>
      <w:lvlJc w:val="left"/>
      <w:pPr>
        <w:tabs>
          <w:tab w:val="num" w:pos="851"/>
        </w:tabs>
        <w:ind w:left="851" w:hanging="851"/>
      </w:pPr>
      <w:rPr>
        <w:rFonts w:ascii="Calibri" w:eastAsiaTheme="minorHAnsi" w:hAnsi="Calibri" w:cstheme="minorBidi"/>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631754"/>
    <w:multiLevelType w:val="multilevel"/>
    <w:tmpl w:val="3BCC6BB4"/>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C55572F"/>
    <w:multiLevelType w:val="hybridMultilevel"/>
    <w:tmpl w:val="40FA42FC"/>
    <w:lvl w:ilvl="0" w:tplc="E85A4BA4">
      <w:numFmt w:val="bullet"/>
      <w:lvlText w:val=""/>
      <w:lvlJc w:val="left"/>
      <w:pPr>
        <w:ind w:left="1211" w:hanging="360"/>
      </w:pPr>
      <w:rPr>
        <w:rFonts w:ascii="Symbol" w:eastAsiaTheme="minorHAnsi" w:hAnsi="Symbol" w:cstheme="minorBid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3" w15:restartNumberingAfterBreak="0">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24" w15:restartNumberingAfterBreak="0">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45B0A7E"/>
    <w:multiLevelType w:val="multilevel"/>
    <w:tmpl w:val="EDEE4FB6"/>
    <w:numStyleLink w:val="RecommendationBulletList"/>
  </w:abstractNum>
  <w:abstractNum w:abstractNumId="26" w15:restartNumberingAfterBreak="0">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10D2021"/>
    <w:multiLevelType w:val="multilevel"/>
    <w:tmpl w:val="72F8140E"/>
    <w:numStyleLink w:val="OutlineList"/>
  </w:abstractNum>
  <w:abstractNum w:abstractNumId="28" w15:restartNumberingAfterBreak="0">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5F73129"/>
    <w:multiLevelType w:val="multilevel"/>
    <w:tmpl w:val="D9A8A212"/>
    <w:numStyleLink w:val="RomanNumeralList"/>
  </w:abstractNum>
  <w:abstractNum w:abstractNumId="30" w15:restartNumberingAfterBreak="0">
    <w:nsid w:val="66022277"/>
    <w:multiLevelType w:val="singleLevel"/>
    <w:tmpl w:val="9ECEC236"/>
    <w:name w:val="AlphaChartTableFootnoteList"/>
    <w:lvl w:ilvl="0">
      <w:start w:val="1"/>
      <w:numFmt w:val="lowerLetter"/>
      <w:lvlText w:val="(%1)"/>
      <w:lvlJc w:val="left"/>
      <w:pPr>
        <w:ind w:left="360" w:hanging="360"/>
      </w:pPr>
      <w:rPr>
        <w:rFonts w:ascii="Calibri" w:hAnsi="Calibri" w:cs="Arial" w:hint="default"/>
        <w:b w:val="0"/>
        <w:i w:val="0"/>
        <w:color w:val="000000"/>
        <w:sz w:val="20"/>
      </w:rPr>
    </w:lvl>
  </w:abstractNum>
  <w:abstractNum w:abstractNumId="31" w15:restartNumberingAfterBreak="0">
    <w:nsid w:val="6A5F7B24"/>
    <w:multiLevelType w:val="multilevel"/>
    <w:tmpl w:val="4162B4FC"/>
    <w:lvl w:ilvl="0">
      <w:start w:val="1"/>
      <w:numFmt w:val="decimal"/>
      <w:lvlRestart w:val="0"/>
      <w:lvlText w:val="%1."/>
      <w:lvlJc w:val="left"/>
      <w:pPr>
        <w:tabs>
          <w:tab w:val="num" w:pos="3402"/>
        </w:tabs>
        <w:ind w:left="2552" w:firstLine="0"/>
      </w:pPr>
      <w:rPr>
        <w:rFonts w:ascii="Arial Bold" w:hAnsi="Arial Bold" w:cs="Arial" w:hint="default"/>
        <w:b/>
        <w:i w:val="0"/>
        <w:color w:val="003157"/>
      </w:rPr>
    </w:lvl>
    <w:lvl w:ilvl="1">
      <w:start w:val="1"/>
      <w:numFmt w:val="decimal"/>
      <w:lvlText w:val="%1.%2"/>
      <w:lvlJc w:val="left"/>
      <w:pPr>
        <w:tabs>
          <w:tab w:val="num" w:pos="850"/>
        </w:tabs>
        <w:ind w:left="0" w:firstLine="0"/>
      </w:pPr>
      <w:rPr>
        <w:rFonts w:ascii="Arial Bold" w:hAnsi="Arial Bold" w:cs="Arial" w:hint="default"/>
        <w:b/>
        <w:i w:val="0"/>
        <w:color w:val="003157"/>
      </w:rPr>
    </w:lvl>
    <w:lvl w:ilvl="2">
      <w:start w:val="1"/>
      <w:numFmt w:val="none"/>
      <w:lvlText w:val=""/>
      <w:lvlJc w:val="left"/>
      <w:pPr>
        <w:tabs>
          <w:tab w:val="num" w:pos="0"/>
        </w:tabs>
        <w:ind w:left="0" w:firstLine="0"/>
      </w:pPr>
      <w:rPr>
        <w:rFonts w:ascii="Arial" w:hAnsi="Arial" w:cs="Arial" w:hint="default"/>
        <w:b w:val="0"/>
        <w:i w:val="0"/>
        <w:color w:val="003157"/>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32" w15:restartNumberingAfterBreak="0">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D6B5224"/>
    <w:multiLevelType w:val="multilevel"/>
    <w:tmpl w:val="57000EF8"/>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26"/>
  </w:num>
  <w:num w:numId="3">
    <w:abstractNumId w:val="19"/>
  </w:num>
  <w:num w:numId="4">
    <w:abstractNumId w:val="4"/>
  </w:num>
  <w:num w:numId="5">
    <w:abstractNumId w:val="9"/>
  </w:num>
  <w:num w:numId="6">
    <w:abstractNumId w:val="3"/>
  </w:num>
  <w:num w:numId="7">
    <w:abstractNumId w:val="7"/>
  </w:num>
  <w:num w:numId="8">
    <w:abstractNumId w:val="27"/>
  </w:num>
  <w:num w:numId="9">
    <w:abstractNumId w:val="25"/>
  </w:num>
  <w:num w:numId="10">
    <w:abstractNumId w:val="29"/>
  </w:num>
  <w:num w:numId="11">
    <w:abstractNumId w:val="28"/>
  </w:num>
  <w:num w:numId="12">
    <w:abstractNumId w:val="11"/>
  </w:num>
  <w:num w:numId="13">
    <w:abstractNumId w:val="11"/>
  </w:num>
  <w:num w:numId="14">
    <w:abstractNumId w:val="24"/>
  </w:num>
  <w:num w:numId="15">
    <w:abstractNumId w:val="1"/>
  </w:num>
  <w:num w:numId="16">
    <w:abstractNumId w:val="30"/>
  </w:num>
  <w:num w:numId="17">
    <w:abstractNumId w:val="23"/>
  </w:num>
  <w:num w:numId="18">
    <w:abstractNumId w:val="32"/>
  </w:num>
  <w:num w:numId="19">
    <w:abstractNumId w:val="2"/>
  </w:num>
  <w:num w:numId="20">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7"/>
  </w:num>
  <w:num w:numId="23">
    <w:abstractNumId w:val="14"/>
  </w:num>
  <w:num w:numId="24">
    <w:abstractNumId w:val="16"/>
  </w:num>
  <w:num w:numId="25">
    <w:abstractNumId w:val="31"/>
  </w:num>
  <w:num w:numId="26">
    <w:abstractNumId w:val="5"/>
  </w:num>
  <w:num w:numId="27">
    <w:abstractNumId w:val="6"/>
  </w:num>
  <w:num w:numId="28">
    <w:abstractNumId w:val="10"/>
  </w:num>
  <w:num w:numId="29">
    <w:abstractNumId w:val="0"/>
  </w:num>
  <w:num w:numId="30">
    <w:abstractNumId w:val="21"/>
  </w:num>
  <w:num w:numId="31">
    <w:abstractNumId w:val="22"/>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5"/>
  </w:num>
  <w:num w:numId="35">
    <w:abstractNumId w:val="27"/>
    <w:lvlOverride w:ilvl="0">
      <w:startOverride w:val="1"/>
    </w:lvlOverride>
    <w:lvlOverride w:ilvl="1">
      <w:startOverride w:val="1"/>
    </w:lvlOverride>
    <w:lvlOverride w:ilvl="2">
      <w:startOverride w:val="1"/>
    </w:lvlOverride>
    <w:lvlOverride w:ilvl="3">
      <w:startOverride w:val="2"/>
    </w:lvlOverride>
  </w:num>
  <w:num w:numId="36">
    <w:abstractNumId w:val="8"/>
  </w:num>
  <w:num w:numId="37">
    <w:abstractNumId w:val="12"/>
  </w:num>
  <w:num w:numId="38">
    <w:abstractNumId w:val="24"/>
    <w:lvlOverride w:ilvl="0">
      <w:startOverride w:val="1"/>
    </w:lvlOverride>
  </w:num>
  <w:num w:numId="39">
    <w:abstractNumId w:val="24"/>
    <w:lvlOverride w:ilvl="0">
      <w:startOverride w:val="1"/>
    </w:lvlOverride>
  </w:num>
  <w:num w:numId="40">
    <w:abstractNumId w:val="24"/>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881"/>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6C3DEB"/>
    <w:rsid w:val="00001938"/>
    <w:rsid w:val="00003ACD"/>
    <w:rsid w:val="00005F1E"/>
    <w:rsid w:val="0000608D"/>
    <w:rsid w:val="0000678D"/>
    <w:rsid w:val="00007CDE"/>
    <w:rsid w:val="000167A9"/>
    <w:rsid w:val="00017ACD"/>
    <w:rsid w:val="000214C0"/>
    <w:rsid w:val="0004306C"/>
    <w:rsid w:val="000445E5"/>
    <w:rsid w:val="000459BD"/>
    <w:rsid w:val="000464B6"/>
    <w:rsid w:val="00051C46"/>
    <w:rsid w:val="000622B2"/>
    <w:rsid w:val="00064681"/>
    <w:rsid w:val="00064AD9"/>
    <w:rsid w:val="0006577D"/>
    <w:rsid w:val="000726C1"/>
    <w:rsid w:val="000768D9"/>
    <w:rsid w:val="00077D52"/>
    <w:rsid w:val="00083117"/>
    <w:rsid w:val="00084329"/>
    <w:rsid w:val="0008437F"/>
    <w:rsid w:val="00085856"/>
    <w:rsid w:val="00091054"/>
    <w:rsid w:val="000942B0"/>
    <w:rsid w:val="00095C3F"/>
    <w:rsid w:val="000A57AC"/>
    <w:rsid w:val="000A6486"/>
    <w:rsid w:val="000D1336"/>
    <w:rsid w:val="000D28C7"/>
    <w:rsid w:val="000E36E4"/>
    <w:rsid w:val="000F2A2F"/>
    <w:rsid w:val="000F2E25"/>
    <w:rsid w:val="0010021B"/>
    <w:rsid w:val="00101069"/>
    <w:rsid w:val="0010664B"/>
    <w:rsid w:val="00107EFE"/>
    <w:rsid w:val="00107F72"/>
    <w:rsid w:val="00114B1A"/>
    <w:rsid w:val="001161CB"/>
    <w:rsid w:val="00124036"/>
    <w:rsid w:val="00135EB8"/>
    <w:rsid w:val="0014265D"/>
    <w:rsid w:val="0014302F"/>
    <w:rsid w:val="00145AE9"/>
    <w:rsid w:val="00147046"/>
    <w:rsid w:val="001529C3"/>
    <w:rsid w:val="00152CBF"/>
    <w:rsid w:val="00153F86"/>
    <w:rsid w:val="00167A9D"/>
    <w:rsid w:val="00170DAF"/>
    <w:rsid w:val="001716A0"/>
    <w:rsid w:val="001759E9"/>
    <w:rsid w:val="00184AB7"/>
    <w:rsid w:val="001904B5"/>
    <w:rsid w:val="00191236"/>
    <w:rsid w:val="00194BE8"/>
    <w:rsid w:val="001A18CF"/>
    <w:rsid w:val="001A420D"/>
    <w:rsid w:val="001A78B0"/>
    <w:rsid w:val="001B3280"/>
    <w:rsid w:val="001B628E"/>
    <w:rsid w:val="001B73E4"/>
    <w:rsid w:val="001C021A"/>
    <w:rsid w:val="001C14C5"/>
    <w:rsid w:val="001C20FC"/>
    <w:rsid w:val="001C29A8"/>
    <w:rsid w:val="001C39D2"/>
    <w:rsid w:val="001C4141"/>
    <w:rsid w:val="001C5C80"/>
    <w:rsid w:val="001D40FC"/>
    <w:rsid w:val="001E192E"/>
    <w:rsid w:val="001E1D66"/>
    <w:rsid w:val="001E39DA"/>
    <w:rsid w:val="001E4CD3"/>
    <w:rsid w:val="001E664D"/>
    <w:rsid w:val="001E7BD8"/>
    <w:rsid w:val="001F0F19"/>
    <w:rsid w:val="001F1661"/>
    <w:rsid w:val="001F19B5"/>
    <w:rsid w:val="001F1D47"/>
    <w:rsid w:val="002015AB"/>
    <w:rsid w:val="00202896"/>
    <w:rsid w:val="00211545"/>
    <w:rsid w:val="002168D7"/>
    <w:rsid w:val="002214CA"/>
    <w:rsid w:val="002249D2"/>
    <w:rsid w:val="00225317"/>
    <w:rsid w:val="002271BB"/>
    <w:rsid w:val="002330AC"/>
    <w:rsid w:val="00233AC9"/>
    <w:rsid w:val="002358F5"/>
    <w:rsid w:val="00245AB2"/>
    <w:rsid w:val="00252CFC"/>
    <w:rsid w:val="002537A7"/>
    <w:rsid w:val="00257A2D"/>
    <w:rsid w:val="00261BC6"/>
    <w:rsid w:val="0026638A"/>
    <w:rsid w:val="00273BEC"/>
    <w:rsid w:val="002768B3"/>
    <w:rsid w:val="002778F5"/>
    <w:rsid w:val="002803C9"/>
    <w:rsid w:val="00280D28"/>
    <w:rsid w:val="00281368"/>
    <w:rsid w:val="00290EDF"/>
    <w:rsid w:val="002915FC"/>
    <w:rsid w:val="00291937"/>
    <w:rsid w:val="00297C46"/>
    <w:rsid w:val="002B39C9"/>
    <w:rsid w:val="002B53E2"/>
    <w:rsid w:val="002B6F7F"/>
    <w:rsid w:val="002C3075"/>
    <w:rsid w:val="002C3379"/>
    <w:rsid w:val="002C5398"/>
    <w:rsid w:val="002D316D"/>
    <w:rsid w:val="002D5ADD"/>
    <w:rsid w:val="002E0EB3"/>
    <w:rsid w:val="002E0F66"/>
    <w:rsid w:val="002E5F5C"/>
    <w:rsid w:val="002E7527"/>
    <w:rsid w:val="002E7BDD"/>
    <w:rsid w:val="002F3DFC"/>
    <w:rsid w:val="002F4A42"/>
    <w:rsid w:val="002F73DF"/>
    <w:rsid w:val="00301A52"/>
    <w:rsid w:val="00306C30"/>
    <w:rsid w:val="00316B45"/>
    <w:rsid w:val="00326FA0"/>
    <w:rsid w:val="00330A9F"/>
    <w:rsid w:val="003326C6"/>
    <w:rsid w:val="00334335"/>
    <w:rsid w:val="003406DF"/>
    <w:rsid w:val="003431D3"/>
    <w:rsid w:val="00351D21"/>
    <w:rsid w:val="00352EAB"/>
    <w:rsid w:val="003641BA"/>
    <w:rsid w:val="00365C6D"/>
    <w:rsid w:val="00365EE3"/>
    <w:rsid w:val="00367565"/>
    <w:rsid w:val="00373436"/>
    <w:rsid w:val="003809EA"/>
    <w:rsid w:val="0038127D"/>
    <w:rsid w:val="003822EE"/>
    <w:rsid w:val="00386664"/>
    <w:rsid w:val="00390529"/>
    <w:rsid w:val="0039420B"/>
    <w:rsid w:val="00394627"/>
    <w:rsid w:val="00397328"/>
    <w:rsid w:val="0039745A"/>
    <w:rsid w:val="003A1A88"/>
    <w:rsid w:val="003A4CCD"/>
    <w:rsid w:val="003B0501"/>
    <w:rsid w:val="003C36A2"/>
    <w:rsid w:val="003C450E"/>
    <w:rsid w:val="003C46A5"/>
    <w:rsid w:val="003C720F"/>
    <w:rsid w:val="003D27B3"/>
    <w:rsid w:val="003D296C"/>
    <w:rsid w:val="003D3857"/>
    <w:rsid w:val="003D3DC9"/>
    <w:rsid w:val="003E0E7B"/>
    <w:rsid w:val="003E288B"/>
    <w:rsid w:val="003E3374"/>
    <w:rsid w:val="003E6B90"/>
    <w:rsid w:val="003F281E"/>
    <w:rsid w:val="003F2DD6"/>
    <w:rsid w:val="003F7A8E"/>
    <w:rsid w:val="00403990"/>
    <w:rsid w:val="00403DBE"/>
    <w:rsid w:val="00406016"/>
    <w:rsid w:val="004101C6"/>
    <w:rsid w:val="004108C4"/>
    <w:rsid w:val="00412434"/>
    <w:rsid w:val="00415C7A"/>
    <w:rsid w:val="00415CA1"/>
    <w:rsid w:val="00416E7C"/>
    <w:rsid w:val="004214F9"/>
    <w:rsid w:val="00425A49"/>
    <w:rsid w:val="00426934"/>
    <w:rsid w:val="00426CC1"/>
    <w:rsid w:val="00426CF4"/>
    <w:rsid w:val="004370F4"/>
    <w:rsid w:val="00446D06"/>
    <w:rsid w:val="00457AC1"/>
    <w:rsid w:val="00460338"/>
    <w:rsid w:val="00460760"/>
    <w:rsid w:val="00460A29"/>
    <w:rsid w:val="00460C65"/>
    <w:rsid w:val="004637C1"/>
    <w:rsid w:val="004640A7"/>
    <w:rsid w:val="004641CC"/>
    <w:rsid w:val="004644F0"/>
    <w:rsid w:val="00467CE7"/>
    <w:rsid w:val="00467FEB"/>
    <w:rsid w:val="004715EF"/>
    <w:rsid w:val="00482C3C"/>
    <w:rsid w:val="00486BA5"/>
    <w:rsid w:val="004942A1"/>
    <w:rsid w:val="0049461A"/>
    <w:rsid w:val="00494DE6"/>
    <w:rsid w:val="004A4E0A"/>
    <w:rsid w:val="004B07A5"/>
    <w:rsid w:val="004B128A"/>
    <w:rsid w:val="004C167F"/>
    <w:rsid w:val="004D1CC5"/>
    <w:rsid w:val="004D7CD7"/>
    <w:rsid w:val="004E2FA8"/>
    <w:rsid w:val="004E5619"/>
    <w:rsid w:val="004F4EE7"/>
    <w:rsid w:val="00500704"/>
    <w:rsid w:val="0051251F"/>
    <w:rsid w:val="005203F2"/>
    <w:rsid w:val="00523027"/>
    <w:rsid w:val="005264CE"/>
    <w:rsid w:val="005272B4"/>
    <w:rsid w:val="005376A8"/>
    <w:rsid w:val="00540101"/>
    <w:rsid w:val="00546229"/>
    <w:rsid w:val="005466E6"/>
    <w:rsid w:val="00546864"/>
    <w:rsid w:val="00552759"/>
    <w:rsid w:val="00555B0A"/>
    <w:rsid w:val="00557432"/>
    <w:rsid w:val="00561AE9"/>
    <w:rsid w:val="00562EFB"/>
    <w:rsid w:val="005631D3"/>
    <w:rsid w:val="0057074A"/>
    <w:rsid w:val="00575037"/>
    <w:rsid w:val="00580773"/>
    <w:rsid w:val="005814AA"/>
    <w:rsid w:val="005816E4"/>
    <w:rsid w:val="00582851"/>
    <w:rsid w:val="005849AB"/>
    <w:rsid w:val="00584DCF"/>
    <w:rsid w:val="005904CD"/>
    <w:rsid w:val="00592DD6"/>
    <w:rsid w:val="0059472B"/>
    <w:rsid w:val="005A07EC"/>
    <w:rsid w:val="005A1010"/>
    <w:rsid w:val="005A3BB0"/>
    <w:rsid w:val="005A627B"/>
    <w:rsid w:val="005B1ECC"/>
    <w:rsid w:val="005B46D4"/>
    <w:rsid w:val="005B52C6"/>
    <w:rsid w:val="005C7CED"/>
    <w:rsid w:val="005D1545"/>
    <w:rsid w:val="005D3A14"/>
    <w:rsid w:val="005F100C"/>
    <w:rsid w:val="005F3390"/>
    <w:rsid w:val="005F37D6"/>
    <w:rsid w:val="005F5653"/>
    <w:rsid w:val="005F66EC"/>
    <w:rsid w:val="005F6EA2"/>
    <w:rsid w:val="00603593"/>
    <w:rsid w:val="006069C8"/>
    <w:rsid w:val="00614702"/>
    <w:rsid w:val="00614BAC"/>
    <w:rsid w:val="00617197"/>
    <w:rsid w:val="006176B6"/>
    <w:rsid w:val="0062070B"/>
    <w:rsid w:val="00626013"/>
    <w:rsid w:val="00632B89"/>
    <w:rsid w:val="00632D59"/>
    <w:rsid w:val="00634ED3"/>
    <w:rsid w:val="00636159"/>
    <w:rsid w:val="006367B3"/>
    <w:rsid w:val="00640143"/>
    <w:rsid w:val="0064055C"/>
    <w:rsid w:val="00641369"/>
    <w:rsid w:val="00643367"/>
    <w:rsid w:val="006457CC"/>
    <w:rsid w:val="00645DC3"/>
    <w:rsid w:val="00661130"/>
    <w:rsid w:val="00661D1B"/>
    <w:rsid w:val="00666DC4"/>
    <w:rsid w:val="00672387"/>
    <w:rsid w:val="00673FA3"/>
    <w:rsid w:val="00676B7F"/>
    <w:rsid w:val="00687CFF"/>
    <w:rsid w:val="00692A60"/>
    <w:rsid w:val="006A0549"/>
    <w:rsid w:val="006A30A5"/>
    <w:rsid w:val="006A5134"/>
    <w:rsid w:val="006A75DE"/>
    <w:rsid w:val="006B2E4C"/>
    <w:rsid w:val="006B350D"/>
    <w:rsid w:val="006C021C"/>
    <w:rsid w:val="006C2406"/>
    <w:rsid w:val="006C2690"/>
    <w:rsid w:val="006C3DEB"/>
    <w:rsid w:val="006C47D3"/>
    <w:rsid w:val="006C6D1B"/>
    <w:rsid w:val="006D24FA"/>
    <w:rsid w:val="006D25BE"/>
    <w:rsid w:val="006D6023"/>
    <w:rsid w:val="006E1D89"/>
    <w:rsid w:val="006E4318"/>
    <w:rsid w:val="006F295E"/>
    <w:rsid w:val="006F3E0E"/>
    <w:rsid w:val="00701387"/>
    <w:rsid w:val="00705570"/>
    <w:rsid w:val="00706545"/>
    <w:rsid w:val="00714153"/>
    <w:rsid w:val="00714F97"/>
    <w:rsid w:val="00714FB6"/>
    <w:rsid w:val="00736D0F"/>
    <w:rsid w:val="00751BCE"/>
    <w:rsid w:val="00752415"/>
    <w:rsid w:val="007545DE"/>
    <w:rsid w:val="00757B7A"/>
    <w:rsid w:val="007648A2"/>
    <w:rsid w:val="00767F36"/>
    <w:rsid w:val="00770630"/>
    <w:rsid w:val="00770B08"/>
    <w:rsid w:val="00774651"/>
    <w:rsid w:val="0078273F"/>
    <w:rsid w:val="0078304B"/>
    <w:rsid w:val="007839D9"/>
    <w:rsid w:val="00791E8A"/>
    <w:rsid w:val="00797B43"/>
    <w:rsid w:val="007A2ACB"/>
    <w:rsid w:val="007B0C23"/>
    <w:rsid w:val="007B3209"/>
    <w:rsid w:val="007C30CF"/>
    <w:rsid w:val="007C3BD3"/>
    <w:rsid w:val="007C48F0"/>
    <w:rsid w:val="007E2DF9"/>
    <w:rsid w:val="007F3530"/>
    <w:rsid w:val="00803702"/>
    <w:rsid w:val="00803B2A"/>
    <w:rsid w:val="008101EE"/>
    <w:rsid w:val="00812433"/>
    <w:rsid w:val="0082097D"/>
    <w:rsid w:val="0082340C"/>
    <w:rsid w:val="00823755"/>
    <w:rsid w:val="00833945"/>
    <w:rsid w:val="00835CCD"/>
    <w:rsid w:val="0084019A"/>
    <w:rsid w:val="00852A27"/>
    <w:rsid w:val="00853674"/>
    <w:rsid w:val="00857200"/>
    <w:rsid w:val="00857DEB"/>
    <w:rsid w:val="008603E0"/>
    <w:rsid w:val="00860DEB"/>
    <w:rsid w:val="008627B1"/>
    <w:rsid w:val="00864D1D"/>
    <w:rsid w:val="00880ADB"/>
    <w:rsid w:val="00883C8C"/>
    <w:rsid w:val="008847CC"/>
    <w:rsid w:val="008A119E"/>
    <w:rsid w:val="008A3502"/>
    <w:rsid w:val="008A7D2B"/>
    <w:rsid w:val="008A7EDB"/>
    <w:rsid w:val="008B17B9"/>
    <w:rsid w:val="008B3DBF"/>
    <w:rsid w:val="008B5F85"/>
    <w:rsid w:val="008B69AF"/>
    <w:rsid w:val="008B7512"/>
    <w:rsid w:val="008C0793"/>
    <w:rsid w:val="008C1101"/>
    <w:rsid w:val="008C400F"/>
    <w:rsid w:val="008D08BE"/>
    <w:rsid w:val="008E0261"/>
    <w:rsid w:val="008E73EC"/>
    <w:rsid w:val="008F18D8"/>
    <w:rsid w:val="008F1ACC"/>
    <w:rsid w:val="008F373B"/>
    <w:rsid w:val="0090339D"/>
    <w:rsid w:val="009042C5"/>
    <w:rsid w:val="00907E06"/>
    <w:rsid w:val="00910890"/>
    <w:rsid w:val="00910B60"/>
    <w:rsid w:val="00922B5A"/>
    <w:rsid w:val="0092354D"/>
    <w:rsid w:val="00930F0E"/>
    <w:rsid w:val="00935BF0"/>
    <w:rsid w:val="00936238"/>
    <w:rsid w:val="00937E66"/>
    <w:rsid w:val="009438B3"/>
    <w:rsid w:val="009452D5"/>
    <w:rsid w:val="00953904"/>
    <w:rsid w:val="00954A88"/>
    <w:rsid w:val="0095562B"/>
    <w:rsid w:val="00955F84"/>
    <w:rsid w:val="0096584F"/>
    <w:rsid w:val="009676AA"/>
    <w:rsid w:val="009725AC"/>
    <w:rsid w:val="0097280B"/>
    <w:rsid w:val="009747F3"/>
    <w:rsid w:val="00974968"/>
    <w:rsid w:val="009862D1"/>
    <w:rsid w:val="00986C3E"/>
    <w:rsid w:val="00993D48"/>
    <w:rsid w:val="009A1772"/>
    <w:rsid w:val="009A4BD0"/>
    <w:rsid w:val="009A53FC"/>
    <w:rsid w:val="009B082A"/>
    <w:rsid w:val="009B2CE5"/>
    <w:rsid w:val="009B39A5"/>
    <w:rsid w:val="009B5679"/>
    <w:rsid w:val="009C1116"/>
    <w:rsid w:val="009C57C2"/>
    <w:rsid w:val="009C7E17"/>
    <w:rsid w:val="009D0790"/>
    <w:rsid w:val="009D324A"/>
    <w:rsid w:val="009E514E"/>
    <w:rsid w:val="009E7A8E"/>
    <w:rsid w:val="009F1032"/>
    <w:rsid w:val="009F2F44"/>
    <w:rsid w:val="009F5BBF"/>
    <w:rsid w:val="009F6D38"/>
    <w:rsid w:val="009F7E21"/>
    <w:rsid w:val="00A06400"/>
    <w:rsid w:val="00A10BFD"/>
    <w:rsid w:val="00A14CD9"/>
    <w:rsid w:val="00A1563D"/>
    <w:rsid w:val="00A15751"/>
    <w:rsid w:val="00A1658C"/>
    <w:rsid w:val="00A16F34"/>
    <w:rsid w:val="00A252B9"/>
    <w:rsid w:val="00A2599E"/>
    <w:rsid w:val="00A3513E"/>
    <w:rsid w:val="00A37BEA"/>
    <w:rsid w:val="00A40BA2"/>
    <w:rsid w:val="00A42F49"/>
    <w:rsid w:val="00A4407E"/>
    <w:rsid w:val="00A44201"/>
    <w:rsid w:val="00A47C77"/>
    <w:rsid w:val="00A51238"/>
    <w:rsid w:val="00A537E0"/>
    <w:rsid w:val="00A55A84"/>
    <w:rsid w:val="00A57848"/>
    <w:rsid w:val="00A64B0F"/>
    <w:rsid w:val="00A65C5E"/>
    <w:rsid w:val="00A71130"/>
    <w:rsid w:val="00A75F04"/>
    <w:rsid w:val="00A76259"/>
    <w:rsid w:val="00A86AC7"/>
    <w:rsid w:val="00A93BDA"/>
    <w:rsid w:val="00A9572D"/>
    <w:rsid w:val="00A97858"/>
    <w:rsid w:val="00AA4528"/>
    <w:rsid w:val="00AA66C7"/>
    <w:rsid w:val="00AA6832"/>
    <w:rsid w:val="00AB0CD6"/>
    <w:rsid w:val="00AB525B"/>
    <w:rsid w:val="00AC1660"/>
    <w:rsid w:val="00AC5420"/>
    <w:rsid w:val="00AC5B94"/>
    <w:rsid w:val="00AD27DF"/>
    <w:rsid w:val="00AE2503"/>
    <w:rsid w:val="00AE281E"/>
    <w:rsid w:val="00AF1F3F"/>
    <w:rsid w:val="00AF76ED"/>
    <w:rsid w:val="00B01488"/>
    <w:rsid w:val="00B25CE7"/>
    <w:rsid w:val="00B32528"/>
    <w:rsid w:val="00B406C3"/>
    <w:rsid w:val="00B4439C"/>
    <w:rsid w:val="00B50DB2"/>
    <w:rsid w:val="00B50ED4"/>
    <w:rsid w:val="00B52FE8"/>
    <w:rsid w:val="00B53FC8"/>
    <w:rsid w:val="00B55137"/>
    <w:rsid w:val="00B55825"/>
    <w:rsid w:val="00B569E4"/>
    <w:rsid w:val="00B72870"/>
    <w:rsid w:val="00B7535E"/>
    <w:rsid w:val="00B75CEA"/>
    <w:rsid w:val="00B804EF"/>
    <w:rsid w:val="00B81DDA"/>
    <w:rsid w:val="00B83161"/>
    <w:rsid w:val="00B86049"/>
    <w:rsid w:val="00B86A64"/>
    <w:rsid w:val="00BA160F"/>
    <w:rsid w:val="00BA5B25"/>
    <w:rsid w:val="00BA67E4"/>
    <w:rsid w:val="00BA6BF3"/>
    <w:rsid w:val="00BB3278"/>
    <w:rsid w:val="00BC4ADF"/>
    <w:rsid w:val="00BC532F"/>
    <w:rsid w:val="00BC5A10"/>
    <w:rsid w:val="00BC6527"/>
    <w:rsid w:val="00BC7377"/>
    <w:rsid w:val="00BD06B3"/>
    <w:rsid w:val="00BD371F"/>
    <w:rsid w:val="00BD491D"/>
    <w:rsid w:val="00BE59DB"/>
    <w:rsid w:val="00BF64A3"/>
    <w:rsid w:val="00BF70D7"/>
    <w:rsid w:val="00BF760F"/>
    <w:rsid w:val="00C00EF7"/>
    <w:rsid w:val="00C02AE3"/>
    <w:rsid w:val="00C03F12"/>
    <w:rsid w:val="00C05A3C"/>
    <w:rsid w:val="00C0620F"/>
    <w:rsid w:val="00C07F94"/>
    <w:rsid w:val="00C11089"/>
    <w:rsid w:val="00C116DA"/>
    <w:rsid w:val="00C17923"/>
    <w:rsid w:val="00C26351"/>
    <w:rsid w:val="00C40D84"/>
    <w:rsid w:val="00C41643"/>
    <w:rsid w:val="00C4412A"/>
    <w:rsid w:val="00C50959"/>
    <w:rsid w:val="00C53DA6"/>
    <w:rsid w:val="00C63763"/>
    <w:rsid w:val="00C6584A"/>
    <w:rsid w:val="00C71DB1"/>
    <w:rsid w:val="00C83A93"/>
    <w:rsid w:val="00C86465"/>
    <w:rsid w:val="00C8767F"/>
    <w:rsid w:val="00C911C1"/>
    <w:rsid w:val="00C95CBE"/>
    <w:rsid w:val="00CB097C"/>
    <w:rsid w:val="00CB1E5D"/>
    <w:rsid w:val="00CB2127"/>
    <w:rsid w:val="00CB224A"/>
    <w:rsid w:val="00CB4555"/>
    <w:rsid w:val="00CB6AA7"/>
    <w:rsid w:val="00CC086B"/>
    <w:rsid w:val="00CC1A8A"/>
    <w:rsid w:val="00CC67EF"/>
    <w:rsid w:val="00CC755F"/>
    <w:rsid w:val="00CD5F10"/>
    <w:rsid w:val="00CE561F"/>
    <w:rsid w:val="00CF0660"/>
    <w:rsid w:val="00CF3F93"/>
    <w:rsid w:val="00CF4083"/>
    <w:rsid w:val="00CF4181"/>
    <w:rsid w:val="00D11517"/>
    <w:rsid w:val="00D233FE"/>
    <w:rsid w:val="00D4005D"/>
    <w:rsid w:val="00D46334"/>
    <w:rsid w:val="00D50D0E"/>
    <w:rsid w:val="00D60C46"/>
    <w:rsid w:val="00D60D4A"/>
    <w:rsid w:val="00D6257B"/>
    <w:rsid w:val="00D62EE5"/>
    <w:rsid w:val="00D67517"/>
    <w:rsid w:val="00D67F56"/>
    <w:rsid w:val="00D70526"/>
    <w:rsid w:val="00D7781D"/>
    <w:rsid w:val="00D8331C"/>
    <w:rsid w:val="00D83627"/>
    <w:rsid w:val="00D90FAA"/>
    <w:rsid w:val="00D95A15"/>
    <w:rsid w:val="00DA3A16"/>
    <w:rsid w:val="00DC1C49"/>
    <w:rsid w:val="00DC223D"/>
    <w:rsid w:val="00DC5BF3"/>
    <w:rsid w:val="00DC6201"/>
    <w:rsid w:val="00DC64E7"/>
    <w:rsid w:val="00DC6E4F"/>
    <w:rsid w:val="00DD0D81"/>
    <w:rsid w:val="00DD525A"/>
    <w:rsid w:val="00DE17DA"/>
    <w:rsid w:val="00DE2B14"/>
    <w:rsid w:val="00DE648F"/>
    <w:rsid w:val="00DF3E38"/>
    <w:rsid w:val="00DF4F94"/>
    <w:rsid w:val="00DF6CCA"/>
    <w:rsid w:val="00DF7020"/>
    <w:rsid w:val="00E00A52"/>
    <w:rsid w:val="00E041D2"/>
    <w:rsid w:val="00E04E42"/>
    <w:rsid w:val="00E10F55"/>
    <w:rsid w:val="00E12584"/>
    <w:rsid w:val="00E12FFB"/>
    <w:rsid w:val="00E1307B"/>
    <w:rsid w:val="00E13B71"/>
    <w:rsid w:val="00E1496E"/>
    <w:rsid w:val="00E177C9"/>
    <w:rsid w:val="00E2176D"/>
    <w:rsid w:val="00E21AED"/>
    <w:rsid w:val="00E2425F"/>
    <w:rsid w:val="00E316D3"/>
    <w:rsid w:val="00E40A03"/>
    <w:rsid w:val="00E44260"/>
    <w:rsid w:val="00E45E9B"/>
    <w:rsid w:val="00E4648B"/>
    <w:rsid w:val="00E5179A"/>
    <w:rsid w:val="00E54357"/>
    <w:rsid w:val="00E54BA2"/>
    <w:rsid w:val="00E54DB4"/>
    <w:rsid w:val="00E5641E"/>
    <w:rsid w:val="00E713DD"/>
    <w:rsid w:val="00E71DD3"/>
    <w:rsid w:val="00E76313"/>
    <w:rsid w:val="00E8169F"/>
    <w:rsid w:val="00E94F1F"/>
    <w:rsid w:val="00E96C21"/>
    <w:rsid w:val="00E97758"/>
    <w:rsid w:val="00EA666C"/>
    <w:rsid w:val="00EB169C"/>
    <w:rsid w:val="00EB2B21"/>
    <w:rsid w:val="00EC3303"/>
    <w:rsid w:val="00ED2290"/>
    <w:rsid w:val="00ED2628"/>
    <w:rsid w:val="00EE08FA"/>
    <w:rsid w:val="00EE4E90"/>
    <w:rsid w:val="00EE6F94"/>
    <w:rsid w:val="00EF3E90"/>
    <w:rsid w:val="00EF5D56"/>
    <w:rsid w:val="00F012EA"/>
    <w:rsid w:val="00F026D5"/>
    <w:rsid w:val="00F036EF"/>
    <w:rsid w:val="00F04F0E"/>
    <w:rsid w:val="00F05D8C"/>
    <w:rsid w:val="00F06478"/>
    <w:rsid w:val="00F071E2"/>
    <w:rsid w:val="00F07D0E"/>
    <w:rsid w:val="00F10822"/>
    <w:rsid w:val="00F15BAF"/>
    <w:rsid w:val="00F23BD7"/>
    <w:rsid w:val="00F264DD"/>
    <w:rsid w:val="00F33A6A"/>
    <w:rsid w:val="00F37272"/>
    <w:rsid w:val="00F41E30"/>
    <w:rsid w:val="00F447E2"/>
    <w:rsid w:val="00F464D7"/>
    <w:rsid w:val="00F4756E"/>
    <w:rsid w:val="00F57545"/>
    <w:rsid w:val="00F60051"/>
    <w:rsid w:val="00F60530"/>
    <w:rsid w:val="00F64374"/>
    <w:rsid w:val="00F6627E"/>
    <w:rsid w:val="00F703DE"/>
    <w:rsid w:val="00F73064"/>
    <w:rsid w:val="00F74714"/>
    <w:rsid w:val="00F76AD2"/>
    <w:rsid w:val="00F76DA6"/>
    <w:rsid w:val="00F805AB"/>
    <w:rsid w:val="00F81046"/>
    <w:rsid w:val="00F857A2"/>
    <w:rsid w:val="00F8675B"/>
    <w:rsid w:val="00F87048"/>
    <w:rsid w:val="00F90417"/>
    <w:rsid w:val="00F913A3"/>
    <w:rsid w:val="00F930E3"/>
    <w:rsid w:val="00F94359"/>
    <w:rsid w:val="00F973D6"/>
    <w:rsid w:val="00FA0D2B"/>
    <w:rsid w:val="00FB3FED"/>
    <w:rsid w:val="00FB59AE"/>
    <w:rsid w:val="00FC741B"/>
    <w:rsid w:val="00FD2B28"/>
    <w:rsid w:val="00FD7764"/>
    <w:rsid w:val="00FE29C3"/>
    <w:rsid w:val="00FE420F"/>
    <w:rsid w:val="00FF4FD6"/>
    <w:rsid w:val="00FF54E1"/>
    <w:rsid w:val="00FF5A9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881"/>
    <o:shapelayout v:ext="edit">
      <o:idmap v:ext="edit" data="2"/>
    </o:shapelayout>
  </w:shapeDefaults>
  <w:decimalSymbol w:val="."/>
  <w:listSeparator w:val=","/>
  <w14:docId w14:val="6357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31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1A18CF"/>
    <w:pPr>
      <w:spacing w:before="600" w:line="460" w:lineRule="exact"/>
      <w:outlineLvl w:val="0"/>
    </w:pPr>
    <w:rPr>
      <w:b/>
      <w:color w:val="5D779D" w:themeColor="accent3"/>
      <w:sz w:val="44"/>
    </w:rPr>
  </w:style>
  <w:style w:type="paragraph" w:styleId="Heading2">
    <w:name w:val="heading 2"/>
    <w:basedOn w:val="HeadingBase"/>
    <w:next w:val="Normal"/>
    <w:link w:val="Heading2Char"/>
    <w:qFormat/>
    <w:rsid w:val="00643367"/>
    <w:pPr>
      <w:numPr>
        <w:numId w:val="23"/>
      </w:numPr>
      <w:spacing w:before="360" w:line="460" w:lineRule="exact"/>
      <w:ind w:left="397" w:hanging="397"/>
      <w:outlineLvl w:val="1"/>
    </w:pPr>
    <w:rPr>
      <w:bCs w:val="0"/>
      <w:iCs/>
      <w:color w:val="2C384A"/>
      <w:sz w:val="36"/>
      <w:szCs w:val="28"/>
    </w:rPr>
  </w:style>
  <w:style w:type="paragraph" w:styleId="Heading3">
    <w:name w:val="heading 3"/>
    <w:basedOn w:val="HeadingBase"/>
    <w:next w:val="Normal"/>
    <w:link w:val="Heading3Char"/>
    <w:qFormat/>
    <w:rsid w:val="001A18CF"/>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1A18CF"/>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qFormat/>
    <w:rsid w:val="001A18CF"/>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qFormat/>
    <w:rsid w:val="001A18CF"/>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qFormat/>
    <w:rsid w:val="001A18CF"/>
    <w:pPr>
      <w:keepNext/>
      <w:spacing w:after="120" w:line="240" w:lineRule="auto"/>
    </w:pPr>
    <w:rPr>
      <w:rFonts w:ascii="Calibri" w:eastAsia="Times New Roman" w:hAnsi="Calibri" w:cs="Arial"/>
      <w:bCs/>
      <w:color w:val="002C4A"/>
      <w:kern w:val="32"/>
      <w:sz w:val="48"/>
      <w:szCs w:val="36"/>
      <w:lang w:eastAsia="en-AU"/>
    </w:rPr>
  </w:style>
  <w:style w:type="character" w:customStyle="1" w:styleId="Heading1Char">
    <w:name w:val="Heading 1 Char"/>
    <w:basedOn w:val="DefaultParagraphFont"/>
    <w:link w:val="Heading1"/>
    <w:rsid w:val="001A18CF"/>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643367"/>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1A18CF"/>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1A18CF"/>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1A18CF"/>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1A18CF"/>
    <w:rPr>
      <w:rFonts w:ascii="Calibri Light" w:eastAsia="Times New Roman" w:hAnsi="Calibri Light" w:cs="Arial"/>
      <w:color w:val="000000" w:themeColor="text1"/>
      <w:kern w:val="32"/>
      <w:lang w:eastAsia="en-AU"/>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Normal"/>
    <w:next w:val="Normal"/>
    <w:rsid w:val="001A18CF"/>
    <w:pPr>
      <w:keepNext/>
      <w:spacing w:before="0" w:after="0"/>
      <w:jc w:val="center"/>
    </w:pPr>
    <w:rPr>
      <w:color w:val="004A7F"/>
      <w:sz w:val="20"/>
    </w:rPr>
  </w:style>
  <w:style w:type="paragraph" w:customStyle="1" w:styleId="TableGraphic">
    <w:name w:val="Table Graphic"/>
    <w:basedOn w:val="HeadingBase"/>
    <w:next w:val="Normal"/>
    <w:qFormat/>
    <w:rsid w:val="001A18CF"/>
    <w:pPr>
      <w:spacing w:after="0"/>
    </w:pPr>
  </w:style>
  <w:style w:type="paragraph" w:customStyle="1" w:styleId="AlphaParagraph">
    <w:name w:val="Alpha Paragraph"/>
    <w:basedOn w:val="Normal"/>
    <w:qFormat/>
    <w:rsid w:val="009D0790"/>
    <w:pPr>
      <w:numPr>
        <w:numId w:val="2"/>
      </w:numPr>
    </w:pPr>
  </w:style>
  <w:style w:type="paragraph" w:customStyle="1" w:styleId="AppendixHeading">
    <w:name w:val="Appendix Heading"/>
    <w:basedOn w:val="Heading1"/>
    <w:next w:val="Normal"/>
    <w:rsid w:val="006457CC"/>
    <w:pPr>
      <w:spacing w:before="720" w:after="360"/>
    </w:pPr>
    <w:rPr>
      <w:sz w:val="36"/>
    </w:rPr>
  </w:style>
  <w:style w:type="paragraph" w:styleId="BalloonText">
    <w:name w:val="Balloon Text"/>
    <w:basedOn w:val="Normal"/>
    <w:link w:val="BalloonTextChar"/>
    <w:rsid w:val="00F73064"/>
    <w:pPr>
      <w:spacing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Heading">
    <w:name w:val="Box Heading"/>
    <w:basedOn w:val="Normal"/>
    <w:next w:val="Normal"/>
    <w:qFormat/>
    <w:rsid w:val="001A18CF"/>
    <w:pPr>
      <w:keepNext/>
      <w:spacing w:before="240"/>
    </w:pPr>
    <w:rPr>
      <w:b/>
      <w:color w:val="2C384A" w:themeColor="accent1"/>
      <w:sz w:val="26"/>
      <w:szCs w:val="26"/>
    </w:rPr>
  </w:style>
  <w:style w:type="paragraph" w:customStyle="1" w:styleId="BoxText">
    <w:name w:val="Box Text"/>
    <w:basedOn w:val="Normal"/>
    <w:link w:val="BoxTextChar"/>
    <w:rsid w:val="001A18CF"/>
  </w:style>
  <w:style w:type="paragraph" w:customStyle="1" w:styleId="Bullet">
    <w:name w:val="Bullet"/>
    <w:basedOn w:val="Normal"/>
    <w:link w:val="BulletChar"/>
    <w:qFormat/>
    <w:rsid w:val="001A18CF"/>
    <w:pPr>
      <w:numPr>
        <w:numId w:val="20"/>
      </w:numPr>
      <w:tabs>
        <w:tab w:val="clear" w:pos="520"/>
        <w:tab w:val="left" w:pos="720"/>
      </w:tabs>
      <w:spacing w:after="0" w:line="276" w:lineRule="auto"/>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1A18CF"/>
    <w:pPr>
      <w:numPr>
        <w:numId w:val="21"/>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DE17DA"/>
    <w:pPr>
      <w:jc w:val="center"/>
    </w:pPr>
  </w:style>
  <w:style w:type="paragraph" w:customStyle="1" w:styleId="ChartorTableNote">
    <w:name w:val="Chart or Table Note"/>
    <w:next w:val="Normal"/>
    <w:rsid w:val="001A18CF"/>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C2690"/>
    <w:pPr>
      <w:jc w:val="center"/>
    </w:pPr>
    <w:rPr>
      <w:bCs/>
    </w:rPr>
  </w:style>
  <w:style w:type="paragraph" w:customStyle="1" w:styleId="Classification">
    <w:name w:val="Classification"/>
    <w:basedOn w:val="HeadingBase"/>
    <w:next w:val="Footer"/>
    <w:rsid w:val="00B55137"/>
    <w:pPr>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575037"/>
    <w:pPr>
      <w:spacing w:before="600"/>
    </w:pPr>
    <w:rPr>
      <w:rFonts w:asciiTheme="majorHAnsi" w:hAnsiTheme="majorHAnsi"/>
      <w:b/>
      <w:color w:val="5D779D" w:themeColor="accent3"/>
      <w:kern w:val="28"/>
      <w:sz w:val="44"/>
    </w:rPr>
  </w:style>
  <w:style w:type="paragraph" w:customStyle="1" w:styleId="Dash">
    <w:name w:val="Dash"/>
    <w:basedOn w:val="Normal"/>
    <w:link w:val="DashChar"/>
    <w:qFormat/>
    <w:rsid w:val="00F73064"/>
    <w:pPr>
      <w:numPr>
        <w:ilvl w:val="1"/>
        <w:numId w:val="22"/>
      </w:numPr>
    </w:pPr>
  </w:style>
  <w:style w:type="paragraph" w:customStyle="1" w:styleId="DoubleDot">
    <w:name w:val="Double Dot"/>
    <w:basedOn w:val="Normal"/>
    <w:link w:val="DoubleDotChar"/>
    <w:qFormat/>
    <w:rsid w:val="001A18CF"/>
    <w:pPr>
      <w:numPr>
        <w:ilvl w:val="2"/>
        <w:numId w:val="22"/>
      </w:numPr>
      <w:spacing w:before="0"/>
    </w:pPr>
  </w:style>
  <w:style w:type="paragraph" w:customStyle="1" w:styleId="TableMainHeading">
    <w:name w:val="Table Main Heading"/>
    <w:basedOn w:val="Heading3"/>
    <w:next w:val="Normal"/>
    <w:rsid w:val="001A18CF"/>
    <w:pPr>
      <w:spacing w:before="120"/>
    </w:pPr>
    <w:rPr>
      <w:b w:val="0"/>
      <w:sz w:val="26"/>
    </w:rPr>
  </w:style>
  <w:style w:type="paragraph" w:customStyle="1" w:styleId="FooterCentered">
    <w:name w:val="Footer Centered"/>
    <w:basedOn w:val="Footer"/>
    <w:rsid w:val="00B55137"/>
    <w:pPr>
      <w:jc w:val="center"/>
    </w:pPr>
  </w:style>
  <w:style w:type="paragraph" w:customStyle="1" w:styleId="FooterEven">
    <w:name w:val="Footer Even"/>
    <w:basedOn w:val="Footer"/>
    <w:rsid w:val="001A18CF"/>
    <w:pPr>
      <w:keepNext/>
      <w:tabs>
        <w:tab w:val="clear" w:pos="5670"/>
      </w:tabs>
      <w:spacing w:before="0"/>
      <w:jc w:val="left"/>
    </w:pPr>
    <w:rPr>
      <w:rFonts w:ascii="Calibri Light" w:hAnsi="Calibri Light"/>
      <w:noProof/>
      <w:color w:val="2C384A" w:themeColor="accent1"/>
      <w:sz w:val="20"/>
    </w:rPr>
  </w:style>
  <w:style w:type="paragraph" w:customStyle="1" w:styleId="FooterOdd">
    <w:name w:val="Footer Odd"/>
    <w:basedOn w:val="Footer"/>
    <w:rsid w:val="001A18CF"/>
    <w:pPr>
      <w:keepNext/>
      <w:tabs>
        <w:tab w:val="clear" w:pos="5670"/>
      </w:tabs>
      <w:spacing w:before="0"/>
    </w:pPr>
    <w:rPr>
      <w:rFonts w:ascii="Calibri Light" w:hAnsi="Calibri Light"/>
      <w:color w:val="2C384A" w:themeColor="accent1"/>
      <w:sz w:val="20"/>
    </w:rPr>
  </w:style>
  <w:style w:type="character" w:styleId="FootnoteReference">
    <w:name w:val="footnote reference"/>
    <w:basedOn w:val="DefaultParagraphFont"/>
    <w:rsid w:val="001A18CF"/>
    <w:rPr>
      <w:sz w:val="18"/>
    </w:rPr>
  </w:style>
  <w:style w:type="paragraph" w:styleId="FootnoteText">
    <w:name w:val="footnote text"/>
    <w:basedOn w:val="Normal"/>
    <w:link w:val="FootnoteTextChar"/>
    <w:rsid w:val="001A18CF"/>
    <w:pPr>
      <w:spacing w:before="0" w:after="0"/>
      <w:ind w:left="397" w:hanging="397"/>
    </w:pPr>
    <w:rPr>
      <w:sz w:val="20"/>
    </w:rPr>
  </w:style>
  <w:style w:type="character" w:customStyle="1" w:styleId="FootnoteTextChar">
    <w:name w:val="Footnote Text Char"/>
    <w:basedOn w:val="DefaultParagraphFont"/>
    <w:link w:val="FootnoteText"/>
    <w:rsid w:val="001A18CF"/>
    <w:rPr>
      <w:rFonts w:ascii="Calibri Light" w:eastAsia="Times New Roman" w:hAnsi="Calibri Light" w:cs="Times New Roman"/>
      <w:sz w:val="20"/>
      <w:szCs w:val="20"/>
      <w:lang w:eastAsia="en-AU"/>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uiPriority w:val="99"/>
    <w:rsid w:val="00F73064"/>
    <w:pPr>
      <w:jc w:val="center"/>
    </w:pPr>
    <w:rPr>
      <w:sz w:val="18"/>
    </w:rPr>
  </w:style>
  <w:style w:type="character" w:customStyle="1" w:styleId="HeaderChar">
    <w:name w:val="Header Char"/>
    <w:basedOn w:val="DefaultParagraphFont"/>
    <w:link w:val="Header"/>
    <w:uiPriority w:val="99"/>
    <w:rsid w:val="00460338"/>
    <w:rPr>
      <w:rFonts w:ascii="Arial" w:hAnsi="Arial"/>
      <w:color w:val="003157"/>
      <w:sz w:val="18"/>
    </w:rPr>
  </w:style>
  <w:style w:type="paragraph" w:customStyle="1" w:styleId="HeaderEven">
    <w:name w:val="Header Even"/>
    <w:basedOn w:val="Header"/>
    <w:qFormat/>
    <w:rsid w:val="001A18CF"/>
    <w:pPr>
      <w:spacing w:before="0"/>
      <w:jc w:val="left"/>
    </w:pPr>
    <w:rPr>
      <w:rFonts w:ascii="Calibri Light" w:hAnsi="Calibri Light"/>
      <w:color w:val="002C47"/>
      <w:sz w:val="20"/>
    </w:rPr>
  </w:style>
  <w:style w:type="paragraph" w:customStyle="1" w:styleId="HeaderOdd">
    <w:name w:val="Header Odd"/>
    <w:basedOn w:val="Header"/>
    <w:qFormat/>
    <w:rsid w:val="001A18CF"/>
    <w:pPr>
      <w:spacing w:before="0"/>
      <w:jc w:val="right"/>
    </w:pPr>
    <w:rPr>
      <w:rFonts w:ascii="Calibri Light" w:hAnsi="Calibri Light"/>
      <w:color w:val="002C47"/>
      <w:sz w:val="20"/>
    </w:rPr>
  </w:style>
  <w:style w:type="character" w:styleId="Hyperlink">
    <w:name w:val="Hyperlink"/>
    <w:basedOn w:val="DefaultParagraphFont"/>
    <w:uiPriority w:val="99"/>
    <w:rsid w:val="001A18CF"/>
    <w:rPr>
      <w:color w:val="3A6FAF"/>
      <w:u w:val="non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OutlineNumbered1">
    <w:name w:val="Outline Numbered 1"/>
    <w:basedOn w:val="Normal"/>
    <w:link w:val="OutlineNumbered1Char"/>
    <w:rsid w:val="003E0E7B"/>
    <w:pPr>
      <w:numPr>
        <w:numId w:val="8"/>
      </w:numPr>
    </w:pPr>
  </w:style>
  <w:style w:type="paragraph" w:customStyle="1" w:styleId="OneLevelNumberedParagraph">
    <w:name w:val="One Level Numbered Paragraph"/>
    <w:basedOn w:val="Normal"/>
    <w:rsid w:val="003E0E7B"/>
    <w:pPr>
      <w:numPr>
        <w:numId w:val="7"/>
      </w:numPr>
    </w:pPr>
  </w:style>
  <w:style w:type="paragraph" w:customStyle="1" w:styleId="OutlineNumbered2">
    <w:name w:val="Outline Numbered 2"/>
    <w:basedOn w:val="Normal"/>
    <w:rsid w:val="003E0E7B"/>
    <w:pPr>
      <w:numPr>
        <w:ilvl w:val="1"/>
        <w:numId w:val="8"/>
      </w:numPr>
    </w:pPr>
  </w:style>
  <w:style w:type="paragraph" w:customStyle="1" w:styleId="OutlineNumbered3">
    <w:name w:val="Outline Numbered 3"/>
    <w:basedOn w:val="Normal"/>
    <w:rsid w:val="003E0E7B"/>
    <w:pPr>
      <w:numPr>
        <w:ilvl w:val="2"/>
        <w:numId w:val="8"/>
      </w:numPr>
    </w:pPr>
  </w:style>
  <w:style w:type="character" w:styleId="PageNumber">
    <w:name w:val="page number"/>
    <w:basedOn w:val="DefaultParagraphFont"/>
    <w:rsid w:val="00365C6D"/>
    <w:rPr>
      <w:rFonts w:asciiTheme="minorHAnsi" w:hAnsiTheme="minorHAnsi"/>
      <w:color w:val="003057"/>
      <w:sz w:val="22"/>
    </w:rPr>
  </w:style>
  <w:style w:type="paragraph" w:customStyle="1" w:styleId="Romannumeral">
    <w:name w:val="Roman numeral"/>
    <w:basedOn w:val="Normal"/>
    <w:rsid w:val="009C7E17"/>
    <w:pPr>
      <w:numPr>
        <w:numId w:val="10"/>
      </w:numPr>
    </w:pPr>
  </w:style>
  <w:style w:type="paragraph" w:customStyle="1" w:styleId="SingleParagraph">
    <w:name w:val="Single Paragraph"/>
    <w:basedOn w:val="Normal"/>
    <w:link w:val="SingleParagraphChar"/>
    <w:rsid w:val="001A18CF"/>
    <w:pPr>
      <w:spacing w:before="0" w:after="0"/>
    </w:pPr>
  </w:style>
  <w:style w:type="paragraph" w:customStyle="1" w:styleId="TableSecondHeading">
    <w:name w:val="Table Second Heading"/>
    <w:basedOn w:val="Normal"/>
    <w:next w:val="Normal"/>
    <w:rsid w:val="006C2690"/>
    <w:pPr>
      <w:keepNext/>
      <w:spacing w:before="0" w:after="20"/>
    </w:pPr>
    <w:rPr>
      <w:color w:val="004A7F"/>
    </w:rPr>
  </w:style>
  <w:style w:type="paragraph" w:customStyle="1" w:styleId="TableTextBase">
    <w:name w:val="Table Text Base"/>
    <w:rsid w:val="00DE17DA"/>
    <w:pPr>
      <w:spacing w:before="40" w:after="40" w:line="240" w:lineRule="auto"/>
    </w:pPr>
    <w:rPr>
      <w:rFonts w:ascii="Calibri Light" w:eastAsia="Times New Roman" w:hAnsi="Calibri Light" w:cs="Times New Roman"/>
      <w:sz w:val="18"/>
      <w:szCs w:val="20"/>
      <w:lang w:eastAsia="en-AU"/>
    </w:rPr>
  </w:style>
  <w:style w:type="paragraph" w:customStyle="1" w:styleId="TableColumnHeadingCentred">
    <w:name w:val="Table Column Heading Centred"/>
    <w:basedOn w:val="TableTextLeft"/>
    <w:rsid w:val="001A18CF"/>
    <w:pPr>
      <w:jc w:val="center"/>
    </w:pPr>
    <w:rPr>
      <w:b/>
      <w:color w:val="004A7F"/>
      <w:sz w:val="20"/>
    </w:rPr>
  </w:style>
  <w:style w:type="paragraph" w:customStyle="1" w:styleId="TableColumnHeadingBase">
    <w:name w:val="Table Column Heading Base"/>
    <w:basedOn w:val="Normal"/>
    <w:rsid w:val="006C2690"/>
    <w:pPr>
      <w:spacing w:before="40" w:after="40"/>
    </w:pPr>
    <w:rPr>
      <w:b/>
      <w:color w:val="5D779D" w:themeColor="accent3"/>
      <w:sz w:val="20"/>
    </w:rPr>
  </w:style>
  <w:style w:type="paragraph" w:customStyle="1" w:styleId="TableColumnHeadingLeft">
    <w:name w:val="Table Column Heading Left"/>
    <w:basedOn w:val="TableTextLeft"/>
    <w:rsid w:val="001A18CF"/>
    <w:rPr>
      <w:b/>
      <w:color w:val="004A7F"/>
      <w:sz w:val="20"/>
    </w:rPr>
  </w:style>
  <w:style w:type="paragraph" w:customStyle="1" w:styleId="TableColumnHeadingRight">
    <w:name w:val="Table Column Heading Right"/>
    <w:basedOn w:val="TableTextLeft"/>
    <w:rsid w:val="001A18CF"/>
    <w:pPr>
      <w:jc w:val="right"/>
    </w:pPr>
    <w:rPr>
      <w:b/>
      <w:color w:val="004A7F"/>
      <w:sz w:val="20"/>
    </w:rPr>
  </w:style>
  <w:style w:type="table" w:styleId="TableGrid">
    <w:name w:val="Table Grid"/>
    <w:basedOn w:val="TableNormal"/>
    <w:rsid w:val="001A18CF"/>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330A9F"/>
    <w:pPr>
      <w:spacing w:after="20"/>
    </w:pPr>
    <w:rPr>
      <w:b/>
      <w:color w:val="2C384A" w:themeColor="accent1"/>
      <w:sz w:val="22"/>
    </w:rPr>
  </w:style>
  <w:style w:type="paragraph" w:customStyle="1" w:styleId="TableTextCentered">
    <w:name w:val="Table Text Centered"/>
    <w:basedOn w:val="TableTextRight"/>
    <w:rsid w:val="001A18CF"/>
    <w:pPr>
      <w:jc w:val="center"/>
    </w:pPr>
  </w:style>
  <w:style w:type="paragraph" w:customStyle="1" w:styleId="TableTextIndented">
    <w:name w:val="Table Text Indented"/>
    <w:basedOn w:val="TableTextLeft"/>
    <w:qFormat/>
    <w:rsid w:val="001A18CF"/>
    <w:pPr>
      <w:ind w:left="284"/>
    </w:pPr>
  </w:style>
  <w:style w:type="paragraph" w:customStyle="1" w:styleId="TableTextLeft">
    <w:name w:val="Table Text Left"/>
    <w:basedOn w:val="TableTextRight"/>
    <w:rsid w:val="001A18CF"/>
    <w:pPr>
      <w:jc w:val="left"/>
    </w:pPr>
  </w:style>
  <w:style w:type="paragraph" w:customStyle="1" w:styleId="TableTextRight">
    <w:name w:val="Table Text Right"/>
    <w:basedOn w:val="Normal"/>
    <w:rsid w:val="001A18CF"/>
    <w:pPr>
      <w:spacing w:before="40" w:after="40"/>
      <w:jc w:val="right"/>
    </w:pPr>
    <w:rPr>
      <w:color w:val="000000"/>
      <w:sz w:val="18"/>
    </w:rPr>
  </w:style>
  <w:style w:type="paragraph" w:styleId="TOC1">
    <w:name w:val="toc 1"/>
    <w:basedOn w:val="Normal"/>
    <w:next w:val="Normal"/>
    <w:uiPriority w:val="39"/>
    <w:qFormat/>
    <w:rsid w:val="001A18CF"/>
    <w:pPr>
      <w:keepNext/>
      <w:tabs>
        <w:tab w:val="right" w:leader="dot" w:pos="9072"/>
      </w:tabs>
      <w:spacing w:before="180" w:after="0"/>
      <w:ind w:right="-2"/>
    </w:pPr>
    <w:rPr>
      <w:b/>
      <w:noProof/>
      <w:color w:val="002C4A"/>
      <w:szCs w:val="22"/>
    </w:rPr>
  </w:style>
  <w:style w:type="paragraph" w:styleId="TOC2">
    <w:name w:val="toc 2"/>
    <w:basedOn w:val="Normal"/>
    <w:next w:val="Normal"/>
    <w:qFormat/>
    <w:rsid w:val="001A18CF"/>
    <w:pPr>
      <w:keepNext/>
      <w:tabs>
        <w:tab w:val="right" w:leader="dot" w:pos="9072"/>
      </w:tabs>
      <w:spacing w:before="40" w:after="20"/>
      <w:ind w:right="-2"/>
    </w:pPr>
    <w:rPr>
      <w:noProof/>
      <w:color w:val="004A7F"/>
    </w:rPr>
  </w:style>
  <w:style w:type="paragraph" w:styleId="TOC3">
    <w:name w:val="toc 3"/>
    <w:basedOn w:val="Normal"/>
    <w:next w:val="Normal"/>
    <w:qFormat/>
    <w:rsid w:val="001A18CF"/>
    <w:pPr>
      <w:tabs>
        <w:tab w:val="right" w:leader="dot" w:pos="9072"/>
      </w:tabs>
      <w:spacing w:before="20" w:after="0"/>
      <w:ind w:left="284" w:right="-2"/>
    </w:pPr>
    <w:rPr>
      <w:rFonts w:cs="Calibri"/>
      <w:noProof/>
    </w:rPr>
  </w:style>
  <w:style w:type="paragraph" w:styleId="TOC4">
    <w:name w:val="toc 4"/>
    <w:basedOn w:val="Normal"/>
    <w:next w:val="Normal"/>
    <w:autoRedefine/>
    <w:rsid w:val="00F73064"/>
    <w:pPr>
      <w:tabs>
        <w:tab w:val="left" w:pos="1531"/>
        <w:tab w:val="right" w:leader="dot" w:pos="7711"/>
      </w:tabs>
      <w:ind w:left="1560" w:hanging="959"/>
    </w:pPr>
    <w:rPr>
      <w:noProof/>
    </w:rPr>
  </w:style>
  <w:style w:type="character" w:customStyle="1" w:styleId="BoldandItalic">
    <w:name w:val="Bold and Italic"/>
    <w:basedOn w:val="DefaultParagraphFont"/>
    <w:rsid w:val="00B55137"/>
    <w:rPr>
      <w:rFonts w:ascii="Arial" w:hAnsi="Arial"/>
      <w:b/>
      <w:i/>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4"/>
      </w:numPr>
    </w:pPr>
  </w:style>
  <w:style w:type="paragraph" w:customStyle="1" w:styleId="PictureCentred">
    <w:name w:val="Picture Centred"/>
    <w:basedOn w:val="Normal"/>
    <w:rsid w:val="00B55137"/>
    <w:pPr>
      <w:spacing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rPr>
      <w:rFonts w:ascii="Arial" w:hAnsi="Arial" w:cs="Arial"/>
      <w:b/>
      <w:bCs/>
      <w:sz w:val="24"/>
      <w:szCs w:val="24"/>
    </w:rPr>
  </w:style>
  <w:style w:type="paragraph" w:styleId="TOC5">
    <w:name w:val="toc 5"/>
    <w:basedOn w:val="Normal"/>
    <w:next w:val="Normal"/>
    <w:autoRedefine/>
    <w:semiHidden/>
    <w:rsid w:val="00F73064"/>
    <w:pPr>
      <w:ind w:left="1040"/>
    </w:pPr>
  </w:style>
  <w:style w:type="paragraph" w:styleId="TOC6">
    <w:name w:val="toc 6"/>
    <w:basedOn w:val="Normal"/>
    <w:next w:val="Normal"/>
    <w:autoRedefine/>
    <w:semiHidden/>
    <w:rsid w:val="00F73064"/>
    <w:pPr>
      <w:ind w:left="1300"/>
    </w:pPr>
  </w:style>
  <w:style w:type="paragraph" w:styleId="TOC7">
    <w:name w:val="toc 7"/>
    <w:basedOn w:val="Normal"/>
    <w:next w:val="Normal"/>
    <w:autoRedefine/>
    <w:semiHidden/>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F73064"/>
    <w:pPr>
      <w:tabs>
        <w:tab w:val="right" w:leader="dot" w:pos="7711"/>
      </w:tabs>
      <w:spacing w:after="0"/>
      <w:ind w:left="1134"/>
    </w:pPr>
    <w:rPr>
      <w:noProof/>
    </w:rPr>
  </w:style>
  <w:style w:type="paragraph" w:styleId="TOC9">
    <w:name w:val="toc 9"/>
    <w:basedOn w:val="Normal"/>
    <w:next w:val="Normal"/>
    <w:autoRedefine/>
    <w:semiHidden/>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1A18CF"/>
    <w:pPr>
      <w:numPr>
        <w:numId w:val="19"/>
      </w:numPr>
    </w:pPr>
  </w:style>
  <w:style w:type="numbering" w:customStyle="1" w:styleId="AlphaParagraphList">
    <w:name w:val="Alpha Paragraph List"/>
    <w:uiPriority w:val="99"/>
    <w:rsid w:val="009D0790"/>
    <w:pPr>
      <w:numPr>
        <w:numId w:val="2"/>
      </w:numPr>
    </w:pPr>
  </w:style>
  <w:style w:type="numbering" w:customStyle="1" w:styleId="OneLevelList">
    <w:name w:val="OneLevelList"/>
    <w:uiPriority w:val="99"/>
    <w:rsid w:val="003E0E7B"/>
    <w:pPr>
      <w:numPr>
        <w:numId w:val="3"/>
      </w:numPr>
    </w:pPr>
  </w:style>
  <w:style w:type="numbering" w:customStyle="1" w:styleId="RecommendationBulletList">
    <w:name w:val="RecommendationBulletList"/>
    <w:uiPriority w:val="99"/>
    <w:rsid w:val="00301A52"/>
    <w:pPr>
      <w:numPr>
        <w:numId w:val="5"/>
      </w:numPr>
    </w:pPr>
  </w:style>
  <w:style w:type="numbering" w:customStyle="1" w:styleId="RomanNumeralList">
    <w:name w:val="RomanNumeralList"/>
    <w:uiPriority w:val="99"/>
    <w:rsid w:val="009C7E17"/>
    <w:pPr>
      <w:numPr>
        <w:numId w:val="6"/>
      </w:numPr>
    </w:pPr>
  </w:style>
  <w:style w:type="numbering" w:customStyle="1" w:styleId="ChartandTableFootnoteAlphaList">
    <w:name w:val="ChartandTableFootnoteAlphaList"/>
    <w:uiPriority w:val="99"/>
    <w:rsid w:val="001A18CF"/>
    <w:pPr>
      <w:numPr>
        <w:numId w:val="21"/>
      </w:numPr>
    </w:pPr>
  </w:style>
  <w:style w:type="paragraph" w:customStyle="1" w:styleId="TableTextBullet">
    <w:name w:val="Table Text Bullet"/>
    <w:basedOn w:val="TableTextBase"/>
    <w:rsid w:val="002271BB"/>
    <w:pPr>
      <w:numPr>
        <w:numId w:val="13"/>
      </w:numPr>
    </w:pPr>
  </w:style>
  <w:style w:type="numbering" w:customStyle="1" w:styleId="TableTestBulletList">
    <w:name w:val="Table Test Bullet List"/>
    <w:uiPriority w:val="99"/>
    <w:rsid w:val="00E177C9"/>
    <w:pPr>
      <w:numPr>
        <w:numId w:val="11"/>
      </w:numPr>
    </w:pPr>
  </w:style>
  <w:style w:type="numbering" w:customStyle="1" w:styleId="TableTextBulletList">
    <w:name w:val="Table Text Bullet List"/>
    <w:uiPriority w:val="99"/>
    <w:rsid w:val="005F3390"/>
    <w:pPr>
      <w:numPr>
        <w:numId w:val="12"/>
      </w:numPr>
    </w:pPr>
  </w:style>
  <w:style w:type="paragraph" w:customStyle="1" w:styleId="SecurityClassificationHeader">
    <w:name w:val="Security Classification Header"/>
    <w:link w:val="SecurityClassificationHeaderChar"/>
    <w:rsid w:val="00A57848"/>
    <w:pPr>
      <w:spacing w:before="60" w:after="60" w:line="240" w:lineRule="auto"/>
      <w:jc w:val="center"/>
    </w:pPr>
    <w:rPr>
      <w:rFonts w:eastAsia="Times New Roman" w:cs="Times New Roman"/>
      <w:b/>
      <w:caps/>
      <w:color w:val="2C384A"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Arial" w:eastAsia="Times New Roman" w:hAnsi="Arial" w:cs="Times New Roman"/>
      <w:b/>
      <w:caps/>
      <w:color w:val="2C384A" w:themeColor="accent1"/>
      <w:sz w:val="24"/>
      <w:szCs w:val="20"/>
      <w:lang w:eastAsia="en-AU"/>
    </w:rPr>
  </w:style>
  <w:style w:type="paragraph" w:customStyle="1" w:styleId="SecurityClassificationFooter">
    <w:name w:val="Security Classification Footer"/>
    <w:link w:val="SecurityClassificationFooterChar"/>
    <w:rsid w:val="00A57848"/>
    <w:pPr>
      <w:spacing w:before="60" w:after="40" w:line="240" w:lineRule="auto"/>
      <w:jc w:val="center"/>
    </w:pPr>
    <w:rPr>
      <w:rFonts w:eastAsia="Times New Roman" w:cs="Times New Roman"/>
      <w:b/>
      <w:caps/>
      <w:color w:val="2C384A"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Arial" w:eastAsia="Times New Roman" w:hAnsi="Arial" w:cs="Times New Roman"/>
      <w:b/>
      <w:caps/>
      <w:color w:val="2C384A"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2C384A"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2C384A"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2C384A"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2C384A" w:themeColor="accent1"/>
      <w:sz w:val="24"/>
      <w:szCs w:val="20"/>
      <w:lang w:eastAsia="en-AU"/>
    </w:rPr>
  </w:style>
  <w:style w:type="paragraph" w:customStyle="1" w:styleId="AuthorName">
    <w:name w:val="Author Name"/>
    <w:basedOn w:val="Normal"/>
    <w:rsid w:val="00153F86"/>
    <w:rPr>
      <w:rFonts w:asciiTheme="minorHAnsi" w:hAnsiTheme="minorHAnsi"/>
      <w:sz w:val="24"/>
    </w:rPr>
  </w:style>
  <w:style w:type="paragraph" w:styleId="Title">
    <w:name w:val="Title"/>
    <w:basedOn w:val="Normal"/>
    <w:next w:val="Normal"/>
    <w:link w:val="TitleChar"/>
    <w:uiPriority w:val="10"/>
    <w:qFormat/>
    <w:rsid w:val="001A18CF"/>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A18CF"/>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HeadingBaseStyle"/>
    <w:link w:val="SubtitleChar"/>
    <w:uiPriority w:val="11"/>
    <w:qFormat/>
    <w:rsid w:val="00153F86"/>
    <w:pPr>
      <w:spacing w:before="360" w:after="360"/>
      <w:outlineLvl w:val="1"/>
    </w:pPr>
    <w:rPr>
      <w:rFonts w:asciiTheme="minorHAnsi" w:hAnsiTheme="minorHAnsi"/>
      <w:b/>
      <w:color w:val="auto"/>
      <w:sz w:val="40"/>
    </w:rPr>
  </w:style>
  <w:style w:type="character" w:customStyle="1" w:styleId="SubtitleChar">
    <w:name w:val="Subtitle Char"/>
    <w:basedOn w:val="DefaultParagraphFont"/>
    <w:link w:val="Subtitle"/>
    <w:uiPriority w:val="11"/>
    <w:rsid w:val="00153F86"/>
    <w:rPr>
      <w:rFonts w:eastAsia="Times New Roman" w:cs="Times New Roman"/>
      <w:b/>
      <w:sz w:val="40"/>
      <w:szCs w:val="20"/>
      <w:lang w:eastAsia="en-AU"/>
    </w:rPr>
  </w:style>
  <w:style w:type="paragraph" w:customStyle="1" w:styleId="SeriesNumber">
    <w:name w:val="Series Number"/>
    <w:basedOn w:val="HeadingBaseStyle"/>
    <w:rsid w:val="00153F86"/>
    <w:pPr>
      <w:spacing w:after="300"/>
    </w:pPr>
    <w:rPr>
      <w:rFonts w:asciiTheme="minorHAnsi" w:hAnsiTheme="minorHAnsi"/>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Heading2NotNumbered"/>
    <w:next w:val="Normal"/>
    <w:qFormat/>
    <w:rsid w:val="00225317"/>
    <w:rPr>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4"/>
      </w:numPr>
    </w:pPr>
  </w:style>
  <w:style w:type="paragraph" w:customStyle="1" w:styleId="HeadingBaseStyle">
    <w:name w:val="HeadingBaseStyle"/>
    <w:basedOn w:val="Normal"/>
    <w:rsid w:val="003822EE"/>
    <w:pPr>
      <w:keepNext/>
      <w:spacing w:after="0"/>
    </w:pPr>
    <w:rPr>
      <w:rFonts w:ascii="Arial" w:hAnsi="Arial"/>
      <w:color w:val="2C384A" w:themeColor="accent1"/>
    </w:rPr>
  </w:style>
  <w:style w:type="paragraph" w:customStyle="1" w:styleId="AppendixHeadingNotNumbered">
    <w:name w:val="Appendix Heading Not Numbered"/>
    <w:basedOn w:val="HeadingBaseStyle"/>
    <w:rsid w:val="00F73064"/>
    <w:pPr>
      <w:numPr>
        <w:numId w:val="15"/>
      </w:numPr>
      <w:spacing w:before="480" w:after="320"/>
    </w:pPr>
    <w:rPr>
      <w:b/>
      <w:smallCaps/>
      <w:sz w:val="32"/>
      <w:szCs w:val="28"/>
    </w:rPr>
  </w:style>
  <w:style w:type="paragraph" w:customStyle="1" w:styleId="AppendixHeadingLevel2">
    <w:name w:val="Appendix Heading Level 2"/>
    <w:basedOn w:val="AppendixHeadingNotNumbered"/>
    <w:next w:val="Normal"/>
    <w:rsid w:val="00225317"/>
    <w:pPr>
      <w:numPr>
        <w:ilvl w:val="1"/>
      </w:numPr>
      <w:tabs>
        <w:tab w:val="clear" w:pos="1134"/>
      </w:tabs>
      <w:spacing w:before="360" w:after="120"/>
      <w:ind w:left="851" w:hanging="851"/>
    </w:pPr>
    <w:rPr>
      <w:rFonts w:asciiTheme="minorHAnsi" w:hAnsiTheme="minorHAnsi"/>
      <w:b w:val="0"/>
      <w:smallCaps w:val="0"/>
      <w:sz w:val="36"/>
    </w:rPr>
  </w:style>
  <w:style w:type="paragraph" w:customStyle="1" w:styleId="AppendixHeadingLevel3">
    <w:name w:val="Appendix Heading Level 3"/>
    <w:basedOn w:val="Heading3"/>
    <w:next w:val="Normal"/>
    <w:rsid w:val="006C2690"/>
    <w:pPr>
      <w:numPr>
        <w:ilvl w:val="2"/>
        <w:numId w:val="15"/>
      </w:numPr>
    </w:pPr>
  </w:style>
  <w:style w:type="paragraph" w:customStyle="1" w:styleId="AppendixHeadingLevel4">
    <w:name w:val="Appendix Heading Level 4"/>
    <w:basedOn w:val="Heading4"/>
    <w:next w:val="Normal"/>
    <w:rsid w:val="006C2690"/>
    <w:pPr>
      <w:numPr>
        <w:ilvl w:val="3"/>
        <w:numId w:val="15"/>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ind w:left="357"/>
    </w:pPr>
    <w:rPr>
      <w:rFonts w:ascii="Times New Roman" w:hAnsi="Times New Roman"/>
    </w:rPr>
  </w:style>
  <w:style w:type="paragraph" w:customStyle="1" w:styleId="ExampleBullet">
    <w:name w:val="Example Bullet"/>
    <w:basedOn w:val="Normal"/>
    <w:rsid w:val="00F73064"/>
    <w:pPr>
      <w:numPr>
        <w:numId w:val="17"/>
      </w:numPr>
      <w:spacing w:before="40" w:after="40"/>
    </w:pPr>
    <w:rPr>
      <w:rFonts w:ascii="Arial" w:hAnsi="Arial"/>
      <w:sz w:val="18"/>
    </w:rPr>
  </w:style>
  <w:style w:type="paragraph" w:customStyle="1" w:styleId="Heading2NotNumbered">
    <w:name w:val="Heading 2 Not Numbered"/>
    <w:basedOn w:val="HeadingBase"/>
    <w:next w:val="Normal"/>
    <w:rsid w:val="00225317"/>
    <w:pPr>
      <w:spacing w:before="360"/>
    </w:pPr>
    <w:rPr>
      <w:rFonts w:asciiTheme="minorHAnsi" w:hAnsiTheme="minorHAnsi"/>
      <w:color w:val="2C384A" w:themeColor="accent1"/>
      <w:sz w:val="36"/>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2C384A" w:themeColor="accent1"/>
      </w:pBdr>
      <w:spacing w:before="200" w:after="280"/>
      <w:ind w:left="936" w:right="936"/>
    </w:pPr>
    <w:rPr>
      <w:b/>
      <w:bCs/>
      <w:i/>
      <w:iCs/>
      <w:color w:val="2C384A" w:themeColor="accent1"/>
    </w:rPr>
  </w:style>
  <w:style w:type="character" w:customStyle="1" w:styleId="IntenseQuoteChar">
    <w:name w:val="Intense Quote Char"/>
    <w:basedOn w:val="DefaultParagraphFont"/>
    <w:link w:val="IntenseQuote"/>
    <w:uiPriority w:val="30"/>
    <w:rsid w:val="00F73064"/>
    <w:rPr>
      <w:b/>
      <w:bCs/>
      <w:i/>
      <w:iCs/>
      <w:color w:val="2C384A"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val="0"/>
      <w:color w:val="FF0000"/>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18"/>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Boxbullet">
    <w:name w:val="Box bullet"/>
    <w:basedOn w:val="Bullet"/>
    <w:qFormat/>
    <w:rsid w:val="001A18CF"/>
    <w:pPr>
      <w:tabs>
        <w:tab w:val="num" w:pos="284"/>
      </w:tabs>
      <w:spacing w:before="60"/>
      <w:ind w:left="170" w:hanging="170"/>
    </w:pPr>
    <w:rPr>
      <w:color w:val="0D0D0D" w:themeColor="text1" w:themeTint="F2"/>
    </w:rPr>
  </w:style>
  <w:style w:type="paragraph" w:customStyle="1" w:styleId="Boxdash">
    <w:name w:val="Box dash"/>
    <w:basedOn w:val="Dash"/>
    <w:qFormat/>
    <w:rsid w:val="001A18CF"/>
    <w:pPr>
      <w:tabs>
        <w:tab w:val="clear" w:pos="567"/>
        <w:tab w:val="num" w:pos="1040"/>
      </w:tabs>
      <w:spacing w:before="60" w:after="0" w:line="276" w:lineRule="auto"/>
      <w:ind w:left="454" w:hanging="170"/>
    </w:pPr>
    <w:rPr>
      <w:rFonts w:eastAsiaTheme="minorHAnsi"/>
      <w:color w:val="0D0D0D" w:themeColor="text1" w:themeTint="F2"/>
      <w:lang w:eastAsia="en-US"/>
    </w:rPr>
  </w:style>
  <w:style w:type="paragraph" w:customStyle="1" w:styleId="Boxdoubledot">
    <w:name w:val="Box double dot"/>
    <w:basedOn w:val="DoubleDot"/>
    <w:qFormat/>
    <w:rsid w:val="001A18CF"/>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1A18CF"/>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1A18CF"/>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1A18CF"/>
    <w:rPr>
      <w:rFonts w:ascii="Calibri Light" w:eastAsia="Times New Roman" w:hAnsi="Calibri Light" w:cs="Times New Roman"/>
      <w:szCs w:val="20"/>
      <w:lang w:eastAsia="en-AU"/>
    </w:rPr>
  </w:style>
  <w:style w:type="paragraph" w:customStyle="1" w:styleId="Footnoteseperator">
    <w:name w:val="Footnote seperator"/>
    <w:basedOn w:val="Normal"/>
    <w:link w:val="FootnoteseperatorChar"/>
    <w:qFormat/>
    <w:rsid w:val="001A18CF"/>
    <w:pPr>
      <w:spacing w:before="0" w:after="0"/>
    </w:pPr>
  </w:style>
  <w:style w:type="character" w:customStyle="1" w:styleId="FootnoteseperatorChar">
    <w:name w:val="Footnote seperator Char"/>
    <w:basedOn w:val="DefaultParagraphFont"/>
    <w:link w:val="Footnoteseperator"/>
    <w:rsid w:val="001A18CF"/>
    <w:rPr>
      <w:rFonts w:ascii="Calibri Light" w:eastAsia="Times New Roman" w:hAnsi="Calibri Light" w:cs="Times New Roman"/>
      <w:szCs w:val="20"/>
      <w:lang w:eastAsia="en-AU"/>
    </w:rPr>
  </w:style>
  <w:style w:type="character" w:customStyle="1" w:styleId="SingleParagraphChar">
    <w:name w:val="Single Paragraph Char"/>
    <w:basedOn w:val="DefaultParagraphFont"/>
    <w:link w:val="SingleParagraph"/>
    <w:rsid w:val="001A18CF"/>
    <w:rPr>
      <w:rFonts w:ascii="Calibri Light" w:eastAsia="Times New Roman" w:hAnsi="Calibri Light" w:cs="Times New Roman"/>
      <w:szCs w:val="20"/>
      <w:lang w:eastAsia="en-AU"/>
    </w:rPr>
  </w:style>
  <w:style w:type="character" w:styleId="UnresolvedMention">
    <w:name w:val="Unresolved Mention"/>
    <w:basedOn w:val="DefaultParagraphFont"/>
    <w:uiPriority w:val="99"/>
    <w:semiHidden/>
    <w:unhideWhenUsed/>
    <w:rsid w:val="006C3DEB"/>
    <w:rPr>
      <w:color w:val="605E5C"/>
      <w:shd w:val="clear" w:color="auto" w:fill="E1DFDD"/>
    </w:rPr>
  </w:style>
  <w:style w:type="character" w:styleId="IntenseEmphasis">
    <w:name w:val="Intense Emphasis"/>
    <w:basedOn w:val="DefaultParagraphFont"/>
    <w:uiPriority w:val="21"/>
    <w:qFormat/>
    <w:rsid w:val="006C3DEB"/>
    <w:rPr>
      <w:b/>
      <w:bCs/>
      <w:i/>
      <w:iCs/>
      <w:color w:val="2C384A" w:themeColor="accent1"/>
    </w:rPr>
  </w:style>
  <w:style w:type="paragraph" w:customStyle="1" w:styleId="Caption1">
    <w:name w:val="Caption1"/>
    <w:basedOn w:val="NoSpacing"/>
    <w:link w:val="Caption1Char"/>
    <w:qFormat/>
    <w:rsid w:val="006C3DEB"/>
    <w:pPr>
      <w:keepNext/>
      <w:tabs>
        <w:tab w:val="left" w:pos="4438"/>
      </w:tabs>
      <w:jc w:val="center"/>
    </w:pPr>
    <w:rPr>
      <w:rFonts w:ascii="Arial" w:hAnsi="Arial"/>
      <w:color w:val="003157"/>
      <w:sz w:val="24"/>
      <w:szCs w:val="24"/>
    </w:rPr>
  </w:style>
  <w:style w:type="character" w:customStyle="1" w:styleId="Caption1Char">
    <w:name w:val="Caption1 Char"/>
    <w:basedOn w:val="DefaultParagraphFont"/>
    <w:link w:val="Caption1"/>
    <w:rsid w:val="006C3DEB"/>
    <w:rPr>
      <w:rFonts w:ascii="Arial" w:eastAsia="Times New Roman" w:hAnsi="Arial" w:cs="Times New Roman"/>
      <w:color w:val="003157"/>
      <w:sz w:val="24"/>
      <w:szCs w:val="24"/>
      <w:lang w:eastAsia="en-AU"/>
    </w:rPr>
  </w:style>
  <w:style w:type="table" w:styleId="LightShading-Accent1">
    <w:name w:val="Light Shading Accent 1"/>
    <w:basedOn w:val="TableNormal"/>
    <w:uiPriority w:val="60"/>
    <w:rsid w:val="006C3DEB"/>
    <w:pPr>
      <w:spacing w:after="0" w:line="240" w:lineRule="auto"/>
    </w:pPr>
    <w:rPr>
      <w:color w:val="212937" w:themeColor="accent1" w:themeShade="BF"/>
    </w:rPr>
    <w:tblPr>
      <w:tblStyleRowBandSize w:val="1"/>
      <w:tblStyleColBandSize w:val="1"/>
      <w:tblBorders>
        <w:top w:val="single" w:sz="8" w:space="0" w:color="2C384A" w:themeColor="accent1"/>
        <w:bottom w:val="single" w:sz="8" w:space="0" w:color="2C384A" w:themeColor="accent1"/>
      </w:tblBorders>
    </w:tblPr>
    <w:tblStylePr w:type="firstRow">
      <w:pPr>
        <w:spacing w:before="0" w:after="0" w:line="240" w:lineRule="auto"/>
      </w:pPr>
      <w:rPr>
        <w:b/>
        <w:bCs/>
      </w:rPr>
      <w:tblPr/>
      <w:tcPr>
        <w:tcBorders>
          <w:top w:val="single" w:sz="8" w:space="0" w:color="2C384A" w:themeColor="accent1"/>
          <w:left w:val="nil"/>
          <w:bottom w:val="single" w:sz="8" w:space="0" w:color="2C384A" w:themeColor="accent1"/>
          <w:right w:val="nil"/>
          <w:insideH w:val="nil"/>
          <w:insideV w:val="nil"/>
        </w:tcBorders>
      </w:tcPr>
    </w:tblStylePr>
    <w:tblStylePr w:type="lastRow">
      <w:pPr>
        <w:spacing w:before="0" w:after="0" w:line="240" w:lineRule="auto"/>
      </w:pPr>
      <w:rPr>
        <w:b/>
        <w:bCs/>
      </w:rPr>
      <w:tblPr/>
      <w:tcPr>
        <w:tcBorders>
          <w:top w:val="single" w:sz="8" w:space="0" w:color="2C384A" w:themeColor="accent1"/>
          <w:left w:val="nil"/>
          <w:bottom w:val="single" w:sz="8" w:space="0" w:color="2C384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CDA" w:themeFill="accent1" w:themeFillTint="3F"/>
      </w:tcPr>
    </w:tblStylePr>
    <w:tblStylePr w:type="band1Horz">
      <w:tblPr/>
      <w:tcPr>
        <w:tcBorders>
          <w:left w:val="nil"/>
          <w:right w:val="nil"/>
          <w:insideH w:val="nil"/>
          <w:insideV w:val="nil"/>
        </w:tcBorders>
        <w:shd w:val="clear" w:color="auto" w:fill="C2CCDA" w:themeFill="accent1" w:themeFillTint="3F"/>
      </w:tcPr>
    </w:tblStylePr>
  </w:style>
  <w:style w:type="paragraph" w:styleId="NoSpacing">
    <w:name w:val="No Spacing"/>
    <w:link w:val="NoSpacingChar"/>
    <w:uiPriority w:val="1"/>
    <w:qFormat/>
    <w:rsid w:val="006C3DEB"/>
    <w:pPr>
      <w:spacing w:after="0" w:line="240" w:lineRule="auto"/>
    </w:pPr>
    <w:rPr>
      <w:rFonts w:ascii="Calibri Light" w:eastAsia="Times New Roman" w:hAnsi="Calibri Light" w:cs="Times New Roman"/>
      <w:szCs w:val="20"/>
      <w:lang w:eastAsia="en-AU"/>
    </w:rPr>
  </w:style>
  <w:style w:type="paragraph" w:customStyle="1" w:styleId="BoxBullet0">
    <w:name w:val="Box Bullet"/>
    <w:basedOn w:val="BoxTextBase"/>
    <w:rsid w:val="006C3DEB"/>
    <w:pPr>
      <w:tabs>
        <w:tab w:val="num" w:pos="283"/>
      </w:tabs>
      <w:spacing w:before="0" w:after="220"/>
      <w:ind w:left="283" w:hanging="283"/>
    </w:pPr>
    <w:rPr>
      <w:rFonts w:ascii="Calibri" w:eastAsiaTheme="minorHAnsi" w:hAnsi="Calibri" w:cstheme="minorBidi"/>
      <w:color w:val="000000" w:themeColor="text1"/>
      <w:szCs w:val="22"/>
      <w:lang w:eastAsia="en-US"/>
    </w:rPr>
  </w:style>
  <w:style w:type="paragraph" w:customStyle="1" w:styleId="BoxDash0">
    <w:name w:val="Box Dash"/>
    <w:basedOn w:val="Normal"/>
    <w:rsid w:val="006C3DEB"/>
    <w:pPr>
      <w:tabs>
        <w:tab w:val="num" w:pos="567"/>
      </w:tabs>
      <w:spacing w:before="0" w:after="220"/>
      <w:ind w:left="567" w:hanging="284"/>
    </w:pPr>
    <w:rPr>
      <w:rFonts w:ascii="Calibri" w:eastAsiaTheme="minorHAnsi" w:hAnsi="Calibri" w:cstheme="minorBidi"/>
      <w:color w:val="000000" w:themeColor="text1"/>
      <w:szCs w:val="22"/>
      <w:lang w:eastAsia="en-US"/>
    </w:rPr>
  </w:style>
  <w:style w:type="paragraph" w:customStyle="1" w:styleId="BoxDoubleDot0">
    <w:name w:val="Box Double Dot"/>
    <w:basedOn w:val="BoxTextBase"/>
    <w:rsid w:val="006C3DEB"/>
    <w:pPr>
      <w:tabs>
        <w:tab w:val="num" w:pos="850"/>
      </w:tabs>
      <w:spacing w:before="0" w:after="220"/>
      <w:ind w:left="850" w:hanging="283"/>
    </w:pPr>
    <w:rPr>
      <w:rFonts w:ascii="Calibri" w:eastAsiaTheme="minorHAnsi" w:hAnsi="Calibri" w:cstheme="minorBidi"/>
      <w:color w:val="000000" w:themeColor="text1"/>
      <w:szCs w:val="22"/>
      <w:lang w:eastAsia="en-US"/>
    </w:rPr>
  </w:style>
  <w:style w:type="paragraph" w:customStyle="1" w:styleId="CoverTitleSub">
    <w:name w:val="Cover Title Sub"/>
    <w:basedOn w:val="HeadingBase"/>
    <w:rsid w:val="006C3DEB"/>
    <w:pPr>
      <w:spacing w:after="360"/>
      <w:jc w:val="center"/>
    </w:pPr>
    <w:rPr>
      <w:rFonts w:asciiTheme="majorHAnsi" w:hAnsiTheme="majorHAnsi" w:cs="Times New Roman"/>
      <w:bCs w:val="0"/>
      <w:color w:val="003057"/>
      <w:kern w:val="0"/>
      <w:sz w:val="36"/>
      <w:szCs w:val="20"/>
    </w:rPr>
  </w:style>
  <w:style w:type="paragraph" w:customStyle="1" w:styleId="Covertitlelevel3">
    <w:name w:val="Cover title level 3"/>
    <w:basedOn w:val="CoverTitleSub"/>
    <w:rsid w:val="006C3DEB"/>
    <w:pPr>
      <w:spacing w:after="120"/>
    </w:pPr>
    <w:rPr>
      <w:sz w:val="28"/>
      <w:szCs w:val="28"/>
    </w:rPr>
  </w:style>
  <w:style w:type="paragraph" w:customStyle="1" w:styleId="CoverTitleMain">
    <w:name w:val="Cover Title Main"/>
    <w:basedOn w:val="HeadingBase"/>
    <w:next w:val="Normal"/>
    <w:rsid w:val="006C3DEB"/>
    <w:pPr>
      <w:spacing w:after="480"/>
      <w:jc w:val="center"/>
    </w:pPr>
    <w:rPr>
      <w:rFonts w:asciiTheme="majorHAnsi" w:hAnsiTheme="majorHAnsi" w:cs="Times New Roman"/>
      <w:b/>
      <w:bCs w:val="0"/>
      <w:color w:val="003057"/>
      <w:kern w:val="0"/>
      <w:szCs w:val="20"/>
    </w:rPr>
  </w:style>
  <w:style w:type="paragraph" w:customStyle="1" w:styleId="Figuregraphic">
    <w:name w:val="Figure graphic"/>
    <w:basedOn w:val="Normal"/>
    <w:rsid w:val="006C3DEB"/>
    <w:pPr>
      <w:spacing w:before="0" w:after="220"/>
      <w:jc w:val="center"/>
    </w:pPr>
    <w:rPr>
      <w:rFonts w:ascii="Calibri" w:eastAsiaTheme="minorHAnsi" w:hAnsi="Calibri" w:cstheme="minorBidi"/>
      <w:color w:val="000000" w:themeColor="text1"/>
      <w:szCs w:val="22"/>
      <w:lang w:eastAsia="en-US"/>
    </w:rPr>
  </w:style>
  <w:style w:type="paragraph" w:customStyle="1" w:styleId="FigureHeading">
    <w:name w:val="Figure Heading"/>
    <w:basedOn w:val="HeadingBase"/>
    <w:next w:val="Figuregraphic"/>
    <w:rsid w:val="006C3DEB"/>
    <w:pPr>
      <w:spacing w:after="20"/>
      <w:jc w:val="center"/>
    </w:pPr>
    <w:rPr>
      <w:rFonts w:ascii="Arial Bold" w:hAnsi="Arial Bold" w:cs="Times New Roman"/>
      <w:b/>
      <w:bCs w:val="0"/>
      <w:color w:val="003057"/>
      <w:kern w:val="0"/>
      <w:sz w:val="22"/>
      <w:szCs w:val="22"/>
    </w:rPr>
  </w:style>
  <w:style w:type="paragraph" w:customStyle="1" w:styleId="FigureSecondHeading">
    <w:name w:val="Figure Second Heading"/>
    <w:basedOn w:val="HeadingBase"/>
    <w:next w:val="Figuregraphic"/>
    <w:rsid w:val="006C3DEB"/>
    <w:pPr>
      <w:spacing w:after="20"/>
      <w:jc w:val="center"/>
    </w:pPr>
    <w:rPr>
      <w:rFonts w:asciiTheme="majorHAnsi" w:hAnsiTheme="majorHAnsi" w:cs="Times New Roman"/>
      <w:bCs w:val="0"/>
      <w:color w:val="003057"/>
      <w:kern w:val="0"/>
      <w:sz w:val="20"/>
      <w:szCs w:val="20"/>
    </w:rPr>
  </w:style>
  <w:style w:type="paragraph" w:customStyle="1" w:styleId="NormalIndentItalics">
    <w:name w:val="Normal Indent Italics"/>
    <w:basedOn w:val="NormalIndent"/>
    <w:rsid w:val="006C3DEB"/>
    <w:pPr>
      <w:spacing w:before="0" w:after="220"/>
    </w:pPr>
    <w:rPr>
      <w:rFonts w:eastAsiaTheme="minorHAnsi" w:cstheme="minorBidi"/>
      <w:i/>
      <w:color w:val="000000" w:themeColor="text1"/>
      <w:szCs w:val="22"/>
      <w:lang w:eastAsia="en-US"/>
    </w:rPr>
  </w:style>
  <w:style w:type="paragraph" w:customStyle="1" w:styleId="Principle">
    <w:name w:val="Principle"/>
    <w:basedOn w:val="Normal"/>
    <w:rsid w:val="006C3DEB"/>
    <w:pPr>
      <w:keepNext/>
      <w:spacing w:before="0" w:after="60"/>
      <w:ind w:left="573"/>
    </w:pPr>
    <w:rPr>
      <w:rFonts w:ascii="Book Antiqua" w:eastAsiaTheme="minorHAnsi" w:hAnsi="Book Antiqua" w:cstheme="minorBidi"/>
      <w:i/>
      <w:color w:val="000000" w:themeColor="text1"/>
      <w:sz w:val="20"/>
      <w:szCs w:val="22"/>
      <w:lang w:eastAsia="en-US"/>
    </w:rPr>
  </w:style>
  <w:style w:type="paragraph" w:customStyle="1" w:styleId="RecommendationTextBase">
    <w:name w:val="Recommendation Text Base"/>
    <w:basedOn w:val="Normal"/>
    <w:rsid w:val="006C3DEB"/>
    <w:pPr>
      <w:spacing w:before="0" w:after="220"/>
    </w:pPr>
    <w:rPr>
      <w:rFonts w:ascii="Calibri" w:eastAsiaTheme="minorHAnsi" w:hAnsi="Calibri" w:cstheme="minorBidi"/>
      <w:i/>
      <w:color w:val="000000" w:themeColor="text1"/>
      <w:szCs w:val="22"/>
      <w:lang w:eastAsia="en-US"/>
    </w:rPr>
  </w:style>
  <w:style w:type="paragraph" w:customStyle="1" w:styleId="RecommendationBullet">
    <w:name w:val="Recommendation Bullet"/>
    <w:basedOn w:val="RecommendationTextBase"/>
    <w:rsid w:val="006C3DEB"/>
    <w:pPr>
      <w:tabs>
        <w:tab w:val="num" w:pos="284"/>
      </w:tabs>
      <w:ind w:left="284" w:hanging="284"/>
    </w:pPr>
  </w:style>
  <w:style w:type="paragraph" w:customStyle="1" w:styleId="RecommendationDash">
    <w:name w:val="Recommendation Dash"/>
    <w:basedOn w:val="RecommendationTextBase"/>
    <w:rsid w:val="006C3DEB"/>
    <w:pPr>
      <w:tabs>
        <w:tab w:val="num" w:pos="567"/>
      </w:tabs>
      <w:ind w:left="567" w:hanging="283"/>
    </w:pPr>
  </w:style>
  <w:style w:type="paragraph" w:customStyle="1" w:styleId="RecommendationDoubleDot">
    <w:name w:val="Recommendation Double Dot"/>
    <w:basedOn w:val="RecommendationTextBase"/>
    <w:rsid w:val="006C3DEB"/>
    <w:pPr>
      <w:tabs>
        <w:tab w:val="num" w:pos="851"/>
      </w:tabs>
      <w:ind w:left="851" w:hanging="284"/>
    </w:pPr>
  </w:style>
  <w:style w:type="paragraph" w:customStyle="1" w:styleId="RecommendationHeading">
    <w:name w:val="Recommendation Heading"/>
    <w:basedOn w:val="HeadingBase"/>
    <w:next w:val="Normal"/>
    <w:rsid w:val="006C3DEB"/>
    <w:pPr>
      <w:spacing w:before="120" w:after="240"/>
    </w:pPr>
    <w:rPr>
      <w:rFonts w:asciiTheme="majorHAnsi" w:hAnsiTheme="majorHAnsi" w:cs="Times New Roman"/>
      <w:b/>
      <w:bCs w:val="0"/>
      <w:color w:val="003057"/>
      <w:kern w:val="0"/>
      <w:sz w:val="22"/>
      <w:szCs w:val="20"/>
    </w:rPr>
  </w:style>
  <w:style w:type="paragraph" w:customStyle="1" w:styleId="RecommendationText">
    <w:name w:val="Recommendation Text"/>
    <w:basedOn w:val="RecommendationTextBase"/>
    <w:rsid w:val="006C3DEB"/>
  </w:style>
  <w:style w:type="paragraph" w:customStyle="1" w:styleId="SingleParagraphIndent">
    <w:name w:val="Single Paragraph Indent"/>
    <w:basedOn w:val="SingleParagraph"/>
    <w:rsid w:val="006C3DEB"/>
    <w:pPr>
      <w:ind w:left="567"/>
    </w:pPr>
    <w:rPr>
      <w:rFonts w:ascii="Calibri" w:eastAsiaTheme="minorHAnsi" w:hAnsi="Calibri" w:cstheme="minorBidi"/>
      <w:color w:val="000000" w:themeColor="text1"/>
      <w:szCs w:val="22"/>
      <w:lang w:eastAsia="en-US"/>
    </w:rPr>
  </w:style>
  <w:style w:type="paragraph" w:styleId="BodyTextIndent2">
    <w:name w:val="Body Text Indent 2"/>
    <w:basedOn w:val="Normal"/>
    <w:link w:val="BodyTextIndent2Char"/>
    <w:rsid w:val="006C3DEB"/>
    <w:pPr>
      <w:spacing w:before="0" w:line="480" w:lineRule="auto"/>
      <w:ind w:left="283"/>
    </w:pPr>
    <w:rPr>
      <w:rFonts w:ascii="Calibri" w:eastAsiaTheme="minorHAnsi" w:hAnsi="Calibri" w:cstheme="minorBidi"/>
      <w:color w:val="000000" w:themeColor="text1"/>
      <w:szCs w:val="22"/>
      <w:lang w:eastAsia="en-US"/>
    </w:rPr>
  </w:style>
  <w:style w:type="character" w:customStyle="1" w:styleId="BodyTextIndent2Char">
    <w:name w:val="Body Text Indent 2 Char"/>
    <w:basedOn w:val="DefaultParagraphFont"/>
    <w:link w:val="BodyTextIndent2"/>
    <w:rsid w:val="006C3DEB"/>
    <w:rPr>
      <w:rFonts w:ascii="Calibri" w:hAnsi="Calibri"/>
      <w:color w:val="000000" w:themeColor="text1"/>
    </w:rPr>
  </w:style>
  <w:style w:type="paragraph" w:styleId="Caption">
    <w:name w:val="caption"/>
    <w:basedOn w:val="Normal"/>
    <w:next w:val="Normal"/>
    <w:uiPriority w:val="35"/>
    <w:unhideWhenUsed/>
    <w:qFormat/>
    <w:rsid w:val="006C3DEB"/>
    <w:pPr>
      <w:spacing w:before="0" w:after="220"/>
    </w:pPr>
    <w:rPr>
      <w:rFonts w:ascii="Calibri" w:eastAsiaTheme="minorHAnsi" w:hAnsi="Calibri" w:cstheme="minorBidi"/>
      <w:b/>
      <w:bCs/>
      <w:color w:val="003157"/>
      <w:sz w:val="18"/>
      <w:szCs w:val="18"/>
      <w:lang w:eastAsia="en-US"/>
    </w:rPr>
  </w:style>
  <w:style w:type="character" w:styleId="CommentReference">
    <w:name w:val="annotation reference"/>
    <w:basedOn w:val="DefaultParagraphFont"/>
    <w:rsid w:val="006C3DEB"/>
    <w:rPr>
      <w:sz w:val="16"/>
      <w:szCs w:val="16"/>
    </w:rPr>
  </w:style>
  <w:style w:type="paragraph" w:styleId="CommentText">
    <w:name w:val="annotation text"/>
    <w:basedOn w:val="Normal"/>
    <w:link w:val="CommentTextChar"/>
    <w:rsid w:val="006C3DEB"/>
    <w:pPr>
      <w:spacing w:before="0" w:after="220"/>
    </w:pPr>
    <w:rPr>
      <w:rFonts w:ascii="Calibri" w:eastAsiaTheme="minorHAnsi" w:hAnsi="Calibri" w:cstheme="minorBidi"/>
      <w:color w:val="000000" w:themeColor="text1"/>
      <w:sz w:val="20"/>
      <w:szCs w:val="22"/>
      <w:lang w:eastAsia="en-US"/>
    </w:rPr>
  </w:style>
  <w:style w:type="character" w:customStyle="1" w:styleId="CommentTextChar">
    <w:name w:val="Comment Text Char"/>
    <w:basedOn w:val="DefaultParagraphFont"/>
    <w:link w:val="CommentText"/>
    <w:rsid w:val="006C3DEB"/>
    <w:rPr>
      <w:rFonts w:ascii="Calibri" w:hAnsi="Calibri"/>
      <w:color w:val="000000" w:themeColor="text1"/>
      <w:sz w:val="20"/>
    </w:rPr>
  </w:style>
  <w:style w:type="paragraph" w:styleId="CommentSubject">
    <w:name w:val="annotation subject"/>
    <w:basedOn w:val="CommentText"/>
    <w:next w:val="CommentText"/>
    <w:link w:val="CommentSubjectChar"/>
    <w:rsid w:val="006C3DEB"/>
    <w:rPr>
      <w:b/>
      <w:bCs/>
    </w:rPr>
  </w:style>
  <w:style w:type="character" w:customStyle="1" w:styleId="CommentSubjectChar">
    <w:name w:val="Comment Subject Char"/>
    <w:basedOn w:val="CommentTextChar"/>
    <w:link w:val="CommentSubject"/>
    <w:rsid w:val="006C3DEB"/>
    <w:rPr>
      <w:rFonts w:ascii="Calibri" w:hAnsi="Calibri"/>
      <w:b/>
      <w:bCs/>
      <w:color w:val="000000" w:themeColor="text1"/>
      <w:sz w:val="20"/>
    </w:rPr>
  </w:style>
  <w:style w:type="paragraph" w:customStyle="1" w:styleId="StyleTableTextBulletLinespacingExactly13pt">
    <w:name w:val="Style Table Text Bullet + Line spacing:  Exactly 13 pt"/>
    <w:basedOn w:val="TableTextBullet"/>
    <w:rsid w:val="006C3DEB"/>
    <w:pPr>
      <w:numPr>
        <w:numId w:val="0"/>
      </w:numPr>
      <w:spacing w:after="80" w:line="260" w:lineRule="exact"/>
    </w:pPr>
    <w:rPr>
      <w:rFonts w:asciiTheme="minorHAnsi" w:hAnsiTheme="minorHAnsi"/>
      <w:sz w:val="20"/>
    </w:rPr>
  </w:style>
  <w:style w:type="paragraph" w:customStyle="1" w:styleId="CaptionandTableFootnoteAlpha">
    <w:name w:val="Caption and Table Footnote Alpha"/>
    <w:basedOn w:val="HeadingBaseStyle"/>
    <w:next w:val="Normal"/>
    <w:rsid w:val="006C3DEB"/>
    <w:pPr>
      <w:spacing w:before="0" w:line="260" w:lineRule="exact"/>
      <w:ind w:left="360" w:hanging="360"/>
    </w:pPr>
    <w:rPr>
      <w:rFonts w:asciiTheme="minorHAnsi" w:eastAsiaTheme="minorHAnsi" w:hAnsiTheme="minorHAnsi" w:cstheme="minorBidi"/>
      <w:color w:val="auto"/>
      <w:kern w:val="28"/>
      <w:sz w:val="20"/>
      <w:szCs w:val="22"/>
      <w:lang w:eastAsia="en-US"/>
    </w:rPr>
  </w:style>
  <w:style w:type="paragraph" w:customStyle="1" w:styleId="Captiongraphic">
    <w:name w:val="Caption graphic"/>
    <w:basedOn w:val="HeadingBaseStyle"/>
    <w:next w:val="Normal"/>
    <w:rsid w:val="006C3DEB"/>
    <w:pPr>
      <w:spacing w:before="0" w:after="20"/>
      <w:jc w:val="center"/>
    </w:pPr>
    <w:rPr>
      <w:rFonts w:eastAsiaTheme="minorHAnsi" w:cstheme="minorBidi"/>
      <w:color w:val="auto"/>
      <w:sz w:val="24"/>
      <w:szCs w:val="22"/>
      <w:lang w:eastAsia="en-US"/>
    </w:rPr>
  </w:style>
  <w:style w:type="paragraph" w:customStyle="1" w:styleId="CaptionHeading1">
    <w:name w:val="Caption Heading 1"/>
    <w:basedOn w:val="Normal"/>
    <w:next w:val="Captiongraphic"/>
    <w:rsid w:val="006C3DEB"/>
    <w:pPr>
      <w:keepNext/>
      <w:spacing w:after="0"/>
      <w:jc w:val="center"/>
    </w:pPr>
    <w:rPr>
      <w:rFonts w:ascii="Arial" w:eastAsiaTheme="minorHAnsi" w:hAnsi="Arial" w:cstheme="minorBidi"/>
      <w:color w:val="003157"/>
      <w:sz w:val="24"/>
      <w:szCs w:val="22"/>
      <w:lang w:eastAsia="en-US"/>
    </w:rPr>
  </w:style>
  <w:style w:type="paragraph" w:customStyle="1" w:styleId="CaptionHeading2">
    <w:name w:val="Caption Heading 2"/>
    <w:basedOn w:val="Normal"/>
    <w:rsid w:val="006C3DEB"/>
    <w:pPr>
      <w:keepNext/>
      <w:spacing w:before="0" w:after="0"/>
      <w:jc w:val="center"/>
    </w:pPr>
    <w:rPr>
      <w:rFonts w:ascii="Arial" w:eastAsiaTheme="minorHAnsi" w:hAnsi="Arial" w:cstheme="minorBidi"/>
      <w:color w:val="003157"/>
      <w:sz w:val="20"/>
      <w:szCs w:val="22"/>
      <w:lang w:eastAsia="en-US"/>
    </w:rPr>
  </w:style>
  <w:style w:type="paragraph" w:customStyle="1" w:styleId="CaptionHeading3">
    <w:name w:val="Caption Heading 3"/>
    <w:basedOn w:val="CaptionHeading2"/>
    <w:next w:val="Captiongraphic"/>
    <w:rsid w:val="006C3DEB"/>
    <w:rPr>
      <w:rFonts w:ascii="Arial Bold" w:hAnsi="Arial Bold"/>
      <w:b/>
      <w:color w:val="000000"/>
    </w:rPr>
  </w:style>
  <w:style w:type="character" w:customStyle="1" w:styleId="NoSpacingChar">
    <w:name w:val="No Spacing Char"/>
    <w:basedOn w:val="DefaultParagraphFont"/>
    <w:link w:val="NoSpacing"/>
    <w:uiPriority w:val="1"/>
    <w:rsid w:val="006C3DEB"/>
    <w:rPr>
      <w:rFonts w:ascii="Calibri Light" w:eastAsia="Times New Roman" w:hAnsi="Calibri Light" w:cs="Times New Roman"/>
      <w:szCs w:val="20"/>
      <w:lang w:eastAsia="en-AU"/>
    </w:rPr>
  </w:style>
  <w:style w:type="paragraph" w:customStyle="1" w:styleId="ClassificationandMetadata">
    <w:name w:val="Classification and Metadata"/>
    <w:basedOn w:val="HeadingBaseStyle"/>
    <w:rsid w:val="006C3DEB"/>
    <w:pPr>
      <w:spacing w:before="0" w:after="240" w:line="260" w:lineRule="exact"/>
    </w:pPr>
    <w:rPr>
      <w:rFonts w:eastAsiaTheme="minorHAnsi" w:cstheme="minorBidi"/>
      <w:color w:val="auto"/>
      <w:sz w:val="24"/>
      <w:szCs w:val="22"/>
      <w:lang w:eastAsia="en-US"/>
    </w:rPr>
  </w:style>
  <w:style w:type="paragraph" w:customStyle="1" w:styleId="Heading3NotNumbered">
    <w:name w:val="Heading 3 Not Numbered"/>
    <w:basedOn w:val="Heading4"/>
    <w:rsid w:val="006C3DEB"/>
    <w:pPr>
      <w:tabs>
        <w:tab w:val="left" w:pos="680"/>
      </w:tabs>
      <w:spacing w:before="0" w:after="120" w:line="240" w:lineRule="auto"/>
    </w:pPr>
    <w:rPr>
      <w:rFonts w:ascii="Arial" w:eastAsiaTheme="minorHAnsi" w:hAnsi="Arial" w:cstheme="minorBidi"/>
      <w:color w:val="003157"/>
      <w:kern w:val="0"/>
      <w:sz w:val="28"/>
      <w:szCs w:val="22"/>
      <w:lang w:val="en-US"/>
    </w:rPr>
  </w:style>
  <w:style w:type="character" w:customStyle="1" w:styleId="NormalBold">
    <w:name w:val="Normal Bold"/>
    <w:basedOn w:val="DefaultParagraphFont"/>
    <w:rsid w:val="006C3DEB"/>
    <w:rPr>
      <w:rFonts w:ascii="Calibri" w:hAnsi="Calibri"/>
      <w:b/>
      <w:sz w:val="22"/>
    </w:rPr>
  </w:style>
  <w:style w:type="character" w:customStyle="1" w:styleId="Normalitalics">
    <w:name w:val="Normal italics"/>
    <w:basedOn w:val="DefaultParagraphFont"/>
    <w:rsid w:val="006C3DEB"/>
    <w:rPr>
      <w:i/>
    </w:rPr>
  </w:style>
  <w:style w:type="paragraph" w:customStyle="1" w:styleId="Tablegraphic0">
    <w:name w:val="Table graphic"/>
    <w:basedOn w:val="HeadingBaseStyle"/>
    <w:next w:val="Normal"/>
    <w:rsid w:val="006C3DEB"/>
    <w:pPr>
      <w:spacing w:before="0" w:after="20"/>
      <w:ind w:right="-113"/>
    </w:pPr>
    <w:rPr>
      <w:rFonts w:eastAsiaTheme="minorHAnsi" w:cstheme="minorBidi"/>
      <w:color w:val="auto"/>
      <w:sz w:val="24"/>
      <w:szCs w:val="22"/>
      <w:lang w:eastAsia="en-US"/>
    </w:rPr>
  </w:style>
  <w:style w:type="paragraph" w:customStyle="1" w:styleId="TableHeading1">
    <w:name w:val="Table Heading 1"/>
    <w:basedOn w:val="HeadingBaseStyle"/>
    <w:next w:val="Tablegraphic0"/>
    <w:rsid w:val="006C3DEB"/>
    <w:pPr>
      <w:spacing w:after="20"/>
      <w:jc w:val="center"/>
    </w:pPr>
    <w:rPr>
      <w:rFonts w:eastAsiaTheme="minorHAnsi" w:cstheme="minorBidi"/>
      <w:color w:val="003157"/>
      <w:sz w:val="24"/>
      <w:szCs w:val="22"/>
      <w:lang w:eastAsia="en-US"/>
    </w:rPr>
  </w:style>
  <w:style w:type="paragraph" w:customStyle="1" w:styleId="Tableheading2">
    <w:name w:val="Table heading 2"/>
    <w:basedOn w:val="TableHeading1"/>
    <w:next w:val="Tablegraphic0"/>
    <w:rsid w:val="006C3DEB"/>
    <w:pPr>
      <w:spacing w:before="0"/>
    </w:pPr>
    <w:rPr>
      <w:sz w:val="22"/>
    </w:rPr>
  </w:style>
  <w:style w:type="paragraph" w:customStyle="1" w:styleId="TableHeadingcontinued">
    <w:name w:val="Table Heading continued"/>
    <w:basedOn w:val="HeadingBaseStyle"/>
    <w:next w:val="Tablegraphic0"/>
    <w:rsid w:val="006C3DEB"/>
    <w:pPr>
      <w:spacing w:before="0"/>
      <w:jc w:val="center"/>
    </w:pPr>
    <w:rPr>
      <w:rFonts w:eastAsiaTheme="minorHAnsi" w:cstheme="minorBidi"/>
      <w:color w:val="003157"/>
      <w:szCs w:val="22"/>
      <w:lang w:eastAsia="en-US"/>
    </w:rPr>
  </w:style>
  <w:style w:type="paragraph" w:customStyle="1" w:styleId="Tabletextcentred">
    <w:name w:val="Table text centred"/>
    <w:basedOn w:val="TableTextBase"/>
    <w:rsid w:val="006C3DEB"/>
    <w:pPr>
      <w:jc w:val="center"/>
    </w:pPr>
    <w:rPr>
      <w:rFonts w:asciiTheme="minorHAnsi" w:hAnsiTheme="minorHAnsi"/>
      <w:sz w:val="20"/>
    </w:rPr>
  </w:style>
  <w:style w:type="paragraph" w:customStyle="1" w:styleId="Tabletextleft0">
    <w:name w:val="Table text left"/>
    <w:basedOn w:val="TableTextBase"/>
    <w:rsid w:val="006C3DEB"/>
    <w:rPr>
      <w:rFonts w:asciiTheme="minorHAnsi" w:hAnsiTheme="minorHAnsi"/>
      <w:sz w:val="20"/>
    </w:rPr>
  </w:style>
  <w:style w:type="character" w:customStyle="1" w:styleId="DashChar">
    <w:name w:val="Dash Char"/>
    <w:basedOn w:val="DefaultParagraphFont"/>
    <w:link w:val="Dash"/>
    <w:rsid w:val="006C3DEB"/>
    <w:rPr>
      <w:rFonts w:ascii="Calibri Light" w:eastAsia="Times New Roman" w:hAnsi="Calibri Light" w:cs="Times New Roman"/>
      <w:szCs w:val="20"/>
      <w:lang w:eastAsia="en-AU"/>
    </w:rPr>
  </w:style>
  <w:style w:type="character" w:styleId="Strong">
    <w:name w:val="Strong"/>
    <w:basedOn w:val="DefaultParagraphFont"/>
    <w:qFormat/>
    <w:rsid w:val="006C3DEB"/>
    <w:rPr>
      <w:b/>
      <w:bCs/>
    </w:rPr>
  </w:style>
  <w:style w:type="character" w:customStyle="1" w:styleId="HeaderChar1">
    <w:name w:val="Header Char1"/>
    <w:basedOn w:val="DefaultParagraphFont"/>
    <w:uiPriority w:val="99"/>
    <w:semiHidden/>
    <w:rsid w:val="006C3DEB"/>
  </w:style>
  <w:style w:type="character" w:customStyle="1" w:styleId="FooterChar1">
    <w:name w:val="Footer Char1"/>
    <w:basedOn w:val="DefaultParagraphFont"/>
    <w:uiPriority w:val="99"/>
    <w:semiHidden/>
    <w:rsid w:val="006C3DEB"/>
  </w:style>
  <w:style w:type="table" w:styleId="LightShading">
    <w:name w:val="Light Shading"/>
    <w:basedOn w:val="TableNormal"/>
    <w:uiPriority w:val="60"/>
    <w:rsid w:val="006C3D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6C3DEB"/>
    <w:pPr>
      <w:spacing w:after="0" w:line="240" w:lineRule="auto"/>
    </w:pPr>
    <w:rPr>
      <w:rFonts w:ascii="Calibri" w:hAnsi="Calibri"/>
      <w:color w:val="000000" w:themeColor="text1"/>
    </w:rPr>
  </w:style>
  <w:style w:type="table" w:customStyle="1" w:styleId="LightShading1">
    <w:name w:val="Light Shading1"/>
    <w:basedOn w:val="TableNormal"/>
    <w:next w:val="LightShading"/>
    <w:uiPriority w:val="60"/>
    <w:rsid w:val="006C3DEB"/>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6C3DEB"/>
    <w:pPr>
      <w:spacing w:after="0" w:line="240" w:lineRule="auto"/>
    </w:pPr>
    <w:rPr>
      <w:color w:val="395948" w:themeColor="accent2" w:themeShade="BF"/>
    </w:rPr>
    <w:tblPr>
      <w:tblStyleRowBandSize w:val="1"/>
      <w:tblStyleColBandSize w:val="1"/>
      <w:tblBorders>
        <w:top w:val="single" w:sz="8" w:space="0" w:color="4D7861" w:themeColor="accent2"/>
        <w:bottom w:val="single" w:sz="8" w:space="0" w:color="4D7861" w:themeColor="accent2"/>
      </w:tblBorders>
    </w:tblPr>
    <w:tblStylePr w:type="firstRow">
      <w:pPr>
        <w:spacing w:before="0" w:after="0" w:line="240" w:lineRule="auto"/>
      </w:pPr>
      <w:rPr>
        <w:b/>
        <w:bCs/>
      </w:rPr>
      <w:tblPr/>
      <w:tcPr>
        <w:tcBorders>
          <w:top w:val="single" w:sz="8" w:space="0" w:color="4D7861" w:themeColor="accent2"/>
          <w:left w:val="nil"/>
          <w:bottom w:val="single" w:sz="8" w:space="0" w:color="4D7861" w:themeColor="accent2"/>
          <w:right w:val="nil"/>
          <w:insideH w:val="nil"/>
          <w:insideV w:val="nil"/>
        </w:tcBorders>
      </w:tcPr>
    </w:tblStylePr>
    <w:tblStylePr w:type="lastRow">
      <w:pPr>
        <w:spacing w:before="0" w:after="0" w:line="240" w:lineRule="auto"/>
      </w:pPr>
      <w:rPr>
        <w:b/>
        <w:bCs/>
      </w:rPr>
      <w:tblPr/>
      <w:tcPr>
        <w:tcBorders>
          <w:top w:val="single" w:sz="8" w:space="0" w:color="4D7861" w:themeColor="accent2"/>
          <w:left w:val="nil"/>
          <w:bottom w:val="single" w:sz="8" w:space="0" w:color="4D78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0D7" w:themeFill="accent2" w:themeFillTint="3F"/>
      </w:tcPr>
    </w:tblStylePr>
    <w:tblStylePr w:type="band1Horz">
      <w:tblPr/>
      <w:tcPr>
        <w:tcBorders>
          <w:left w:val="nil"/>
          <w:right w:val="nil"/>
          <w:insideH w:val="nil"/>
          <w:insideV w:val="nil"/>
        </w:tcBorders>
        <w:shd w:val="clear" w:color="auto" w:fill="CFE0D7" w:themeFill="accent2" w:themeFillTint="3F"/>
      </w:tcPr>
    </w:tblStylePr>
  </w:style>
  <w:style w:type="table" w:customStyle="1" w:styleId="TableGrid2">
    <w:name w:val="Table Grid2"/>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C3D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3DEB"/>
    <w:pPr>
      <w:spacing w:before="0" w:after="220"/>
      <w:ind w:left="720"/>
      <w:contextualSpacing/>
    </w:pPr>
    <w:rPr>
      <w:rFonts w:ascii="Calibri" w:eastAsiaTheme="minorHAnsi" w:hAnsi="Calibri" w:cstheme="minorBidi"/>
      <w:color w:val="000000" w:themeColor="text1"/>
      <w:szCs w:val="22"/>
      <w:lang w:eastAsia="en-US"/>
    </w:rPr>
  </w:style>
  <w:style w:type="character" w:customStyle="1" w:styleId="OutlineNumbered1Char">
    <w:name w:val="Outline Numbered 1 Char"/>
    <w:basedOn w:val="DefaultParagraphFont"/>
    <w:link w:val="OutlineNumbered1"/>
    <w:rsid w:val="006C3DEB"/>
    <w:rPr>
      <w:rFonts w:ascii="Calibri Light" w:eastAsia="Times New Roman" w:hAnsi="Calibri Light" w:cs="Times New Roman"/>
      <w:szCs w:val="20"/>
      <w:lang w:eastAsia="en-AU"/>
    </w:rPr>
  </w:style>
  <w:style w:type="character" w:customStyle="1" w:styleId="MTConvertedEquation">
    <w:name w:val="MTConvertedEquation"/>
    <w:basedOn w:val="DefaultParagraphFont"/>
    <w:rsid w:val="006C3DEB"/>
  </w:style>
  <w:style w:type="table" w:styleId="TableGridLight">
    <w:name w:val="Grid Table Light"/>
    <w:basedOn w:val="TableNormal"/>
    <w:uiPriority w:val="40"/>
    <w:rsid w:val="006C3D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portDate">
    <w:name w:val="Report Date"/>
    <w:basedOn w:val="Normal"/>
    <w:link w:val="ReportDateChar"/>
    <w:rsid w:val="006C3DEB"/>
    <w:pPr>
      <w:keepNext/>
      <w:spacing w:before="0" w:after="360"/>
    </w:pPr>
    <w:rPr>
      <w:color w:val="2C384A" w:themeColor="accent1"/>
      <w:sz w:val="32"/>
    </w:rPr>
  </w:style>
  <w:style w:type="paragraph" w:customStyle="1" w:styleId="Heading1Numbered">
    <w:name w:val="Heading 1 Numbered"/>
    <w:basedOn w:val="Heading1"/>
    <w:next w:val="Normal"/>
    <w:rsid w:val="006C3DEB"/>
    <w:pPr>
      <w:numPr>
        <w:numId w:val="36"/>
      </w:numPr>
    </w:pPr>
    <w:rPr>
      <w:bCs w:val="0"/>
    </w:rPr>
  </w:style>
  <w:style w:type="paragraph" w:customStyle="1" w:styleId="Heading2Numbered">
    <w:name w:val="Heading 2 Numbered"/>
    <w:basedOn w:val="Heading2"/>
    <w:next w:val="Normal"/>
    <w:rsid w:val="006C3DEB"/>
    <w:pPr>
      <w:numPr>
        <w:ilvl w:val="1"/>
        <w:numId w:val="36"/>
      </w:numPr>
    </w:pPr>
  </w:style>
  <w:style w:type="paragraph" w:customStyle="1" w:styleId="Heading3Numbered">
    <w:name w:val="Heading 3 Numbered"/>
    <w:basedOn w:val="Heading3"/>
    <w:rsid w:val="006C3DEB"/>
    <w:pPr>
      <w:numPr>
        <w:ilvl w:val="2"/>
        <w:numId w:val="36"/>
      </w:numPr>
    </w:pPr>
  </w:style>
  <w:style w:type="character" w:customStyle="1" w:styleId="ReportDateChar">
    <w:name w:val="Report Date Char"/>
    <w:basedOn w:val="DefaultParagraphFont"/>
    <w:link w:val="ReportDate"/>
    <w:rsid w:val="006C3DEB"/>
    <w:rPr>
      <w:rFonts w:ascii="Calibri Light" w:eastAsia="Times New Roman" w:hAnsi="Calibri Light" w:cs="Times New Roman"/>
      <w:color w:val="2C384A" w:themeColor="accent1"/>
      <w:sz w:val="32"/>
      <w:szCs w:val="20"/>
      <w:lang w:eastAsia="en-AU"/>
    </w:rPr>
  </w:style>
  <w:style w:type="paragraph" w:customStyle="1" w:styleId="Instructions">
    <w:name w:val="Instructions"/>
    <w:basedOn w:val="Normal"/>
    <w:uiPriority w:val="1"/>
    <w:rsid w:val="006C3DEB"/>
    <w:pPr>
      <w:shd w:val="clear" w:color="auto" w:fill="FFFF00"/>
      <w:ind w:left="170" w:hanging="170"/>
    </w:pPr>
    <w:rPr>
      <w:rFonts w:asciiTheme="minorHAnsi" w:hAnsiTheme="minorHAnsi"/>
      <w:sz w:val="20"/>
      <w:szCs w:val="24"/>
    </w:rPr>
  </w:style>
  <w:style w:type="character" w:styleId="SubtleReference">
    <w:name w:val="Subtle Reference"/>
    <w:basedOn w:val="DefaultParagraphFont"/>
    <w:uiPriority w:val="31"/>
    <w:qFormat/>
    <w:rsid w:val="006C3DEB"/>
    <w:rPr>
      <w:smallCaps/>
      <w:color w:val="5A5A5A" w:themeColor="text1" w:themeTint="A5"/>
    </w:rPr>
  </w:style>
  <w:style w:type="character" w:styleId="IntenseReference">
    <w:name w:val="Intense Reference"/>
    <w:basedOn w:val="DefaultParagraphFont"/>
    <w:uiPriority w:val="32"/>
    <w:qFormat/>
    <w:rsid w:val="006C3DEB"/>
    <w:rPr>
      <w:b/>
      <w:bCs/>
      <w:smallCaps/>
      <w:color w:val="2C384A" w:themeColor="accent1"/>
      <w:spacing w:val="5"/>
    </w:rPr>
  </w:style>
  <w:style w:type="character" w:styleId="SubtleEmphasis">
    <w:name w:val="Subtle Emphasis"/>
    <w:basedOn w:val="DefaultParagraphFont"/>
    <w:uiPriority w:val="19"/>
    <w:qFormat/>
    <w:rsid w:val="006C3DEB"/>
    <w:rPr>
      <w:i/>
      <w:iCs/>
      <w:color w:val="404040" w:themeColor="text1" w:themeTint="BF"/>
    </w:rPr>
  </w:style>
  <w:style w:type="character" w:styleId="BookTitle">
    <w:name w:val="Book Title"/>
    <w:basedOn w:val="DefaultParagraphFont"/>
    <w:uiPriority w:val="33"/>
    <w:qFormat/>
    <w:rsid w:val="006C3DEB"/>
    <w:rPr>
      <w:b/>
      <w:bCs/>
      <w:i/>
      <w:iCs/>
      <w:spacing w:val="5"/>
    </w:rPr>
  </w:style>
  <w:style w:type="paragraph" w:customStyle="1" w:styleId="tabletextminimalspace">
    <w:name w:val="table text minimal space"/>
    <w:basedOn w:val="Normal"/>
    <w:qFormat/>
    <w:rsid w:val="006C3DEB"/>
    <w:pPr>
      <w:spacing w:before="0" w:after="0"/>
      <w:jc w:val="both"/>
    </w:pPr>
    <w:rPr>
      <w:sz w:val="20"/>
    </w:rPr>
  </w:style>
  <w:style w:type="paragraph" w:customStyle="1" w:styleId="Hyperlink1">
    <w:name w:val="Hyperlink1"/>
    <w:basedOn w:val="Normal"/>
    <w:qFormat/>
    <w:rsid w:val="006C3DEB"/>
    <w:pPr>
      <w:spacing w:before="0"/>
    </w:pPr>
    <w:rPr>
      <w:color w:val="5D779D" w:themeColor="accent3"/>
      <w:u w:val="single"/>
    </w:rPr>
  </w:style>
  <w:style w:type="paragraph" w:customStyle="1" w:styleId="Normal-beforehyperlink">
    <w:name w:val="Normal - before hyperlink"/>
    <w:basedOn w:val="Normal"/>
    <w:qFormat/>
    <w:rsid w:val="006C3DEB"/>
    <w:pPr>
      <w:spacing w:after="0"/>
    </w:pPr>
  </w:style>
  <w:style w:type="paragraph" w:customStyle="1" w:styleId="Steps">
    <w:name w:val="Steps"/>
    <w:basedOn w:val="Normal"/>
    <w:qFormat/>
    <w:rsid w:val="006C3DEB"/>
    <w:pPr>
      <w:ind w:left="567" w:hanging="567"/>
    </w:pPr>
  </w:style>
  <w:style w:type="paragraph" w:customStyle="1" w:styleId="Style1">
    <w:name w:val="Style1"/>
    <w:basedOn w:val="Steps"/>
    <w:qFormat/>
    <w:rsid w:val="006C3DEB"/>
    <w:pPr>
      <w:ind w:left="851" w:hanging="851"/>
    </w:pPr>
  </w:style>
  <w:style w:type="paragraph" w:customStyle="1" w:styleId="Heading1long">
    <w:name w:val="Heading 1 long"/>
    <w:basedOn w:val="Heading1"/>
    <w:qFormat/>
    <w:rsid w:val="006C3DEB"/>
    <w:pPr>
      <w:spacing w:before="0"/>
    </w:pPr>
  </w:style>
  <w:style w:type="character" w:customStyle="1" w:styleId="ui-provider">
    <w:name w:val="ui-provider"/>
    <w:basedOn w:val="DefaultParagraphFont"/>
    <w:rsid w:val="006C3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43.bin"/><Relationship Id="rId21" Type="http://schemas.openxmlformats.org/officeDocument/2006/relationships/image" Target="media/image6.wmf"/><Relationship Id="rId170" Type="http://schemas.openxmlformats.org/officeDocument/2006/relationships/oleObject" Target="embeddings/oleObject77.bin"/><Relationship Id="rId268" Type="http://schemas.openxmlformats.org/officeDocument/2006/relationships/oleObject" Target="embeddings/oleObject126.bin"/><Relationship Id="rId475" Type="http://schemas.openxmlformats.org/officeDocument/2006/relationships/image" Target="media/image232.wmf"/><Relationship Id="rId682" Type="http://schemas.openxmlformats.org/officeDocument/2006/relationships/oleObject" Target="embeddings/oleObject334.bin"/><Relationship Id="rId128" Type="http://schemas.openxmlformats.org/officeDocument/2006/relationships/oleObject" Target="embeddings/oleObject56.bin"/><Relationship Id="rId335" Type="http://schemas.openxmlformats.org/officeDocument/2006/relationships/image" Target="media/image162.wmf"/><Relationship Id="rId542" Type="http://schemas.openxmlformats.org/officeDocument/2006/relationships/oleObject" Target="embeddings/oleObject263.bin"/><Relationship Id="rId987" Type="http://schemas.openxmlformats.org/officeDocument/2006/relationships/oleObject" Target="embeddings/oleObject482.bin"/><Relationship Id="rId1172" Type="http://schemas.openxmlformats.org/officeDocument/2006/relationships/oleObject" Target="embeddings/oleObject573.bin"/><Relationship Id="rId402" Type="http://schemas.openxmlformats.org/officeDocument/2006/relationships/oleObject" Target="embeddings/oleObject193.bin"/><Relationship Id="rId847" Type="http://schemas.openxmlformats.org/officeDocument/2006/relationships/image" Target="media/image417.wmf"/><Relationship Id="rId1032" Type="http://schemas.openxmlformats.org/officeDocument/2006/relationships/oleObject" Target="embeddings/oleObject504.bin"/><Relationship Id="rId1477" Type="http://schemas.openxmlformats.org/officeDocument/2006/relationships/image" Target="media/image735.wmf"/><Relationship Id="rId1684" Type="http://schemas.openxmlformats.org/officeDocument/2006/relationships/image" Target="media/image839.wmf"/><Relationship Id="rId707" Type="http://schemas.openxmlformats.org/officeDocument/2006/relationships/image" Target="media/image347.wmf"/><Relationship Id="rId914" Type="http://schemas.openxmlformats.org/officeDocument/2006/relationships/oleObject" Target="embeddings/oleObject447.bin"/><Relationship Id="rId1337" Type="http://schemas.openxmlformats.org/officeDocument/2006/relationships/image" Target="media/image665.wmf"/><Relationship Id="rId1544" Type="http://schemas.openxmlformats.org/officeDocument/2006/relationships/image" Target="media/image769.wmf"/><Relationship Id="rId43" Type="http://schemas.openxmlformats.org/officeDocument/2006/relationships/oleObject" Target="embeddings/oleObject13.bin"/><Relationship Id="rId1404" Type="http://schemas.openxmlformats.org/officeDocument/2006/relationships/oleObject" Target="embeddings/oleObject684.bin"/><Relationship Id="rId1611" Type="http://schemas.openxmlformats.org/officeDocument/2006/relationships/oleObject" Target="embeddings/oleObject787.bin"/><Relationship Id="rId192" Type="http://schemas.openxmlformats.org/officeDocument/2006/relationships/oleObject" Target="embeddings/oleObject88.bin"/><Relationship Id="rId497" Type="http://schemas.openxmlformats.org/officeDocument/2006/relationships/image" Target="media/image243.wmf"/><Relationship Id="rId357" Type="http://schemas.openxmlformats.org/officeDocument/2006/relationships/image" Target="media/image173.wmf"/><Relationship Id="rId1194" Type="http://schemas.openxmlformats.org/officeDocument/2006/relationships/oleObject" Target="embeddings/oleObject584.bin"/><Relationship Id="rId217" Type="http://schemas.openxmlformats.org/officeDocument/2006/relationships/image" Target="media/image103.wmf"/><Relationship Id="rId564" Type="http://schemas.openxmlformats.org/officeDocument/2006/relationships/oleObject" Target="embeddings/oleObject274.bin"/><Relationship Id="rId771" Type="http://schemas.openxmlformats.org/officeDocument/2006/relationships/image" Target="media/image379.wmf"/><Relationship Id="rId869" Type="http://schemas.openxmlformats.org/officeDocument/2006/relationships/image" Target="media/image428.wmf"/><Relationship Id="rId1499" Type="http://schemas.openxmlformats.org/officeDocument/2006/relationships/image" Target="media/image746.wmf"/><Relationship Id="rId424" Type="http://schemas.openxmlformats.org/officeDocument/2006/relationships/oleObject" Target="embeddings/oleObject204.bin"/><Relationship Id="rId631" Type="http://schemas.openxmlformats.org/officeDocument/2006/relationships/oleObject" Target="embeddings/oleObject308.bin"/><Relationship Id="rId729" Type="http://schemas.openxmlformats.org/officeDocument/2006/relationships/image" Target="media/image358.wmf"/><Relationship Id="rId1054" Type="http://schemas.openxmlformats.org/officeDocument/2006/relationships/image" Target="media/image526.emf"/><Relationship Id="rId1261" Type="http://schemas.openxmlformats.org/officeDocument/2006/relationships/image" Target="media/image627.wmf"/><Relationship Id="rId1359" Type="http://schemas.openxmlformats.org/officeDocument/2006/relationships/image" Target="media/image676.wmf"/><Relationship Id="rId936" Type="http://schemas.openxmlformats.org/officeDocument/2006/relationships/image" Target="media/image466.wmf"/><Relationship Id="rId1121" Type="http://schemas.openxmlformats.org/officeDocument/2006/relationships/image" Target="media/image560.wmf"/><Relationship Id="rId1219" Type="http://schemas.openxmlformats.org/officeDocument/2006/relationships/image" Target="media/image609.wmf"/><Relationship Id="rId1566" Type="http://schemas.openxmlformats.org/officeDocument/2006/relationships/image" Target="media/image780.wmf"/><Relationship Id="rId65" Type="http://schemas.openxmlformats.org/officeDocument/2006/relationships/image" Target="media/image27.wmf"/><Relationship Id="rId1426" Type="http://schemas.openxmlformats.org/officeDocument/2006/relationships/oleObject" Target="embeddings/oleObject695.bin"/><Relationship Id="rId1633" Type="http://schemas.openxmlformats.org/officeDocument/2006/relationships/oleObject" Target="embeddings/oleObject798.bin"/><Relationship Id="rId1700" Type="http://schemas.openxmlformats.org/officeDocument/2006/relationships/fontTable" Target="fontTable.xml"/><Relationship Id="rId281" Type="http://schemas.openxmlformats.org/officeDocument/2006/relationships/image" Target="media/image135.wmf"/><Relationship Id="rId141" Type="http://schemas.openxmlformats.org/officeDocument/2006/relationships/image" Target="media/image65.wmf"/><Relationship Id="rId379" Type="http://schemas.openxmlformats.org/officeDocument/2006/relationships/image" Target="media/image184.wmf"/><Relationship Id="rId586" Type="http://schemas.openxmlformats.org/officeDocument/2006/relationships/oleObject" Target="embeddings/oleObject285.bin"/><Relationship Id="rId793" Type="http://schemas.openxmlformats.org/officeDocument/2006/relationships/image" Target="media/image390.wmf"/><Relationship Id="rId7" Type="http://schemas.openxmlformats.org/officeDocument/2006/relationships/footer" Target="footer1.xml"/><Relationship Id="rId239" Type="http://schemas.openxmlformats.org/officeDocument/2006/relationships/image" Target="media/image114.wmf"/><Relationship Id="rId446" Type="http://schemas.openxmlformats.org/officeDocument/2006/relationships/oleObject" Target="embeddings/oleObject215.bin"/><Relationship Id="rId653" Type="http://schemas.openxmlformats.org/officeDocument/2006/relationships/image" Target="media/image320.wmf"/><Relationship Id="rId1076" Type="http://schemas.openxmlformats.org/officeDocument/2006/relationships/oleObject" Target="embeddings/oleObject525.bin"/><Relationship Id="rId1283" Type="http://schemas.openxmlformats.org/officeDocument/2006/relationships/image" Target="media/image638.wmf"/><Relationship Id="rId1490" Type="http://schemas.openxmlformats.org/officeDocument/2006/relationships/oleObject" Target="embeddings/oleObject727.bin"/><Relationship Id="rId306" Type="http://schemas.openxmlformats.org/officeDocument/2006/relationships/oleObject" Target="embeddings/oleObject145.bin"/><Relationship Id="rId860" Type="http://schemas.openxmlformats.org/officeDocument/2006/relationships/oleObject" Target="embeddings/oleObject423.bin"/><Relationship Id="rId958" Type="http://schemas.openxmlformats.org/officeDocument/2006/relationships/image" Target="media/image477.wmf"/><Relationship Id="rId1143" Type="http://schemas.openxmlformats.org/officeDocument/2006/relationships/image" Target="media/image571.wmf"/><Relationship Id="rId1588" Type="http://schemas.openxmlformats.org/officeDocument/2006/relationships/image" Target="media/image791.wmf"/><Relationship Id="rId87" Type="http://schemas.openxmlformats.org/officeDocument/2006/relationships/image" Target="media/image38.wmf"/><Relationship Id="rId513" Type="http://schemas.openxmlformats.org/officeDocument/2006/relationships/image" Target="media/image251.wmf"/><Relationship Id="rId720" Type="http://schemas.openxmlformats.org/officeDocument/2006/relationships/oleObject" Target="embeddings/oleObject353.bin"/><Relationship Id="rId818" Type="http://schemas.openxmlformats.org/officeDocument/2006/relationships/oleObject" Target="embeddings/oleObject402.bin"/><Relationship Id="rId1350" Type="http://schemas.openxmlformats.org/officeDocument/2006/relationships/oleObject" Target="embeddings/oleObject657.bin"/><Relationship Id="rId1448" Type="http://schemas.openxmlformats.org/officeDocument/2006/relationships/oleObject" Target="embeddings/oleObject706.bin"/><Relationship Id="rId1655" Type="http://schemas.openxmlformats.org/officeDocument/2006/relationships/oleObject" Target="embeddings/oleObject809.bin"/><Relationship Id="rId1003" Type="http://schemas.openxmlformats.org/officeDocument/2006/relationships/image" Target="media/image500.wmf"/><Relationship Id="rId1210" Type="http://schemas.openxmlformats.org/officeDocument/2006/relationships/oleObject" Target="embeddings/oleObject592.bin"/><Relationship Id="rId1308" Type="http://schemas.openxmlformats.org/officeDocument/2006/relationships/oleObject" Target="embeddings/oleObject636.bin"/><Relationship Id="rId1515" Type="http://schemas.openxmlformats.org/officeDocument/2006/relationships/image" Target="media/image754.wmf"/><Relationship Id="rId14" Type="http://schemas.openxmlformats.org/officeDocument/2006/relationships/hyperlink" Target="https://www.pmc.gov.au/honours-and-symbols/commonwealth-coat-arms" TargetMode="External"/><Relationship Id="rId163" Type="http://schemas.openxmlformats.org/officeDocument/2006/relationships/image" Target="media/image76.wmf"/><Relationship Id="rId370" Type="http://schemas.openxmlformats.org/officeDocument/2006/relationships/oleObject" Target="embeddings/oleObject177.bin"/><Relationship Id="rId230" Type="http://schemas.openxmlformats.org/officeDocument/2006/relationships/oleObject" Target="embeddings/oleObject107.bin"/><Relationship Id="rId468" Type="http://schemas.openxmlformats.org/officeDocument/2006/relationships/oleObject" Target="embeddings/oleObject226.bin"/><Relationship Id="rId675" Type="http://schemas.openxmlformats.org/officeDocument/2006/relationships/image" Target="media/image331.wmf"/><Relationship Id="rId882" Type="http://schemas.openxmlformats.org/officeDocument/2006/relationships/oleObject" Target="embeddings/oleObject433.bin"/><Relationship Id="rId1098" Type="http://schemas.openxmlformats.org/officeDocument/2006/relationships/oleObject" Target="embeddings/oleObject536.bin"/><Relationship Id="rId328" Type="http://schemas.openxmlformats.org/officeDocument/2006/relationships/oleObject" Target="embeddings/oleObject156.bin"/><Relationship Id="rId535" Type="http://schemas.openxmlformats.org/officeDocument/2006/relationships/image" Target="media/image262.wmf"/><Relationship Id="rId742" Type="http://schemas.openxmlformats.org/officeDocument/2006/relationships/oleObject" Target="embeddings/oleObject364.bin"/><Relationship Id="rId1165" Type="http://schemas.openxmlformats.org/officeDocument/2006/relationships/image" Target="media/image582.wmf"/><Relationship Id="rId1372" Type="http://schemas.openxmlformats.org/officeDocument/2006/relationships/oleObject" Target="embeddings/oleObject668.bin"/><Relationship Id="rId602" Type="http://schemas.openxmlformats.org/officeDocument/2006/relationships/image" Target="media/image295.wmf"/><Relationship Id="rId1025" Type="http://schemas.openxmlformats.org/officeDocument/2006/relationships/image" Target="media/image511.wmf"/><Relationship Id="rId1232" Type="http://schemas.openxmlformats.org/officeDocument/2006/relationships/oleObject" Target="embeddings/oleObject603.bin"/><Relationship Id="rId1677" Type="http://schemas.openxmlformats.org/officeDocument/2006/relationships/oleObject" Target="embeddings/oleObject820.bin"/><Relationship Id="rId907" Type="http://schemas.openxmlformats.org/officeDocument/2006/relationships/oleObject" Target="embeddings/oleObject444.bin"/><Relationship Id="rId1537" Type="http://schemas.openxmlformats.org/officeDocument/2006/relationships/oleObject" Target="embeddings/oleObject750.bin"/><Relationship Id="rId36" Type="http://schemas.openxmlformats.org/officeDocument/2006/relationships/oleObject" Target="embeddings/oleObject9.bin"/><Relationship Id="rId1604" Type="http://schemas.openxmlformats.org/officeDocument/2006/relationships/image" Target="media/image799.wmf"/><Relationship Id="rId185" Type="http://schemas.openxmlformats.org/officeDocument/2006/relationships/image" Target="media/image87.wmf"/><Relationship Id="rId392" Type="http://schemas.openxmlformats.org/officeDocument/2006/relationships/oleObject" Target="embeddings/oleObject188.bin"/><Relationship Id="rId697" Type="http://schemas.openxmlformats.org/officeDocument/2006/relationships/image" Target="media/image342.wmf"/><Relationship Id="rId252" Type="http://schemas.openxmlformats.org/officeDocument/2006/relationships/oleObject" Target="embeddings/oleObject118.bin"/><Relationship Id="rId1187" Type="http://schemas.openxmlformats.org/officeDocument/2006/relationships/image" Target="media/image593.wmf"/><Relationship Id="rId112" Type="http://schemas.openxmlformats.org/officeDocument/2006/relationships/oleObject" Target="embeddings/oleObject48.bin"/><Relationship Id="rId557" Type="http://schemas.openxmlformats.org/officeDocument/2006/relationships/image" Target="media/image273.wmf"/><Relationship Id="rId764" Type="http://schemas.openxmlformats.org/officeDocument/2006/relationships/oleObject" Target="embeddings/oleObject375.bin"/><Relationship Id="rId971" Type="http://schemas.openxmlformats.org/officeDocument/2006/relationships/oleObject" Target="embeddings/oleObject474.bin"/><Relationship Id="rId1394" Type="http://schemas.openxmlformats.org/officeDocument/2006/relationships/oleObject" Target="embeddings/oleObject679.bin"/><Relationship Id="rId1699" Type="http://schemas.openxmlformats.org/officeDocument/2006/relationships/oleObject" Target="embeddings/oleObject831.bin"/><Relationship Id="rId417" Type="http://schemas.openxmlformats.org/officeDocument/2006/relationships/image" Target="media/image203.wmf"/><Relationship Id="rId624" Type="http://schemas.openxmlformats.org/officeDocument/2006/relationships/image" Target="media/image306.wmf"/><Relationship Id="rId831" Type="http://schemas.openxmlformats.org/officeDocument/2006/relationships/image" Target="media/image409.wmf"/><Relationship Id="rId1047" Type="http://schemas.openxmlformats.org/officeDocument/2006/relationships/image" Target="media/image522.wmf"/><Relationship Id="rId1254" Type="http://schemas.openxmlformats.org/officeDocument/2006/relationships/oleObject" Target="embeddings/oleObject609.bin"/><Relationship Id="rId1461" Type="http://schemas.openxmlformats.org/officeDocument/2006/relationships/image" Target="media/image727.wmf"/><Relationship Id="rId929" Type="http://schemas.openxmlformats.org/officeDocument/2006/relationships/oleObject" Target="embeddings/oleObject453.bin"/><Relationship Id="rId1114" Type="http://schemas.openxmlformats.org/officeDocument/2006/relationships/oleObject" Target="embeddings/oleObject544.bin"/><Relationship Id="rId1321" Type="http://schemas.openxmlformats.org/officeDocument/2006/relationships/image" Target="media/image657.wmf"/><Relationship Id="rId1559" Type="http://schemas.openxmlformats.org/officeDocument/2006/relationships/oleObject" Target="embeddings/oleObject761.bin"/><Relationship Id="rId58" Type="http://schemas.openxmlformats.org/officeDocument/2006/relationships/oleObject" Target="embeddings/oleObject21.bin"/><Relationship Id="rId1419" Type="http://schemas.openxmlformats.org/officeDocument/2006/relationships/image" Target="media/image706.wmf"/><Relationship Id="rId1626" Type="http://schemas.openxmlformats.org/officeDocument/2006/relationships/image" Target="media/image810.wmf"/><Relationship Id="rId274" Type="http://schemas.openxmlformats.org/officeDocument/2006/relationships/oleObject" Target="embeddings/oleObject129.bin"/><Relationship Id="rId481" Type="http://schemas.openxmlformats.org/officeDocument/2006/relationships/image" Target="media/image235.wmf"/><Relationship Id="rId134" Type="http://schemas.openxmlformats.org/officeDocument/2006/relationships/oleObject" Target="embeddings/oleObject59.bin"/><Relationship Id="rId579" Type="http://schemas.openxmlformats.org/officeDocument/2006/relationships/image" Target="media/image284.wmf"/><Relationship Id="rId786" Type="http://schemas.openxmlformats.org/officeDocument/2006/relationships/oleObject" Target="embeddings/oleObject386.bin"/><Relationship Id="rId993" Type="http://schemas.openxmlformats.org/officeDocument/2006/relationships/oleObject" Target="embeddings/oleObject485.bin"/><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oleObject" Target="embeddings/oleObject316.bin"/><Relationship Id="rId1069" Type="http://schemas.openxmlformats.org/officeDocument/2006/relationships/image" Target="media/image534.wmf"/><Relationship Id="rId1276" Type="http://schemas.openxmlformats.org/officeDocument/2006/relationships/oleObject" Target="embeddings/oleObject620.bin"/><Relationship Id="rId1483" Type="http://schemas.openxmlformats.org/officeDocument/2006/relationships/image" Target="media/image738.wmf"/><Relationship Id="rId201" Type="http://schemas.openxmlformats.org/officeDocument/2006/relationships/image" Target="media/image95.wmf"/><Relationship Id="rId506" Type="http://schemas.openxmlformats.org/officeDocument/2006/relationships/oleObject" Target="embeddings/oleObject245.bin"/><Relationship Id="rId853" Type="http://schemas.openxmlformats.org/officeDocument/2006/relationships/image" Target="media/image420.wmf"/><Relationship Id="rId1136" Type="http://schemas.openxmlformats.org/officeDocument/2006/relationships/oleObject" Target="embeddings/oleObject555.bin"/><Relationship Id="rId1690" Type="http://schemas.openxmlformats.org/officeDocument/2006/relationships/image" Target="media/image842.wmf"/><Relationship Id="rId713" Type="http://schemas.openxmlformats.org/officeDocument/2006/relationships/image" Target="media/image350.wmf"/><Relationship Id="rId920" Type="http://schemas.openxmlformats.org/officeDocument/2006/relationships/image" Target="media/image458.wmf"/><Relationship Id="rId1343" Type="http://schemas.openxmlformats.org/officeDocument/2006/relationships/image" Target="media/image668.wmf"/><Relationship Id="rId1550" Type="http://schemas.openxmlformats.org/officeDocument/2006/relationships/image" Target="media/image772.wmf"/><Relationship Id="rId1648" Type="http://schemas.openxmlformats.org/officeDocument/2006/relationships/image" Target="media/image821.wmf"/><Relationship Id="rId1203" Type="http://schemas.openxmlformats.org/officeDocument/2006/relationships/image" Target="media/image601.wmf"/><Relationship Id="rId1410" Type="http://schemas.openxmlformats.org/officeDocument/2006/relationships/oleObject" Target="embeddings/oleObject687.bin"/><Relationship Id="rId1508" Type="http://schemas.openxmlformats.org/officeDocument/2006/relationships/oleObject" Target="embeddings/oleObject736.bin"/><Relationship Id="rId296" Type="http://schemas.openxmlformats.org/officeDocument/2006/relationships/oleObject" Target="embeddings/oleObject140.bin"/><Relationship Id="rId156" Type="http://schemas.openxmlformats.org/officeDocument/2006/relationships/oleObject" Target="embeddings/oleObject70.bin"/><Relationship Id="rId363" Type="http://schemas.openxmlformats.org/officeDocument/2006/relationships/image" Target="media/image176.wmf"/><Relationship Id="rId570" Type="http://schemas.openxmlformats.org/officeDocument/2006/relationships/oleObject" Target="embeddings/oleObject277.bin"/><Relationship Id="rId223" Type="http://schemas.openxmlformats.org/officeDocument/2006/relationships/image" Target="media/image106.wmf"/><Relationship Id="rId430" Type="http://schemas.openxmlformats.org/officeDocument/2006/relationships/oleObject" Target="embeddings/oleObject207.bin"/><Relationship Id="rId668" Type="http://schemas.openxmlformats.org/officeDocument/2006/relationships/oleObject" Target="embeddings/oleObject327.bin"/><Relationship Id="rId875" Type="http://schemas.openxmlformats.org/officeDocument/2006/relationships/oleObject" Target="embeddings/oleObject430.bin"/><Relationship Id="rId1060" Type="http://schemas.openxmlformats.org/officeDocument/2006/relationships/oleObject" Target="embeddings/oleObject517.bin"/><Relationship Id="rId1298" Type="http://schemas.openxmlformats.org/officeDocument/2006/relationships/oleObject" Target="embeddings/oleObject631.bin"/><Relationship Id="rId528" Type="http://schemas.openxmlformats.org/officeDocument/2006/relationships/oleObject" Target="embeddings/oleObject256.bin"/><Relationship Id="rId735" Type="http://schemas.openxmlformats.org/officeDocument/2006/relationships/image" Target="media/image361.wmf"/><Relationship Id="rId942" Type="http://schemas.openxmlformats.org/officeDocument/2006/relationships/image" Target="media/image469.wmf"/><Relationship Id="rId1158" Type="http://schemas.openxmlformats.org/officeDocument/2006/relationships/oleObject" Target="embeddings/oleObject566.bin"/><Relationship Id="rId1365" Type="http://schemas.openxmlformats.org/officeDocument/2006/relationships/image" Target="media/image679.wmf"/><Relationship Id="rId1572" Type="http://schemas.openxmlformats.org/officeDocument/2006/relationships/image" Target="media/image783.wmf"/><Relationship Id="rId1018" Type="http://schemas.openxmlformats.org/officeDocument/2006/relationships/oleObject" Target="embeddings/oleObject497.bin"/><Relationship Id="rId1225" Type="http://schemas.openxmlformats.org/officeDocument/2006/relationships/image" Target="media/image612.wmf"/><Relationship Id="rId1432" Type="http://schemas.openxmlformats.org/officeDocument/2006/relationships/oleObject" Target="embeddings/oleObject698.bin"/><Relationship Id="rId71" Type="http://schemas.openxmlformats.org/officeDocument/2006/relationships/image" Target="media/image30.wmf"/><Relationship Id="rId802" Type="http://schemas.openxmlformats.org/officeDocument/2006/relationships/oleObject" Target="embeddings/oleObject394.bin"/><Relationship Id="rId29" Type="http://schemas.openxmlformats.org/officeDocument/2006/relationships/image" Target="media/image10.wmf"/><Relationship Id="rId178" Type="http://schemas.openxmlformats.org/officeDocument/2006/relationships/oleObject" Target="embeddings/oleObject81.bin"/><Relationship Id="rId385" Type="http://schemas.openxmlformats.org/officeDocument/2006/relationships/image" Target="media/image187.wmf"/><Relationship Id="rId592" Type="http://schemas.openxmlformats.org/officeDocument/2006/relationships/oleObject" Target="embeddings/oleObject288.bin"/><Relationship Id="rId245" Type="http://schemas.openxmlformats.org/officeDocument/2006/relationships/image" Target="media/image117.wmf"/><Relationship Id="rId452" Type="http://schemas.openxmlformats.org/officeDocument/2006/relationships/oleObject" Target="embeddings/oleObject218.bin"/><Relationship Id="rId897" Type="http://schemas.openxmlformats.org/officeDocument/2006/relationships/oleObject" Target="embeddings/oleObject440.bin"/><Relationship Id="rId1082" Type="http://schemas.openxmlformats.org/officeDocument/2006/relationships/oleObject" Target="embeddings/oleObject528.bin"/><Relationship Id="rId105" Type="http://schemas.openxmlformats.org/officeDocument/2006/relationships/image" Target="media/image47.wmf"/><Relationship Id="rId312" Type="http://schemas.openxmlformats.org/officeDocument/2006/relationships/oleObject" Target="embeddings/oleObject148.bin"/><Relationship Id="rId757" Type="http://schemas.openxmlformats.org/officeDocument/2006/relationships/image" Target="media/image372.wmf"/><Relationship Id="rId964" Type="http://schemas.openxmlformats.org/officeDocument/2006/relationships/image" Target="media/image480.wmf"/><Relationship Id="rId1387" Type="http://schemas.openxmlformats.org/officeDocument/2006/relationships/image" Target="media/image690.wmf"/><Relationship Id="rId1594" Type="http://schemas.openxmlformats.org/officeDocument/2006/relationships/image" Target="media/image794.wmf"/><Relationship Id="rId93" Type="http://schemas.openxmlformats.org/officeDocument/2006/relationships/image" Target="media/image41.wmf"/><Relationship Id="rId617" Type="http://schemas.openxmlformats.org/officeDocument/2006/relationships/oleObject" Target="embeddings/oleObject301.bin"/><Relationship Id="rId824" Type="http://schemas.openxmlformats.org/officeDocument/2006/relationships/oleObject" Target="embeddings/oleObject405.bin"/><Relationship Id="rId1247" Type="http://schemas.openxmlformats.org/officeDocument/2006/relationships/hyperlink" Target="https://budgetmodel.wharton.upenn.edu/issues/2019/12/12/senator-elizabeth-warrens-wealth-tax-projected-budgetary-and-economic-effects" TargetMode="External"/><Relationship Id="rId1454" Type="http://schemas.openxmlformats.org/officeDocument/2006/relationships/oleObject" Target="embeddings/oleObject709.bin"/><Relationship Id="rId1661" Type="http://schemas.openxmlformats.org/officeDocument/2006/relationships/oleObject" Target="embeddings/oleObject812.bin"/><Relationship Id="rId1107" Type="http://schemas.openxmlformats.org/officeDocument/2006/relationships/image" Target="media/image553.wmf"/><Relationship Id="rId1314" Type="http://schemas.openxmlformats.org/officeDocument/2006/relationships/oleObject" Target="embeddings/oleObject639.bin"/><Relationship Id="rId1521" Type="http://schemas.openxmlformats.org/officeDocument/2006/relationships/image" Target="media/image757.wmf"/><Relationship Id="rId1619" Type="http://schemas.openxmlformats.org/officeDocument/2006/relationships/oleObject" Target="embeddings/oleObject791.bin"/><Relationship Id="rId20" Type="http://schemas.openxmlformats.org/officeDocument/2006/relationships/oleObject" Target="embeddings/oleObject1.bin"/><Relationship Id="rId267" Type="http://schemas.openxmlformats.org/officeDocument/2006/relationships/image" Target="media/image128.wmf"/><Relationship Id="rId474" Type="http://schemas.openxmlformats.org/officeDocument/2006/relationships/oleObject" Target="embeddings/oleObject229.bin"/><Relationship Id="rId127" Type="http://schemas.openxmlformats.org/officeDocument/2006/relationships/image" Target="media/image58.wmf"/><Relationship Id="rId681" Type="http://schemas.openxmlformats.org/officeDocument/2006/relationships/image" Target="media/image334.wmf"/><Relationship Id="rId779" Type="http://schemas.openxmlformats.org/officeDocument/2006/relationships/image" Target="media/image383.wmf"/><Relationship Id="rId986" Type="http://schemas.openxmlformats.org/officeDocument/2006/relationships/image" Target="media/image491.wmf"/><Relationship Id="rId334" Type="http://schemas.openxmlformats.org/officeDocument/2006/relationships/oleObject" Target="embeddings/oleObject159.bin"/><Relationship Id="rId541" Type="http://schemas.openxmlformats.org/officeDocument/2006/relationships/image" Target="media/image265.wmf"/><Relationship Id="rId639" Type="http://schemas.openxmlformats.org/officeDocument/2006/relationships/image" Target="media/image313.wmf"/><Relationship Id="rId1171" Type="http://schemas.openxmlformats.org/officeDocument/2006/relationships/image" Target="media/image585.wmf"/><Relationship Id="rId1269" Type="http://schemas.openxmlformats.org/officeDocument/2006/relationships/image" Target="media/image631.wmf"/><Relationship Id="rId1476" Type="http://schemas.openxmlformats.org/officeDocument/2006/relationships/oleObject" Target="embeddings/oleObject720.bin"/><Relationship Id="rId401" Type="http://schemas.openxmlformats.org/officeDocument/2006/relationships/image" Target="media/image195.wmf"/><Relationship Id="rId846" Type="http://schemas.openxmlformats.org/officeDocument/2006/relationships/oleObject" Target="embeddings/oleObject416.bin"/><Relationship Id="rId1031" Type="http://schemas.openxmlformats.org/officeDocument/2006/relationships/image" Target="media/image514.wmf"/><Relationship Id="rId1129" Type="http://schemas.openxmlformats.org/officeDocument/2006/relationships/image" Target="media/image564.wmf"/><Relationship Id="rId1683" Type="http://schemas.openxmlformats.org/officeDocument/2006/relationships/oleObject" Target="embeddings/oleObject823.bin"/><Relationship Id="rId706" Type="http://schemas.openxmlformats.org/officeDocument/2006/relationships/oleObject" Target="embeddings/oleObject346.bin"/><Relationship Id="rId913" Type="http://schemas.openxmlformats.org/officeDocument/2006/relationships/image" Target="media/image453.wmf"/><Relationship Id="rId1336" Type="http://schemas.openxmlformats.org/officeDocument/2006/relationships/oleObject" Target="embeddings/oleObject650.bin"/><Relationship Id="rId1543" Type="http://schemas.openxmlformats.org/officeDocument/2006/relationships/oleObject" Target="embeddings/oleObject753.bin"/><Relationship Id="rId42" Type="http://schemas.openxmlformats.org/officeDocument/2006/relationships/image" Target="media/image16.wmf"/><Relationship Id="rId1403" Type="http://schemas.openxmlformats.org/officeDocument/2006/relationships/image" Target="media/image698.wmf"/><Relationship Id="rId1610" Type="http://schemas.openxmlformats.org/officeDocument/2006/relationships/image" Target="media/image802.wmf"/><Relationship Id="rId191" Type="http://schemas.openxmlformats.org/officeDocument/2006/relationships/image" Target="media/image90.wmf"/><Relationship Id="rId289" Type="http://schemas.openxmlformats.org/officeDocument/2006/relationships/image" Target="media/image139.wmf"/><Relationship Id="rId496" Type="http://schemas.openxmlformats.org/officeDocument/2006/relationships/oleObject" Target="embeddings/oleObject240.bin"/><Relationship Id="rId149" Type="http://schemas.openxmlformats.org/officeDocument/2006/relationships/image" Target="media/image69.wmf"/><Relationship Id="rId356" Type="http://schemas.openxmlformats.org/officeDocument/2006/relationships/oleObject" Target="embeddings/oleObject170.bin"/><Relationship Id="rId563" Type="http://schemas.openxmlformats.org/officeDocument/2006/relationships/image" Target="media/image276.wmf"/><Relationship Id="rId770" Type="http://schemas.openxmlformats.org/officeDocument/2006/relationships/oleObject" Target="embeddings/oleObject378.bin"/><Relationship Id="rId1193" Type="http://schemas.openxmlformats.org/officeDocument/2006/relationships/image" Target="media/image596.wmf"/><Relationship Id="rId216" Type="http://schemas.openxmlformats.org/officeDocument/2006/relationships/oleObject" Target="embeddings/oleObject100.bin"/><Relationship Id="rId423" Type="http://schemas.openxmlformats.org/officeDocument/2006/relationships/image" Target="media/image206.wmf"/><Relationship Id="rId868" Type="http://schemas.openxmlformats.org/officeDocument/2006/relationships/oleObject" Target="embeddings/oleObject427.bin"/><Relationship Id="rId1053" Type="http://schemas.openxmlformats.org/officeDocument/2006/relationships/image" Target="media/image525.png"/><Relationship Id="rId1260" Type="http://schemas.openxmlformats.org/officeDocument/2006/relationships/oleObject" Target="embeddings/oleObject612.bin"/><Relationship Id="rId1498" Type="http://schemas.openxmlformats.org/officeDocument/2006/relationships/oleObject" Target="embeddings/oleObject731.bin"/><Relationship Id="rId630" Type="http://schemas.openxmlformats.org/officeDocument/2006/relationships/image" Target="media/image309.wmf"/><Relationship Id="rId728" Type="http://schemas.openxmlformats.org/officeDocument/2006/relationships/oleObject" Target="embeddings/oleObject357.bin"/><Relationship Id="rId935" Type="http://schemas.openxmlformats.org/officeDocument/2006/relationships/oleObject" Target="embeddings/oleObject456.bin"/><Relationship Id="rId1358" Type="http://schemas.openxmlformats.org/officeDocument/2006/relationships/oleObject" Target="embeddings/oleObject661.bin"/><Relationship Id="rId1565" Type="http://schemas.openxmlformats.org/officeDocument/2006/relationships/oleObject" Target="embeddings/oleObject764.bin"/><Relationship Id="rId64" Type="http://schemas.openxmlformats.org/officeDocument/2006/relationships/oleObject" Target="embeddings/oleObject24.bin"/><Relationship Id="rId1120" Type="http://schemas.openxmlformats.org/officeDocument/2006/relationships/oleObject" Target="embeddings/oleObject547.bin"/><Relationship Id="rId1218" Type="http://schemas.openxmlformats.org/officeDocument/2006/relationships/oleObject" Target="embeddings/oleObject596.bin"/><Relationship Id="rId1425" Type="http://schemas.openxmlformats.org/officeDocument/2006/relationships/image" Target="media/image709.wmf"/><Relationship Id="rId1632" Type="http://schemas.openxmlformats.org/officeDocument/2006/relationships/image" Target="media/image813.wmf"/><Relationship Id="rId280" Type="http://schemas.openxmlformats.org/officeDocument/2006/relationships/oleObject" Target="embeddings/oleObject132.bin"/><Relationship Id="rId140" Type="http://schemas.openxmlformats.org/officeDocument/2006/relationships/oleObject" Target="embeddings/oleObject62.bin"/><Relationship Id="rId378" Type="http://schemas.openxmlformats.org/officeDocument/2006/relationships/oleObject" Target="embeddings/oleObject181.bin"/><Relationship Id="rId585" Type="http://schemas.openxmlformats.org/officeDocument/2006/relationships/image" Target="media/image287.wmf"/><Relationship Id="rId792" Type="http://schemas.openxmlformats.org/officeDocument/2006/relationships/oleObject" Target="embeddings/oleObject389.bin"/><Relationship Id="rId6" Type="http://schemas.openxmlformats.org/officeDocument/2006/relationships/endnotes" Target="endnotes.xml"/><Relationship Id="rId238" Type="http://schemas.openxmlformats.org/officeDocument/2006/relationships/oleObject" Target="embeddings/oleObject111.bin"/><Relationship Id="rId445" Type="http://schemas.openxmlformats.org/officeDocument/2006/relationships/image" Target="media/image217.wmf"/><Relationship Id="rId652" Type="http://schemas.openxmlformats.org/officeDocument/2006/relationships/oleObject" Target="embeddings/oleObject319.bin"/><Relationship Id="rId1075" Type="http://schemas.openxmlformats.org/officeDocument/2006/relationships/image" Target="media/image537.wmf"/><Relationship Id="rId1282" Type="http://schemas.openxmlformats.org/officeDocument/2006/relationships/oleObject" Target="embeddings/oleObject623.bin"/><Relationship Id="rId305" Type="http://schemas.openxmlformats.org/officeDocument/2006/relationships/image" Target="media/image147.wmf"/><Relationship Id="rId512" Type="http://schemas.openxmlformats.org/officeDocument/2006/relationships/oleObject" Target="embeddings/oleObject248.bin"/><Relationship Id="rId957" Type="http://schemas.openxmlformats.org/officeDocument/2006/relationships/oleObject" Target="embeddings/oleObject467.bin"/><Relationship Id="rId1142" Type="http://schemas.openxmlformats.org/officeDocument/2006/relationships/oleObject" Target="embeddings/oleObject558.bin"/><Relationship Id="rId1587" Type="http://schemas.openxmlformats.org/officeDocument/2006/relationships/oleObject" Target="embeddings/oleObject775.bin"/><Relationship Id="rId86" Type="http://schemas.openxmlformats.org/officeDocument/2006/relationships/oleObject" Target="embeddings/oleObject35.bin"/><Relationship Id="rId817" Type="http://schemas.openxmlformats.org/officeDocument/2006/relationships/image" Target="media/image402.wmf"/><Relationship Id="rId1002" Type="http://schemas.openxmlformats.org/officeDocument/2006/relationships/oleObject" Target="embeddings/oleObject489.bin"/><Relationship Id="rId1447" Type="http://schemas.openxmlformats.org/officeDocument/2006/relationships/image" Target="media/image720.wmf"/><Relationship Id="rId1654" Type="http://schemas.openxmlformats.org/officeDocument/2006/relationships/image" Target="media/image824.wmf"/><Relationship Id="rId1307" Type="http://schemas.openxmlformats.org/officeDocument/2006/relationships/image" Target="media/image650.wmf"/><Relationship Id="rId1514" Type="http://schemas.openxmlformats.org/officeDocument/2006/relationships/oleObject" Target="embeddings/oleObject739.bin"/><Relationship Id="rId13" Type="http://schemas.openxmlformats.org/officeDocument/2006/relationships/hyperlink" Target="http://creativecommons.org/licenses/by/3.0/au/deed.en" TargetMode="External"/><Relationship Id="rId162" Type="http://schemas.openxmlformats.org/officeDocument/2006/relationships/oleObject" Target="embeddings/oleObject73.bin"/><Relationship Id="rId467" Type="http://schemas.openxmlformats.org/officeDocument/2006/relationships/image" Target="media/image228.wmf"/><Relationship Id="rId1097" Type="http://schemas.openxmlformats.org/officeDocument/2006/relationships/image" Target="media/image548.wmf"/><Relationship Id="rId674" Type="http://schemas.openxmlformats.org/officeDocument/2006/relationships/oleObject" Target="embeddings/oleObject330.bin"/><Relationship Id="rId881" Type="http://schemas.openxmlformats.org/officeDocument/2006/relationships/image" Target="media/image435.wmf"/><Relationship Id="rId979" Type="http://schemas.openxmlformats.org/officeDocument/2006/relationships/oleObject" Target="embeddings/oleObject478.bin"/><Relationship Id="rId327" Type="http://schemas.openxmlformats.org/officeDocument/2006/relationships/image" Target="media/image158.wmf"/><Relationship Id="rId534" Type="http://schemas.openxmlformats.org/officeDocument/2006/relationships/oleObject" Target="embeddings/oleObject259.bin"/><Relationship Id="rId741" Type="http://schemas.openxmlformats.org/officeDocument/2006/relationships/image" Target="media/image364.wmf"/><Relationship Id="rId839" Type="http://schemas.openxmlformats.org/officeDocument/2006/relationships/image" Target="media/image413.wmf"/><Relationship Id="rId1164" Type="http://schemas.openxmlformats.org/officeDocument/2006/relationships/oleObject" Target="embeddings/oleObject569.bin"/><Relationship Id="rId1371" Type="http://schemas.openxmlformats.org/officeDocument/2006/relationships/image" Target="media/image682.wmf"/><Relationship Id="rId1469" Type="http://schemas.openxmlformats.org/officeDocument/2006/relationships/image" Target="media/image731.wmf"/><Relationship Id="rId601" Type="http://schemas.openxmlformats.org/officeDocument/2006/relationships/oleObject" Target="embeddings/oleObject293.bin"/><Relationship Id="rId1024" Type="http://schemas.openxmlformats.org/officeDocument/2006/relationships/oleObject" Target="embeddings/oleObject500.bin"/><Relationship Id="rId1231" Type="http://schemas.openxmlformats.org/officeDocument/2006/relationships/image" Target="media/image615.wmf"/><Relationship Id="rId1676" Type="http://schemas.openxmlformats.org/officeDocument/2006/relationships/image" Target="media/image835.wmf"/><Relationship Id="rId906" Type="http://schemas.openxmlformats.org/officeDocument/2006/relationships/image" Target="media/image449.wmf"/><Relationship Id="rId1329" Type="http://schemas.openxmlformats.org/officeDocument/2006/relationships/image" Target="media/image661.wmf"/><Relationship Id="rId1536" Type="http://schemas.openxmlformats.org/officeDocument/2006/relationships/image" Target="media/image765.wmf"/><Relationship Id="rId35" Type="http://schemas.openxmlformats.org/officeDocument/2006/relationships/image" Target="media/image13.wmf"/><Relationship Id="rId1603" Type="http://schemas.openxmlformats.org/officeDocument/2006/relationships/oleObject" Target="embeddings/oleObject783.bin"/><Relationship Id="rId184" Type="http://schemas.openxmlformats.org/officeDocument/2006/relationships/oleObject" Target="embeddings/oleObject84.bin"/><Relationship Id="rId391" Type="http://schemas.openxmlformats.org/officeDocument/2006/relationships/image" Target="media/image190.wmf"/><Relationship Id="rId251" Type="http://schemas.openxmlformats.org/officeDocument/2006/relationships/image" Target="media/image120.wmf"/><Relationship Id="rId489" Type="http://schemas.openxmlformats.org/officeDocument/2006/relationships/image" Target="media/image239.wmf"/><Relationship Id="rId696" Type="http://schemas.openxmlformats.org/officeDocument/2006/relationships/oleObject" Target="embeddings/oleObject341.bin"/><Relationship Id="rId349" Type="http://schemas.openxmlformats.org/officeDocument/2006/relationships/image" Target="media/image169.wmf"/><Relationship Id="rId556" Type="http://schemas.openxmlformats.org/officeDocument/2006/relationships/oleObject" Target="embeddings/oleObject270.bin"/><Relationship Id="rId763" Type="http://schemas.openxmlformats.org/officeDocument/2006/relationships/image" Target="media/image375.wmf"/><Relationship Id="rId1186" Type="http://schemas.openxmlformats.org/officeDocument/2006/relationships/oleObject" Target="embeddings/oleObject580.bin"/><Relationship Id="rId1393" Type="http://schemas.openxmlformats.org/officeDocument/2006/relationships/image" Target="media/image693.wmf"/><Relationship Id="rId111" Type="http://schemas.openxmlformats.org/officeDocument/2006/relationships/image" Target="media/image50.wmf"/><Relationship Id="rId209" Type="http://schemas.openxmlformats.org/officeDocument/2006/relationships/image" Target="media/image99.wmf"/><Relationship Id="rId416" Type="http://schemas.openxmlformats.org/officeDocument/2006/relationships/oleObject" Target="embeddings/oleObject200.bin"/><Relationship Id="rId970" Type="http://schemas.openxmlformats.org/officeDocument/2006/relationships/image" Target="media/image483.wmf"/><Relationship Id="rId1046" Type="http://schemas.openxmlformats.org/officeDocument/2006/relationships/oleObject" Target="embeddings/oleObject511.bin"/><Relationship Id="rId1253" Type="http://schemas.openxmlformats.org/officeDocument/2006/relationships/image" Target="media/image623.wmf"/><Relationship Id="rId1698" Type="http://schemas.openxmlformats.org/officeDocument/2006/relationships/image" Target="media/image846.wmf"/><Relationship Id="rId623" Type="http://schemas.openxmlformats.org/officeDocument/2006/relationships/oleObject" Target="embeddings/oleObject304.bin"/><Relationship Id="rId830" Type="http://schemas.openxmlformats.org/officeDocument/2006/relationships/oleObject" Target="embeddings/oleObject408.bin"/><Relationship Id="rId928" Type="http://schemas.openxmlformats.org/officeDocument/2006/relationships/image" Target="media/image462.wmf"/><Relationship Id="rId1460" Type="http://schemas.openxmlformats.org/officeDocument/2006/relationships/oleObject" Target="embeddings/oleObject712.bin"/><Relationship Id="rId1558" Type="http://schemas.openxmlformats.org/officeDocument/2006/relationships/image" Target="media/image776.wmf"/><Relationship Id="rId57" Type="http://schemas.openxmlformats.org/officeDocument/2006/relationships/oleObject" Target="embeddings/oleObject20.bin"/><Relationship Id="rId1113" Type="http://schemas.openxmlformats.org/officeDocument/2006/relationships/image" Target="media/image556.wmf"/><Relationship Id="rId1320" Type="http://schemas.openxmlformats.org/officeDocument/2006/relationships/oleObject" Target="embeddings/oleObject642.bin"/><Relationship Id="rId1418" Type="http://schemas.openxmlformats.org/officeDocument/2006/relationships/oleObject" Target="embeddings/oleObject691.bin"/><Relationship Id="rId1625" Type="http://schemas.openxmlformats.org/officeDocument/2006/relationships/oleObject" Target="embeddings/oleObject794.bin"/><Relationship Id="rId273" Type="http://schemas.openxmlformats.org/officeDocument/2006/relationships/image" Target="media/image131.wmf"/><Relationship Id="rId480" Type="http://schemas.openxmlformats.org/officeDocument/2006/relationships/oleObject" Target="embeddings/oleObject232.bin"/><Relationship Id="rId133" Type="http://schemas.openxmlformats.org/officeDocument/2006/relationships/image" Target="media/image61.wmf"/><Relationship Id="rId340" Type="http://schemas.openxmlformats.org/officeDocument/2006/relationships/oleObject" Target="embeddings/oleObject162.bin"/><Relationship Id="rId578" Type="http://schemas.openxmlformats.org/officeDocument/2006/relationships/oleObject" Target="embeddings/oleObject281.bin"/><Relationship Id="rId785" Type="http://schemas.openxmlformats.org/officeDocument/2006/relationships/image" Target="media/image386.wmf"/><Relationship Id="rId992" Type="http://schemas.openxmlformats.org/officeDocument/2006/relationships/image" Target="media/image494.wmf"/><Relationship Id="rId200" Type="http://schemas.openxmlformats.org/officeDocument/2006/relationships/oleObject" Target="embeddings/oleObject92.bin"/><Relationship Id="rId438" Type="http://schemas.openxmlformats.org/officeDocument/2006/relationships/oleObject" Target="embeddings/oleObject211.bin"/><Relationship Id="rId645" Type="http://schemas.openxmlformats.org/officeDocument/2006/relationships/image" Target="media/image316.wmf"/><Relationship Id="rId852" Type="http://schemas.openxmlformats.org/officeDocument/2006/relationships/oleObject" Target="embeddings/oleObject419.bin"/><Relationship Id="rId1068" Type="http://schemas.openxmlformats.org/officeDocument/2006/relationships/oleObject" Target="embeddings/oleObject521.bin"/><Relationship Id="rId1275" Type="http://schemas.openxmlformats.org/officeDocument/2006/relationships/image" Target="media/image634.wmf"/><Relationship Id="rId1482" Type="http://schemas.openxmlformats.org/officeDocument/2006/relationships/oleObject" Target="embeddings/oleObject723.bin"/><Relationship Id="rId505" Type="http://schemas.openxmlformats.org/officeDocument/2006/relationships/image" Target="media/image247.wmf"/><Relationship Id="rId712" Type="http://schemas.openxmlformats.org/officeDocument/2006/relationships/oleObject" Target="embeddings/oleObject349.bin"/><Relationship Id="rId1135" Type="http://schemas.openxmlformats.org/officeDocument/2006/relationships/image" Target="media/image567.wmf"/><Relationship Id="rId1342" Type="http://schemas.openxmlformats.org/officeDocument/2006/relationships/oleObject" Target="embeddings/oleObject653.bin"/><Relationship Id="rId79" Type="http://schemas.openxmlformats.org/officeDocument/2006/relationships/image" Target="media/image34.wmf"/><Relationship Id="rId1202" Type="http://schemas.openxmlformats.org/officeDocument/2006/relationships/oleObject" Target="embeddings/oleObject588.bin"/><Relationship Id="rId1647" Type="http://schemas.openxmlformats.org/officeDocument/2006/relationships/oleObject" Target="embeddings/oleObject805.bin"/><Relationship Id="rId1507" Type="http://schemas.openxmlformats.org/officeDocument/2006/relationships/image" Target="media/image750.wmf"/><Relationship Id="rId295" Type="http://schemas.openxmlformats.org/officeDocument/2006/relationships/image" Target="media/image142.wmf"/><Relationship Id="rId155" Type="http://schemas.openxmlformats.org/officeDocument/2006/relationships/image" Target="media/image72.wmf"/><Relationship Id="rId362" Type="http://schemas.openxmlformats.org/officeDocument/2006/relationships/oleObject" Target="embeddings/oleObject173.bin"/><Relationship Id="rId1297" Type="http://schemas.openxmlformats.org/officeDocument/2006/relationships/image" Target="media/image645.wmf"/><Relationship Id="rId222" Type="http://schemas.openxmlformats.org/officeDocument/2006/relationships/oleObject" Target="embeddings/oleObject103.bin"/><Relationship Id="rId667" Type="http://schemas.openxmlformats.org/officeDocument/2006/relationships/image" Target="media/image327.wmf"/><Relationship Id="rId874" Type="http://schemas.openxmlformats.org/officeDocument/2006/relationships/image" Target="media/image431.wmf"/><Relationship Id="rId527" Type="http://schemas.openxmlformats.org/officeDocument/2006/relationships/image" Target="media/image258.wmf"/><Relationship Id="rId734" Type="http://schemas.openxmlformats.org/officeDocument/2006/relationships/oleObject" Target="embeddings/oleObject360.bin"/><Relationship Id="rId941" Type="http://schemas.openxmlformats.org/officeDocument/2006/relationships/oleObject" Target="embeddings/oleObject459.bin"/><Relationship Id="rId1157" Type="http://schemas.openxmlformats.org/officeDocument/2006/relationships/image" Target="media/image578.wmf"/><Relationship Id="rId1364" Type="http://schemas.openxmlformats.org/officeDocument/2006/relationships/oleObject" Target="embeddings/oleObject664.bin"/><Relationship Id="rId1571" Type="http://schemas.openxmlformats.org/officeDocument/2006/relationships/oleObject" Target="embeddings/oleObject767.bin"/><Relationship Id="rId70" Type="http://schemas.openxmlformats.org/officeDocument/2006/relationships/oleObject" Target="embeddings/oleObject27.bin"/><Relationship Id="rId801" Type="http://schemas.openxmlformats.org/officeDocument/2006/relationships/image" Target="media/image394.wmf"/><Relationship Id="rId1017" Type="http://schemas.openxmlformats.org/officeDocument/2006/relationships/image" Target="media/image507.wmf"/><Relationship Id="rId1224" Type="http://schemas.openxmlformats.org/officeDocument/2006/relationships/oleObject" Target="embeddings/oleObject599.bin"/><Relationship Id="rId1431" Type="http://schemas.openxmlformats.org/officeDocument/2006/relationships/image" Target="media/image712.wmf"/><Relationship Id="rId1669" Type="http://schemas.openxmlformats.org/officeDocument/2006/relationships/oleObject" Target="embeddings/oleObject816.bin"/><Relationship Id="rId1529" Type="http://schemas.openxmlformats.org/officeDocument/2006/relationships/image" Target="media/image761.emf"/><Relationship Id="rId28" Type="http://schemas.openxmlformats.org/officeDocument/2006/relationships/oleObject" Target="embeddings/oleObject5.bin"/><Relationship Id="rId177" Type="http://schemas.openxmlformats.org/officeDocument/2006/relationships/image" Target="media/image83.wmf"/><Relationship Id="rId384" Type="http://schemas.openxmlformats.org/officeDocument/2006/relationships/oleObject" Target="embeddings/oleObject184.bin"/><Relationship Id="rId591" Type="http://schemas.openxmlformats.org/officeDocument/2006/relationships/image" Target="media/image290.wmf"/><Relationship Id="rId244" Type="http://schemas.openxmlformats.org/officeDocument/2006/relationships/oleObject" Target="embeddings/oleObject114.bin"/><Relationship Id="rId689" Type="http://schemas.openxmlformats.org/officeDocument/2006/relationships/image" Target="media/image338.wmf"/><Relationship Id="rId896" Type="http://schemas.openxmlformats.org/officeDocument/2006/relationships/image" Target="media/image443.wmf"/><Relationship Id="rId1081" Type="http://schemas.openxmlformats.org/officeDocument/2006/relationships/image" Target="media/image540.wmf"/><Relationship Id="rId451" Type="http://schemas.openxmlformats.org/officeDocument/2006/relationships/image" Target="media/image220.wmf"/><Relationship Id="rId549" Type="http://schemas.openxmlformats.org/officeDocument/2006/relationships/image" Target="media/image269.wmf"/><Relationship Id="rId756" Type="http://schemas.openxmlformats.org/officeDocument/2006/relationships/oleObject" Target="embeddings/oleObject371.bin"/><Relationship Id="rId1179" Type="http://schemas.openxmlformats.org/officeDocument/2006/relationships/image" Target="media/image589.wmf"/><Relationship Id="rId1386" Type="http://schemas.openxmlformats.org/officeDocument/2006/relationships/oleObject" Target="embeddings/oleObject675.bin"/><Relationship Id="rId1593" Type="http://schemas.openxmlformats.org/officeDocument/2006/relationships/oleObject" Target="embeddings/oleObject778.bin"/><Relationship Id="rId104" Type="http://schemas.openxmlformats.org/officeDocument/2006/relationships/oleObject" Target="embeddings/oleObject44.bin"/><Relationship Id="rId311" Type="http://schemas.openxmlformats.org/officeDocument/2006/relationships/image" Target="media/image150.wmf"/><Relationship Id="rId409" Type="http://schemas.openxmlformats.org/officeDocument/2006/relationships/image" Target="media/image199.wmf"/><Relationship Id="rId963" Type="http://schemas.openxmlformats.org/officeDocument/2006/relationships/oleObject" Target="embeddings/oleObject470.bin"/><Relationship Id="rId1039" Type="http://schemas.openxmlformats.org/officeDocument/2006/relationships/image" Target="media/image518.wmf"/><Relationship Id="rId1246" Type="http://schemas.openxmlformats.org/officeDocument/2006/relationships/hyperlink" Target="https://www.ato.gov.au/About-ATO/Research-and-statistics/In-detail/Taxation-statistics/Taxation-statistics---previous-editions/Taxation-statistics-2016-17/" TargetMode="External"/><Relationship Id="rId92" Type="http://schemas.openxmlformats.org/officeDocument/2006/relationships/oleObject" Target="embeddings/oleObject38.bin"/><Relationship Id="rId616" Type="http://schemas.openxmlformats.org/officeDocument/2006/relationships/image" Target="media/image302.wmf"/><Relationship Id="rId823" Type="http://schemas.openxmlformats.org/officeDocument/2006/relationships/image" Target="media/image405.wmf"/><Relationship Id="rId1453" Type="http://schemas.openxmlformats.org/officeDocument/2006/relationships/image" Target="media/image723.wmf"/><Relationship Id="rId1660" Type="http://schemas.openxmlformats.org/officeDocument/2006/relationships/image" Target="media/image827.wmf"/><Relationship Id="rId1106" Type="http://schemas.openxmlformats.org/officeDocument/2006/relationships/oleObject" Target="embeddings/oleObject540.bin"/><Relationship Id="rId1313" Type="http://schemas.openxmlformats.org/officeDocument/2006/relationships/image" Target="media/image653.wmf"/><Relationship Id="rId1520" Type="http://schemas.openxmlformats.org/officeDocument/2006/relationships/oleObject" Target="embeddings/oleObject742.bin"/><Relationship Id="rId1618" Type="http://schemas.openxmlformats.org/officeDocument/2006/relationships/image" Target="media/image806.wmf"/><Relationship Id="rId199" Type="http://schemas.openxmlformats.org/officeDocument/2006/relationships/image" Target="media/image94.wmf"/><Relationship Id="rId266" Type="http://schemas.openxmlformats.org/officeDocument/2006/relationships/oleObject" Target="embeddings/oleObject125.bin"/><Relationship Id="rId473" Type="http://schemas.openxmlformats.org/officeDocument/2006/relationships/image" Target="media/image231.wmf"/><Relationship Id="rId680" Type="http://schemas.openxmlformats.org/officeDocument/2006/relationships/oleObject" Target="embeddings/oleObject333.bin"/><Relationship Id="rId126" Type="http://schemas.openxmlformats.org/officeDocument/2006/relationships/oleObject" Target="embeddings/oleObject55.bin"/><Relationship Id="rId333" Type="http://schemas.openxmlformats.org/officeDocument/2006/relationships/image" Target="media/image161.wmf"/><Relationship Id="rId540" Type="http://schemas.openxmlformats.org/officeDocument/2006/relationships/oleObject" Target="embeddings/oleObject262.bin"/><Relationship Id="rId778" Type="http://schemas.openxmlformats.org/officeDocument/2006/relationships/oleObject" Target="embeddings/oleObject382.bin"/><Relationship Id="rId985" Type="http://schemas.openxmlformats.org/officeDocument/2006/relationships/oleObject" Target="embeddings/oleObject481.bin"/><Relationship Id="rId1170" Type="http://schemas.openxmlformats.org/officeDocument/2006/relationships/oleObject" Target="embeddings/oleObject572.bin"/><Relationship Id="rId638" Type="http://schemas.openxmlformats.org/officeDocument/2006/relationships/oleObject" Target="embeddings/oleObject312.bin"/><Relationship Id="rId845" Type="http://schemas.openxmlformats.org/officeDocument/2006/relationships/image" Target="media/image416.wmf"/><Relationship Id="rId1030" Type="http://schemas.openxmlformats.org/officeDocument/2006/relationships/oleObject" Target="embeddings/oleObject503.bin"/><Relationship Id="rId1268" Type="http://schemas.openxmlformats.org/officeDocument/2006/relationships/oleObject" Target="embeddings/oleObject616.bin"/><Relationship Id="rId1475" Type="http://schemas.openxmlformats.org/officeDocument/2006/relationships/image" Target="media/image734.wmf"/><Relationship Id="rId1682" Type="http://schemas.openxmlformats.org/officeDocument/2006/relationships/image" Target="media/image838.wmf"/><Relationship Id="rId400" Type="http://schemas.openxmlformats.org/officeDocument/2006/relationships/oleObject" Target="embeddings/oleObject192.bin"/><Relationship Id="rId705" Type="http://schemas.openxmlformats.org/officeDocument/2006/relationships/image" Target="media/image346.wmf"/><Relationship Id="rId1128" Type="http://schemas.openxmlformats.org/officeDocument/2006/relationships/oleObject" Target="embeddings/oleObject551.bin"/><Relationship Id="rId1335" Type="http://schemas.openxmlformats.org/officeDocument/2006/relationships/image" Target="media/image664.wmf"/><Relationship Id="rId1542" Type="http://schemas.openxmlformats.org/officeDocument/2006/relationships/image" Target="media/image768.wmf"/><Relationship Id="rId912" Type="http://schemas.openxmlformats.org/officeDocument/2006/relationships/oleObject" Target="embeddings/oleObject446.bin"/><Relationship Id="rId41" Type="http://schemas.openxmlformats.org/officeDocument/2006/relationships/oleObject" Target="embeddings/oleObject12.bin"/><Relationship Id="rId1402" Type="http://schemas.openxmlformats.org/officeDocument/2006/relationships/oleObject" Target="embeddings/oleObject683.bin"/><Relationship Id="rId190" Type="http://schemas.openxmlformats.org/officeDocument/2006/relationships/oleObject" Target="embeddings/oleObject87.bin"/><Relationship Id="rId288" Type="http://schemas.openxmlformats.org/officeDocument/2006/relationships/oleObject" Target="embeddings/oleObject136.bin"/><Relationship Id="rId495" Type="http://schemas.openxmlformats.org/officeDocument/2006/relationships/image" Target="media/image242.wmf"/><Relationship Id="rId148" Type="http://schemas.openxmlformats.org/officeDocument/2006/relationships/oleObject" Target="embeddings/oleObject66.bin"/><Relationship Id="rId355" Type="http://schemas.openxmlformats.org/officeDocument/2006/relationships/image" Target="media/image172.wmf"/><Relationship Id="rId562" Type="http://schemas.openxmlformats.org/officeDocument/2006/relationships/oleObject" Target="embeddings/oleObject273.bin"/><Relationship Id="rId1192" Type="http://schemas.openxmlformats.org/officeDocument/2006/relationships/oleObject" Target="embeddings/oleObject583.bin"/><Relationship Id="rId215" Type="http://schemas.openxmlformats.org/officeDocument/2006/relationships/image" Target="media/image102.wmf"/><Relationship Id="rId422" Type="http://schemas.openxmlformats.org/officeDocument/2006/relationships/oleObject" Target="embeddings/oleObject203.bin"/><Relationship Id="rId867" Type="http://schemas.openxmlformats.org/officeDocument/2006/relationships/image" Target="media/image427.wmf"/><Relationship Id="rId1052" Type="http://schemas.openxmlformats.org/officeDocument/2006/relationships/oleObject" Target="embeddings/oleObject514.bin"/><Relationship Id="rId1497" Type="http://schemas.openxmlformats.org/officeDocument/2006/relationships/image" Target="media/image745.wmf"/><Relationship Id="rId727" Type="http://schemas.openxmlformats.org/officeDocument/2006/relationships/image" Target="media/image357.wmf"/><Relationship Id="rId934" Type="http://schemas.openxmlformats.org/officeDocument/2006/relationships/image" Target="media/image465.wmf"/><Relationship Id="rId1357" Type="http://schemas.openxmlformats.org/officeDocument/2006/relationships/image" Target="media/image675.wmf"/><Relationship Id="rId1564" Type="http://schemas.openxmlformats.org/officeDocument/2006/relationships/image" Target="media/image779.wmf"/><Relationship Id="rId63" Type="http://schemas.openxmlformats.org/officeDocument/2006/relationships/image" Target="media/image26.wmf"/><Relationship Id="rId1217" Type="http://schemas.openxmlformats.org/officeDocument/2006/relationships/image" Target="media/image608.wmf"/><Relationship Id="rId1424" Type="http://schemas.openxmlformats.org/officeDocument/2006/relationships/oleObject" Target="embeddings/oleObject694.bin"/><Relationship Id="rId1631" Type="http://schemas.openxmlformats.org/officeDocument/2006/relationships/oleObject" Target="embeddings/oleObject797.bin"/><Relationship Id="rId377" Type="http://schemas.openxmlformats.org/officeDocument/2006/relationships/image" Target="media/image183.wmf"/><Relationship Id="rId584" Type="http://schemas.openxmlformats.org/officeDocument/2006/relationships/oleObject" Target="embeddings/oleObject284.bin"/><Relationship Id="rId5" Type="http://schemas.openxmlformats.org/officeDocument/2006/relationships/footnotes" Target="footnotes.xml"/><Relationship Id="rId237" Type="http://schemas.openxmlformats.org/officeDocument/2006/relationships/image" Target="media/image113.wmf"/><Relationship Id="rId791" Type="http://schemas.openxmlformats.org/officeDocument/2006/relationships/image" Target="media/image389.wmf"/><Relationship Id="rId889" Type="http://schemas.openxmlformats.org/officeDocument/2006/relationships/oleObject" Target="embeddings/oleObject436.bin"/><Relationship Id="rId1074" Type="http://schemas.openxmlformats.org/officeDocument/2006/relationships/oleObject" Target="embeddings/oleObject524.bin"/><Relationship Id="rId444" Type="http://schemas.openxmlformats.org/officeDocument/2006/relationships/oleObject" Target="embeddings/oleObject214.bin"/><Relationship Id="rId651" Type="http://schemas.openxmlformats.org/officeDocument/2006/relationships/image" Target="media/image319.wmf"/><Relationship Id="rId749" Type="http://schemas.openxmlformats.org/officeDocument/2006/relationships/image" Target="media/image368.wmf"/><Relationship Id="rId1281" Type="http://schemas.openxmlformats.org/officeDocument/2006/relationships/image" Target="media/image637.wmf"/><Relationship Id="rId1379" Type="http://schemas.openxmlformats.org/officeDocument/2006/relationships/image" Target="media/image686.wmf"/><Relationship Id="rId1586" Type="http://schemas.openxmlformats.org/officeDocument/2006/relationships/image" Target="media/image790.wmf"/><Relationship Id="rId304" Type="http://schemas.openxmlformats.org/officeDocument/2006/relationships/oleObject" Target="embeddings/oleObject144.bin"/><Relationship Id="rId511" Type="http://schemas.openxmlformats.org/officeDocument/2006/relationships/image" Target="media/image250.wmf"/><Relationship Id="rId609" Type="http://schemas.openxmlformats.org/officeDocument/2006/relationships/oleObject" Target="embeddings/oleObject297.bin"/><Relationship Id="rId956" Type="http://schemas.openxmlformats.org/officeDocument/2006/relationships/image" Target="media/image476.wmf"/><Relationship Id="rId1141" Type="http://schemas.openxmlformats.org/officeDocument/2006/relationships/image" Target="media/image570.wmf"/><Relationship Id="rId1239" Type="http://schemas.openxmlformats.org/officeDocument/2006/relationships/header" Target="header5.xml"/><Relationship Id="rId85" Type="http://schemas.openxmlformats.org/officeDocument/2006/relationships/image" Target="media/image37.wmf"/><Relationship Id="rId816" Type="http://schemas.openxmlformats.org/officeDocument/2006/relationships/oleObject" Target="embeddings/oleObject401.bin"/><Relationship Id="rId1001" Type="http://schemas.openxmlformats.org/officeDocument/2006/relationships/image" Target="media/image499.wmf"/><Relationship Id="rId1446" Type="http://schemas.openxmlformats.org/officeDocument/2006/relationships/oleObject" Target="embeddings/oleObject705.bin"/><Relationship Id="rId1653" Type="http://schemas.openxmlformats.org/officeDocument/2006/relationships/oleObject" Target="embeddings/oleObject808.bin"/><Relationship Id="rId1306" Type="http://schemas.openxmlformats.org/officeDocument/2006/relationships/oleObject" Target="embeddings/oleObject635.bin"/><Relationship Id="rId1513" Type="http://schemas.openxmlformats.org/officeDocument/2006/relationships/image" Target="media/image753.wmf"/><Relationship Id="rId12" Type="http://schemas.openxmlformats.org/officeDocument/2006/relationships/image" Target="media/image4.wmf"/><Relationship Id="rId161" Type="http://schemas.openxmlformats.org/officeDocument/2006/relationships/image" Target="media/image75.wmf"/><Relationship Id="rId399" Type="http://schemas.openxmlformats.org/officeDocument/2006/relationships/image" Target="media/image194.wmf"/><Relationship Id="rId259" Type="http://schemas.openxmlformats.org/officeDocument/2006/relationships/image" Target="media/image124.wmf"/><Relationship Id="rId466" Type="http://schemas.openxmlformats.org/officeDocument/2006/relationships/oleObject" Target="embeddings/oleObject225.bin"/><Relationship Id="rId673" Type="http://schemas.openxmlformats.org/officeDocument/2006/relationships/image" Target="media/image330.wmf"/><Relationship Id="rId880" Type="http://schemas.openxmlformats.org/officeDocument/2006/relationships/oleObject" Target="embeddings/oleObject432.bin"/><Relationship Id="rId1096" Type="http://schemas.openxmlformats.org/officeDocument/2006/relationships/oleObject" Target="embeddings/oleObject535.bin"/><Relationship Id="rId119" Type="http://schemas.openxmlformats.org/officeDocument/2006/relationships/image" Target="media/image54.wmf"/><Relationship Id="rId326" Type="http://schemas.openxmlformats.org/officeDocument/2006/relationships/oleObject" Target="embeddings/oleObject155.bin"/><Relationship Id="rId533" Type="http://schemas.openxmlformats.org/officeDocument/2006/relationships/image" Target="media/image261.wmf"/><Relationship Id="rId978" Type="http://schemas.openxmlformats.org/officeDocument/2006/relationships/image" Target="media/image487.wmf"/><Relationship Id="rId1163" Type="http://schemas.openxmlformats.org/officeDocument/2006/relationships/image" Target="media/image581.wmf"/><Relationship Id="rId1370" Type="http://schemas.openxmlformats.org/officeDocument/2006/relationships/oleObject" Target="embeddings/oleObject667.bin"/><Relationship Id="rId740" Type="http://schemas.openxmlformats.org/officeDocument/2006/relationships/oleObject" Target="embeddings/oleObject363.bin"/><Relationship Id="rId838" Type="http://schemas.openxmlformats.org/officeDocument/2006/relationships/oleObject" Target="embeddings/oleObject412.bin"/><Relationship Id="rId1023" Type="http://schemas.openxmlformats.org/officeDocument/2006/relationships/image" Target="media/image510.wmf"/><Relationship Id="rId1468" Type="http://schemas.openxmlformats.org/officeDocument/2006/relationships/oleObject" Target="embeddings/oleObject716.bin"/><Relationship Id="rId1675" Type="http://schemas.openxmlformats.org/officeDocument/2006/relationships/oleObject" Target="embeddings/oleObject819.bin"/><Relationship Id="rId600" Type="http://schemas.openxmlformats.org/officeDocument/2006/relationships/image" Target="media/image294.wmf"/><Relationship Id="rId1230" Type="http://schemas.openxmlformats.org/officeDocument/2006/relationships/oleObject" Target="embeddings/oleObject602.bin"/><Relationship Id="rId1328" Type="http://schemas.openxmlformats.org/officeDocument/2006/relationships/oleObject" Target="embeddings/oleObject646.bin"/><Relationship Id="rId1535" Type="http://schemas.openxmlformats.org/officeDocument/2006/relationships/oleObject" Target="embeddings/oleObject749.bin"/><Relationship Id="rId905" Type="http://schemas.openxmlformats.org/officeDocument/2006/relationships/oleObject" Target="embeddings/oleObject443.bin"/><Relationship Id="rId34" Type="http://schemas.openxmlformats.org/officeDocument/2006/relationships/oleObject" Target="embeddings/oleObject8.bin"/><Relationship Id="rId1602" Type="http://schemas.openxmlformats.org/officeDocument/2006/relationships/image" Target="media/image798.wmf"/><Relationship Id="rId183" Type="http://schemas.openxmlformats.org/officeDocument/2006/relationships/image" Target="media/image86.wmf"/><Relationship Id="rId390" Type="http://schemas.openxmlformats.org/officeDocument/2006/relationships/oleObject" Target="embeddings/oleObject187.bin"/><Relationship Id="rId250" Type="http://schemas.openxmlformats.org/officeDocument/2006/relationships/oleObject" Target="embeddings/oleObject117.bin"/><Relationship Id="rId488" Type="http://schemas.openxmlformats.org/officeDocument/2006/relationships/oleObject" Target="embeddings/oleObject236.bin"/><Relationship Id="rId695" Type="http://schemas.openxmlformats.org/officeDocument/2006/relationships/image" Target="media/image341.wmf"/><Relationship Id="rId110" Type="http://schemas.openxmlformats.org/officeDocument/2006/relationships/oleObject" Target="embeddings/oleObject47.bin"/><Relationship Id="rId348" Type="http://schemas.openxmlformats.org/officeDocument/2006/relationships/oleObject" Target="embeddings/oleObject166.bin"/><Relationship Id="rId555" Type="http://schemas.openxmlformats.org/officeDocument/2006/relationships/image" Target="media/image272.wmf"/><Relationship Id="rId762" Type="http://schemas.openxmlformats.org/officeDocument/2006/relationships/oleObject" Target="embeddings/oleObject374.bin"/><Relationship Id="rId1185" Type="http://schemas.openxmlformats.org/officeDocument/2006/relationships/image" Target="media/image592.wmf"/><Relationship Id="rId1392" Type="http://schemas.openxmlformats.org/officeDocument/2006/relationships/oleObject" Target="embeddings/oleObject678.bin"/><Relationship Id="rId208" Type="http://schemas.openxmlformats.org/officeDocument/2006/relationships/oleObject" Target="embeddings/oleObject96.bin"/><Relationship Id="rId415" Type="http://schemas.openxmlformats.org/officeDocument/2006/relationships/image" Target="media/image202.wmf"/><Relationship Id="rId622" Type="http://schemas.openxmlformats.org/officeDocument/2006/relationships/image" Target="media/image305.wmf"/><Relationship Id="rId1045" Type="http://schemas.openxmlformats.org/officeDocument/2006/relationships/image" Target="media/image521.wmf"/><Relationship Id="rId1252" Type="http://schemas.openxmlformats.org/officeDocument/2006/relationships/oleObject" Target="embeddings/oleObject608.bin"/><Relationship Id="rId1697" Type="http://schemas.openxmlformats.org/officeDocument/2006/relationships/oleObject" Target="embeddings/oleObject830.bin"/><Relationship Id="rId927" Type="http://schemas.openxmlformats.org/officeDocument/2006/relationships/oleObject" Target="embeddings/oleObject452.bin"/><Relationship Id="rId1112" Type="http://schemas.openxmlformats.org/officeDocument/2006/relationships/oleObject" Target="embeddings/oleObject543.bin"/><Relationship Id="rId1557" Type="http://schemas.openxmlformats.org/officeDocument/2006/relationships/oleObject" Target="embeddings/oleObject760.bin"/><Relationship Id="rId56" Type="http://schemas.openxmlformats.org/officeDocument/2006/relationships/image" Target="media/image23.wmf"/><Relationship Id="rId1417" Type="http://schemas.openxmlformats.org/officeDocument/2006/relationships/image" Target="media/image705.wmf"/><Relationship Id="rId1624" Type="http://schemas.openxmlformats.org/officeDocument/2006/relationships/image" Target="media/image809.wmf"/><Relationship Id="rId272" Type="http://schemas.openxmlformats.org/officeDocument/2006/relationships/oleObject" Target="embeddings/oleObject128.bin"/><Relationship Id="rId577" Type="http://schemas.openxmlformats.org/officeDocument/2006/relationships/image" Target="media/image283.wmf"/><Relationship Id="rId132" Type="http://schemas.openxmlformats.org/officeDocument/2006/relationships/oleObject" Target="embeddings/oleObject58.bin"/><Relationship Id="rId784" Type="http://schemas.openxmlformats.org/officeDocument/2006/relationships/oleObject" Target="embeddings/oleObject385.bin"/><Relationship Id="rId991" Type="http://schemas.openxmlformats.org/officeDocument/2006/relationships/oleObject" Target="embeddings/oleObject484.bin"/><Relationship Id="rId1067" Type="http://schemas.openxmlformats.org/officeDocument/2006/relationships/image" Target="media/image533.wmf"/><Relationship Id="rId437" Type="http://schemas.openxmlformats.org/officeDocument/2006/relationships/image" Target="media/image213.wmf"/><Relationship Id="rId644" Type="http://schemas.openxmlformats.org/officeDocument/2006/relationships/oleObject" Target="embeddings/oleObject315.bin"/><Relationship Id="rId851" Type="http://schemas.openxmlformats.org/officeDocument/2006/relationships/image" Target="media/image419.wmf"/><Relationship Id="rId1274" Type="http://schemas.openxmlformats.org/officeDocument/2006/relationships/oleObject" Target="embeddings/oleObject619.bin"/><Relationship Id="rId1481" Type="http://schemas.openxmlformats.org/officeDocument/2006/relationships/image" Target="media/image737.wmf"/><Relationship Id="rId1579" Type="http://schemas.openxmlformats.org/officeDocument/2006/relationships/oleObject" Target="embeddings/oleObject771.bin"/><Relationship Id="rId504" Type="http://schemas.openxmlformats.org/officeDocument/2006/relationships/oleObject" Target="embeddings/oleObject244.bin"/><Relationship Id="rId711" Type="http://schemas.openxmlformats.org/officeDocument/2006/relationships/image" Target="media/image349.wmf"/><Relationship Id="rId949" Type="http://schemas.openxmlformats.org/officeDocument/2006/relationships/oleObject" Target="embeddings/oleObject463.bin"/><Relationship Id="rId1134" Type="http://schemas.openxmlformats.org/officeDocument/2006/relationships/oleObject" Target="embeddings/oleObject554.bin"/><Relationship Id="rId1341" Type="http://schemas.openxmlformats.org/officeDocument/2006/relationships/image" Target="media/image667.wmf"/><Relationship Id="rId78" Type="http://schemas.openxmlformats.org/officeDocument/2006/relationships/oleObject" Target="embeddings/oleObject31.bin"/><Relationship Id="rId809" Type="http://schemas.openxmlformats.org/officeDocument/2006/relationships/image" Target="media/image398.wmf"/><Relationship Id="rId1201" Type="http://schemas.openxmlformats.org/officeDocument/2006/relationships/image" Target="media/image600.wmf"/><Relationship Id="rId1439" Type="http://schemas.openxmlformats.org/officeDocument/2006/relationships/image" Target="media/image716.wmf"/><Relationship Id="rId1646" Type="http://schemas.openxmlformats.org/officeDocument/2006/relationships/image" Target="media/image820.wmf"/><Relationship Id="rId1506" Type="http://schemas.openxmlformats.org/officeDocument/2006/relationships/oleObject" Target="embeddings/oleObject735.bin"/><Relationship Id="rId294" Type="http://schemas.openxmlformats.org/officeDocument/2006/relationships/oleObject" Target="embeddings/oleObject139.bin"/><Relationship Id="rId154" Type="http://schemas.openxmlformats.org/officeDocument/2006/relationships/oleObject" Target="embeddings/oleObject69.bin"/><Relationship Id="rId361" Type="http://schemas.openxmlformats.org/officeDocument/2006/relationships/image" Target="media/image175.wmf"/><Relationship Id="rId599" Type="http://schemas.openxmlformats.org/officeDocument/2006/relationships/oleObject" Target="embeddings/oleObject292.bin"/><Relationship Id="rId459" Type="http://schemas.openxmlformats.org/officeDocument/2006/relationships/image" Target="media/image224.wmf"/><Relationship Id="rId666" Type="http://schemas.openxmlformats.org/officeDocument/2006/relationships/oleObject" Target="embeddings/oleObject326.bin"/><Relationship Id="rId873" Type="http://schemas.openxmlformats.org/officeDocument/2006/relationships/oleObject" Target="embeddings/oleObject429.bin"/><Relationship Id="rId1089" Type="http://schemas.openxmlformats.org/officeDocument/2006/relationships/image" Target="media/image544.wmf"/><Relationship Id="rId1296" Type="http://schemas.openxmlformats.org/officeDocument/2006/relationships/oleObject" Target="embeddings/oleObject630.bin"/><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oleObject" Target="embeddings/oleObject255.bin"/><Relationship Id="rId1156" Type="http://schemas.openxmlformats.org/officeDocument/2006/relationships/oleObject" Target="embeddings/oleObject565.bin"/><Relationship Id="rId1363" Type="http://schemas.openxmlformats.org/officeDocument/2006/relationships/image" Target="media/image678.wmf"/><Relationship Id="rId733" Type="http://schemas.openxmlformats.org/officeDocument/2006/relationships/image" Target="media/image360.wmf"/><Relationship Id="rId940" Type="http://schemas.openxmlformats.org/officeDocument/2006/relationships/image" Target="media/image468.wmf"/><Relationship Id="rId1016" Type="http://schemas.openxmlformats.org/officeDocument/2006/relationships/oleObject" Target="embeddings/oleObject496.bin"/><Relationship Id="rId1570" Type="http://schemas.openxmlformats.org/officeDocument/2006/relationships/image" Target="media/image782.wmf"/><Relationship Id="rId1668" Type="http://schemas.openxmlformats.org/officeDocument/2006/relationships/image" Target="media/image831.wmf"/><Relationship Id="rId800" Type="http://schemas.openxmlformats.org/officeDocument/2006/relationships/oleObject" Target="embeddings/oleObject393.bin"/><Relationship Id="rId1223" Type="http://schemas.openxmlformats.org/officeDocument/2006/relationships/image" Target="media/image611.wmf"/><Relationship Id="rId1430" Type="http://schemas.openxmlformats.org/officeDocument/2006/relationships/oleObject" Target="embeddings/oleObject697.bin"/><Relationship Id="rId1528" Type="http://schemas.openxmlformats.org/officeDocument/2006/relationships/oleObject" Target="embeddings/oleObject746.bin"/><Relationship Id="rId27" Type="http://schemas.openxmlformats.org/officeDocument/2006/relationships/image" Target="media/image9.wmf"/><Relationship Id="rId176" Type="http://schemas.openxmlformats.org/officeDocument/2006/relationships/oleObject" Target="embeddings/oleObject80.bin"/><Relationship Id="rId383" Type="http://schemas.openxmlformats.org/officeDocument/2006/relationships/image" Target="media/image186.wmf"/><Relationship Id="rId590" Type="http://schemas.openxmlformats.org/officeDocument/2006/relationships/oleObject" Target="embeddings/oleObject287.bin"/><Relationship Id="rId243" Type="http://schemas.openxmlformats.org/officeDocument/2006/relationships/image" Target="media/image116.wmf"/><Relationship Id="rId450" Type="http://schemas.openxmlformats.org/officeDocument/2006/relationships/oleObject" Target="embeddings/oleObject217.bin"/><Relationship Id="rId688" Type="http://schemas.openxmlformats.org/officeDocument/2006/relationships/oleObject" Target="embeddings/oleObject337.bin"/><Relationship Id="rId895" Type="http://schemas.openxmlformats.org/officeDocument/2006/relationships/oleObject" Target="embeddings/oleObject439.bin"/><Relationship Id="rId1080" Type="http://schemas.openxmlformats.org/officeDocument/2006/relationships/oleObject" Target="embeddings/oleObject527.bin"/><Relationship Id="rId38" Type="http://schemas.openxmlformats.org/officeDocument/2006/relationships/image" Target="media/image14.wmf"/><Relationship Id="rId103" Type="http://schemas.openxmlformats.org/officeDocument/2006/relationships/image" Target="media/image46.wmf"/><Relationship Id="rId310" Type="http://schemas.openxmlformats.org/officeDocument/2006/relationships/oleObject" Target="embeddings/oleObject147.bin"/><Relationship Id="rId548" Type="http://schemas.openxmlformats.org/officeDocument/2006/relationships/oleObject" Target="embeddings/oleObject266.bin"/><Relationship Id="rId755" Type="http://schemas.openxmlformats.org/officeDocument/2006/relationships/image" Target="media/image371.wmf"/><Relationship Id="rId962" Type="http://schemas.openxmlformats.org/officeDocument/2006/relationships/image" Target="media/image479.wmf"/><Relationship Id="rId1178" Type="http://schemas.openxmlformats.org/officeDocument/2006/relationships/oleObject" Target="embeddings/oleObject576.bin"/><Relationship Id="rId1385" Type="http://schemas.openxmlformats.org/officeDocument/2006/relationships/image" Target="media/image689.wmf"/><Relationship Id="rId1592" Type="http://schemas.openxmlformats.org/officeDocument/2006/relationships/image" Target="media/image793.wmf"/><Relationship Id="rId1606" Type="http://schemas.openxmlformats.org/officeDocument/2006/relationships/image" Target="media/image800.wmf"/><Relationship Id="rId91" Type="http://schemas.openxmlformats.org/officeDocument/2006/relationships/image" Target="media/image40.wmf"/><Relationship Id="rId187" Type="http://schemas.openxmlformats.org/officeDocument/2006/relationships/image" Target="media/image88.wmf"/><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oleObject" Target="embeddings/oleObject300.bin"/><Relationship Id="rId822" Type="http://schemas.openxmlformats.org/officeDocument/2006/relationships/oleObject" Target="embeddings/oleObject404.bin"/><Relationship Id="rId1038" Type="http://schemas.openxmlformats.org/officeDocument/2006/relationships/oleObject" Target="embeddings/oleObject507.bin"/><Relationship Id="rId1245" Type="http://schemas.openxmlformats.org/officeDocument/2006/relationships/hyperlink" Target="https://www.ato.gov.au/Business/GST/How-GST-works/" TargetMode="External"/><Relationship Id="rId1452" Type="http://schemas.openxmlformats.org/officeDocument/2006/relationships/oleObject" Target="embeddings/oleObject708.bin"/><Relationship Id="rId254" Type="http://schemas.openxmlformats.org/officeDocument/2006/relationships/oleObject" Target="embeddings/oleObject119.bin"/><Relationship Id="rId699" Type="http://schemas.openxmlformats.org/officeDocument/2006/relationships/image" Target="media/image343.wmf"/><Relationship Id="rId1091" Type="http://schemas.openxmlformats.org/officeDocument/2006/relationships/image" Target="media/image545.wmf"/><Relationship Id="rId1105" Type="http://schemas.openxmlformats.org/officeDocument/2006/relationships/image" Target="media/image552.wmf"/><Relationship Id="rId1312" Type="http://schemas.openxmlformats.org/officeDocument/2006/relationships/oleObject" Target="embeddings/oleObject638.bin"/><Relationship Id="rId49" Type="http://schemas.openxmlformats.org/officeDocument/2006/relationships/oleObject" Target="embeddings/oleObject16.bin"/><Relationship Id="rId114" Type="http://schemas.openxmlformats.org/officeDocument/2006/relationships/oleObject" Target="embeddings/oleObject49.bin"/><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76.bin"/><Relationship Id="rId1189" Type="http://schemas.openxmlformats.org/officeDocument/2006/relationships/image" Target="media/image594.wmf"/><Relationship Id="rId1396" Type="http://schemas.openxmlformats.org/officeDocument/2006/relationships/oleObject" Target="embeddings/oleObject680.bin"/><Relationship Id="rId1617" Type="http://schemas.openxmlformats.org/officeDocument/2006/relationships/oleObject" Target="embeddings/oleObject790.bin"/><Relationship Id="rId198" Type="http://schemas.openxmlformats.org/officeDocument/2006/relationships/oleObject" Target="embeddings/oleObject91.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image" Target="media/image307.wmf"/><Relationship Id="rId973" Type="http://schemas.openxmlformats.org/officeDocument/2006/relationships/oleObject" Target="embeddings/oleObject475.bin"/><Relationship Id="rId1049" Type="http://schemas.openxmlformats.org/officeDocument/2006/relationships/image" Target="media/image523.wmf"/><Relationship Id="rId1256" Type="http://schemas.openxmlformats.org/officeDocument/2006/relationships/oleObject" Target="embeddings/oleObject610.bin"/><Relationship Id="rId833" Type="http://schemas.openxmlformats.org/officeDocument/2006/relationships/image" Target="media/image410.wmf"/><Relationship Id="rId1116" Type="http://schemas.openxmlformats.org/officeDocument/2006/relationships/oleObject" Target="embeddings/oleObject545.bin"/><Relationship Id="rId1463" Type="http://schemas.openxmlformats.org/officeDocument/2006/relationships/image" Target="media/image728.wmf"/><Relationship Id="rId1670" Type="http://schemas.openxmlformats.org/officeDocument/2006/relationships/image" Target="media/image832.wmf"/><Relationship Id="rId265" Type="http://schemas.openxmlformats.org/officeDocument/2006/relationships/image" Target="media/image127.wmf"/><Relationship Id="rId472" Type="http://schemas.openxmlformats.org/officeDocument/2006/relationships/oleObject" Target="embeddings/oleObject228.bin"/><Relationship Id="rId900" Type="http://schemas.openxmlformats.org/officeDocument/2006/relationships/image" Target="media/image445.emf"/><Relationship Id="rId1323" Type="http://schemas.openxmlformats.org/officeDocument/2006/relationships/image" Target="media/image658.wmf"/><Relationship Id="rId1530" Type="http://schemas.openxmlformats.org/officeDocument/2006/relationships/image" Target="media/image762.wmf"/><Relationship Id="rId1628" Type="http://schemas.openxmlformats.org/officeDocument/2006/relationships/image" Target="media/image811.wmf"/><Relationship Id="rId125" Type="http://schemas.openxmlformats.org/officeDocument/2006/relationships/image" Target="media/image57.wmf"/><Relationship Id="rId332" Type="http://schemas.openxmlformats.org/officeDocument/2006/relationships/oleObject" Target="embeddings/oleObject158.bin"/><Relationship Id="rId777" Type="http://schemas.openxmlformats.org/officeDocument/2006/relationships/image" Target="media/image382.wmf"/><Relationship Id="rId984" Type="http://schemas.openxmlformats.org/officeDocument/2006/relationships/image" Target="media/image490.wmf"/><Relationship Id="rId637" Type="http://schemas.openxmlformats.org/officeDocument/2006/relationships/image" Target="media/image312.wmf"/><Relationship Id="rId844" Type="http://schemas.openxmlformats.org/officeDocument/2006/relationships/oleObject" Target="embeddings/oleObject415.bin"/><Relationship Id="rId1267" Type="http://schemas.openxmlformats.org/officeDocument/2006/relationships/image" Target="media/image630.wmf"/><Relationship Id="rId1474" Type="http://schemas.openxmlformats.org/officeDocument/2006/relationships/oleObject" Target="embeddings/oleObject719.bin"/><Relationship Id="rId1681" Type="http://schemas.openxmlformats.org/officeDocument/2006/relationships/oleObject" Target="embeddings/oleObject822.bin"/><Relationship Id="rId276" Type="http://schemas.openxmlformats.org/officeDocument/2006/relationships/oleObject" Target="embeddings/oleObject130.bin"/><Relationship Id="rId483" Type="http://schemas.openxmlformats.org/officeDocument/2006/relationships/image" Target="media/image236.wmf"/><Relationship Id="rId690" Type="http://schemas.openxmlformats.org/officeDocument/2006/relationships/oleObject" Target="embeddings/oleObject338.bin"/><Relationship Id="rId704" Type="http://schemas.openxmlformats.org/officeDocument/2006/relationships/oleObject" Target="embeddings/oleObject345.bin"/><Relationship Id="rId911" Type="http://schemas.openxmlformats.org/officeDocument/2006/relationships/image" Target="media/image452.wmf"/><Relationship Id="rId1127" Type="http://schemas.openxmlformats.org/officeDocument/2006/relationships/image" Target="media/image563.wmf"/><Relationship Id="rId1334" Type="http://schemas.openxmlformats.org/officeDocument/2006/relationships/oleObject" Target="embeddings/oleObject649.bin"/><Relationship Id="rId1541" Type="http://schemas.openxmlformats.org/officeDocument/2006/relationships/oleObject" Target="embeddings/oleObject752.bin"/><Relationship Id="rId40" Type="http://schemas.openxmlformats.org/officeDocument/2006/relationships/image" Target="media/image15.wmf"/><Relationship Id="rId136" Type="http://schemas.openxmlformats.org/officeDocument/2006/relationships/oleObject" Target="embeddings/oleObject60.bin"/><Relationship Id="rId343" Type="http://schemas.openxmlformats.org/officeDocument/2006/relationships/image" Target="media/image166.wmf"/><Relationship Id="rId550" Type="http://schemas.openxmlformats.org/officeDocument/2006/relationships/oleObject" Target="embeddings/oleObject267.bin"/><Relationship Id="rId788" Type="http://schemas.openxmlformats.org/officeDocument/2006/relationships/oleObject" Target="embeddings/oleObject387.bin"/><Relationship Id="rId995" Type="http://schemas.openxmlformats.org/officeDocument/2006/relationships/oleObject" Target="embeddings/oleObject486.bin"/><Relationship Id="rId1180" Type="http://schemas.openxmlformats.org/officeDocument/2006/relationships/oleObject" Target="embeddings/oleObject577.bin"/><Relationship Id="rId1401" Type="http://schemas.openxmlformats.org/officeDocument/2006/relationships/image" Target="media/image697.wmf"/><Relationship Id="rId1639" Type="http://schemas.openxmlformats.org/officeDocument/2006/relationships/oleObject" Target="embeddings/oleObject801.bin"/><Relationship Id="rId203" Type="http://schemas.openxmlformats.org/officeDocument/2006/relationships/image" Target="media/image96.wmf"/><Relationship Id="rId648" Type="http://schemas.openxmlformats.org/officeDocument/2006/relationships/oleObject" Target="embeddings/oleObject317.bin"/><Relationship Id="rId855" Type="http://schemas.openxmlformats.org/officeDocument/2006/relationships/image" Target="media/image421.wmf"/><Relationship Id="rId1040" Type="http://schemas.openxmlformats.org/officeDocument/2006/relationships/oleObject" Target="embeddings/oleObject508.bin"/><Relationship Id="rId1278" Type="http://schemas.openxmlformats.org/officeDocument/2006/relationships/oleObject" Target="embeddings/oleObject621.bin"/><Relationship Id="rId1485" Type="http://schemas.openxmlformats.org/officeDocument/2006/relationships/image" Target="media/image739.wmf"/><Relationship Id="rId1692" Type="http://schemas.openxmlformats.org/officeDocument/2006/relationships/image" Target="media/image843.wmf"/><Relationship Id="rId287" Type="http://schemas.openxmlformats.org/officeDocument/2006/relationships/image" Target="media/image138.wmf"/><Relationship Id="rId410" Type="http://schemas.openxmlformats.org/officeDocument/2006/relationships/oleObject" Target="embeddings/oleObject197.bin"/><Relationship Id="rId494" Type="http://schemas.openxmlformats.org/officeDocument/2006/relationships/oleObject" Target="embeddings/oleObject239.bin"/><Relationship Id="rId508" Type="http://schemas.openxmlformats.org/officeDocument/2006/relationships/oleObject" Target="embeddings/oleObject246.bin"/><Relationship Id="rId715" Type="http://schemas.openxmlformats.org/officeDocument/2006/relationships/image" Target="media/image351.wmf"/><Relationship Id="rId922" Type="http://schemas.openxmlformats.org/officeDocument/2006/relationships/image" Target="media/image459.wmf"/><Relationship Id="rId1138" Type="http://schemas.openxmlformats.org/officeDocument/2006/relationships/oleObject" Target="embeddings/oleObject556.bin"/><Relationship Id="rId1345" Type="http://schemas.openxmlformats.org/officeDocument/2006/relationships/image" Target="media/image669.wmf"/><Relationship Id="rId1552" Type="http://schemas.openxmlformats.org/officeDocument/2006/relationships/image" Target="media/image773.wmf"/><Relationship Id="rId147" Type="http://schemas.openxmlformats.org/officeDocument/2006/relationships/image" Target="media/image68.wmf"/><Relationship Id="rId354" Type="http://schemas.openxmlformats.org/officeDocument/2006/relationships/oleObject" Target="embeddings/oleObject169.bin"/><Relationship Id="rId799" Type="http://schemas.openxmlformats.org/officeDocument/2006/relationships/image" Target="media/image393.wmf"/><Relationship Id="rId1191" Type="http://schemas.openxmlformats.org/officeDocument/2006/relationships/image" Target="media/image595.wmf"/><Relationship Id="rId1205" Type="http://schemas.openxmlformats.org/officeDocument/2006/relationships/image" Target="media/image602.wmf"/><Relationship Id="rId51" Type="http://schemas.openxmlformats.org/officeDocument/2006/relationships/oleObject" Target="embeddings/oleObject17.bin"/><Relationship Id="rId561" Type="http://schemas.openxmlformats.org/officeDocument/2006/relationships/image" Target="media/image275.wmf"/><Relationship Id="rId659" Type="http://schemas.openxmlformats.org/officeDocument/2006/relationships/image" Target="media/image323.wmf"/><Relationship Id="rId866" Type="http://schemas.openxmlformats.org/officeDocument/2006/relationships/oleObject" Target="embeddings/oleObject426.bin"/><Relationship Id="rId1289" Type="http://schemas.openxmlformats.org/officeDocument/2006/relationships/image" Target="media/image641.wmf"/><Relationship Id="rId1412" Type="http://schemas.openxmlformats.org/officeDocument/2006/relationships/oleObject" Target="embeddings/oleObject688.bin"/><Relationship Id="rId1496" Type="http://schemas.openxmlformats.org/officeDocument/2006/relationships/oleObject" Target="embeddings/oleObject730.bin"/><Relationship Id="rId214" Type="http://schemas.openxmlformats.org/officeDocument/2006/relationships/oleObject" Target="embeddings/oleObject99.bin"/><Relationship Id="rId298" Type="http://schemas.openxmlformats.org/officeDocument/2006/relationships/oleObject" Target="embeddings/oleObject141.bin"/><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image" Target="media/image524.wmf"/><Relationship Id="rId1149" Type="http://schemas.openxmlformats.org/officeDocument/2006/relationships/image" Target="media/image574.wmf"/><Relationship Id="rId1356" Type="http://schemas.openxmlformats.org/officeDocument/2006/relationships/oleObject" Target="embeddings/oleObject660.bin"/><Relationship Id="rId158" Type="http://schemas.openxmlformats.org/officeDocument/2006/relationships/oleObject" Target="embeddings/oleObject71.bin"/><Relationship Id="rId726" Type="http://schemas.openxmlformats.org/officeDocument/2006/relationships/oleObject" Target="embeddings/oleObject356.bin"/><Relationship Id="rId933" Type="http://schemas.openxmlformats.org/officeDocument/2006/relationships/oleObject" Target="embeddings/oleObject455.bin"/><Relationship Id="rId1009" Type="http://schemas.openxmlformats.org/officeDocument/2006/relationships/image" Target="media/image503.wmf"/><Relationship Id="rId1563" Type="http://schemas.openxmlformats.org/officeDocument/2006/relationships/oleObject" Target="embeddings/oleObject763.bin"/><Relationship Id="rId62" Type="http://schemas.openxmlformats.org/officeDocument/2006/relationships/oleObject" Target="embeddings/oleObject23.bin"/><Relationship Id="rId365" Type="http://schemas.openxmlformats.org/officeDocument/2006/relationships/image" Target="media/image177.wmf"/><Relationship Id="rId572" Type="http://schemas.openxmlformats.org/officeDocument/2006/relationships/oleObject" Target="embeddings/oleObject278.bin"/><Relationship Id="rId1216" Type="http://schemas.openxmlformats.org/officeDocument/2006/relationships/oleObject" Target="embeddings/oleObject595.bin"/><Relationship Id="rId1423" Type="http://schemas.openxmlformats.org/officeDocument/2006/relationships/image" Target="media/image708.wmf"/><Relationship Id="rId1630" Type="http://schemas.openxmlformats.org/officeDocument/2006/relationships/image" Target="media/image812.wmf"/><Relationship Id="rId225" Type="http://schemas.openxmlformats.org/officeDocument/2006/relationships/image" Target="media/image107.wmf"/><Relationship Id="rId432" Type="http://schemas.openxmlformats.org/officeDocument/2006/relationships/oleObject" Target="embeddings/oleObject208.bin"/><Relationship Id="rId877" Type="http://schemas.openxmlformats.org/officeDocument/2006/relationships/image" Target="media/image433.wmf"/><Relationship Id="rId1062" Type="http://schemas.openxmlformats.org/officeDocument/2006/relationships/oleObject" Target="embeddings/oleObject518.bin"/><Relationship Id="rId737" Type="http://schemas.openxmlformats.org/officeDocument/2006/relationships/image" Target="media/image362.wmf"/><Relationship Id="rId944" Type="http://schemas.openxmlformats.org/officeDocument/2006/relationships/image" Target="media/image470.wmf"/><Relationship Id="rId1367" Type="http://schemas.openxmlformats.org/officeDocument/2006/relationships/image" Target="media/image680.wmf"/><Relationship Id="rId1574" Type="http://schemas.openxmlformats.org/officeDocument/2006/relationships/image" Target="media/image784.wmf"/><Relationship Id="rId73" Type="http://schemas.openxmlformats.org/officeDocument/2006/relationships/image" Target="media/image31.wmf"/><Relationship Id="rId169" Type="http://schemas.openxmlformats.org/officeDocument/2006/relationships/image" Target="media/image79.wmf"/><Relationship Id="rId376" Type="http://schemas.openxmlformats.org/officeDocument/2006/relationships/oleObject" Target="embeddings/oleObject180.bin"/><Relationship Id="rId583" Type="http://schemas.openxmlformats.org/officeDocument/2006/relationships/image" Target="media/image286.wmf"/><Relationship Id="rId790" Type="http://schemas.openxmlformats.org/officeDocument/2006/relationships/oleObject" Target="embeddings/oleObject388.bin"/><Relationship Id="rId804" Type="http://schemas.openxmlformats.org/officeDocument/2006/relationships/oleObject" Target="embeddings/oleObject395.bin"/><Relationship Id="rId1227" Type="http://schemas.openxmlformats.org/officeDocument/2006/relationships/image" Target="media/image613.wmf"/><Relationship Id="rId1434" Type="http://schemas.openxmlformats.org/officeDocument/2006/relationships/oleObject" Target="embeddings/oleObject699.bin"/><Relationship Id="rId1641" Type="http://schemas.openxmlformats.org/officeDocument/2006/relationships/oleObject" Target="embeddings/oleObject802.bin"/><Relationship Id="rId4" Type="http://schemas.openxmlformats.org/officeDocument/2006/relationships/webSettings" Target="webSettings.xml"/><Relationship Id="rId236" Type="http://schemas.openxmlformats.org/officeDocument/2006/relationships/oleObject" Target="embeddings/oleObject110.bin"/><Relationship Id="rId443" Type="http://schemas.openxmlformats.org/officeDocument/2006/relationships/image" Target="media/image216.wmf"/><Relationship Id="rId650" Type="http://schemas.openxmlformats.org/officeDocument/2006/relationships/oleObject" Target="embeddings/oleObject318.bin"/><Relationship Id="rId888" Type="http://schemas.openxmlformats.org/officeDocument/2006/relationships/image" Target="media/image439.wmf"/><Relationship Id="rId1073" Type="http://schemas.openxmlformats.org/officeDocument/2006/relationships/image" Target="media/image536.wmf"/><Relationship Id="rId1280" Type="http://schemas.openxmlformats.org/officeDocument/2006/relationships/oleObject" Target="embeddings/oleObject622.bin"/><Relationship Id="rId1501" Type="http://schemas.openxmlformats.org/officeDocument/2006/relationships/image" Target="media/image747.wmf"/><Relationship Id="rId303" Type="http://schemas.openxmlformats.org/officeDocument/2006/relationships/image" Target="media/image146.wmf"/><Relationship Id="rId748" Type="http://schemas.openxmlformats.org/officeDocument/2006/relationships/oleObject" Target="embeddings/oleObject367.bin"/><Relationship Id="rId955" Type="http://schemas.openxmlformats.org/officeDocument/2006/relationships/oleObject" Target="embeddings/oleObject466.bin"/><Relationship Id="rId1140" Type="http://schemas.openxmlformats.org/officeDocument/2006/relationships/oleObject" Target="embeddings/oleObject557.bin"/><Relationship Id="rId1378" Type="http://schemas.openxmlformats.org/officeDocument/2006/relationships/oleObject" Target="embeddings/oleObject671.bin"/><Relationship Id="rId1585" Type="http://schemas.openxmlformats.org/officeDocument/2006/relationships/oleObject" Target="embeddings/oleObject774.bin"/><Relationship Id="rId84" Type="http://schemas.openxmlformats.org/officeDocument/2006/relationships/oleObject" Target="embeddings/oleObject34.bin"/><Relationship Id="rId387" Type="http://schemas.openxmlformats.org/officeDocument/2006/relationships/image" Target="media/image188.wmf"/><Relationship Id="rId510" Type="http://schemas.openxmlformats.org/officeDocument/2006/relationships/oleObject" Target="embeddings/oleObject247.bin"/><Relationship Id="rId594" Type="http://schemas.openxmlformats.org/officeDocument/2006/relationships/oleObject" Target="embeddings/oleObject289.bin"/><Relationship Id="rId608" Type="http://schemas.openxmlformats.org/officeDocument/2006/relationships/image" Target="media/image298.wmf"/><Relationship Id="rId815" Type="http://schemas.openxmlformats.org/officeDocument/2006/relationships/image" Target="media/image401.wmf"/><Relationship Id="rId1238" Type="http://schemas.openxmlformats.org/officeDocument/2006/relationships/oleObject" Target="embeddings/oleObject606.bin"/><Relationship Id="rId1445" Type="http://schemas.openxmlformats.org/officeDocument/2006/relationships/image" Target="media/image719.wmf"/><Relationship Id="rId1652" Type="http://schemas.openxmlformats.org/officeDocument/2006/relationships/image" Target="media/image823.wmf"/><Relationship Id="rId247" Type="http://schemas.openxmlformats.org/officeDocument/2006/relationships/image" Target="media/image118.wmf"/><Relationship Id="rId899" Type="http://schemas.openxmlformats.org/officeDocument/2006/relationships/oleObject" Target="embeddings/oleObject441.bin"/><Relationship Id="rId1000" Type="http://schemas.openxmlformats.org/officeDocument/2006/relationships/oleObject" Target="embeddings/oleObject488.bin"/><Relationship Id="rId1084" Type="http://schemas.openxmlformats.org/officeDocument/2006/relationships/oleObject" Target="embeddings/oleObject529.bin"/><Relationship Id="rId1305" Type="http://schemas.openxmlformats.org/officeDocument/2006/relationships/image" Target="media/image649.wmf"/><Relationship Id="rId107" Type="http://schemas.openxmlformats.org/officeDocument/2006/relationships/image" Target="media/image48.wmf"/><Relationship Id="rId454" Type="http://schemas.openxmlformats.org/officeDocument/2006/relationships/oleObject" Target="embeddings/oleObject219.bin"/><Relationship Id="rId661" Type="http://schemas.openxmlformats.org/officeDocument/2006/relationships/image" Target="media/image324.wmf"/><Relationship Id="rId759" Type="http://schemas.openxmlformats.org/officeDocument/2006/relationships/image" Target="media/image373.wmf"/><Relationship Id="rId966" Type="http://schemas.openxmlformats.org/officeDocument/2006/relationships/image" Target="media/image481.wmf"/><Relationship Id="rId1291" Type="http://schemas.openxmlformats.org/officeDocument/2006/relationships/image" Target="media/image642.wmf"/><Relationship Id="rId1389" Type="http://schemas.openxmlformats.org/officeDocument/2006/relationships/image" Target="media/image691.wmf"/><Relationship Id="rId1512" Type="http://schemas.openxmlformats.org/officeDocument/2006/relationships/oleObject" Target="embeddings/oleObject738.bin"/><Relationship Id="rId1596" Type="http://schemas.openxmlformats.org/officeDocument/2006/relationships/image" Target="media/image795.wmf"/><Relationship Id="rId11" Type="http://schemas.openxmlformats.org/officeDocument/2006/relationships/hyperlink" Target="http://creativecommons.org/licenses/by/3.0/au/legalcode" TargetMode="External"/><Relationship Id="rId314" Type="http://schemas.openxmlformats.org/officeDocument/2006/relationships/oleObject" Target="embeddings/oleObject149.bin"/><Relationship Id="rId398" Type="http://schemas.openxmlformats.org/officeDocument/2006/relationships/oleObject" Target="embeddings/oleObject191.bin"/><Relationship Id="rId521" Type="http://schemas.openxmlformats.org/officeDocument/2006/relationships/image" Target="media/image255.wmf"/><Relationship Id="rId619" Type="http://schemas.openxmlformats.org/officeDocument/2006/relationships/oleObject" Target="embeddings/oleObject302.bin"/><Relationship Id="rId1151" Type="http://schemas.openxmlformats.org/officeDocument/2006/relationships/image" Target="media/image575.wmf"/><Relationship Id="rId1249" Type="http://schemas.openxmlformats.org/officeDocument/2006/relationships/image" Target="media/image621.wmf"/><Relationship Id="rId95" Type="http://schemas.openxmlformats.org/officeDocument/2006/relationships/image" Target="media/image42.wmf"/><Relationship Id="rId160" Type="http://schemas.openxmlformats.org/officeDocument/2006/relationships/oleObject" Target="embeddings/oleObject72.bin"/><Relationship Id="rId826" Type="http://schemas.openxmlformats.org/officeDocument/2006/relationships/oleObject" Target="embeddings/oleObject406.bin"/><Relationship Id="rId1011" Type="http://schemas.openxmlformats.org/officeDocument/2006/relationships/image" Target="media/image504.wmf"/><Relationship Id="rId1109" Type="http://schemas.openxmlformats.org/officeDocument/2006/relationships/image" Target="media/image554.wmf"/><Relationship Id="rId1456" Type="http://schemas.openxmlformats.org/officeDocument/2006/relationships/oleObject" Target="embeddings/oleObject710.bin"/><Relationship Id="rId1663" Type="http://schemas.openxmlformats.org/officeDocument/2006/relationships/oleObject" Target="embeddings/oleObject813.bin"/><Relationship Id="rId258" Type="http://schemas.openxmlformats.org/officeDocument/2006/relationships/oleObject" Target="embeddings/oleObject121.bin"/><Relationship Id="rId465" Type="http://schemas.openxmlformats.org/officeDocument/2006/relationships/image" Target="media/image227.wmf"/><Relationship Id="rId672" Type="http://schemas.openxmlformats.org/officeDocument/2006/relationships/oleObject" Target="embeddings/oleObject329.bin"/><Relationship Id="rId1095" Type="http://schemas.openxmlformats.org/officeDocument/2006/relationships/image" Target="media/image547.wmf"/><Relationship Id="rId1316" Type="http://schemas.openxmlformats.org/officeDocument/2006/relationships/oleObject" Target="embeddings/oleObject640.bin"/><Relationship Id="rId1523" Type="http://schemas.openxmlformats.org/officeDocument/2006/relationships/image" Target="media/image758.wmf"/><Relationship Id="rId22" Type="http://schemas.openxmlformats.org/officeDocument/2006/relationships/oleObject" Target="embeddings/oleObject2.bin"/><Relationship Id="rId118" Type="http://schemas.openxmlformats.org/officeDocument/2006/relationships/oleObject" Target="embeddings/oleObject51.bin"/><Relationship Id="rId325" Type="http://schemas.openxmlformats.org/officeDocument/2006/relationships/image" Target="media/image157.wmf"/><Relationship Id="rId532" Type="http://schemas.openxmlformats.org/officeDocument/2006/relationships/oleObject" Target="embeddings/oleObject258.bin"/><Relationship Id="rId977" Type="http://schemas.openxmlformats.org/officeDocument/2006/relationships/oleObject" Target="embeddings/oleObject477.bin"/><Relationship Id="rId1162" Type="http://schemas.openxmlformats.org/officeDocument/2006/relationships/oleObject" Target="embeddings/oleObject568.bin"/><Relationship Id="rId171" Type="http://schemas.openxmlformats.org/officeDocument/2006/relationships/image" Target="media/image80.wmf"/><Relationship Id="rId837" Type="http://schemas.openxmlformats.org/officeDocument/2006/relationships/image" Target="media/image412.wmf"/><Relationship Id="rId1022" Type="http://schemas.openxmlformats.org/officeDocument/2006/relationships/oleObject" Target="embeddings/oleObject499.bin"/><Relationship Id="rId1467" Type="http://schemas.openxmlformats.org/officeDocument/2006/relationships/image" Target="media/image730.wmf"/><Relationship Id="rId1674" Type="http://schemas.openxmlformats.org/officeDocument/2006/relationships/image" Target="media/image834.wmf"/><Relationship Id="rId269" Type="http://schemas.openxmlformats.org/officeDocument/2006/relationships/image" Target="media/image129.wmf"/><Relationship Id="rId476" Type="http://schemas.openxmlformats.org/officeDocument/2006/relationships/oleObject" Target="embeddings/oleObject230.bin"/><Relationship Id="rId683" Type="http://schemas.openxmlformats.org/officeDocument/2006/relationships/image" Target="media/image335.wmf"/><Relationship Id="rId890" Type="http://schemas.openxmlformats.org/officeDocument/2006/relationships/image" Target="media/image440.wmf"/><Relationship Id="rId904" Type="http://schemas.openxmlformats.org/officeDocument/2006/relationships/image" Target="media/image448.wmf"/><Relationship Id="rId1327" Type="http://schemas.openxmlformats.org/officeDocument/2006/relationships/image" Target="media/image660.wmf"/><Relationship Id="rId1534" Type="http://schemas.openxmlformats.org/officeDocument/2006/relationships/image" Target="media/image764.wmf"/><Relationship Id="rId33" Type="http://schemas.openxmlformats.org/officeDocument/2006/relationships/image" Target="media/image12.wmf"/><Relationship Id="rId129" Type="http://schemas.openxmlformats.org/officeDocument/2006/relationships/image" Target="media/image59.wmf"/><Relationship Id="rId336" Type="http://schemas.openxmlformats.org/officeDocument/2006/relationships/oleObject" Target="embeddings/oleObject160.bin"/><Relationship Id="rId543" Type="http://schemas.openxmlformats.org/officeDocument/2006/relationships/image" Target="media/image266.wmf"/><Relationship Id="rId988" Type="http://schemas.openxmlformats.org/officeDocument/2006/relationships/image" Target="media/image492.wmf"/><Relationship Id="rId1173" Type="http://schemas.openxmlformats.org/officeDocument/2006/relationships/image" Target="media/image586.wmf"/><Relationship Id="rId1380" Type="http://schemas.openxmlformats.org/officeDocument/2006/relationships/oleObject" Target="embeddings/oleObject672.bin"/><Relationship Id="rId1601" Type="http://schemas.openxmlformats.org/officeDocument/2006/relationships/oleObject" Target="embeddings/oleObject782.bin"/><Relationship Id="rId182" Type="http://schemas.openxmlformats.org/officeDocument/2006/relationships/oleObject" Target="embeddings/oleObject83.bin"/><Relationship Id="rId403" Type="http://schemas.openxmlformats.org/officeDocument/2006/relationships/image" Target="media/image196.wmf"/><Relationship Id="rId750" Type="http://schemas.openxmlformats.org/officeDocument/2006/relationships/oleObject" Target="embeddings/oleObject368.bin"/><Relationship Id="rId848" Type="http://schemas.openxmlformats.org/officeDocument/2006/relationships/oleObject" Target="embeddings/oleObject417.bin"/><Relationship Id="rId1033" Type="http://schemas.openxmlformats.org/officeDocument/2006/relationships/image" Target="media/image515.wmf"/><Relationship Id="rId1478" Type="http://schemas.openxmlformats.org/officeDocument/2006/relationships/oleObject" Target="embeddings/oleObject721.bin"/><Relationship Id="rId1685" Type="http://schemas.openxmlformats.org/officeDocument/2006/relationships/oleObject" Target="embeddings/oleObject824.bin"/><Relationship Id="rId487" Type="http://schemas.openxmlformats.org/officeDocument/2006/relationships/image" Target="media/image238.wmf"/><Relationship Id="rId610" Type="http://schemas.openxmlformats.org/officeDocument/2006/relationships/image" Target="media/image299.wmf"/><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image" Target="media/image454.wmf"/><Relationship Id="rId1240" Type="http://schemas.openxmlformats.org/officeDocument/2006/relationships/header" Target="header6.xml"/><Relationship Id="rId1338" Type="http://schemas.openxmlformats.org/officeDocument/2006/relationships/oleObject" Target="embeddings/oleObject651.bin"/><Relationship Id="rId1545" Type="http://schemas.openxmlformats.org/officeDocument/2006/relationships/oleObject" Target="embeddings/oleObject754.bin"/><Relationship Id="rId347" Type="http://schemas.openxmlformats.org/officeDocument/2006/relationships/image" Target="media/image168.wmf"/><Relationship Id="rId999" Type="http://schemas.openxmlformats.org/officeDocument/2006/relationships/image" Target="media/image498.wmf"/><Relationship Id="rId1100" Type="http://schemas.openxmlformats.org/officeDocument/2006/relationships/oleObject" Target="embeddings/oleObject537.bin"/><Relationship Id="rId1184" Type="http://schemas.openxmlformats.org/officeDocument/2006/relationships/oleObject" Target="embeddings/oleObject579.bin"/><Relationship Id="rId1405" Type="http://schemas.openxmlformats.org/officeDocument/2006/relationships/image" Target="media/image699.wmf"/><Relationship Id="rId44" Type="http://schemas.openxmlformats.org/officeDocument/2006/relationships/image" Target="media/image17.wmf"/><Relationship Id="rId554" Type="http://schemas.openxmlformats.org/officeDocument/2006/relationships/oleObject" Target="embeddings/oleObject269.bin"/><Relationship Id="rId761" Type="http://schemas.openxmlformats.org/officeDocument/2006/relationships/image" Target="media/image374.wmf"/><Relationship Id="rId859" Type="http://schemas.openxmlformats.org/officeDocument/2006/relationships/image" Target="media/image423.wmf"/><Relationship Id="rId1391" Type="http://schemas.openxmlformats.org/officeDocument/2006/relationships/image" Target="media/image692.wmf"/><Relationship Id="rId1489" Type="http://schemas.openxmlformats.org/officeDocument/2006/relationships/image" Target="media/image741.wmf"/><Relationship Id="rId1612" Type="http://schemas.openxmlformats.org/officeDocument/2006/relationships/image" Target="media/image803.wmf"/><Relationship Id="rId1696" Type="http://schemas.openxmlformats.org/officeDocument/2006/relationships/image" Target="media/image845.wmf"/><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199.bin"/><Relationship Id="rId498" Type="http://schemas.openxmlformats.org/officeDocument/2006/relationships/oleObject" Target="embeddings/oleObject241.bin"/><Relationship Id="rId621" Type="http://schemas.openxmlformats.org/officeDocument/2006/relationships/oleObject" Target="embeddings/oleObject303.bin"/><Relationship Id="rId1044" Type="http://schemas.openxmlformats.org/officeDocument/2006/relationships/oleObject" Target="embeddings/oleObject510.bin"/><Relationship Id="rId1251" Type="http://schemas.openxmlformats.org/officeDocument/2006/relationships/image" Target="media/image622.wmf"/><Relationship Id="rId1349" Type="http://schemas.openxmlformats.org/officeDocument/2006/relationships/image" Target="media/image671.wmf"/><Relationship Id="rId260" Type="http://schemas.openxmlformats.org/officeDocument/2006/relationships/oleObject" Target="embeddings/oleObject122.bin"/><Relationship Id="rId719" Type="http://schemas.openxmlformats.org/officeDocument/2006/relationships/image" Target="media/image353.wmf"/><Relationship Id="rId926" Type="http://schemas.openxmlformats.org/officeDocument/2006/relationships/image" Target="media/image461.wmf"/><Relationship Id="rId1111" Type="http://schemas.openxmlformats.org/officeDocument/2006/relationships/image" Target="media/image555.wmf"/><Relationship Id="rId1556" Type="http://schemas.openxmlformats.org/officeDocument/2006/relationships/image" Target="media/image775.wmf"/><Relationship Id="rId55" Type="http://schemas.openxmlformats.org/officeDocument/2006/relationships/oleObject" Target="embeddings/oleObject19.bin"/><Relationship Id="rId120" Type="http://schemas.openxmlformats.org/officeDocument/2006/relationships/oleObject" Target="embeddings/oleObject52.bin"/><Relationship Id="rId358" Type="http://schemas.openxmlformats.org/officeDocument/2006/relationships/oleObject" Target="embeddings/oleObject171.bin"/><Relationship Id="rId565" Type="http://schemas.openxmlformats.org/officeDocument/2006/relationships/image" Target="media/image277.wmf"/><Relationship Id="rId772" Type="http://schemas.openxmlformats.org/officeDocument/2006/relationships/oleObject" Target="embeddings/oleObject379.bin"/><Relationship Id="rId1195" Type="http://schemas.openxmlformats.org/officeDocument/2006/relationships/image" Target="media/image597.wmf"/><Relationship Id="rId1209" Type="http://schemas.openxmlformats.org/officeDocument/2006/relationships/image" Target="media/image604.wmf"/><Relationship Id="rId1416" Type="http://schemas.openxmlformats.org/officeDocument/2006/relationships/oleObject" Target="embeddings/oleObject690.bin"/><Relationship Id="rId1623" Type="http://schemas.openxmlformats.org/officeDocument/2006/relationships/oleObject" Target="embeddings/oleObject793.bin"/><Relationship Id="rId218" Type="http://schemas.openxmlformats.org/officeDocument/2006/relationships/oleObject" Target="embeddings/oleObject101.bin"/><Relationship Id="rId425" Type="http://schemas.openxmlformats.org/officeDocument/2006/relationships/image" Target="media/image207.wmf"/><Relationship Id="rId632" Type="http://schemas.openxmlformats.org/officeDocument/2006/relationships/image" Target="media/image310.wmf"/><Relationship Id="rId1055" Type="http://schemas.openxmlformats.org/officeDocument/2006/relationships/image" Target="media/image527.wmf"/><Relationship Id="rId1262" Type="http://schemas.openxmlformats.org/officeDocument/2006/relationships/oleObject" Target="embeddings/oleObject613.bin"/><Relationship Id="rId271" Type="http://schemas.openxmlformats.org/officeDocument/2006/relationships/image" Target="media/image130.wmf"/><Relationship Id="rId937" Type="http://schemas.openxmlformats.org/officeDocument/2006/relationships/oleObject" Target="embeddings/oleObject457.bin"/><Relationship Id="rId1122" Type="http://schemas.openxmlformats.org/officeDocument/2006/relationships/oleObject" Target="embeddings/oleObject548.bin"/><Relationship Id="rId1567" Type="http://schemas.openxmlformats.org/officeDocument/2006/relationships/oleObject" Target="embeddings/oleObject765.bin"/><Relationship Id="rId66" Type="http://schemas.openxmlformats.org/officeDocument/2006/relationships/oleObject" Target="embeddings/oleObject25.bin"/><Relationship Id="rId131" Type="http://schemas.openxmlformats.org/officeDocument/2006/relationships/image" Target="media/image60.wmf"/><Relationship Id="rId369" Type="http://schemas.openxmlformats.org/officeDocument/2006/relationships/image" Target="media/image179.wmf"/><Relationship Id="rId576" Type="http://schemas.openxmlformats.org/officeDocument/2006/relationships/oleObject" Target="embeddings/oleObject280.bin"/><Relationship Id="rId783" Type="http://schemas.openxmlformats.org/officeDocument/2006/relationships/image" Target="media/image385.wmf"/><Relationship Id="rId990" Type="http://schemas.openxmlformats.org/officeDocument/2006/relationships/image" Target="media/image493.wmf"/><Relationship Id="rId1427" Type="http://schemas.openxmlformats.org/officeDocument/2006/relationships/image" Target="media/image710.wmf"/><Relationship Id="rId1634" Type="http://schemas.openxmlformats.org/officeDocument/2006/relationships/image" Target="media/image814.wmf"/><Relationship Id="rId229" Type="http://schemas.openxmlformats.org/officeDocument/2006/relationships/image" Target="media/image109.wmf"/><Relationship Id="rId436" Type="http://schemas.openxmlformats.org/officeDocument/2006/relationships/oleObject" Target="embeddings/oleObject210.bin"/><Relationship Id="rId643" Type="http://schemas.openxmlformats.org/officeDocument/2006/relationships/image" Target="media/image315.wmf"/><Relationship Id="rId1066" Type="http://schemas.openxmlformats.org/officeDocument/2006/relationships/oleObject" Target="embeddings/oleObject520.bin"/><Relationship Id="rId1273" Type="http://schemas.openxmlformats.org/officeDocument/2006/relationships/image" Target="media/image633.wmf"/><Relationship Id="rId1480" Type="http://schemas.openxmlformats.org/officeDocument/2006/relationships/oleObject" Target="embeddings/oleObject722.bin"/><Relationship Id="rId850" Type="http://schemas.openxmlformats.org/officeDocument/2006/relationships/oleObject" Target="embeddings/oleObject418.bin"/><Relationship Id="rId948" Type="http://schemas.openxmlformats.org/officeDocument/2006/relationships/image" Target="media/image472.wmf"/><Relationship Id="rId1133" Type="http://schemas.openxmlformats.org/officeDocument/2006/relationships/image" Target="media/image566.wmf"/><Relationship Id="rId1578" Type="http://schemas.openxmlformats.org/officeDocument/2006/relationships/image" Target="media/image786.wmf"/><Relationship Id="rId1701" Type="http://schemas.openxmlformats.org/officeDocument/2006/relationships/theme" Target="theme/theme1.xml"/><Relationship Id="rId77" Type="http://schemas.openxmlformats.org/officeDocument/2006/relationships/image" Target="media/image33.wmf"/><Relationship Id="rId282" Type="http://schemas.openxmlformats.org/officeDocument/2006/relationships/oleObject" Target="embeddings/oleObject133.bin"/><Relationship Id="rId503" Type="http://schemas.openxmlformats.org/officeDocument/2006/relationships/image" Target="media/image246.wmf"/><Relationship Id="rId587" Type="http://schemas.openxmlformats.org/officeDocument/2006/relationships/image" Target="media/image288.wmf"/><Relationship Id="rId710" Type="http://schemas.openxmlformats.org/officeDocument/2006/relationships/oleObject" Target="embeddings/oleObject348.bin"/><Relationship Id="rId808" Type="http://schemas.openxmlformats.org/officeDocument/2006/relationships/oleObject" Target="embeddings/oleObject397.bin"/><Relationship Id="rId1340" Type="http://schemas.openxmlformats.org/officeDocument/2006/relationships/oleObject" Target="embeddings/oleObject652.bin"/><Relationship Id="rId1438" Type="http://schemas.openxmlformats.org/officeDocument/2006/relationships/oleObject" Target="embeddings/oleObject701.bin"/><Relationship Id="rId1645" Type="http://schemas.openxmlformats.org/officeDocument/2006/relationships/oleObject" Target="embeddings/oleObject804.bin"/><Relationship Id="rId8" Type="http://schemas.openxmlformats.org/officeDocument/2006/relationships/footer" Target="footer2.xml"/><Relationship Id="rId142" Type="http://schemas.openxmlformats.org/officeDocument/2006/relationships/oleObject" Target="embeddings/oleObject63.bin"/><Relationship Id="rId447" Type="http://schemas.openxmlformats.org/officeDocument/2006/relationships/image" Target="media/image218.wmf"/><Relationship Id="rId794" Type="http://schemas.openxmlformats.org/officeDocument/2006/relationships/oleObject" Target="embeddings/oleObject390.bin"/><Relationship Id="rId1077" Type="http://schemas.openxmlformats.org/officeDocument/2006/relationships/image" Target="media/image538.wmf"/><Relationship Id="rId1200" Type="http://schemas.openxmlformats.org/officeDocument/2006/relationships/oleObject" Target="embeddings/oleObject587.bin"/><Relationship Id="rId654" Type="http://schemas.openxmlformats.org/officeDocument/2006/relationships/oleObject" Target="embeddings/oleObject320.bin"/><Relationship Id="rId861" Type="http://schemas.openxmlformats.org/officeDocument/2006/relationships/image" Target="media/image424.wmf"/><Relationship Id="rId959" Type="http://schemas.openxmlformats.org/officeDocument/2006/relationships/oleObject" Target="embeddings/oleObject468.bin"/><Relationship Id="rId1284" Type="http://schemas.openxmlformats.org/officeDocument/2006/relationships/oleObject" Target="embeddings/oleObject624.bin"/><Relationship Id="rId1491" Type="http://schemas.openxmlformats.org/officeDocument/2006/relationships/image" Target="media/image742.wmf"/><Relationship Id="rId1505" Type="http://schemas.openxmlformats.org/officeDocument/2006/relationships/image" Target="media/image749.wmf"/><Relationship Id="rId1589" Type="http://schemas.openxmlformats.org/officeDocument/2006/relationships/oleObject" Target="embeddings/oleObject776.bin"/><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oleObject" Target="embeddings/oleObject249.bin"/><Relationship Id="rId721" Type="http://schemas.openxmlformats.org/officeDocument/2006/relationships/image" Target="media/image354.wmf"/><Relationship Id="rId1144" Type="http://schemas.openxmlformats.org/officeDocument/2006/relationships/oleObject" Target="embeddings/oleObject559.bin"/><Relationship Id="rId1351" Type="http://schemas.openxmlformats.org/officeDocument/2006/relationships/image" Target="media/image672.wmf"/><Relationship Id="rId1449" Type="http://schemas.openxmlformats.org/officeDocument/2006/relationships/image" Target="media/image721.wmf"/><Relationship Id="rId88" Type="http://schemas.openxmlformats.org/officeDocument/2006/relationships/oleObject" Target="embeddings/oleObject36.bin"/><Relationship Id="rId153" Type="http://schemas.openxmlformats.org/officeDocument/2006/relationships/image" Target="media/image71.wmf"/><Relationship Id="rId360" Type="http://schemas.openxmlformats.org/officeDocument/2006/relationships/oleObject" Target="embeddings/oleObject172.bin"/><Relationship Id="rId598" Type="http://schemas.openxmlformats.org/officeDocument/2006/relationships/image" Target="media/image293.wmf"/><Relationship Id="rId819" Type="http://schemas.openxmlformats.org/officeDocument/2006/relationships/image" Target="media/image403.wmf"/><Relationship Id="rId1004" Type="http://schemas.openxmlformats.org/officeDocument/2006/relationships/oleObject" Target="embeddings/oleObject490.bin"/><Relationship Id="rId1211" Type="http://schemas.openxmlformats.org/officeDocument/2006/relationships/image" Target="media/image605.wmf"/><Relationship Id="rId1656" Type="http://schemas.openxmlformats.org/officeDocument/2006/relationships/image" Target="media/image825.wmf"/><Relationship Id="rId220" Type="http://schemas.openxmlformats.org/officeDocument/2006/relationships/oleObject" Target="embeddings/oleObject102.bin"/><Relationship Id="rId458" Type="http://schemas.openxmlformats.org/officeDocument/2006/relationships/oleObject" Target="embeddings/oleObject221.bin"/><Relationship Id="rId665" Type="http://schemas.openxmlformats.org/officeDocument/2006/relationships/image" Target="media/image326.wmf"/><Relationship Id="rId872" Type="http://schemas.openxmlformats.org/officeDocument/2006/relationships/image" Target="media/image430.wmf"/><Relationship Id="rId1088" Type="http://schemas.openxmlformats.org/officeDocument/2006/relationships/oleObject" Target="embeddings/oleObject531.bin"/><Relationship Id="rId1295" Type="http://schemas.openxmlformats.org/officeDocument/2006/relationships/image" Target="media/image644.wmf"/><Relationship Id="rId1309" Type="http://schemas.openxmlformats.org/officeDocument/2006/relationships/image" Target="media/image651.wmf"/><Relationship Id="rId1516" Type="http://schemas.openxmlformats.org/officeDocument/2006/relationships/oleObject" Target="embeddings/oleObject740.bin"/><Relationship Id="rId15" Type="http://schemas.openxmlformats.org/officeDocument/2006/relationships/hyperlink" Target="mailto:media@treasury.gov.au" TargetMode="External"/><Relationship Id="rId318" Type="http://schemas.openxmlformats.org/officeDocument/2006/relationships/oleObject" Target="embeddings/oleObject151.bin"/><Relationship Id="rId525" Type="http://schemas.openxmlformats.org/officeDocument/2006/relationships/image" Target="media/image257.wmf"/><Relationship Id="rId732" Type="http://schemas.openxmlformats.org/officeDocument/2006/relationships/oleObject" Target="embeddings/oleObject359.bin"/><Relationship Id="rId1155" Type="http://schemas.openxmlformats.org/officeDocument/2006/relationships/image" Target="media/image577.wmf"/><Relationship Id="rId1362" Type="http://schemas.openxmlformats.org/officeDocument/2006/relationships/oleObject" Target="embeddings/oleObject663.bin"/><Relationship Id="rId99" Type="http://schemas.openxmlformats.org/officeDocument/2006/relationships/image" Target="media/image44.wmf"/><Relationship Id="rId164" Type="http://schemas.openxmlformats.org/officeDocument/2006/relationships/oleObject" Target="embeddings/oleObject74.bin"/><Relationship Id="rId371" Type="http://schemas.openxmlformats.org/officeDocument/2006/relationships/image" Target="media/image180.wmf"/><Relationship Id="rId1015" Type="http://schemas.openxmlformats.org/officeDocument/2006/relationships/image" Target="media/image506.wmf"/><Relationship Id="rId1222" Type="http://schemas.openxmlformats.org/officeDocument/2006/relationships/oleObject" Target="embeddings/oleObject598.bin"/><Relationship Id="rId1667" Type="http://schemas.openxmlformats.org/officeDocument/2006/relationships/oleObject" Target="embeddings/oleObject815.bin"/><Relationship Id="rId469" Type="http://schemas.openxmlformats.org/officeDocument/2006/relationships/image" Target="media/image229.wmf"/><Relationship Id="rId676" Type="http://schemas.openxmlformats.org/officeDocument/2006/relationships/oleObject" Target="embeddings/oleObject331.bin"/><Relationship Id="rId883" Type="http://schemas.openxmlformats.org/officeDocument/2006/relationships/image" Target="media/image436.wmf"/><Relationship Id="rId1099" Type="http://schemas.openxmlformats.org/officeDocument/2006/relationships/image" Target="media/image549.wmf"/><Relationship Id="rId1527" Type="http://schemas.openxmlformats.org/officeDocument/2006/relationships/image" Target="media/image760.wmf"/><Relationship Id="rId26" Type="http://schemas.openxmlformats.org/officeDocument/2006/relationships/oleObject" Target="embeddings/oleObject4.bin"/><Relationship Id="rId231" Type="http://schemas.openxmlformats.org/officeDocument/2006/relationships/image" Target="media/image110.wmf"/><Relationship Id="rId329" Type="http://schemas.openxmlformats.org/officeDocument/2006/relationships/image" Target="media/image159.wmf"/><Relationship Id="rId536" Type="http://schemas.openxmlformats.org/officeDocument/2006/relationships/oleObject" Target="embeddings/oleObject260.bin"/><Relationship Id="rId1166" Type="http://schemas.openxmlformats.org/officeDocument/2006/relationships/oleObject" Target="embeddings/oleObject570.bin"/><Relationship Id="rId1373" Type="http://schemas.openxmlformats.org/officeDocument/2006/relationships/image" Target="media/image683.wmf"/><Relationship Id="rId175" Type="http://schemas.openxmlformats.org/officeDocument/2006/relationships/image" Target="media/image82.wmf"/><Relationship Id="rId743" Type="http://schemas.openxmlformats.org/officeDocument/2006/relationships/image" Target="media/image365.wmf"/><Relationship Id="rId950" Type="http://schemas.openxmlformats.org/officeDocument/2006/relationships/image" Target="media/image473.wmf"/><Relationship Id="rId1026" Type="http://schemas.openxmlformats.org/officeDocument/2006/relationships/oleObject" Target="embeddings/oleObject501.bin"/><Relationship Id="rId1580" Type="http://schemas.openxmlformats.org/officeDocument/2006/relationships/image" Target="media/image787.wmf"/><Relationship Id="rId1678" Type="http://schemas.openxmlformats.org/officeDocument/2006/relationships/image" Target="media/image836.wmf"/><Relationship Id="rId382" Type="http://schemas.openxmlformats.org/officeDocument/2006/relationships/oleObject" Target="embeddings/oleObject183.bin"/><Relationship Id="rId603" Type="http://schemas.openxmlformats.org/officeDocument/2006/relationships/oleObject" Target="embeddings/oleObject294.bin"/><Relationship Id="rId687" Type="http://schemas.openxmlformats.org/officeDocument/2006/relationships/image" Target="media/image337.wmf"/><Relationship Id="rId810" Type="http://schemas.openxmlformats.org/officeDocument/2006/relationships/oleObject" Target="embeddings/oleObject398.bin"/><Relationship Id="rId908" Type="http://schemas.openxmlformats.org/officeDocument/2006/relationships/image" Target="media/image450.wmf"/><Relationship Id="rId1233" Type="http://schemas.openxmlformats.org/officeDocument/2006/relationships/image" Target="media/image616.wmf"/><Relationship Id="rId1440" Type="http://schemas.openxmlformats.org/officeDocument/2006/relationships/oleObject" Target="embeddings/oleObject702.bin"/><Relationship Id="rId1538" Type="http://schemas.openxmlformats.org/officeDocument/2006/relationships/image" Target="media/image766.wmf"/><Relationship Id="rId242" Type="http://schemas.openxmlformats.org/officeDocument/2006/relationships/oleObject" Target="embeddings/oleObject113.bin"/><Relationship Id="rId894" Type="http://schemas.openxmlformats.org/officeDocument/2006/relationships/image" Target="media/image442.wmf"/><Relationship Id="rId1177" Type="http://schemas.openxmlformats.org/officeDocument/2006/relationships/image" Target="media/image588.wmf"/><Relationship Id="rId1300" Type="http://schemas.openxmlformats.org/officeDocument/2006/relationships/oleObject" Target="embeddings/oleObject632.bin"/><Relationship Id="rId37" Type="http://schemas.openxmlformats.org/officeDocument/2006/relationships/oleObject" Target="embeddings/oleObject10.bin"/><Relationship Id="rId102" Type="http://schemas.openxmlformats.org/officeDocument/2006/relationships/oleObject" Target="embeddings/oleObject43.bin"/><Relationship Id="rId547" Type="http://schemas.openxmlformats.org/officeDocument/2006/relationships/image" Target="media/image268.wmf"/><Relationship Id="rId754" Type="http://schemas.openxmlformats.org/officeDocument/2006/relationships/oleObject" Target="embeddings/oleObject370.bin"/><Relationship Id="rId961" Type="http://schemas.openxmlformats.org/officeDocument/2006/relationships/oleObject" Target="embeddings/oleObject469.bin"/><Relationship Id="rId1384" Type="http://schemas.openxmlformats.org/officeDocument/2006/relationships/oleObject" Target="embeddings/oleObject674.bin"/><Relationship Id="rId1591" Type="http://schemas.openxmlformats.org/officeDocument/2006/relationships/oleObject" Target="embeddings/oleObject777.bin"/><Relationship Id="rId1605" Type="http://schemas.openxmlformats.org/officeDocument/2006/relationships/oleObject" Target="embeddings/oleObject784.bin"/><Relationship Id="rId1689" Type="http://schemas.openxmlformats.org/officeDocument/2006/relationships/oleObject" Target="embeddings/oleObject826.bin"/><Relationship Id="rId90" Type="http://schemas.openxmlformats.org/officeDocument/2006/relationships/oleObject" Target="embeddings/oleObject37.bin"/><Relationship Id="rId186" Type="http://schemas.openxmlformats.org/officeDocument/2006/relationships/oleObject" Target="embeddings/oleObject85.bin"/><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image" Target="media/image301.wmf"/><Relationship Id="rId821" Type="http://schemas.openxmlformats.org/officeDocument/2006/relationships/image" Target="media/image404.wmf"/><Relationship Id="rId1037" Type="http://schemas.openxmlformats.org/officeDocument/2006/relationships/image" Target="media/image517.wmf"/><Relationship Id="rId1244" Type="http://schemas.openxmlformats.org/officeDocument/2006/relationships/hyperlink" Target="https://www.ampcapital.com/africa/en/insights-hub/articles/2017/November/olivers-insights-the-medium-term-investment-return-remains-constrained" TargetMode="External"/><Relationship Id="rId1451" Type="http://schemas.openxmlformats.org/officeDocument/2006/relationships/image" Target="media/image722.wmf"/><Relationship Id="rId253" Type="http://schemas.openxmlformats.org/officeDocument/2006/relationships/image" Target="media/image121.wmf"/><Relationship Id="rId460" Type="http://schemas.openxmlformats.org/officeDocument/2006/relationships/oleObject" Target="embeddings/oleObject222.bin"/><Relationship Id="rId698" Type="http://schemas.openxmlformats.org/officeDocument/2006/relationships/oleObject" Target="embeddings/oleObject342.bin"/><Relationship Id="rId919" Type="http://schemas.openxmlformats.org/officeDocument/2006/relationships/image" Target="media/image457.emf"/><Relationship Id="rId1090" Type="http://schemas.openxmlformats.org/officeDocument/2006/relationships/oleObject" Target="embeddings/oleObject532.bin"/><Relationship Id="rId1104" Type="http://schemas.openxmlformats.org/officeDocument/2006/relationships/oleObject" Target="embeddings/oleObject539.bin"/><Relationship Id="rId1311" Type="http://schemas.openxmlformats.org/officeDocument/2006/relationships/image" Target="media/image652.wmf"/><Relationship Id="rId1549" Type="http://schemas.openxmlformats.org/officeDocument/2006/relationships/oleObject" Target="embeddings/oleObject756.bin"/><Relationship Id="rId48" Type="http://schemas.openxmlformats.org/officeDocument/2006/relationships/image" Target="media/image19.wmf"/><Relationship Id="rId113" Type="http://schemas.openxmlformats.org/officeDocument/2006/relationships/image" Target="media/image51.wmf"/><Relationship Id="rId320" Type="http://schemas.openxmlformats.org/officeDocument/2006/relationships/oleObject" Target="embeddings/oleObject152.bin"/><Relationship Id="rId558" Type="http://schemas.openxmlformats.org/officeDocument/2006/relationships/oleObject" Target="embeddings/oleObject271.bin"/><Relationship Id="rId765" Type="http://schemas.openxmlformats.org/officeDocument/2006/relationships/image" Target="media/image376.wmf"/><Relationship Id="rId972" Type="http://schemas.openxmlformats.org/officeDocument/2006/relationships/image" Target="media/image484.wmf"/><Relationship Id="rId1188" Type="http://schemas.openxmlformats.org/officeDocument/2006/relationships/oleObject" Target="embeddings/oleObject581.bin"/><Relationship Id="rId1395" Type="http://schemas.openxmlformats.org/officeDocument/2006/relationships/image" Target="media/image694.wmf"/><Relationship Id="rId1409" Type="http://schemas.openxmlformats.org/officeDocument/2006/relationships/image" Target="media/image701.wmf"/><Relationship Id="rId1616" Type="http://schemas.openxmlformats.org/officeDocument/2006/relationships/image" Target="media/image805.wmf"/><Relationship Id="rId197" Type="http://schemas.openxmlformats.org/officeDocument/2006/relationships/image" Target="media/image93.wmf"/><Relationship Id="rId418" Type="http://schemas.openxmlformats.org/officeDocument/2006/relationships/oleObject" Target="embeddings/oleObject201.bin"/><Relationship Id="rId625" Type="http://schemas.openxmlformats.org/officeDocument/2006/relationships/oleObject" Target="embeddings/oleObject305.bin"/><Relationship Id="rId832" Type="http://schemas.openxmlformats.org/officeDocument/2006/relationships/oleObject" Target="embeddings/oleObject409.bin"/><Relationship Id="rId1048" Type="http://schemas.openxmlformats.org/officeDocument/2006/relationships/oleObject" Target="embeddings/oleObject512.bin"/><Relationship Id="rId1255" Type="http://schemas.openxmlformats.org/officeDocument/2006/relationships/image" Target="media/image624.wmf"/><Relationship Id="rId1462" Type="http://schemas.openxmlformats.org/officeDocument/2006/relationships/oleObject" Target="embeddings/oleObject713.bin"/><Relationship Id="rId264" Type="http://schemas.openxmlformats.org/officeDocument/2006/relationships/oleObject" Target="embeddings/oleObject124.bin"/><Relationship Id="rId471" Type="http://schemas.openxmlformats.org/officeDocument/2006/relationships/image" Target="media/image230.wmf"/><Relationship Id="rId1115" Type="http://schemas.openxmlformats.org/officeDocument/2006/relationships/image" Target="media/image557.wmf"/><Relationship Id="rId1322" Type="http://schemas.openxmlformats.org/officeDocument/2006/relationships/oleObject" Target="embeddings/oleObject643.bin"/><Relationship Id="rId59" Type="http://schemas.openxmlformats.org/officeDocument/2006/relationships/image" Target="media/image24.wmf"/><Relationship Id="rId124" Type="http://schemas.openxmlformats.org/officeDocument/2006/relationships/oleObject" Target="embeddings/oleObject54.bin"/><Relationship Id="rId569" Type="http://schemas.openxmlformats.org/officeDocument/2006/relationships/image" Target="media/image279.wmf"/><Relationship Id="rId776" Type="http://schemas.openxmlformats.org/officeDocument/2006/relationships/oleObject" Target="embeddings/oleObject381.bin"/><Relationship Id="rId983" Type="http://schemas.openxmlformats.org/officeDocument/2006/relationships/oleObject" Target="embeddings/oleObject480.bin"/><Relationship Id="rId1199" Type="http://schemas.openxmlformats.org/officeDocument/2006/relationships/image" Target="media/image599.wmf"/><Relationship Id="rId1627" Type="http://schemas.openxmlformats.org/officeDocument/2006/relationships/oleObject" Target="embeddings/oleObject795.bin"/><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oleObject" Target="embeddings/oleObject311.bin"/><Relationship Id="rId1059" Type="http://schemas.openxmlformats.org/officeDocument/2006/relationships/image" Target="media/image529.wmf"/><Relationship Id="rId1266" Type="http://schemas.openxmlformats.org/officeDocument/2006/relationships/oleObject" Target="embeddings/oleObject615.bin"/><Relationship Id="rId1473" Type="http://schemas.openxmlformats.org/officeDocument/2006/relationships/image" Target="media/image733.wmf"/><Relationship Id="rId843" Type="http://schemas.openxmlformats.org/officeDocument/2006/relationships/image" Target="media/image415.wmf"/><Relationship Id="rId1126" Type="http://schemas.openxmlformats.org/officeDocument/2006/relationships/oleObject" Target="embeddings/oleObject550.bin"/><Relationship Id="rId1680" Type="http://schemas.openxmlformats.org/officeDocument/2006/relationships/image" Target="media/image837.wmf"/><Relationship Id="rId275" Type="http://schemas.openxmlformats.org/officeDocument/2006/relationships/image" Target="media/image132.wmf"/><Relationship Id="rId482" Type="http://schemas.openxmlformats.org/officeDocument/2006/relationships/oleObject" Target="embeddings/oleObject233.bin"/><Relationship Id="rId703" Type="http://schemas.openxmlformats.org/officeDocument/2006/relationships/image" Target="media/image345.wmf"/><Relationship Id="rId910" Type="http://schemas.openxmlformats.org/officeDocument/2006/relationships/image" Target="media/image451.emf"/><Relationship Id="rId1333" Type="http://schemas.openxmlformats.org/officeDocument/2006/relationships/image" Target="media/image663.wmf"/><Relationship Id="rId1540" Type="http://schemas.openxmlformats.org/officeDocument/2006/relationships/image" Target="media/image767.wmf"/><Relationship Id="rId1638" Type="http://schemas.openxmlformats.org/officeDocument/2006/relationships/image" Target="media/image816.wmf"/><Relationship Id="rId135" Type="http://schemas.openxmlformats.org/officeDocument/2006/relationships/image" Target="media/image62.wmf"/><Relationship Id="rId342" Type="http://schemas.openxmlformats.org/officeDocument/2006/relationships/oleObject" Target="embeddings/oleObject163.bin"/><Relationship Id="rId787" Type="http://schemas.openxmlformats.org/officeDocument/2006/relationships/image" Target="media/image387.wmf"/><Relationship Id="rId994" Type="http://schemas.openxmlformats.org/officeDocument/2006/relationships/image" Target="media/image495.wmf"/><Relationship Id="rId1400" Type="http://schemas.openxmlformats.org/officeDocument/2006/relationships/oleObject" Target="embeddings/oleObject682.bin"/><Relationship Id="rId202" Type="http://schemas.openxmlformats.org/officeDocument/2006/relationships/oleObject" Target="embeddings/oleObject93.bin"/><Relationship Id="rId647" Type="http://schemas.openxmlformats.org/officeDocument/2006/relationships/image" Target="media/image317.wmf"/><Relationship Id="rId854" Type="http://schemas.openxmlformats.org/officeDocument/2006/relationships/oleObject" Target="embeddings/oleObject420.bin"/><Relationship Id="rId1277" Type="http://schemas.openxmlformats.org/officeDocument/2006/relationships/image" Target="media/image635.wmf"/><Relationship Id="rId1484" Type="http://schemas.openxmlformats.org/officeDocument/2006/relationships/oleObject" Target="embeddings/oleObject724.bin"/><Relationship Id="rId1691" Type="http://schemas.openxmlformats.org/officeDocument/2006/relationships/oleObject" Target="embeddings/oleObject827.bin"/><Relationship Id="rId286" Type="http://schemas.openxmlformats.org/officeDocument/2006/relationships/oleObject" Target="embeddings/oleObject135.bin"/><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oleObject" Target="embeddings/oleObject350.bin"/><Relationship Id="rId921" Type="http://schemas.openxmlformats.org/officeDocument/2006/relationships/oleObject" Target="embeddings/oleObject449.bin"/><Relationship Id="rId1137" Type="http://schemas.openxmlformats.org/officeDocument/2006/relationships/image" Target="media/image568.wmf"/><Relationship Id="rId1344" Type="http://schemas.openxmlformats.org/officeDocument/2006/relationships/oleObject" Target="embeddings/oleObject654.bin"/><Relationship Id="rId1551" Type="http://schemas.openxmlformats.org/officeDocument/2006/relationships/oleObject" Target="embeddings/oleObject757.bin"/><Relationship Id="rId50" Type="http://schemas.openxmlformats.org/officeDocument/2006/relationships/image" Target="media/image20.wmf"/><Relationship Id="rId146" Type="http://schemas.openxmlformats.org/officeDocument/2006/relationships/oleObject" Target="embeddings/oleObject65.bin"/><Relationship Id="rId353" Type="http://schemas.openxmlformats.org/officeDocument/2006/relationships/image" Target="media/image171.wmf"/><Relationship Id="rId560" Type="http://schemas.openxmlformats.org/officeDocument/2006/relationships/oleObject" Target="embeddings/oleObject272.bin"/><Relationship Id="rId798" Type="http://schemas.openxmlformats.org/officeDocument/2006/relationships/oleObject" Target="embeddings/oleObject392.bin"/><Relationship Id="rId1190" Type="http://schemas.openxmlformats.org/officeDocument/2006/relationships/oleObject" Target="embeddings/oleObject582.bin"/><Relationship Id="rId1204" Type="http://schemas.openxmlformats.org/officeDocument/2006/relationships/oleObject" Target="embeddings/oleObject589.bin"/><Relationship Id="rId1411" Type="http://schemas.openxmlformats.org/officeDocument/2006/relationships/image" Target="media/image702.wmf"/><Relationship Id="rId1649" Type="http://schemas.openxmlformats.org/officeDocument/2006/relationships/oleObject" Target="embeddings/oleObject806.bin"/><Relationship Id="rId213" Type="http://schemas.openxmlformats.org/officeDocument/2006/relationships/image" Target="media/image101.wmf"/><Relationship Id="rId420" Type="http://schemas.openxmlformats.org/officeDocument/2006/relationships/oleObject" Target="embeddings/oleObject202.bin"/><Relationship Id="rId658" Type="http://schemas.openxmlformats.org/officeDocument/2006/relationships/oleObject" Target="embeddings/oleObject322.bin"/><Relationship Id="rId865" Type="http://schemas.openxmlformats.org/officeDocument/2006/relationships/image" Target="media/image426.wmf"/><Relationship Id="rId1050" Type="http://schemas.openxmlformats.org/officeDocument/2006/relationships/oleObject" Target="embeddings/oleObject513.bin"/><Relationship Id="rId1288" Type="http://schemas.openxmlformats.org/officeDocument/2006/relationships/oleObject" Target="embeddings/oleObject626.bin"/><Relationship Id="rId1495" Type="http://schemas.openxmlformats.org/officeDocument/2006/relationships/image" Target="media/image744.wmf"/><Relationship Id="rId1509" Type="http://schemas.openxmlformats.org/officeDocument/2006/relationships/image" Target="media/image751.wmf"/><Relationship Id="rId297" Type="http://schemas.openxmlformats.org/officeDocument/2006/relationships/image" Target="media/image143.wmf"/><Relationship Id="rId518" Type="http://schemas.openxmlformats.org/officeDocument/2006/relationships/oleObject" Target="embeddings/oleObject251.bin"/><Relationship Id="rId725" Type="http://schemas.openxmlformats.org/officeDocument/2006/relationships/image" Target="media/image356.wmf"/><Relationship Id="rId932" Type="http://schemas.openxmlformats.org/officeDocument/2006/relationships/image" Target="media/image464.wmf"/><Relationship Id="rId1148" Type="http://schemas.openxmlformats.org/officeDocument/2006/relationships/oleObject" Target="embeddings/oleObject561.bin"/><Relationship Id="rId1355" Type="http://schemas.openxmlformats.org/officeDocument/2006/relationships/image" Target="media/image674.wmf"/><Relationship Id="rId1562" Type="http://schemas.openxmlformats.org/officeDocument/2006/relationships/image" Target="media/image778.wmf"/><Relationship Id="rId157" Type="http://schemas.openxmlformats.org/officeDocument/2006/relationships/image" Target="media/image73.wmf"/><Relationship Id="rId364" Type="http://schemas.openxmlformats.org/officeDocument/2006/relationships/oleObject" Target="embeddings/oleObject174.bin"/><Relationship Id="rId1008" Type="http://schemas.openxmlformats.org/officeDocument/2006/relationships/oleObject" Target="embeddings/oleObject492.bin"/><Relationship Id="rId1215" Type="http://schemas.openxmlformats.org/officeDocument/2006/relationships/image" Target="media/image607.wmf"/><Relationship Id="rId1422" Type="http://schemas.openxmlformats.org/officeDocument/2006/relationships/oleObject" Target="embeddings/oleObject693.bin"/><Relationship Id="rId61" Type="http://schemas.openxmlformats.org/officeDocument/2006/relationships/image" Target="media/image25.wmf"/><Relationship Id="rId571" Type="http://schemas.openxmlformats.org/officeDocument/2006/relationships/image" Target="media/image280.wmf"/><Relationship Id="rId669" Type="http://schemas.openxmlformats.org/officeDocument/2006/relationships/image" Target="media/image328.wmf"/><Relationship Id="rId876" Type="http://schemas.openxmlformats.org/officeDocument/2006/relationships/image" Target="media/image432.emf"/><Relationship Id="rId1299" Type="http://schemas.openxmlformats.org/officeDocument/2006/relationships/image" Target="media/image646.wmf"/><Relationship Id="rId19" Type="http://schemas.openxmlformats.org/officeDocument/2006/relationships/image" Target="media/image5.wmf"/><Relationship Id="rId224" Type="http://schemas.openxmlformats.org/officeDocument/2006/relationships/oleObject" Target="embeddings/oleObject104.bin"/><Relationship Id="rId431" Type="http://schemas.openxmlformats.org/officeDocument/2006/relationships/image" Target="media/image210.wmf"/><Relationship Id="rId529" Type="http://schemas.openxmlformats.org/officeDocument/2006/relationships/image" Target="media/image259.wmf"/><Relationship Id="rId736" Type="http://schemas.openxmlformats.org/officeDocument/2006/relationships/oleObject" Target="embeddings/oleObject361.bin"/><Relationship Id="rId1061" Type="http://schemas.openxmlformats.org/officeDocument/2006/relationships/image" Target="media/image530.wmf"/><Relationship Id="rId1159" Type="http://schemas.openxmlformats.org/officeDocument/2006/relationships/image" Target="media/image579.wmf"/><Relationship Id="rId1366" Type="http://schemas.openxmlformats.org/officeDocument/2006/relationships/oleObject" Target="embeddings/oleObject665.bin"/><Relationship Id="rId168" Type="http://schemas.openxmlformats.org/officeDocument/2006/relationships/oleObject" Target="embeddings/oleObject76.bin"/><Relationship Id="rId943" Type="http://schemas.openxmlformats.org/officeDocument/2006/relationships/oleObject" Target="embeddings/oleObject460.bin"/><Relationship Id="rId1019" Type="http://schemas.openxmlformats.org/officeDocument/2006/relationships/image" Target="media/image508.wmf"/><Relationship Id="rId1573" Type="http://schemas.openxmlformats.org/officeDocument/2006/relationships/oleObject" Target="embeddings/oleObject768.bin"/><Relationship Id="rId72" Type="http://schemas.openxmlformats.org/officeDocument/2006/relationships/oleObject" Target="embeddings/oleObject28.bin"/><Relationship Id="rId375" Type="http://schemas.openxmlformats.org/officeDocument/2006/relationships/image" Target="media/image182.wmf"/><Relationship Id="rId582" Type="http://schemas.openxmlformats.org/officeDocument/2006/relationships/oleObject" Target="embeddings/oleObject283.bin"/><Relationship Id="rId803" Type="http://schemas.openxmlformats.org/officeDocument/2006/relationships/image" Target="media/image395.wmf"/><Relationship Id="rId1226" Type="http://schemas.openxmlformats.org/officeDocument/2006/relationships/oleObject" Target="embeddings/oleObject600.bin"/><Relationship Id="rId1433" Type="http://schemas.openxmlformats.org/officeDocument/2006/relationships/image" Target="media/image713.wmf"/><Relationship Id="rId1640" Type="http://schemas.openxmlformats.org/officeDocument/2006/relationships/image" Target="media/image817.wmf"/><Relationship Id="rId3" Type="http://schemas.openxmlformats.org/officeDocument/2006/relationships/settings" Target="settings.xml"/><Relationship Id="rId235" Type="http://schemas.openxmlformats.org/officeDocument/2006/relationships/image" Target="media/image112.wmf"/><Relationship Id="rId442" Type="http://schemas.openxmlformats.org/officeDocument/2006/relationships/oleObject" Target="embeddings/oleObject213.bin"/><Relationship Id="rId887" Type="http://schemas.openxmlformats.org/officeDocument/2006/relationships/oleObject" Target="embeddings/oleObject435.bin"/><Relationship Id="rId1072" Type="http://schemas.openxmlformats.org/officeDocument/2006/relationships/oleObject" Target="embeddings/oleObject523.bin"/><Relationship Id="rId1500" Type="http://schemas.openxmlformats.org/officeDocument/2006/relationships/oleObject" Target="embeddings/oleObject732.bin"/><Relationship Id="rId302" Type="http://schemas.openxmlformats.org/officeDocument/2006/relationships/oleObject" Target="embeddings/oleObject143.bin"/><Relationship Id="rId747" Type="http://schemas.openxmlformats.org/officeDocument/2006/relationships/image" Target="media/image367.wmf"/><Relationship Id="rId954" Type="http://schemas.openxmlformats.org/officeDocument/2006/relationships/image" Target="media/image475.wmf"/><Relationship Id="rId1377" Type="http://schemas.openxmlformats.org/officeDocument/2006/relationships/image" Target="media/image685.wmf"/><Relationship Id="rId1584" Type="http://schemas.openxmlformats.org/officeDocument/2006/relationships/image" Target="media/image789.wmf"/><Relationship Id="rId83" Type="http://schemas.openxmlformats.org/officeDocument/2006/relationships/image" Target="media/image36.wmf"/><Relationship Id="rId179" Type="http://schemas.openxmlformats.org/officeDocument/2006/relationships/image" Target="media/image84.wmf"/><Relationship Id="rId386" Type="http://schemas.openxmlformats.org/officeDocument/2006/relationships/oleObject" Target="embeddings/oleObject185.bin"/><Relationship Id="rId593" Type="http://schemas.openxmlformats.org/officeDocument/2006/relationships/image" Target="media/image291.wmf"/><Relationship Id="rId607" Type="http://schemas.openxmlformats.org/officeDocument/2006/relationships/oleObject" Target="embeddings/oleObject296.bin"/><Relationship Id="rId814" Type="http://schemas.openxmlformats.org/officeDocument/2006/relationships/oleObject" Target="embeddings/oleObject400.bin"/><Relationship Id="rId1237" Type="http://schemas.openxmlformats.org/officeDocument/2006/relationships/image" Target="media/image618.wmf"/><Relationship Id="rId1444" Type="http://schemas.openxmlformats.org/officeDocument/2006/relationships/oleObject" Target="embeddings/oleObject704.bin"/><Relationship Id="rId1651" Type="http://schemas.openxmlformats.org/officeDocument/2006/relationships/oleObject" Target="embeddings/oleObject807.bin"/><Relationship Id="rId246" Type="http://schemas.openxmlformats.org/officeDocument/2006/relationships/oleObject" Target="embeddings/oleObject115.bin"/><Relationship Id="rId453" Type="http://schemas.openxmlformats.org/officeDocument/2006/relationships/image" Target="media/image221.wmf"/><Relationship Id="rId660" Type="http://schemas.openxmlformats.org/officeDocument/2006/relationships/oleObject" Target="embeddings/oleObject323.bin"/><Relationship Id="rId898" Type="http://schemas.openxmlformats.org/officeDocument/2006/relationships/image" Target="media/image444.wmf"/><Relationship Id="rId1083" Type="http://schemas.openxmlformats.org/officeDocument/2006/relationships/image" Target="media/image541.wmf"/><Relationship Id="rId1290" Type="http://schemas.openxmlformats.org/officeDocument/2006/relationships/oleObject" Target="embeddings/oleObject627.bin"/><Relationship Id="rId1304" Type="http://schemas.openxmlformats.org/officeDocument/2006/relationships/oleObject" Target="embeddings/oleObject634.bin"/><Relationship Id="rId1511" Type="http://schemas.openxmlformats.org/officeDocument/2006/relationships/image" Target="media/image752.wmf"/><Relationship Id="rId106" Type="http://schemas.openxmlformats.org/officeDocument/2006/relationships/oleObject" Target="embeddings/oleObject45.bin"/><Relationship Id="rId313" Type="http://schemas.openxmlformats.org/officeDocument/2006/relationships/image" Target="media/image151.wmf"/><Relationship Id="rId758" Type="http://schemas.openxmlformats.org/officeDocument/2006/relationships/oleObject" Target="embeddings/oleObject372.bin"/><Relationship Id="rId965" Type="http://schemas.openxmlformats.org/officeDocument/2006/relationships/oleObject" Target="embeddings/oleObject471.bin"/><Relationship Id="rId1150" Type="http://schemas.openxmlformats.org/officeDocument/2006/relationships/oleObject" Target="embeddings/oleObject562.bin"/><Relationship Id="rId1388" Type="http://schemas.openxmlformats.org/officeDocument/2006/relationships/oleObject" Target="embeddings/oleObject676.bin"/><Relationship Id="rId1595" Type="http://schemas.openxmlformats.org/officeDocument/2006/relationships/oleObject" Target="embeddings/oleObject779.bin"/><Relationship Id="rId1609" Type="http://schemas.openxmlformats.org/officeDocument/2006/relationships/oleObject" Target="embeddings/oleObject786.bin"/><Relationship Id="rId10" Type="http://schemas.openxmlformats.org/officeDocument/2006/relationships/hyperlink" Target="http://creativecommons.org/licenses/by/3.0/au/deed.en" TargetMode="External"/><Relationship Id="rId94" Type="http://schemas.openxmlformats.org/officeDocument/2006/relationships/oleObject" Target="embeddings/oleObject39.bin"/><Relationship Id="rId397" Type="http://schemas.openxmlformats.org/officeDocument/2006/relationships/image" Target="media/image193.wmf"/><Relationship Id="rId520" Type="http://schemas.openxmlformats.org/officeDocument/2006/relationships/oleObject" Target="embeddings/oleObject252.bin"/><Relationship Id="rId618" Type="http://schemas.openxmlformats.org/officeDocument/2006/relationships/image" Target="media/image303.wmf"/><Relationship Id="rId825" Type="http://schemas.openxmlformats.org/officeDocument/2006/relationships/image" Target="media/image406.wmf"/><Relationship Id="rId1248" Type="http://schemas.openxmlformats.org/officeDocument/2006/relationships/image" Target="media/image620.emf"/><Relationship Id="rId1455" Type="http://schemas.openxmlformats.org/officeDocument/2006/relationships/image" Target="media/image724.wmf"/><Relationship Id="rId1662" Type="http://schemas.openxmlformats.org/officeDocument/2006/relationships/image" Target="media/image828.wmf"/><Relationship Id="rId257" Type="http://schemas.openxmlformats.org/officeDocument/2006/relationships/image" Target="media/image123.wmf"/><Relationship Id="rId464" Type="http://schemas.openxmlformats.org/officeDocument/2006/relationships/oleObject" Target="embeddings/oleObject224.bin"/><Relationship Id="rId1010" Type="http://schemas.openxmlformats.org/officeDocument/2006/relationships/oleObject" Target="embeddings/oleObject493.bin"/><Relationship Id="rId1094" Type="http://schemas.openxmlformats.org/officeDocument/2006/relationships/oleObject" Target="embeddings/oleObject534.bin"/><Relationship Id="rId1108" Type="http://schemas.openxmlformats.org/officeDocument/2006/relationships/oleObject" Target="embeddings/oleObject541.bin"/><Relationship Id="rId1315" Type="http://schemas.openxmlformats.org/officeDocument/2006/relationships/image" Target="media/image654.wmf"/><Relationship Id="rId117" Type="http://schemas.openxmlformats.org/officeDocument/2006/relationships/image" Target="media/image53.wmf"/><Relationship Id="rId671" Type="http://schemas.openxmlformats.org/officeDocument/2006/relationships/image" Target="media/image329.wmf"/><Relationship Id="rId769" Type="http://schemas.openxmlformats.org/officeDocument/2006/relationships/image" Target="media/image378.wmf"/><Relationship Id="rId976" Type="http://schemas.openxmlformats.org/officeDocument/2006/relationships/image" Target="media/image486.wmf"/><Relationship Id="rId1399" Type="http://schemas.openxmlformats.org/officeDocument/2006/relationships/image" Target="media/image696.wmf"/><Relationship Id="rId324" Type="http://schemas.openxmlformats.org/officeDocument/2006/relationships/oleObject" Target="embeddings/oleObject154.bin"/><Relationship Id="rId531" Type="http://schemas.openxmlformats.org/officeDocument/2006/relationships/image" Target="media/image260.wmf"/><Relationship Id="rId629" Type="http://schemas.openxmlformats.org/officeDocument/2006/relationships/oleObject" Target="embeddings/oleObject307.bin"/><Relationship Id="rId1161" Type="http://schemas.openxmlformats.org/officeDocument/2006/relationships/image" Target="media/image580.wmf"/><Relationship Id="rId1259" Type="http://schemas.openxmlformats.org/officeDocument/2006/relationships/image" Target="media/image626.wmf"/><Relationship Id="rId1466" Type="http://schemas.openxmlformats.org/officeDocument/2006/relationships/oleObject" Target="embeddings/oleObject715.bin"/><Relationship Id="rId836" Type="http://schemas.openxmlformats.org/officeDocument/2006/relationships/oleObject" Target="embeddings/oleObject411.bin"/><Relationship Id="rId1021" Type="http://schemas.openxmlformats.org/officeDocument/2006/relationships/image" Target="media/image509.wmf"/><Relationship Id="rId1119" Type="http://schemas.openxmlformats.org/officeDocument/2006/relationships/image" Target="media/image559.wmf"/><Relationship Id="rId1673" Type="http://schemas.openxmlformats.org/officeDocument/2006/relationships/oleObject" Target="embeddings/oleObject818.bin"/><Relationship Id="rId903" Type="http://schemas.openxmlformats.org/officeDocument/2006/relationships/oleObject" Target="embeddings/oleObject442.bin"/><Relationship Id="rId1326" Type="http://schemas.openxmlformats.org/officeDocument/2006/relationships/oleObject" Target="embeddings/oleObject645.bin"/><Relationship Id="rId1533" Type="http://schemas.openxmlformats.org/officeDocument/2006/relationships/oleObject" Target="embeddings/oleObject748.bin"/><Relationship Id="rId32" Type="http://schemas.openxmlformats.org/officeDocument/2006/relationships/oleObject" Target="embeddings/oleObject7.bin"/><Relationship Id="rId1600" Type="http://schemas.openxmlformats.org/officeDocument/2006/relationships/image" Target="media/image797.wmf"/><Relationship Id="rId181" Type="http://schemas.openxmlformats.org/officeDocument/2006/relationships/image" Target="media/image85.wmf"/><Relationship Id="rId279" Type="http://schemas.openxmlformats.org/officeDocument/2006/relationships/image" Target="media/image134.wmf"/><Relationship Id="rId486" Type="http://schemas.openxmlformats.org/officeDocument/2006/relationships/oleObject" Target="embeddings/oleObject235.bin"/><Relationship Id="rId693" Type="http://schemas.openxmlformats.org/officeDocument/2006/relationships/image" Target="media/image340.wmf"/><Relationship Id="rId139" Type="http://schemas.openxmlformats.org/officeDocument/2006/relationships/image" Target="media/image64.wmf"/><Relationship Id="rId346" Type="http://schemas.openxmlformats.org/officeDocument/2006/relationships/oleObject" Target="embeddings/oleObject165.bin"/><Relationship Id="rId553" Type="http://schemas.openxmlformats.org/officeDocument/2006/relationships/image" Target="media/image271.wmf"/><Relationship Id="rId760" Type="http://schemas.openxmlformats.org/officeDocument/2006/relationships/oleObject" Target="embeddings/oleObject373.bin"/><Relationship Id="rId998" Type="http://schemas.openxmlformats.org/officeDocument/2006/relationships/oleObject" Target="embeddings/oleObject487.bin"/><Relationship Id="rId1183" Type="http://schemas.openxmlformats.org/officeDocument/2006/relationships/image" Target="media/image591.wmf"/><Relationship Id="rId1390" Type="http://schemas.openxmlformats.org/officeDocument/2006/relationships/oleObject" Target="embeddings/oleObject677.bin"/><Relationship Id="rId206" Type="http://schemas.openxmlformats.org/officeDocument/2006/relationships/oleObject" Target="embeddings/oleObject95.bin"/><Relationship Id="rId413" Type="http://schemas.openxmlformats.org/officeDocument/2006/relationships/image" Target="media/image201.wmf"/><Relationship Id="rId858" Type="http://schemas.openxmlformats.org/officeDocument/2006/relationships/oleObject" Target="embeddings/oleObject422.bin"/><Relationship Id="rId1043" Type="http://schemas.openxmlformats.org/officeDocument/2006/relationships/image" Target="media/image520.wmf"/><Relationship Id="rId1488" Type="http://schemas.openxmlformats.org/officeDocument/2006/relationships/oleObject" Target="embeddings/oleObject726.bin"/><Relationship Id="rId1695" Type="http://schemas.openxmlformats.org/officeDocument/2006/relationships/oleObject" Target="embeddings/oleObject829.bin"/><Relationship Id="rId620" Type="http://schemas.openxmlformats.org/officeDocument/2006/relationships/image" Target="media/image304.wmf"/><Relationship Id="rId718" Type="http://schemas.openxmlformats.org/officeDocument/2006/relationships/oleObject" Target="embeddings/oleObject352.bin"/><Relationship Id="rId925" Type="http://schemas.openxmlformats.org/officeDocument/2006/relationships/oleObject" Target="embeddings/oleObject451.bin"/><Relationship Id="rId1250" Type="http://schemas.openxmlformats.org/officeDocument/2006/relationships/oleObject" Target="embeddings/oleObject607.bin"/><Relationship Id="rId1348" Type="http://schemas.openxmlformats.org/officeDocument/2006/relationships/oleObject" Target="embeddings/oleObject656.bin"/><Relationship Id="rId1555" Type="http://schemas.openxmlformats.org/officeDocument/2006/relationships/oleObject" Target="embeddings/oleObject759.bin"/><Relationship Id="rId1110" Type="http://schemas.openxmlformats.org/officeDocument/2006/relationships/oleObject" Target="embeddings/oleObject542.bin"/><Relationship Id="rId1208" Type="http://schemas.openxmlformats.org/officeDocument/2006/relationships/oleObject" Target="embeddings/oleObject591.bin"/><Relationship Id="rId1415" Type="http://schemas.openxmlformats.org/officeDocument/2006/relationships/image" Target="media/image704.wmf"/><Relationship Id="rId54" Type="http://schemas.openxmlformats.org/officeDocument/2006/relationships/image" Target="media/image22.wmf"/><Relationship Id="rId1622" Type="http://schemas.openxmlformats.org/officeDocument/2006/relationships/image" Target="media/image808.wmf"/><Relationship Id="rId270" Type="http://schemas.openxmlformats.org/officeDocument/2006/relationships/oleObject" Target="embeddings/oleObject127.bin"/><Relationship Id="rId130" Type="http://schemas.openxmlformats.org/officeDocument/2006/relationships/oleObject" Target="embeddings/oleObject57.bin"/><Relationship Id="rId368" Type="http://schemas.openxmlformats.org/officeDocument/2006/relationships/oleObject" Target="embeddings/oleObject176.bin"/><Relationship Id="rId575" Type="http://schemas.openxmlformats.org/officeDocument/2006/relationships/image" Target="media/image282.wmf"/><Relationship Id="rId782" Type="http://schemas.openxmlformats.org/officeDocument/2006/relationships/oleObject" Target="embeddings/oleObject384.bin"/><Relationship Id="rId228" Type="http://schemas.openxmlformats.org/officeDocument/2006/relationships/oleObject" Target="embeddings/oleObject106.bin"/><Relationship Id="rId435" Type="http://schemas.openxmlformats.org/officeDocument/2006/relationships/image" Target="media/image212.wmf"/><Relationship Id="rId642" Type="http://schemas.openxmlformats.org/officeDocument/2006/relationships/oleObject" Target="embeddings/oleObject314.bin"/><Relationship Id="rId1065" Type="http://schemas.openxmlformats.org/officeDocument/2006/relationships/image" Target="media/image532.wmf"/><Relationship Id="rId1272" Type="http://schemas.openxmlformats.org/officeDocument/2006/relationships/oleObject" Target="embeddings/oleObject618.bin"/><Relationship Id="rId502" Type="http://schemas.openxmlformats.org/officeDocument/2006/relationships/oleObject" Target="embeddings/oleObject243.bin"/><Relationship Id="rId947" Type="http://schemas.openxmlformats.org/officeDocument/2006/relationships/oleObject" Target="embeddings/oleObject462.bin"/><Relationship Id="rId1132" Type="http://schemas.openxmlformats.org/officeDocument/2006/relationships/oleObject" Target="embeddings/oleObject553.bin"/><Relationship Id="rId1577" Type="http://schemas.openxmlformats.org/officeDocument/2006/relationships/oleObject" Target="embeddings/oleObject770.bin"/><Relationship Id="rId76" Type="http://schemas.openxmlformats.org/officeDocument/2006/relationships/oleObject" Target="embeddings/oleObject30.bin"/><Relationship Id="rId807" Type="http://schemas.openxmlformats.org/officeDocument/2006/relationships/image" Target="media/image397.wmf"/><Relationship Id="rId1437" Type="http://schemas.openxmlformats.org/officeDocument/2006/relationships/image" Target="media/image715.wmf"/><Relationship Id="rId1644" Type="http://schemas.openxmlformats.org/officeDocument/2006/relationships/image" Target="media/image819.wmf"/><Relationship Id="rId1504" Type="http://schemas.openxmlformats.org/officeDocument/2006/relationships/oleObject" Target="embeddings/oleObject734.bin"/><Relationship Id="rId292" Type="http://schemas.openxmlformats.org/officeDocument/2006/relationships/oleObject" Target="embeddings/oleObject138.bin"/><Relationship Id="rId597" Type="http://schemas.openxmlformats.org/officeDocument/2006/relationships/oleObject" Target="embeddings/oleObject291.bin"/><Relationship Id="rId152" Type="http://schemas.openxmlformats.org/officeDocument/2006/relationships/oleObject" Target="embeddings/oleObject68.bin"/><Relationship Id="rId457" Type="http://schemas.openxmlformats.org/officeDocument/2006/relationships/image" Target="media/image223.wmf"/><Relationship Id="rId1087" Type="http://schemas.openxmlformats.org/officeDocument/2006/relationships/image" Target="media/image543.wmf"/><Relationship Id="rId1294" Type="http://schemas.openxmlformats.org/officeDocument/2006/relationships/oleObject" Target="embeddings/oleObject629.bin"/><Relationship Id="rId664" Type="http://schemas.openxmlformats.org/officeDocument/2006/relationships/oleObject" Target="embeddings/oleObject325.bin"/><Relationship Id="rId871" Type="http://schemas.openxmlformats.org/officeDocument/2006/relationships/image" Target="media/image429.emf"/><Relationship Id="rId969" Type="http://schemas.openxmlformats.org/officeDocument/2006/relationships/oleObject" Target="embeddings/oleObject473.bin"/><Relationship Id="rId1599" Type="http://schemas.openxmlformats.org/officeDocument/2006/relationships/oleObject" Target="embeddings/oleObject781.bin"/><Relationship Id="rId317" Type="http://schemas.openxmlformats.org/officeDocument/2006/relationships/image" Target="media/image153.wmf"/><Relationship Id="rId524" Type="http://schemas.openxmlformats.org/officeDocument/2006/relationships/oleObject" Target="embeddings/oleObject254.bin"/><Relationship Id="rId731" Type="http://schemas.openxmlformats.org/officeDocument/2006/relationships/image" Target="media/image359.wmf"/><Relationship Id="rId1154" Type="http://schemas.openxmlformats.org/officeDocument/2006/relationships/oleObject" Target="embeddings/oleObject564.bin"/><Relationship Id="rId1361" Type="http://schemas.openxmlformats.org/officeDocument/2006/relationships/image" Target="media/image677.wmf"/><Relationship Id="rId1459" Type="http://schemas.openxmlformats.org/officeDocument/2006/relationships/image" Target="media/image726.wmf"/><Relationship Id="rId98" Type="http://schemas.openxmlformats.org/officeDocument/2006/relationships/oleObject" Target="embeddings/oleObject41.bin"/><Relationship Id="rId829" Type="http://schemas.openxmlformats.org/officeDocument/2006/relationships/image" Target="media/image408.wmf"/><Relationship Id="rId1014" Type="http://schemas.openxmlformats.org/officeDocument/2006/relationships/oleObject" Target="embeddings/oleObject495.bin"/><Relationship Id="rId1221" Type="http://schemas.openxmlformats.org/officeDocument/2006/relationships/image" Target="media/image610.wmf"/><Relationship Id="rId1666" Type="http://schemas.openxmlformats.org/officeDocument/2006/relationships/image" Target="media/image830.wmf"/><Relationship Id="rId1319" Type="http://schemas.openxmlformats.org/officeDocument/2006/relationships/image" Target="media/image656.wmf"/><Relationship Id="rId1526" Type="http://schemas.openxmlformats.org/officeDocument/2006/relationships/oleObject" Target="embeddings/oleObject745.bin"/><Relationship Id="rId25" Type="http://schemas.openxmlformats.org/officeDocument/2006/relationships/image" Target="media/image8.wmf"/><Relationship Id="rId174" Type="http://schemas.openxmlformats.org/officeDocument/2006/relationships/oleObject" Target="embeddings/oleObject79.bin"/><Relationship Id="rId381" Type="http://schemas.openxmlformats.org/officeDocument/2006/relationships/image" Target="media/image185.wmf"/><Relationship Id="rId241" Type="http://schemas.openxmlformats.org/officeDocument/2006/relationships/image" Target="media/image115.wmf"/><Relationship Id="rId479" Type="http://schemas.openxmlformats.org/officeDocument/2006/relationships/image" Target="media/image234.wmf"/><Relationship Id="rId686" Type="http://schemas.openxmlformats.org/officeDocument/2006/relationships/oleObject" Target="embeddings/oleObject336.bin"/><Relationship Id="rId893" Type="http://schemas.openxmlformats.org/officeDocument/2006/relationships/oleObject" Target="embeddings/oleObject438.bin"/><Relationship Id="rId339" Type="http://schemas.openxmlformats.org/officeDocument/2006/relationships/image" Target="media/image164.wmf"/><Relationship Id="rId546" Type="http://schemas.openxmlformats.org/officeDocument/2006/relationships/oleObject" Target="embeddings/oleObject265.bin"/><Relationship Id="rId753" Type="http://schemas.openxmlformats.org/officeDocument/2006/relationships/image" Target="media/image370.wmf"/><Relationship Id="rId1176" Type="http://schemas.openxmlformats.org/officeDocument/2006/relationships/oleObject" Target="embeddings/oleObject575.bin"/><Relationship Id="rId1383" Type="http://schemas.openxmlformats.org/officeDocument/2006/relationships/image" Target="media/image688.wmf"/><Relationship Id="rId101" Type="http://schemas.openxmlformats.org/officeDocument/2006/relationships/image" Target="media/image45.wmf"/><Relationship Id="rId406" Type="http://schemas.openxmlformats.org/officeDocument/2006/relationships/oleObject" Target="embeddings/oleObject195.bin"/><Relationship Id="rId960" Type="http://schemas.openxmlformats.org/officeDocument/2006/relationships/image" Target="media/image478.wmf"/><Relationship Id="rId1036" Type="http://schemas.openxmlformats.org/officeDocument/2006/relationships/oleObject" Target="embeddings/oleObject506.bin"/><Relationship Id="rId1243" Type="http://schemas.openxmlformats.org/officeDocument/2006/relationships/hyperlink" Target="https://www.aofm.gov.au/sites/default/files/2019-05/Chart-Pack-Budget-2019-20-Update.pdf" TargetMode="External"/><Relationship Id="rId1590" Type="http://schemas.openxmlformats.org/officeDocument/2006/relationships/image" Target="media/image792.wmf"/><Relationship Id="rId1688" Type="http://schemas.openxmlformats.org/officeDocument/2006/relationships/image" Target="media/image841.wmf"/><Relationship Id="rId613" Type="http://schemas.openxmlformats.org/officeDocument/2006/relationships/oleObject" Target="embeddings/oleObject299.bin"/><Relationship Id="rId820" Type="http://schemas.openxmlformats.org/officeDocument/2006/relationships/oleObject" Target="embeddings/oleObject403.bin"/><Relationship Id="rId918" Type="http://schemas.openxmlformats.org/officeDocument/2006/relationships/image" Target="media/image456.emf"/><Relationship Id="rId1450" Type="http://schemas.openxmlformats.org/officeDocument/2006/relationships/oleObject" Target="embeddings/oleObject707.bin"/><Relationship Id="rId1548" Type="http://schemas.openxmlformats.org/officeDocument/2006/relationships/image" Target="media/image771.wmf"/><Relationship Id="rId1103" Type="http://schemas.openxmlformats.org/officeDocument/2006/relationships/image" Target="media/image551.wmf"/><Relationship Id="rId1310" Type="http://schemas.openxmlformats.org/officeDocument/2006/relationships/oleObject" Target="embeddings/oleObject637.bin"/><Relationship Id="rId1408" Type="http://schemas.openxmlformats.org/officeDocument/2006/relationships/oleObject" Target="embeddings/oleObject686.bin"/><Relationship Id="rId47" Type="http://schemas.openxmlformats.org/officeDocument/2006/relationships/oleObject" Target="embeddings/oleObject15.bin"/><Relationship Id="rId1615" Type="http://schemas.openxmlformats.org/officeDocument/2006/relationships/oleObject" Target="embeddings/oleObject789.bin"/><Relationship Id="rId196" Type="http://schemas.openxmlformats.org/officeDocument/2006/relationships/oleObject" Target="embeddings/oleObject90.bin"/><Relationship Id="rId263" Type="http://schemas.openxmlformats.org/officeDocument/2006/relationships/image" Target="media/image126.wmf"/><Relationship Id="rId470" Type="http://schemas.openxmlformats.org/officeDocument/2006/relationships/oleObject" Target="embeddings/oleObject227.bin"/><Relationship Id="rId123" Type="http://schemas.openxmlformats.org/officeDocument/2006/relationships/image" Target="media/image56.wmf"/><Relationship Id="rId330" Type="http://schemas.openxmlformats.org/officeDocument/2006/relationships/oleObject" Target="embeddings/oleObject157.bin"/><Relationship Id="rId568" Type="http://schemas.openxmlformats.org/officeDocument/2006/relationships/oleObject" Target="embeddings/oleObject276.bin"/><Relationship Id="rId775" Type="http://schemas.openxmlformats.org/officeDocument/2006/relationships/image" Target="media/image381.wmf"/><Relationship Id="rId982" Type="http://schemas.openxmlformats.org/officeDocument/2006/relationships/image" Target="media/image489.wmf"/><Relationship Id="rId1198" Type="http://schemas.openxmlformats.org/officeDocument/2006/relationships/oleObject" Target="embeddings/oleObject586.bin"/><Relationship Id="rId428" Type="http://schemas.openxmlformats.org/officeDocument/2006/relationships/oleObject" Target="embeddings/oleObject206.bin"/><Relationship Id="rId635" Type="http://schemas.openxmlformats.org/officeDocument/2006/relationships/oleObject" Target="embeddings/oleObject310.bin"/><Relationship Id="rId842" Type="http://schemas.openxmlformats.org/officeDocument/2006/relationships/oleObject" Target="embeddings/oleObject414.bin"/><Relationship Id="rId1058" Type="http://schemas.openxmlformats.org/officeDocument/2006/relationships/oleObject" Target="embeddings/oleObject516.bin"/><Relationship Id="rId1265" Type="http://schemas.openxmlformats.org/officeDocument/2006/relationships/image" Target="media/image629.wmf"/><Relationship Id="rId1472" Type="http://schemas.openxmlformats.org/officeDocument/2006/relationships/oleObject" Target="embeddings/oleObject718.bin"/><Relationship Id="rId702" Type="http://schemas.openxmlformats.org/officeDocument/2006/relationships/oleObject" Target="embeddings/oleObject344.bin"/><Relationship Id="rId1125" Type="http://schemas.openxmlformats.org/officeDocument/2006/relationships/image" Target="media/image562.wmf"/><Relationship Id="rId1332" Type="http://schemas.openxmlformats.org/officeDocument/2006/relationships/oleObject" Target="embeddings/oleObject648.bin"/><Relationship Id="rId69" Type="http://schemas.openxmlformats.org/officeDocument/2006/relationships/image" Target="media/image29.wmf"/><Relationship Id="rId1637" Type="http://schemas.openxmlformats.org/officeDocument/2006/relationships/oleObject" Target="embeddings/oleObject800.bin"/><Relationship Id="rId285" Type="http://schemas.openxmlformats.org/officeDocument/2006/relationships/image" Target="media/image137.wmf"/><Relationship Id="rId492" Type="http://schemas.openxmlformats.org/officeDocument/2006/relationships/oleObject" Target="embeddings/oleObject238.bin"/><Relationship Id="rId797" Type="http://schemas.openxmlformats.org/officeDocument/2006/relationships/image" Target="media/image392.wmf"/><Relationship Id="rId145" Type="http://schemas.openxmlformats.org/officeDocument/2006/relationships/image" Target="media/image67.wmf"/><Relationship Id="rId352" Type="http://schemas.openxmlformats.org/officeDocument/2006/relationships/oleObject" Target="embeddings/oleObject168.bin"/><Relationship Id="rId1287" Type="http://schemas.openxmlformats.org/officeDocument/2006/relationships/image" Target="media/image640.wmf"/><Relationship Id="rId212" Type="http://schemas.openxmlformats.org/officeDocument/2006/relationships/oleObject" Target="embeddings/oleObject98.bin"/><Relationship Id="rId657" Type="http://schemas.openxmlformats.org/officeDocument/2006/relationships/image" Target="media/image322.wmf"/><Relationship Id="rId864" Type="http://schemas.openxmlformats.org/officeDocument/2006/relationships/oleObject" Target="embeddings/oleObject425.bin"/><Relationship Id="rId1494" Type="http://schemas.openxmlformats.org/officeDocument/2006/relationships/oleObject" Target="embeddings/oleObject729.bin"/><Relationship Id="rId517" Type="http://schemas.openxmlformats.org/officeDocument/2006/relationships/image" Target="media/image253.wmf"/><Relationship Id="rId724" Type="http://schemas.openxmlformats.org/officeDocument/2006/relationships/oleObject" Target="embeddings/oleObject355.bin"/><Relationship Id="rId931" Type="http://schemas.openxmlformats.org/officeDocument/2006/relationships/oleObject" Target="embeddings/oleObject454.bin"/><Relationship Id="rId1147" Type="http://schemas.openxmlformats.org/officeDocument/2006/relationships/image" Target="media/image573.wmf"/><Relationship Id="rId1354" Type="http://schemas.openxmlformats.org/officeDocument/2006/relationships/oleObject" Target="embeddings/oleObject659.bin"/><Relationship Id="rId1561" Type="http://schemas.openxmlformats.org/officeDocument/2006/relationships/oleObject" Target="embeddings/oleObject762.bin"/><Relationship Id="rId60" Type="http://schemas.openxmlformats.org/officeDocument/2006/relationships/oleObject" Target="embeddings/oleObject22.bin"/><Relationship Id="rId1007" Type="http://schemas.openxmlformats.org/officeDocument/2006/relationships/image" Target="media/image502.wmf"/><Relationship Id="rId1214" Type="http://schemas.openxmlformats.org/officeDocument/2006/relationships/oleObject" Target="embeddings/oleObject594.bin"/><Relationship Id="rId1421" Type="http://schemas.openxmlformats.org/officeDocument/2006/relationships/image" Target="media/image707.wmf"/><Relationship Id="rId1659" Type="http://schemas.openxmlformats.org/officeDocument/2006/relationships/oleObject" Target="embeddings/oleObject811.bin"/><Relationship Id="rId1519" Type="http://schemas.openxmlformats.org/officeDocument/2006/relationships/image" Target="media/image756.wmf"/><Relationship Id="rId18" Type="http://schemas.openxmlformats.org/officeDocument/2006/relationships/header" Target="header4.xml"/><Relationship Id="rId167" Type="http://schemas.openxmlformats.org/officeDocument/2006/relationships/image" Target="media/image78.wmf"/><Relationship Id="rId374" Type="http://schemas.openxmlformats.org/officeDocument/2006/relationships/oleObject" Target="embeddings/oleObject179.bin"/><Relationship Id="rId581" Type="http://schemas.openxmlformats.org/officeDocument/2006/relationships/image" Target="media/image285.wmf"/><Relationship Id="rId234" Type="http://schemas.openxmlformats.org/officeDocument/2006/relationships/oleObject" Target="embeddings/oleObject109.bin"/><Relationship Id="rId679" Type="http://schemas.openxmlformats.org/officeDocument/2006/relationships/image" Target="media/image333.wmf"/><Relationship Id="rId886" Type="http://schemas.openxmlformats.org/officeDocument/2006/relationships/image" Target="media/image438.wmf"/><Relationship Id="rId2" Type="http://schemas.openxmlformats.org/officeDocument/2006/relationships/styles" Target="styles.xml"/><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66.bin"/><Relationship Id="rId1071" Type="http://schemas.openxmlformats.org/officeDocument/2006/relationships/image" Target="media/image535.wmf"/><Relationship Id="rId1169" Type="http://schemas.openxmlformats.org/officeDocument/2006/relationships/image" Target="media/image584.wmf"/><Relationship Id="rId1376" Type="http://schemas.openxmlformats.org/officeDocument/2006/relationships/oleObject" Target="embeddings/oleObject670.bin"/><Relationship Id="rId1583" Type="http://schemas.openxmlformats.org/officeDocument/2006/relationships/oleObject" Target="embeddings/oleObject773.bin"/><Relationship Id="rId301" Type="http://schemas.openxmlformats.org/officeDocument/2006/relationships/image" Target="media/image145.wmf"/><Relationship Id="rId953" Type="http://schemas.openxmlformats.org/officeDocument/2006/relationships/oleObject" Target="embeddings/oleObject465.bin"/><Relationship Id="rId1029" Type="http://schemas.openxmlformats.org/officeDocument/2006/relationships/image" Target="media/image513.wmf"/><Relationship Id="rId1236" Type="http://schemas.openxmlformats.org/officeDocument/2006/relationships/oleObject" Target="embeddings/oleObject605.bin"/><Relationship Id="rId82" Type="http://schemas.openxmlformats.org/officeDocument/2006/relationships/oleObject" Target="embeddings/oleObject33.bin"/><Relationship Id="rId606" Type="http://schemas.openxmlformats.org/officeDocument/2006/relationships/image" Target="media/image297.wmf"/><Relationship Id="rId813" Type="http://schemas.openxmlformats.org/officeDocument/2006/relationships/image" Target="media/image400.wmf"/><Relationship Id="rId1443" Type="http://schemas.openxmlformats.org/officeDocument/2006/relationships/image" Target="media/image718.wmf"/><Relationship Id="rId1650" Type="http://schemas.openxmlformats.org/officeDocument/2006/relationships/image" Target="media/image822.wmf"/><Relationship Id="rId1303" Type="http://schemas.openxmlformats.org/officeDocument/2006/relationships/image" Target="media/image648.wmf"/><Relationship Id="rId1510" Type="http://schemas.openxmlformats.org/officeDocument/2006/relationships/oleObject" Target="embeddings/oleObject737.bin"/><Relationship Id="rId1608" Type="http://schemas.openxmlformats.org/officeDocument/2006/relationships/image" Target="media/image801.wmf"/><Relationship Id="rId189" Type="http://schemas.openxmlformats.org/officeDocument/2006/relationships/image" Target="media/image89.wmf"/><Relationship Id="rId396" Type="http://schemas.openxmlformats.org/officeDocument/2006/relationships/oleObject" Target="embeddings/oleObject190.bin"/><Relationship Id="rId256" Type="http://schemas.openxmlformats.org/officeDocument/2006/relationships/oleObject" Target="embeddings/oleObject120.bin"/><Relationship Id="rId463" Type="http://schemas.openxmlformats.org/officeDocument/2006/relationships/image" Target="media/image226.wmf"/><Relationship Id="rId670" Type="http://schemas.openxmlformats.org/officeDocument/2006/relationships/oleObject" Target="embeddings/oleObject328.bin"/><Relationship Id="rId1093" Type="http://schemas.openxmlformats.org/officeDocument/2006/relationships/image" Target="media/image546.wmf"/><Relationship Id="rId116" Type="http://schemas.openxmlformats.org/officeDocument/2006/relationships/oleObject" Target="embeddings/oleObject50.bin"/><Relationship Id="rId323" Type="http://schemas.openxmlformats.org/officeDocument/2006/relationships/image" Target="media/image156.wmf"/><Relationship Id="rId530" Type="http://schemas.openxmlformats.org/officeDocument/2006/relationships/oleObject" Target="embeddings/oleObject257.bin"/><Relationship Id="rId768" Type="http://schemas.openxmlformats.org/officeDocument/2006/relationships/oleObject" Target="embeddings/oleObject377.bin"/><Relationship Id="rId975" Type="http://schemas.openxmlformats.org/officeDocument/2006/relationships/oleObject" Target="embeddings/oleObject476.bin"/><Relationship Id="rId1160" Type="http://schemas.openxmlformats.org/officeDocument/2006/relationships/oleObject" Target="embeddings/oleObject567.bin"/><Relationship Id="rId1398" Type="http://schemas.openxmlformats.org/officeDocument/2006/relationships/oleObject" Target="embeddings/oleObject681.bin"/><Relationship Id="rId628" Type="http://schemas.openxmlformats.org/officeDocument/2006/relationships/image" Target="media/image308.wmf"/><Relationship Id="rId835" Type="http://schemas.openxmlformats.org/officeDocument/2006/relationships/image" Target="media/image411.wmf"/><Relationship Id="rId1258" Type="http://schemas.openxmlformats.org/officeDocument/2006/relationships/oleObject" Target="embeddings/oleObject611.bin"/><Relationship Id="rId1465" Type="http://schemas.openxmlformats.org/officeDocument/2006/relationships/image" Target="media/image729.wmf"/><Relationship Id="rId1672" Type="http://schemas.openxmlformats.org/officeDocument/2006/relationships/image" Target="media/image833.wmf"/><Relationship Id="rId1020" Type="http://schemas.openxmlformats.org/officeDocument/2006/relationships/oleObject" Target="embeddings/oleObject498.bin"/><Relationship Id="rId1118" Type="http://schemas.openxmlformats.org/officeDocument/2006/relationships/oleObject" Target="embeddings/oleObject546.bin"/><Relationship Id="rId1325" Type="http://schemas.openxmlformats.org/officeDocument/2006/relationships/image" Target="media/image659.wmf"/><Relationship Id="rId1532" Type="http://schemas.openxmlformats.org/officeDocument/2006/relationships/image" Target="media/image763.wmf"/><Relationship Id="rId902" Type="http://schemas.openxmlformats.org/officeDocument/2006/relationships/image" Target="media/image447.wmf"/><Relationship Id="rId31" Type="http://schemas.openxmlformats.org/officeDocument/2006/relationships/image" Target="media/image11.wmf"/><Relationship Id="rId180" Type="http://schemas.openxmlformats.org/officeDocument/2006/relationships/oleObject" Target="embeddings/oleObject82.bin"/><Relationship Id="rId278" Type="http://schemas.openxmlformats.org/officeDocument/2006/relationships/oleObject" Target="embeddings/oleObject131.bin"/><Relationship Id="rId485" Type="http://schemas.openxmlformats.org/officeDocument/2006/relationships/image" Target="media/image237.wmf"/><Relationship Id="rId692" Type="http://schemas.openxmlformats.org/officeDocument/2006/relationships/oleObject" Target="embeddings/oleObject339.bin"/><Relationship Id="rId138" Type="http://schemas.openxmlformats.org/officeDocument/2006/relationships/oleObject" Target="embeddings/oleObject61.bin"/><Relationship Id="rId345" Type="http://schemas.openxmlformats.org/officeDocument/2006/relationships/image" Target="media/image167.wmf"/><Relationship Id="rId552" Type="http://schemas.openxmlformats.org/officeDocument/2006/relationships/oleObject" Target="embeddings/oleObject268.bin"/><Relationship Id="rId997" Type="http://schemas.openxmlformats.org/officeDocument/2006/relationships/image" Target="media/image497.wmf"/><Relationship Id="rId1182" Type="http://schemas.openxmlformats.org/officeDocument/2006/relationships/oleObject" Target="embeddings/oleObject578.bin"/><Relationship Id="rId205" Type="http://schemas.openxmlformats.org/officeDocument/2006/relationships/image" Target="media/image97.wmf"/><Relationship Id="rId412" Type="http://schemas.openxmlformats.org/officeDocument/2006/relationships/oleObject" Target="embeddings/oleObject198.bin"/><Relationship Id="rId857" Type="http://schemas.openxmlformats.org/officeDocument/2006/relationships/image" Target="media/image422.wmf"/><Relationship Id="rId1042" Type="http://schemas.openxmlformats.org/officeDocument/2006/relationships/oleObject" Target="embeddings/oleObject509.bin"/><Relationship Id="rId1487" Type="http://schemas.openxmlformats.org/officeDocument/2006/relationships/image" Target="media/image740.wmf"/><Relationship Id="rId1694" Type="http://schemas.openxmlformats.org/officeDocument/2006/relationships/image" Target="media/image844.wmf"/><Relationship Id="rId717" Type="http://schemas.openxmlformats.org/officeDocument/2006/relationships/image" Target="media/image352.wmf"/><Relationship Id="rId924" Type="http://schemas.openxmlformats.org/officeDocument/2006/relationships/image" Target="media/image460.wmf"/><Relationship Id="rId1347" Type="http://schemas.openxmlformats.org/officeDocument/2006/relationships/image" Target="media/image670.wmf"/><Relationship Id="rId1554" Type="http://schemas.openxmlformats.org/officeDocument/2006/relationships/image" Target="media/image774.wmf"/><Relationship Id="rId53" Type="http://schemas.openxmlformats.org/officeDocument/2006/relationships/oleObject" Target="embeddings/oleObject18.bin"/><Relationship Id="rId1207" Type="http://schemas.openxmlformats.org/officeDocument/2006/relationships/image" Target="media/image603.wmf"/><Relationship Id="rId1414" Type="http://schemas.openxmlformats.org/officeDocument/2006/relationships/oleObject" Target="embeddings/oleObject689.bin"/><Relationship Id="rId1621" Type="http://schemas.openxmlformats.org/officeDocument/2006/relationships/oleObject" Target="embeddings/oleObject792.bin"/><Relationship Id="rId367" Type="http://schemas.openxmlformats.org/officeDocument/2006/relationships/image" Target="media/image178.wmf"/><Relationship Id="rId574" Type="http://schemas.openxmlformats.org/officeDocument/2006/relationships/oleObject" Target="embeddings/oleObject279.bin"/><Relationship Id="rId227" Type="http://schemas.openxmlformats.org/officeDocument/2006/relationships/image" Target="media/image108.wmf"/><Relationship Id="rId781" Type="http://schemas.openxmlformats.org/officeDocument/2006/relationships/image" Target="media/image384.wmf"/><Relationship Id="rId879" Type="http://schemas.openxmlformats.org/officeDocument/2006/relationships/image" Target="media/image434.wmf"/><Relationship Id="rId434" Type="http://schemas.openxmlformats.org/officeDocument/2006/relationships/oleObject" Target="embeddings/oleObject209.bin"/><Relationship Id="rId641" Type="http://schemas.openxmlformats.org/officeDocument/2006/relationships/image" Target="media/image314.wmf"/><Relationship Id="rId739" Type="http://schemas.openxmlformats.org/officeDocument/2006/relationships/image" Target="media/image363.wmf"/><Relationship Id="rId1064" Type="http://schemas.openxmlformats.org/officeDocument/2006/relationships/oleObject" Target="embeddings/oleObject519.bin"/><Relationship Id="rId1271" Type="http://schemas.openxmlformats.org/officeDocument/2006/relationships/image" Target="media/image632.wmf"/><Relationship Id="rId1369" Type="http://schemas.openxmlformats.org/officeDocument/2006/relationships/image" Target="media/image681.wmf"/><Relationship Id="rId1576" Type="http://schemas.openxmlformats.org/officeDocument/2006/relationships/image" Target="media/image785.wmf"/><Relationship Id="rId501" Type="http://schemas.openxmlformats.org/officeDocument/2006/relationships/image" Target="media/image245.wmf"/><Relationship Id="rId946" Type="http://schemas.openxmlformats.org/officeDocument/2006/relationships/image" Target="media/image471.wmf"/><Relationship Id="rId1131" Type="http://schemas.openxmlformats.org/officeDocument/2006/relationships/image" Target="media/image565.wmf"/><Relationship Id="rId1229" Type="http://schemas.openxmlformats.org/officeDocument/2006/relationships/image" Target="media/image614.wmf"/><Relationship Id="rId75" Type="http://schemas.openxmlformats.org/officeDocument/2006/relationships/image" Target="media/image32.wmf"/><Relationship Id="rId806" Type="http://schemas.openxmlformats.org/officeDocument/2006/relationships/oleObject" Target="embeddings/oleObject396.bin"/><Relationship Id="rId1436" Type="http://schemas.openxmlformats.org/officeDocument/2006/relationships/oleObject" Target="embeddings/oleObject700.bin"/><Relationship Id="rId1643" Type="http://schemas.openxmlformats.org/officeDocument/2006/relationships/oleObject" Target="embeddings/oleObject803.bin"/><Relationship Id="rId1503" Type="http://schemas.openxmlformats.org/officeDocument/2006/relationships/image" Target="media/image748.wmf"/><Relationship Id="rId291" Type="http://schemas.openxmlformats.org/officeDocument/2006/relationships/image" Target="media/image140.wmf"/><Relationship Id="rId151" Type="http://schemas.openxmlformats.org/officeDocument/2006/relationships/image" Target="media/image70.wmf"/><Relationship Id="rId389" Type="http://schemas.openxmlformats.org/officeDocument/2006/relationships/image" Target="media/image189.wmf"/><Relationship Id="rId596" Type="http://schemas.openxmlformats.org/officeDocument/2006/relationships/image" Target="media/image292.wmf"/><Relationship Id="rId249" Type="http://schemas.openxmlformats.org/officeDocument/2006/relationships/image" Target="media/image119.wmf"/><Relationship Id="rId456" Type="http://schemas.openxmlformats.org/officeDocument/2006/relationships/oleObject" Target="embeddings/oleObject220.bin"/><Relationship Id="rId663" Type="http://schemas.openxmlformats.org/officeDocument/2006/relationships/image" Target="media/image325.wmf"/><Relationship Id="rId870" Type="http://schemas.openxmlformats.org/officeDocument/2006/relationships/oleObject" Target="embeddings/oleObject428.bin"/><Relationship Id="rId1086" Type="http://schemas.openxmlformats.org/officeDocument/2006/relationships/oleObject" Target="embeddings/oleObject530.bin"/><Relationship Id="rId1293" Type="http://schemas.openxmlformats.org/officeDocument/2006/relationships/image" Target="media/image643.wmf"/><Relationship Id="rId109" Type="http://schemas.openxmlformats.org/officeDocument/2006/relationships/image" Target="media/image49.wmf"/><Relationship Id="rId316" Type="http://schemas.openxmlformats.org/officeDocument/2006/relationships/oleObject" Target="embeddings/oleObject150.bin"/><Relationship Id="rId523" Type="http://schemas.openxmlformats.org/officeDocument/2006/relationships/image" Target="media/image256.wmf"/><Relationship Id="rId968" Type="http://schemas.openxmlformats.org/officeDocument/2006/relationships/image" Target="media/image482.wmf"/><Relationship Id="rId1153" Type="http://schemas.openxmlformats.org/officeDocument/2006/relationships/image" Target="media/image576.wmf"/><Relationship Id="rId1598" Type="http://schemas.openxmlformats.org/officeDocument/2006/relationships/image" Target="media/image796.wmf"/><Relationship Id="rId97" Type="http://schemas.openxmlformats.org/officeDocument/2006/relationships/image" Target="media/image43.wmf"/><Relationship Id="rId730" Type="http://schemas.openxmlformats.org/officeDocument/2006/relationships/oleObject" Target="embeddings/oleObject358.bin"/><Relationship Id="rId828" Type="http://schemas.openxmlformats.org/officeDocument/2006/relationships/oleObject" Target="embeddings/oleObject407.bin"/><Relationship Id="rId1013" Type="http://schemas.openxmlformats.org/officeDocument/2006/relationships/image" Target="media/image505.wmf"/><Relationship Id="rId1360" Type="http://schemas.openxmlformats.org/officeDocument/2006/relationships/oleObject" Target="embeddings/oleObject662.bin"/><Relationship Id="rId1458" Type="http://schemas.openxmlformats.org/officeDocument/2006/relationships/oleObject" Target="embeddings/oleObject711.bin"/><Relationship Id="rId1665" Type="http://schemas.openxmlformats.org/officeDocument/2006/relationships/oleObject" Target="embeddings/oleObject814.bin"/><Relationship Id="rId1220" Type="http://schemas.openxmlformats.org/officeDocument/2006/relationships/oleObject" Target="embeddings/oleObject597.bin"/><Relationship Id="rId1318" Type="http://schemas.openxmlformats.org/officeDocument/2006/relationships/oleObject" Target="embeddings/oleObject641.bin"/><Relationship Id="rId1525" Type="http://schemas.openxmlformats.org/officeDocument/2006/relationships/image" Target="media/image759.wmf"/><Relationship Id="rId24" Type="http://schemas.openxmlformats.org/officeDocument/2006/relationships/oleObject" Target="embeddings/oleObject3.bin"/><Relationship Id="rId173" Type="http://schemas.openxmlformats.org/officeDocument/2006/relationships/image" Target="media/image81.wmf"/><Relationship Id="rId380" Type="http://schemas.openxmlformats.org/officeDocument/2006/relationships/oleObject" Target="embeddings/oleObject182.bin"/><Relationship Id="rId240" Type="http://schemas.openxmlformats.org/officeDocument/2006/relationships/oleObject" Target="embeddings/oleObject112.bin"/><Relationship Id="rId478" Type="http://schemas.openxmlformats.org/officeDocument/2006/relationships/oleObject" Target="embeddings/oleObject231.bin"/><Relationship Id="rId685" Type="http://schemas.openxmlformats.org/officeDocument/2006/relationships/image" Target="media/image336.wmf"/><Relationship Id="rId892" Type="http://schemas.openxmlformats.org/officeDocument/2006/relationships/image" Target="media/image441.wmf"/><Relationship Id="rId100" Type="http://schemas.openxmlformats.org/officeDocument/2006/relationships/oleObject" Target="embeddings/oleObject42.bin"/><Relationship Id="rId338" Type="http://schemas.openxmlformats.org/officeDocument/2006/relationships/oleObject" Target="embeddings/oleObject161.bin"/><Relationship Id="rId545" Type="http://schemas.openxmlformats.org/officeDocument/2006/relationships/image" Target="media/image267.wmf"/><Relationship Id="rId752" Type="http://schemas.openxmlformats.org/officeDocument/2006/relationships/oleObject" Target="embeddings/oleObject369.bin"/><Relationship Id="rId1175" Type="http://schemas.openxmlformats.org/officeDocument/2006/relationships/image" Target="media/image587.wmf"/><Relationship Id="rId1382" Type="http://schemas.openxmlformats.org/officeDocument/2006/relationships/oleObject" Target="embeddings/oleObject673.bin"/><Relationship Id="rId405" Type="http://schemas.openxmlformats.org/officeDocument/2006/relationships/image" Target="media/image197.wmf"/><Relationship Id="rId612" Type="http://schemas.openxmlformats.org/officeDocument/2006/relationships/image" Target="media/image300.wmf"/><Relationship Id="rId1035" Type="http://schemas.openxmlformats.org/officeDocument/2006/relationships/image" Target="media/image516.wmf"/><Relationship Id="rId1242" Type="http://schemas.openxmlformats.org/officeDocument/2006/relationships/footer" Target="footer3.xml"/><Relationship Id="rId1687" Type="http://schemas.openxmlformats.org/officeDocument/2006/relationships/oleObject" Target="embeddings/oleObject825.bin"/><Relationship Id="rId917" Type="http://schemas.openxmlformats.org/officeDocument/2006/relationships/image" Target="media/image455.emf"/><Relationship Id="rId1102" Type="http://schemas.openxmlformats.org/officeDocument/2006/relationships/oleObject" Target="embeddings/oleObject538.bin"/><Relationship Id="rId1547" Type="http://schemas.openxmlformats.org/officeDocument/2006/relationships/oleObject" Target="embeddings/oleObject755.bin"/><Relationship Id="rId46" Type="http://schemas.openxmlformats.org/officeDocument/2006/relationships/image" Target="media/image18.wmf"/><Relationship Id="rId1407" Type="http://schemas.openxmlformats.org/officeDocument/2006/relationships/image" Target="media/image700.wmf"/><Relationship Id="rId1614" Type="http://schemas.openxmlformats.org/officeDocument/2006/relationships/image" Target="media/image804.wmf"/><Relationship Id="rId195" Type="http://schemas.openxmlformats.org/officeDocument/2006/relationships/image" Target="media/image92.wmf"/><Relationship Id="rId262" Type="http://schemas.openxmlformats.org/officeDocument/2006/relationships/oleObject" Target="embeddings/oleObject123.bin"/><Relationship Id="rId567" Type="http://schemas.openxmlformats.org/officeDocument/2006/relationships/image" Target="media/image278.wmf"/><Relationship Id="rId1197" Type="http://schemas.openxmlformats.org/officeDocument/2006/relationships/image" Target="media/image598.wmf"/><Relationship Id="rId122" Type="http://schemas.openxmlformats.org/officeDocument/2006/relationships/oleObject" Target="embeddings/oleObject53.bin"/><Relationship Id="rId774" Type="http://schemas.openxmlformats.org/officeDocument/2006/relationships/oleObject" Target="embeddings/oleObject380.bin"/><Relationship Id="rId981" Type="http://schemas.openxmlformats.org/officeDocument/2006/relationships/oleObject" Target="embeddings/oleObject479.bin"/><Relationship Id="rId1057" Type="http://schemas.openxmlformats.org/officeDocument/2006/relationships/image" Target="media/image528.wmf"/><Relationship Id="rId427" Type="http://schemas.openxmlformats.org/officeDocument/2006/relationships/image" Target="media/image208.wmf"/><Relationship Id="rId634" Type="http://schemas.openxmlformats.org/officeDocument/2006/relationships/image" Target="media/image311.wmf"/><Relationship Id="rId841" Type="http://schemas.openxmlformats.org/officeDocument/2006/relationships/image" Target="media/image414.wmf"/><Relationship Id="rId1264" Type="http://schemas.openxmlformats.org/officeDocument/2006/relationships/oleObject" Target="embeddings/oleObject614.bin"/><Relationship Id="rId1471" Type="http://schemas.openxmlformats.org/officeDocument/2006/relationships/image" Target="media/image732.wmf"/><Relationship Id="rId1569" Type="http://schemas.openxmlformats.org/officeDocument/2006/relationships/oleObject" Target="embeddings/oleObject766.bin"/><Relationship Id="rId701" Type="http://schemas.openxmlformats.org/officeDocument/2006/relationships/image" Target="media/image344.wmf"/><Relationship Id="rId939" Type="http://schemas.openxmlformats.org/officeDocument/2006/relationships/oleObject" Target="embeddings/oleObject458.bin"/><Relationship Id="rId1124" Type="http://schemas.openxmlformats.org/officeDocument/2006/relationships/oleObject" Target="embeddings/oleObject549.bin"/><Relationship Id="rId1331" Type="http://schemas.openxmlformats.org/officeDocument/2006/relationships/image" Target="media/image662.wmf"/><Relationship Id="rId68" Type="http://schemas.openxmlformats.org/officeDocument/2006/relationships/oleObject" Target="embeddings/oleObject26.bin"/><Relationship Id="rId1429" Type="http://schemas.openxmlformats.org/officeDocument/2006/relationships/image" Target="media/image711.wmf"/><Relationship Id="rId1636" Type="http://schemas.openxmlformats.org/officeDocument/2006/relationships/image" Target="media/image815.wmf"/><Relationship Id="rId284" Type="http://schemas.openxmlformats.org/officeDocument/2006/relationships/oleObject" Target="embeddings/oleObject134.bin"/><Relationship Id="rId491" Type="http://schemas.openxmlformats.org/officeDocument/2006/relationships/image" Target="media/image240.wmf"/><Relationship Id="rId144" Type="http://schemas.openxmlformats.org/officeDocument/2006/relationships/oleObject" Target="embeddings/oleObject64.bin"/><Relationship Id="rId589" Type="http://schemas.openxmlformats.org/officeDocument/2006/relationships/image" Target="media/image289.wmf"/><Relationship Id="rId796" Type="http://schemas.openxmlformats.org/officeDocument/2006/relationships/oleObject" Target="embeddings/oleObject391.bin"/><Relationship Id="rId351" Type="http://schemas.openxmlformats.org/officeDocument/2006/relationships/image" Target="media/image170.wmf"/><Relationship Id="rId449" Type="http://schemas.openxmlformats.org/officeDocument/2006/relationships/image" Target="media/image219.wmf"/><Relationship Id="rId656" Type="http://schemas.openxmlformats.org/officeDocument/2006/relationships/oleObject" Target="embeddings/oleObject321.bin"/><Relationship Id="rId863" Type="http://schemas.openxmlformats.org/officeDocument/2006/relationships/image" Target="media/image425.wmf"/><Relationship Id="rId1079" Type="http://schemas.openxmlformats.org/officeDocument/2006/relationships/image" Target="media/image539.wmf"/><Relationship Id="rId1286" Type="http://schemas.openxmlformats.org/officeDocument/2006/relationships/oleObject" Target="embeddings/oleObject625.bin"/><Relationship Id="rId1493" Type="http://schemas.openxmlformats.org/officeDocument/2006/relationships/image" Target="media/image743.wmf"/><Relationship Id="rId211" Type="http://schemas.openxmlformats.org/officeDocument/2006/relationships/image" Target="media/image100.wmf"/><Relationship Id="rId309" Type="http://schemas.openxmlformats.org/officeDocument/2006/relationships/image" Target="media/image149.wmf"/><Relationship Id="rId516" Type="http://schemas.openxmlformats.org/officeDocument/2006/relationships/oleObject" Target="embeddings/oleObject250.bin"/><Relationship Id="rId1146" Type="http://schemas.openxmlformats.org/officeDocument/2006/relationships/oleObject" Target="embeddings/oleObject560.bin"/><Relationship Id="rId723" Type="http://schemas.openxmlformats.org/officeDocument/2006/relationships/image" Target="media/image355.wmf"/><Relationship Id="rId930" Type="http://schemas.openxmlformats.org/officeDocument/2006/relationships/image" Target="media/image463.wmf"/><Relationship Id="rId1006" Type="http://schemas.openxmlformats.org/officeDocument/2006/relationships/oleObject" Target="embeddings/oleObject491.bin"/><Relationship Id="rId1353" Type="http://schemas.openxmlformats.org/officeDocument/2006/relationships/image" Target="media/image673.wmf"/><Relationship Id="rId1560" Type="http://schemas.openxmlformats.org/officeDocument/2006/relationships/image" Target="media/image777.wmf"/><Relationship Id="rId1658" Type="http://schemas.openxmlformats.org/officeDocument/2006/relationships/image" Target="media/image826.wmf"/><Relationship Id="rId1213" Type="http://schemas.openxmlformats.org/officeDocument/2006/relationships/image" Target="media/image606.wmf"/><Relationship Id="rId1420" Type="http://schemas.openxmlformats.org/officeDocument/2006/relationships/oleObject" Target="embeddings/oleObject692.bin"/><Relationship Id="rId1518" Type="http://schemas.openxmlformats.org/officeDocument/2006/relationships/oleObject" Target="embeddings/oleObject741.bin"/><Relationship Id="rId17" Type="http://schemas.openxmlformats.org/officeDocument/2006/relationships/header" Target="header3.xml"/><Relationship Id="rId166" Type="http://schemas.openxmlformats.org/officeDocument/2006/relationships/oleObject" Target="embeddings/oleObject75.bin"/><Relationship Id="rId373" Type="http://schemas.openxmlformats.org/officeDocument/2006/relationships/image" Target="media/image181.wmf"/><Relationship Id="rId580" Type="http://schemas.openxmlformats.org/officeDocument/2006/relationships/oleObject" Target="embeddings/oleObject282.bin"/><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12.bin"/><Relationship Id="rId678" Type="http://schemas.openxmlformats.org/officeDocument/2006/relationships/oleObject" Target="embeddings/oleObject332.bin"/><Relationship Id="rId885" Type="http://schemas.openxmlformats.org/officeDocument/2006/relationships/image" Target="media/image437.emf"/><Relationship Id="rId1070" Type="http://schemas.openxmlformats.org/officeDocument/2006/relationships/oleObject" Target="embeddings/oleObject522.bin"/><Relationship Id="rId300" Type="http://schemas.openxmlformats.org/officeDocument/2006/relationships/oleObject" Target="embeddings/oleObject142.bin"/><Relationship Id="rId538" Type="http://schemas.openxmlformats.org/officeDocument/2006/relationships/oleObject" Target="embeddings/oleObject261.bin"/><Relationship Id="rId745" Type="http://schemas.openxmlformats.org/officeDocument/2006/relationships/image" Target="media/image366.wmf"/><Relationship Id="rId952" Type="http://schemas.openxmlformats.org/officeDocument/2006/relationships/image" Target="media/image474.wmf"/><Relationship Id="rId1168" Type="http://schemas.openxmlformats.org/officeDocument/2006/relationships/oleObject" Target="embeddings/oleObject571.bin"/><Relationship Id="rId1375" Type="http://schemas.openxmlformats.org/officeDocument/2006/relationships/image" Target="media/image684.wmf"/><Relationship Id="rId1582" Type="http://schemas.openxmlformats.org/officeDocument/2006/relationships/image" Target="media/image788.wmf"/><Relationship Id="rId81" Type="http://schemas.openxmlformats.org/officeDocument/2006/relationships/image" Target="media/image35.wmf"/><Relationship Id="rId605" Type="http://schemas.openxmlformats.org/officeDocument/2006/relationships/oleObject" Target="embeddings/oleObject295.bin"/><Relationship Id="rId812" Type="http://schemas.openxmlformats.org/officeDocument/2006/relationships/oleObject" Target="embeddings/oleObject399.bin"/><Relationship Id="rId1028" Type="http://schemas.openxmlformats.org/officeDocument/2006/relationships/oleObject" Target="embeddings/oleObject502.bin"/><Relationship Id="rId1235" Type="http://schemas.openxmlformats.org/officeDocument/2006/relationships/image" Target="media/image617.wmf"/><Relationship Id="rId1442" Type="http://schemas.openxmlformats.org/officeDocument/2006/relationships/oleObject" Target="embeddings/oleObject703.bin"/><Relationship Id="rId1302" Type="http://schemas.openxmlformats.org/officeDocument/2006/relationships/oleObject" Target="embeddings/oleObject633.bin"/><Relationship Id="rId39" Type="http://schemas.openxmlformats.org/officeDocument/2006/relationships/oleObject" Target="embeddings/oleObject11.bin"/><Relationship Id="rId1607" Type="http://schemas.openxmlformats.org/officeDocument/2006/relationships/oleObject" Target="embeddings/oleObject785.bin"/><Relationship Id="rId188" Type="http://schemas.openxmlformats.org/officeDocument/2006/relationships/oleObject" Target="embeddings/oleObject86.bin"/><Relationship Id="rId395" Type="http://schemas.openxmlformats.org/officeDocument/2006/relationships/image" Target="media/image192.wmf"/><Relationship Id="rId255" Type="http://schemas.openxmlformats.org/officeDocument/2006/relationships/image" Target="media/image122.wmf"/><Relationship Id="rId462" Type="http://schemas.openxmlformats.org/officeDocument/2006/relationships/oleObject" Target="embeddings/oleObject223.bin"/><Relationship Id="rId1092" Type="http://schemas.openxmlformats.org/officeDocument/2006/relationships/oleObject" Target="embeddings/oleObject533.bin"/><Relationship Id="rId1397" Type="http://schemas.openxmlformats.org/officeDocument/2006/relationships/image" Target="media/image695.wmf"/><Relationship Id="rId115" Type="http://schemas.openxmlformats.org/officeDocument/2006/relationships/image" Target="media/image52.wmf"/><Relationship Id="rId322" Type="http://schemas.openxmlformats.org/officeDocument/2006/relationships/oleObject" Target="embeddings/oleObject153.bin"/><Relationship Id="rId767" Type="http://schemas.openxmlformats.org/officeDocument/2006/relationships/image" Target="media/image377.wmf"/><Relationship Id="rId974" Type="http://schemas.openxmlformats.org/officeDocument/2006/relationships/image" Target="media/image485.wmf"/><Relationship Id="rId627" Type="http://schemas.openxmlformats.org/officeDocument/2006/relationships/oleObject" Target="embeddings/oleObject306.bin"/><Relationship Id="rId834" Type="http://schemas.openxmlformats.org/officeDocument/2006/relationships/oleObject" Target="embeddings/oleObject410.bin"/><Relationship Id="rId1257" Type="http://schemas.openxmlformats.org/officeDocument/2006/relationships/image" Target="media/image625.wmf"/><Relationship Id="rId1464" Type="http://schemas.openxmlformats.org/officeDocument/2006/relationships/oleObject" Target="embeddings/oleObject714.bin"/><Relationship Id="rId1671" Type="http://schemas.openxmlformats.org/officeDocument/2006/relationships/oleObject" Target="embeddings/oleObject817.bin"/><Relationship Id="rId901" Type="http://schemas.openxmlformats.org/officeDocument/2006/relationships/image" Target="media/image446.emf"/><Relationship Id="rId1117" Type="http://schemas.openxmlformats.org/officeDocument/2006/relationships/image" Target="media/image558.wmf"/><Relationship Id="rId1324" Type="http://schemas.openxmlformats.org/officeDocument/2006/relationships/oleObject" Target="embeddings/oleObject644.bin"/><Relationship Id="rId1531" Type="http://schemas.openxmlformats.org/officeDocument/2006/relationships/oleObject" Target="embeddings/oleObject747.bin"/><Relationship Id="rId30" Type="http://schemas.openxmlformats.org/officeDocument/2006/relationships/oleObject" Target="embeddings/oleObject6.bin"/><Relationship Id="rId1629" Type="http://schemas.openxmlformats.org/officeDocument/2006/relationships/oleObject" Target="embeddings/oleObject796.bin"/><Relationship Id="rId277" Type="http://schemas.openxmlformats.org/officeDocument/2006/relationships/image" Target="media/image133.wmf"/><Relationship Id="rId484" Type="http://schemas.openxmlformats.org/officeDocument/2006/relationships/oleObject" Target="embeddings/oleObject234.bin"/><Relationship Id="rId137" Type="http://schemas.openxmlformats.org/officeDocument/2006/relationships/image" Target="media/image63.wmf"/><Relationship Id="rId344" Type="http://schemas.openxmlformats.org/officeDocument/2006/relationships/oleObject" Target="embeddings/oleObject164.bin"/><Relationship Id="rId691" Type="http://schemas.openxmlformats.org/officeDocument/2006/relationships/image" Target="media/image339.wmf"/><Relationship Id="rId789" Type="http://schemas.openxmlformats.org/officeDocument/2006/relationships/image" Target="media/image388.wmf"/><Relationship Id="rId996" Type="http://schemas.openxmlformats.org/officeDocument/2006/relationships/image" Target="media/image496.emf"/><Relationship Id="rId551" Type="http://schemas.openxmlformats.org/officeDocument/2006/relationships/image" Target="media/image270.wmf"/><Relationship Id="rId649" Type="http://schemas.openxmlformats.org/officeDocument/2006/relationships/image" Target="media/image318.wmf"/><Relationship Id="rId856" Type="http://schemas.openxmlformats.org/officeDocument/2006/relationships/oleObject" Target="embeddings/oleObject421.bin"/><Relationship Id="rId1181" Type="http://schemas.openxmlformats.org/officeDocument/2006/relationships/image" Target="media/image590.wmf"/><Relationship Id="rId1279" Type="http://schemas.openxmlformats.org/officeDocument/2006/relationships/image" Target="media/image636.wmf"/><Relationship Id="rId1486" Type="http://schemas.openxmlformats.org/officeDocument/2006/relationships/oleObject" Target="embeddings/oleObject725.bin"/><Relationship Id="rId204" Type="http://schemas.openxmlformats.org/officeDocument/2006/relationships/oleObject" Target="embeddings/oleObject94.bin"/><Relationship Id="rId411" Type="http://schemas.openxmlformats.org/officeDocument/2006/relationships/image" Target="media/image200.wmf"/><Relationship Id="rId509" Type="http://schemas.openxmlformats.org/officeDocument/2006/relationships/image" Target="media/image249.wmf"/><Relationship Id="rId1041" Type="http://schemas.openxmlformats.org/officeDocument/2006/relationships/image" Target="media/image519.wmf"/><Relationship Id="rId1139" Type="http://schemas.openxmlformats.org/officeDocument/2006/relationships/image" Target="media/image569.wmf"/><Relationship Id="rId1346" Type="http://schemas.openxmlformats.org/officeDocument/2006/relationships/oleObject" Target="embeddings/oleObject655.bin"/><Relationship Id="rId1693" Type="http://schemas.openxmlformats.org/officeDocument/2006/relationships/oleObject" Target="embeddings/oleObject828.bin"/><Relationship Id="rId716" Type="http://schemas.openxmlformats.org/officeDocument/2006/relationships/oleObject" Target="embeddings/oleObject351.bin"/><Relationship Id="rId923" Type="http://schemas.openxmlformats.org/officeDocument/2006/relationships/oleObject" Target="embeddings/oleObject450.bin"/><Relationship Id="rId1553" Type="http://schemas.openxmlformats.org/officeDocument/2006/relationships/oleObject" Target="embeddings/oleObject758.bin"/><Relationship Id="rId52" Type="http://schemas.openxmlformats.org/officeDocument/2006/relationships/image" Target="media/image21.wmf"/><Relationship Id="rId1206" Type="http://schemas.openxmlformats.org/officeDocument/2006/relationships/oleObject" Target="embeddings/oleObject590.bin"/><Relationship Id="rId1413" Type="http://schemas.openxmlformats.org/officeDocument/2006/relationships/image" Target="media/image703.wmf"/><Relationship Id="rId1620" Type="http://schemas.openxmlformats.org/officeDocument/2006/relationships/image" Target="media/image807.wmf"/><Relationship Id="rId299" Type="http://schemas.openxmlformats.org/officeDocument/2006/relationships/image" Target="media/image144.wmf"/><Relationship Id="rId159" Type="http://schemas.openxmlformats.org/officeDocument/2006/relationships/image" Target="media/image74.wmf"/><Relationship Id="rId366" Type="http://schemas.openxmlformats.org/officeDocument/2006/relationships/oleObject" Target="embeddings/oleObject175.bin"/><Relationship Id="rId573" Type="http://schemas.openxmlformats.org/officeDocument/2006/relationships/image" Target="media/image281.wmf"/><Relationship Id="rId780" Type="http://schemas.openxmlformats.org/officeDocument/2006/relationships/oleObject" Target="embeddings/oleObject383.bin"/><Relationship Id="rId226" Type="http://schemas.openxmlformats.org/officeDocument/2006/relationships/oleObject" Target="embeddings/oleObject105.bin"/><Relationship Id="rId433" Type="http://schemas.openxmlformats.org/officeDocument/2006/relationships/image" Target="media/image211.wmf"/><Relationship Id="rId878" Type="http://schemas.openxmlformats.org/officeDocument/2006/relationships/oleObject" Target="embeddings/oleObject431.bin"/><Relationship Id="rId1063" Type="http://schemas.openxmlformats.org/officeDocument/2006/relationships/image" Target="media/image531.wmf"/><Relationship Id="rId1270" Type="http://schemas.openxmlformats.org/officeDocument/2006/relationships/oleObject" Target="embeddings/oleObject617.bin"/><Relationship Id="rId640" Type="http://schemas.openxmlformats.org/officeDocument/2006/relationships/oleObject" Target="embeddings/oleObject313.bin"/><Relationship Id="rId738" Type="http://schemas.openxmlformats.org/officeDocument/2006/relationships/oleObject" Target="embeddings/oleObject362.bin"/><Relationship Id="rId945" Type="http://schemas.openxmlformats.org/officeDocument/2006/relationships/oleObject" Target="embeddings/oleObject461.bin"/><Relationship Id="rId1368" Type="http://schemas.openxmlformats.org/officeDocument/2006/relationships/oleObject" Target="embeddings/oleObject666.bin"/><Relationship Id="rId1575" Type="http://schemas.openxmlformats.org/officeDocument/2006/relationships/oleObject" Target="embeddings/oleObject769.bin"/><Relationship Id="rId74" Type="http://schemas.openxmlformats.org/officeDocument/2006/relationships/oleObject" Target="embeddings/oleObject29.bin"/><Relationship Id="rId500" Type="http://schemas.openxmlformats.org/officeDocument/2006/relationships/oleObject" Target="embeddings/oleObject242.bin"/><Relationship Id="rId805" Type="http://schemas.openxmlformats.org/officeDocument/2006/relationships/image" Target="media/image396.wmf"/><Relationship Id="rId1130" Type="http://schemas.openxmlformats.org/officeDocument/2006/relationships/oleObject" Target="embeddings/oleObject552.bin"/><Relationship Id="rId1228" Type="http://schemas.openxmlformats.org/officeDocument/2006/relationships/oleObject" Target="embeddings/oleObject601.bin"/><Relationship Id="rId1435" Type="http://schemas.openxmlformats.org/officeDocument/2006/relationships/image" Target="media/image714.wmf"/><Relationship Id="rId1642" Type="http://schemas.openxmlformats.org/officeDocument/2006/relationships/image" Target="media/image818.wmf"/><Relationship Id="rId1502" Type="http://schemas.openxmlformats.org/officeDocument/2006/relationships/oleObject" Target="embeddings/oleObject733.bin"/><Relationship Id="rId290" Type="http://schemas.openxmlformats.org/officeDocument/2006/relationships/oleObject" Target="embeddings/oleObject137.bin"/><Relationship Id="rId388" Type="http://schemas.openxmlformats.org/officeDocument/2006/relationships/oleObject" Target="embeddings/oleObject186.bin"/><Relationship Id="rId150" Type="http://schemas.openxmlformats.org/officeDocument/2006/relationships/oleObject" Target="embeddings/oleObject67.bin"/><Relationship Id="rId595" Type="http://schemas.openxmlformats.org/officeDocument/2006/relationships/oleObject" Target="embeddings/oleObject290.bin"/><Relationship Id="rId248" Type="http://schemas.openxmlformats.org/officeDocument/2006/relationships/oleObject" Target="embeddings/oleObject116.bin"/><Relationship Id="rId455" Type="http://schemas.openxmlformats.org/officeDocument/2006/relationships/image" Target="media/image222.wmf"/><Relationship Id="rId662" Type="http://schemas.openxmlformats.org/officeDocument/2006/relationships/oleObject" Target="embeddings/oleObject324.bin"/><Relationship Id="rId1085" Type="http://schemas.openxmlformats.org/officeDocument/2006/relationships/image" Target="media/image542.wmf"/><Relationship Id="rId1292" Type="http://schemas.openxmlformats.org/officeDocument/2006/relationships/oleObject" Target="embeddings/oleObject628.bin"/><Relationship Id="rId108" Type="http://schemas.openxmlformats.org/officeDocument/2006/relationships/oleObject" Target="embeddings/oleObject46.bin"/><Relationship Id="rId315" Type="http://schemas.openxmlformats.org/officeDocument/2006/relationships/image" Target="media/image152.wmf"/><Relationship Id="rId522" Type="http://schemas.openxmlformats.org/officeDocument/2006/relationships/oleObject" Target="embeddings/oleObject253.bin"/><Relationship Id="rId967" Type="http://schemas.openxmlformats.org/officeDocument/2006/relationships/oleObject" Target="embeddings/oleObject472.bin"/><Relationship Id="rId1152" Type="http://schemas.openxmlformats.org/officeDocument/2006/relationships/oleObject" Target="embeddings/oleObject563.bin"/><Relationship Id="rId1597" Type="http://schemas.openxmlformats.org/officeDocument/2006/relationships/oleObject" Target="embeddings/oleObject780.bin"/><Relationship Id="rId96" Type="http://schemas.openxmlformats.org/officeDocument/2006/relationships/oleObject" Target="embeddings/oleObject40.bin"/><Relationship Id="rId827" Type="http://schemas.openxmlformats.org/officeDocument/2006/relationships/image" Target="media/image407.wmf"/><Relationship Id="rId1012" Type="http://schemas.openxmlformats.org/officeDocument/2006/relationships/oleObject" Target="embeddings/oleObject494.bin"/><Relationship Id="rId1457" Type="http://schemas.openxmlformats.org/officeDocument/2006/relationships/image" Target="media/image725.wmf"/><Relationship Id="rId1664" Type="http://schemas.openxmlformats.org/officeDocument/2006/relationships/image" Target="media/image829.wmf"/><Relationship Id="rId1317" Type="http://schemas.openxmlformats.org/officeDocument/2006/relationships/image" Target="media/image655.wmf"/><Relationship Id="rId1524" Type="http://schemas.openxmlformats.org/officeDocument/2006/relationships/oleObject" Target="embeddings/oleObject744.bin"/><Relationship Id="rId23" Type="http://schemas.openxmlformats.org/officeDocument/2006/relationships/image" Target="media/image7.wmf"/><Relationship Id="rId172" Type="http://schemas.openxmlformats.org/officeDocument/2006/relationships/oleObject" Target="embeddings/oleObject78.bin"/><Relationship Id="rId477" Type="http://schemas.openxmlformats.org/officeDocument/2006/relationships/image" Target="media/image233.wmf"/><Relationship Id="rId684" Type="http://schemas.openxmlformats.org/officeDocument/2006/relationships/oleObject" Target="embeddings/oleObject335.bin"/><Relationship Id="rId337" Type="http://schemas.openxmlformats.org/officeDocument/2006/relationships/image" Target="media/image163.wmf"/><Relationship Id="rId891" Type="http://schemas.openxmlformats.org/officeDocument/2006/relationships/oleObject" Target="embeddings/oleObject437.bin"/><Relationship Id="rId989" Type="http://schemas.openxmlformats.org/officeDocument/2006/relationships/oleObject" Target="embeddings/oleObject483.bin"/><Relationship Id="rId544" Type="http://schemas.openxmlformats.org/officeDocument/2006/relationships/oleObject" Target="embeddings/oleObject264.bin"/><Relationship Id="rId751" Type="http://schemas.openxmlformats.org/officeDocument/2006/relationships/image" Target="media/image369.wmf"/><Relationship Id="rId849" Type="http://schemas.openxmlformats.org/officeDocument/2006/relationships/image" Target="media/image418.wmf"/><Relationship Id="rId1174" Type="http://schemas.openxmlformats.org/officeDocument/2006/relationships/oleObject" Target="embeddings/oleObject574.bin"/><Relationship Id="rId1381" Type="http://schemas.openxmlformats.org/officeDocument/2006/relationships/image" Target="media/image687.wmf"/><Relationship Id="rId1479" Type="http://schemas.openxmlformats.org/officeDocument/2006/relationships/image" Target="media/image736.wmf"/><Relationship Id="rId1686" Type="http://schemas.openxmlformats.org/officeDocument/2006/relationships/image" Target="media/image840.wmf"/><Relationship Id="rId404" Type="http://schemas.openxmlformats.org/officeDocument/2006/relationships/oleObject" Target="embeddings/oleObject194.bin"/><Relationship Id="rId611" Type="http://schemas.openxmlformats.org/officeDocument/2006/relationships/oleObject" Target="embeddings/oleObject298.bin"/><Relationship Id="rId1034" Type="http://schemas.openxmlformats.org/officeDocument/2006/relationships/oleObject" Target="embeddings/oleObject505.bin"/><Relationship Id="rId1241" Type="http://schemas.openxmlformats.org/officeDocument/2006/relationships/header" Target="header7.xml"/><Relationship Id="rId1339" Type="http://schemas.openxmlformats.org/officeDocument/2006/relationships/image" Target="media/image666.wmf"/><Relationship Id="rId709" Type="http://schemas.openxmlformats.org/officeDocument/2006/relationships/image" Target="media/image348.wmf"/><Relationship Id="rId916" Type="http://schemas.openxmlformats.org/officeDocument/2006/relationships/oleObject" Target="embeddings/oleObject448.bin"/><Relationship Id="rId1101" Type="http://schemas.openxmlformats.org/officeDocument/2006/relationships/image" Target="media/image550.wmf"/><Relationship Id="rId1546" Type="http://schemas.openxmlformats.org/officeDocument/2006/relationships/image" Target="media/image770.wmf"/><Relationship Id="rId45" Type="http://schemas.openxmlformats.org/officeDocument/2006/relationships/oleObject" Target="embeddings/oleObject14.bin"/><Relationship Id="rId1406" Type="http://schemas.openxmlformats.org/officeDocument/2006/relationships/oleObject" Target="embeddings/oleObject685.bin"/><Relationship Id="rId1613" Type="http://schemas.openxmlformats.org/officeDocument/2006/relationships/oleObject" Target="embeddings/oleObject788.bin"/><Relationship Id="rId194" Type="http://schemas.openxmlformats.org/officeDocument/2006/relationships/oleObject" Target="embeddings/oleObject89.bin"/><Relationship Id="rId261" Type="http://schemas.openxmlformats.org/officeDocument/2006/relationships/image" Target="media/image125.wmf"/><Relationship Id="rId499" Type="http://schemas.openxmlformats.org/officeDocument/2006/relationships/image" Target="media/image244.wmf"/><Relationship Id="rId359" Type="http://schemas.openxmlformats.org/officeDocument/2006/relationships/image" Target="media/image174.wmf"/><Relationship Id="rId566" Type="http://schemas.openxmlformats.org/officeDocument/2006/relationships/oleObject" Target="embeddings/oleObject275.bin"/><Relationship Id="rId773" Type="http://schemas.openxmlformats.org/officeDocument/2006/relationships/image" Target="media/image380.wmf"/><Relationship Id="rId1196" Type="http://schemas.openxmlformats.org/officeDocument/2006/relationships/oleObject" Target="embeddings/oleObject585.bin"/><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oleObject" Target="embeddings/oleObject205.bin"/><Relationship Id="rId633" Type="http://schemas.openxmlformats.org/officeDocument/2006/relationships/oleObject" Target="embeddings/oleObject309.bin"/><Relationship Id="rId980" Type="http://schemas.openxmlformats.org/officeDocument/2006/relationships/image" Target="media/image488.wmf"/><Relationship Id="rId1056" Type="http://schemas.openxmlformats.org/officeDocument/2006/relationships/oleObject" Target="embeddings/oleObject515.bin"/><Relationship Id="rId1263" Type="http://schemas.openxmlformats.org/officeDocument/2006/relationships/image" Target="media/image628.wmf"/><Relationship Id="rId840" Type="http://schemas.openxmlformats.org/officeDocument/2006/relationships/oleObject" Target="embeddings/oleObject413.bin"/><Relationship Id="rId938" Type="http://schemas.openxmlformats.org/officeDocument/2006/relationships/image" Target="media/image467.wmf"/><Relationship Id="rId1470" Type="http://schemas.openxmlformats.org/officeDocument/2006/relationships/oleObject" Target="embeddings/oleObject717.bin"/><Relationship Id="rId1568" Type="http://schemas.openxmlformats.org/officeDocument/2006/relationships/image" Target="media/image781.wmf"/><Relationship Id="rId67" Type="http://schemas.openxmlformats.org/officeDocument/2006/relationships/image" Target="media/image28.wmf"/><Relationship Id="rId700" Type="http://schemas.openxmlformats.org/officeDocument/2006/relationships/oleObject" Target="embeddings/oleObject343.bin"/><Relationship Id="rId1123" Type="http://schemas.openxmlformats.org/officeDocument/2006/relationships/image" Target="media/image561.wmf"/><Relationship Id="rId1330" Type="http://schemas.openxmlformats.org/officeDocument/2006/relationships/oleObject" Target="embeddings/oleObject647.bin"/><Relationship Id="rId1428" Type="http://schemas.openxmlformats.org/officeDocument/2006/relationships/oleObject" Target="embeddings/oleObject696.bin"/><Relationship Id="rId1635" Type="http://schemas.openxmlformats.org/officeDocument/2006/relationships/oleObject" Target="embeddings/oleObject799.bin"/><Relationship Id="rId283" Type="http://schemas.openxmlformats.org/officeDocument/2006/relationships/image" Target="media/image136.wmf"/><Relationship Id="rId490" Type="http://schemas.openxmlformats.org/officeDocument/2006/relationships/oleObject" Target="embeddings/oleObject237.bin"/><Relationship Id="rId143" Type="http://schemas.openxmlformats.org/officeDocument/2006/relationships/image" Target="media/image66.wmf"/><Relationship Id="rId350" Type="http://schemas.openxmlformats.org/officeDocument/2006/relationships/oleObject" Target="embeddings/oleObject167.bin"/><Relationship Id="rId588" Type="http://schemas.openxmlformats.org/officeDocument/2006/relationships/oleObject" Target="embeddings/oleObject286.bin"/><Relationship Id="rId795" Type="http://schemas.openxmlformats.org/officeDocument/2006/relationships/image" Target="media/image391.wmf"/><Relationship Id="rId9" Type="http://schemas.openxmlformats.org/officeDocument/2006/relationships/header" Target="header1.xml"/><Relationship Id="rId210" Type="http://schemas.openxmlformats.org/officeDocument/2006/relationships/oleObject" Target="embeddings/oleObject97.bin"/><Relationship Id="rId448" Type="http://schemas.openxmlformats.org/officeDocument/2006/relationships/oleObject" Target="embeddings/oleObject216.bin"/><Relationship Id="rId655" Type="http://schemas.openxmlformats.org/officeDocument/2006/relationships/image" Target="media/image321.wmf"/><Relationship Id="rId862" Type="http://schemas.openxmlformats.org/officeDocument/2006/relationships/oleObject" Target="embeddings/oleObject424.bin"/><Relationship Id="rId1078" Type="http://schemas.openxmlformats.org/officeDocument/2006/relationships/oleObject" Target="embeddings/oleObject526.bin"/><Relationship Id="rId1285" Type="http://schemas.openxmlformats.org/officeDocument/2006/relationships/image" Target="media/image639.wmf"/><Relationship Id="rId1492" Type="http://schemas.openxmlformats.org/officeDocument/2006/relationships/oleObject" Target="embeddings/oleObject728.bin"/><Relationship Id="rId308" Type="http://schemas.openxmlformats.org/officeDocument/2006/relationships/oleObject" Target="embeddings/oleObject146.bin"/><Relationship Id="rId515" Type="http://schemas.openxmlformats.org/officeDocument/2006/relationships/image" Target="media/image252.wmf"/><Relationship Id="rId722" Type="http://schemas.openxmlformats.org/officeDocument/2006/relationships/oleObject" Target="embeddings/oleObject354.bin"/><Relationship Id="rId1145" Type="http://schemas.openxmlformats.org/officeDocument/2006/relationships/image" Target="media/image572.wmf"/><Relationship Id="rId1352" Type="http://schemas.openxmlformats.org/officeDocument/2006/relationships/oleObject" Target="embeddings/oleObject658.bin"/><Relationship Id="rId89" Type="http://schemas.openxmlformats.org/officeDocument/2006/relationships/image" Target="media/image39.wmf"/><Relationship Id="rId1005" Type="http://schemas.openxmlformats.org/officeDocument/2006/relationships/image" Target="media/image501.wmf"/><Relationship Id="rId1212" Type="http://schemas.openxmlformats.org/officeDocument/2006/relationships/oleObject" Target="embeddings/oleObject593.bin"/><Relationship Id="rId1657" Type="http://schemas.openxmlformats.org/officeDocument/2006/relationships/oleObject" Target="embeddings/oleObject810.bin"/><Relationship Id="rId1517" Type="http://schemas.openxmlformats.org/officeDocument/2006/relationships/image" Target="media/image755.wmf"/><Relationship Id="rId16" Type="http://schemas.openxmlformats.org/officeDocument/2006/relationships/header" Target="header2.xml"/><Relationship Id="rId165" Type="http://schemas.openxmlformats.org/officeDocument/2006/relationships/image" Target="media/image77.wmf"/><Relationship Id="rId372" Type="http://schemas.openxmlformats.org/officeDocument/2006/relationships/oleObject" Target="embeddings/oleObject178.bin"/><Relationship Id="rId677" Type="http://schemas.openxmlformats.org/officeDocument/2006/relationships/image" Target="media/image332.wmf"/><Relationship Id="rId232" Type="http://schemas.openxmlformats.org/officeDocument/2006/relationships/oleObject" Target="embeddings/oleObject108.bin"/><Relationship Id="rId884" Type="http://schemas.openxmlformats.org/officeDocument/2006/relationships/oleObject" Target="embeddings/oleObject434.bin"/><Relationship Id="rId537" Type="http://schemas.openxmlformats.org/officeDocument/2006/relationships/image" Target="media/image263.wmf"/><Relationship Id="rId744" Type="http://schemas.openxmlformats.org/officeDocument/2006/relationships/oleObject" Target="embeddings/oleObject365.bin"/><Relationship Id="rId951" Type="http://schemas.openxmlformats.org/officeDocument/2006/relationships/oleObject" Target="embeddings/oleObject464.bin"/><Relationship Id="rId1167" Type="http://schemas.openxmlformats.org/officeDocument/2006/relationships/image" Target="media/image583.wmf"/><Relationship Id="rId1374" Type="http://schemas.openxmlformats.org/officeDocument/2006/relationships/oleObject" Target="embeddings/oleObject669.bin"/><Relationship Id="rId1581" Type="http://schemas.openxmlformats.org/officeDocument/2006/relationships/oleObject" Target="embeddings/oleObject772.bin"/><Relationship Id="rId1679" Type="http://schemas.openxmlformats.org/officeDocument/2006/relationships/oleObject" Target="embeddings/oleObject821.bin"/><Relationship Id="rId80" Type="http://schemas.openxmlformats.org/officeDocument/2006/relationships/oleObject" Target="embeddings/oleObject32.bin"/><Relationship Id="rId604" Type="http://schemas.openxmlformats.org/officeDocument/2006/relationships/image" Target="media/image296.wmf"/><Relationship Id="rId811" Type="http://schemas.openxmlformats.org/officeDocument/2006/relationships/image" Target="media/image399.wmf"/><Relationship Id="rId1027" Type="http://schemas.openxmlformats.org/officeDocument/2006/relationships/image" Target="media/image512.wmf"/><Relationship Id="rId1234" Type="http://schemas.openxmlformats.org/officeDocument/2006/relationships/oleObject" Target="embeddings/oleObject604.bin"/><Relationship Id="rId1441" Type="http://schemas.openxmlformats.org/officeDocument/2006/relationships/image" Target="media/image717.wmf"/><Relationship Id="rId909" Type="http://schemas.openxmlformats.org/officeDocument/2006/relationships/oleObject" Target="embeddings/oleObject445.bin"/><Relationship Id="rId1301" Type="http://schemas.openxmlformats.org/officeDocument/2006/relationships/image" Target="media/image647.wmf"/><Relationship Id="rId1539" Type="http://schemas.openxmlformats.org/officeDocument/2006/relationships/oleObject" Target="embeddings/oleObject751.bin"/></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dss.gov.au/seniors/benefits-payments/age-pension" TargetMode="External"/><Relationship Id="rId1" Type="http://schemas.openxmlformats.org/officeDocument/2006/relationships/hyperlink" Target="mailto:Michael.Kouparitsas@treasury.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619.jpg"/></Relationships>
</file>

<file path=word/_rels/header7.xml.rels><?xml version="1.0" encoding="UTF-8" standalone="yes"?>
<Relationships xmlns="http://schemas.openxmlformats.org/package/2006/relationships"><Relationship Id="rId1" Type="http://schemas.openxmlformats.org/officeDocument/2006/relationships/image" Target="media/image619.jp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19790</Words>
  <Characters>109294</Characters>
  <Application>Microsoft Office Word</Application>
  <DocSecurity>0</DocSecurity>
  <Lines>3484</Lines>
  <Paragraphs>2113</Paragraphs>
  <ScaleCrop>false</ScaleCrop>
  <HeadingPairs>
    <vt:vector size="2" baseType="variant">
      <vt:variant>
        <vt:lpstr>Title</vt:lpstr>
      </vt:variant>
      <vt:variant>
        <vt:i4>1</vt:i4>
      </vt:variant>
    </vt:vector>
  </HeadingPairs>
  <TitlesOfParts>
    <vt:vector size="1" baseType="lpstr">
      <vt:lpstr>Modelling Fiscal Policy with OLGA: Treasury’s OverLapping Generations model of the Australian economy</vt:lpstr>
    </vt:vector>
  </TitlesOfParts>
  <Company/>
  <LinksUpToDate>false</LinksUpToDate>
  <CharactersWithSpaces>127528</CharactersWithSpaces>
  <SharedDoc>false</SharedDoc>
  <HLinks>
    <vt:vector size="72" baseType="variant">
      <vt:variant>
        <vt:i4>1179664</vt:i4>
      </vt:variant>
      <vt:variant>
        <vt:i4>2450</vt:i4>
      </vt:variant>
      <vt:variant>
        <vt:i4>0</vt:i4>
      </vt:variant>
      <vt:variant>
        <vt:i4>5</vt:i4>
      </vt:variant>
      <vt:variant>
        <vt:lpwstr>https://budgetmodel.wharton.upenn.edu/issues/2019/12/12/senator-elizabeth-warrens-wealth-tax-projected-budgetary-and-economic-effects</vt:lpwstr>
      </vt:variant>
      <vt:variant>
        <vt:lpwstr/>
      </vt:variant>
      <vt:variant>
        <vt:i4>3473526</vt:i4>
      </vt:variant>
      <vt:variant>
        <vt:i4>2447</vt:i4>
      </vt:variant>
      <vt:variant>
        <vt:i4>0</vt:i4>
      </vt:variant>
      <vt:variant>
        <vt:i4>5</vt:i4>
      </vt:variant>
      <vt:variant>
        <vt:lpwstr>https://www.ato.gov.au/About-ATO/Research-and-statistics/In-detail/Taxation-statistics/Taxation-statistics---previous-editions/Taxation-statistics-2016-17/</vt:lpwstr>
      </vt:variant>
      <vt:variant>
        <vt:lpwstr/>
      </vt:variant>
      <vt:variant>
        <vt:i4>7209074</vt:i4>
      </vt:variant>
      <vt:variant>
        <vt:i4>2444</vt:i4>
      </vt:variant>
      <vt:variant>
        <vt:i4>0</vt:i4>
      </vt:variant>
      <vt:variant>
        <vt:i4>5</vt:i4>
      </vt:variant>
      <vt:variant>
        <vt:lpwstr>https://www.ato.gov.au/Business/GST/How-GST-works/</vt:lpwstr>
      </vt:variant>
      <vt:variant>
        <vt:lpwstr/>
      </vt:variant>
      <vt:variant>
        <vt:i4>7602238</vt:i4>
      </vt:variant>
      <vt:variant>
        <vt:i4>2441</vt:i4>
      </vt:variant>
      <vt:variant>
        <vt:i4>0</vt:i4>
      </vt:variant>
      <vt:variant>
        <vt:i4>5</vt:i4>
      </vt:variant>
      <vt:variant>
        <vt:lpwstr>https://www.ampcapital.com/africa/en/insights-hub/articles/2017/November/olivers-insights-the-medium-term-investment-return-remains-constrained</vt:lpwstr>
      </vt:variant>
      <vt:variant>
        <vt:lpwstr/>
      </vt:variant>
      <vt:variant>
        <vt:i4>4390999</vt:i4>
      </vt:variant>
      <vt:variant>
        <vt:i4>2438</vt:i4>
      </vt:variant>
      <vt:variant>
        <vt:i4>0</vt:i4>
      </vt:variant>
      <vt:variant>
        <vt:i4>5</vt:i4>
      </vt:variant>
      <vt:variant>
        <vt:lpwstr>https://www.aofm.gov.au/sites/default/files/2019-05/Chart-Pack-Budget-2019-20-Update.pdf</vt:lpwstr>
      </vt:variant>
      <vt:variant>
        <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2031687</vt:i4>
      </vt:variant>
      <vt:variant>
        <vt:i4>3</vt:i4>
      </vt:variant>
      <vt:variant>
        <vt:i4>0</vt:i4>
      </vt:variant>
      <vt:variant>
        <vt:i4>5</vt:i4>
      </vt:variant>
      <vt:variant>
        <vt:lpwstr>https://www.dss.gov.au/seniors/benefits-payments/age-pension</vt:lpwstr>
      </vt:variant>
      <vt:variant>
        <vt:lpwstr/>
      </vt:variant>
      <vt:variant>
        <vt:i4>8192087</vt:i4>
      </vt:variant>
      <vt:variant>
        <vt:i4>0</vt:i4>
      </vt:variant>
      <vt:variant>
        <vt:i4>0</vt:i4>
      </vt:variant>
      <vt:variant>
        <vt:i4>5</vt:i4>
      </vt:variant>
      <vt:variant>
        <vt:lpwstr>mailto:Michael.Kouparitsas@treasury.gov.au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 Fiscal Policy with OLGA: Treasury’s OverLapping Generations model of the Australian economy</dc:title>
  <dc:subject/>
  <dc:creator/>
  <cp:keywords/>
  <cp:lastModifiedBy/>
  <cp:revision>1</cp:revision>
  <dcterms:created xsi:type="dcterms:W3CDTF">2023-08-30T06:21:00Z</dcterms:created>
  <dcterms:modified xsi:type="dcterms:W3CDTF">2023-08-30T06:23:00Z</dcterms:modified>
  <cp:category/>
</cp:coreProperties>
</file>