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0B3C" w14:textId="3A52443D" w:rsidR="00146C76" w:rsidRPr="00B836A6" w:rsidRDefault="00E219B5" w:rsidP="00FA1E95">
      <w:pPr>
        <w:jc w:val="center"/>
        <w:rPr>
          <w:rFonts w:cs="Calibri"/>
        </w:rPr>
      </w:pPr>
      <w:bookmarkStart w:id="0" w:name="_Hlk110583399"/>
      <w:r>
        <w:t xml:space="preserve">                                                                                                     </w:t>
      </w:r>
      <w:r w:rsidR="00952CD6" w:rsidRPr="00B836A6">
        <w:rPr>
          <w:rFonts w:cs="Calibri"/>
          <w:noProof/>
          <w:color w:val="2B579A"/>
          <w:shd w:val="clear" w:color="auto" w:fill="E6E6E6"/>
        </w:rPr>
        <w:drawing>
          <wp:inline distT="0" distB="0" distL="0" distR="0" wp14:anchorId="5D0C5726" wp14:editId="6AC96E80">
            <wp:extent cx="6123600" cy="112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615" t="16668" r="2259" b="10886"/>
                    <a:stretch/>
                  </pic:blipFill>
                  <pic:spPr bwMode="auto">
                    <a:xfrm>
                      <a:off x="0" y="0"/>
                      <a:ext cx="6123600" cy="1123200"/>
                    </a:xfrm>
                    <a:prstGeom prst="rect">
                      <a:avLst/>
                    </a:prstGeom>
                    <a:noFill/>
                    <a:ln>
                      <a:noFill/>
                    </a:ln>
                    <a:extLst>
                      <a:ext uri="{53640926-AAD7-44D8-BBD7-CCE9431645EC}">
                        <a14:shadowObscured xmlns:a14="http://schemas.microsoft.com/office/drawing/2010/main"/>
                      </a:ext>
                    </a:extLst>
                  </pic:spPr>
                </pic:pic>
              </a:graphicData>
            </a:graphic>
          </wp:inline>
        </w:drawing>
      </w:r>
    </w:p>
    <w:p w14:paraId="6E752969" w14:textId="77777777" w:rsidR="003D1813" w:rsidRPr="00B836A6" w:rsidRDefault="003D1813" w:rsidP="003D1813">
      <w:pPr>
        <w:pStyle w:val="Heading1"/>
        <w:rPr>
          <w:rFonts w:cs="Calibri"/>
        </w:rPr>
      </w:pPr>
    </w:p>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C7274A" w:rsidRPr="00B836A6" w14:paraId="3027C91E" w14:textId="77777777">
        <w:tc>
          <w:tcPr>
            <w:tcW w:w="9242" w:type="dxa"/>
          </w:tcPr>
          <w:p w14:paraId="190000B4" w14:textId="27CFB049" w:rsidR="00C7274A" w:rsidRPr="00B836A6" w:rsidRDefault="00032D54">
            <w:pPr>
              <w:pStyle w:val="Title"/>
              <w:rPr>
                <w:rFonts w:cs="Calibri"/>
              </w:rPr>
            </w:pPr>
            <w:bookmarkStart w:id="1" w:name="_Toc143705077"/>
            <w:r w:rsidRPr="00B836A6">
              <w:rPr>
                <w:rFonts w:cs="Calibri"/>
              </w:rPr>
              <w:t>CDR Consent Review</w:t>
            </w:r>
            <w:bookmarkEnd w:id="1"/>
            <w:r w:rsidR="00325628" w:rsidRPr="00B836A6">
              <w:rPr>
                <w:rFonts w:cs="Calibri"/>
              </w:rPr>
              <w:t xml:space="preserve">  </w:t>
            </w:r>
          </w:p>
        </w:tc>
      </w:tr>
      <w:tr w:rsidR="00C7274A" w:rsidRPr="00B836A6" w14:paraId="24EF1DF6" w14:textId="77777777">
        <w:tc>
          <w:tcPr>
            <w:tcW w:w="9242" w:type="dxa"/>
          </w:tcPr>
          <w:p w14:paraId="015B4192" w14:textId="6B626462" w:rsidR="00C7274A" w:rsidRPr="00B836A6" w:rsidRDefault="00EC1643">
            <w:pPr>
              <w:pStyle w:val="Subtitle"/>
              <w:rPr>
                <w:rFonts w:ascii="Calibri" w:hAnsi="Calibri" w:cs="Calibri"/>
              </w:rPr>
            </w:pPr>
            <w:r w:rsidRPr="00B836A6">
              <w:rPr>
                <w:rFonts w:ascii="Calibri" w:hAnsi="Calibri" w:cs="Calibri"/>
              </w:rPr>
              <w:t xml:space="preserve">CDR rules and </w:t>
            </w:r>
            <w:r w:rsidR="00B72753" w:rsidRPr="00B836A6">
              <w:rPr>
                <w:rFonts w:ascii="Calibri" w:hAnsi="Calibri" w:cs="Calibri"/>
              </w:rPr>
              <w:t xml:space="preserve">data </w:t>
            </w:r>
            <w:r w:rsidRPr="00B836A6">
              <w:rPr>
                <w:rFonts w:ascii="Calibri" w:hAnsi="Calibri" w:cs="Calibri"/>
              </w:rPr>
              <w:t>standards design paper</w:t>
            </w:r>
          </w:p>
        </w:tc>
      </w:tr>
      <w:tr w:rsidR="00C7274A" w:rsidRPr="00B836A6" w14:paraId="123FCA68" w14:textId="77777777">
        <w:tc>
          <w:tcPr>
            <w:tcW w:w="9242" w:type="dxa"/>
          </w:tcPr>
          <w:p w14:paraId="045D2862" w14:textId="77777777" w:rsidR="00C7274A" w:rsidRPr="00B836A6" w:rsidRDefault="00C7274A">
            <w:pPr>
              <w:rPr>
                <w:rFonts w:cs="Calibri"/>
              </w:rPr>
            </w:pPr>
          </w:p>
          <w:p w14:paraId="04E2F78F" w14:textId="7B172475" w:rsidR="00C7274A" w:rsidRPr="00B836A6" w:rsidRDefault="001F45DC">
            <w:pPr>
              <w:pStyle w:val="CoverDate"/>
              <w:rPr>
                <w:rFonts w:ascii="Calibri" w:hAnsi="Calibri" w:cs="Calibri"/>
              </w:rPr>
            </w:pPr>
            <w:r>
              <w:rPr>
                <w:rFonts w:ascii="Calibri" w:hAnsi="Calibri" w:cs="Calibri"/>
              </w:rPr>
              <w:t>August</w:t>
            </w:r>
            <w:r w:rsidR="003A53F2" w:rsidRPr="00B836A6">
              <w:rPr>
                <w:rFonts w:ascii="Calibri" w:hAnsi="Calibri" w:cs="Calibri"/>
              </w:rPr>
              <w:t xml:space="preserve"> </w:t>
            </w:r>
            <w:r w:rsidR="00EC1643" w:rsidRPr="00B836A6">
              <w:rPr>
                <w:rFonts w:ascii="Calibri" w:hAnsi="Calibri" w:cs="Calibri"/>
              </w:rPr>
              <w:t>202</w:t>
            </w:r>
            <w:r w:rsidR="00032D54" w:rsidRPr="00B836A6">
              <w:rPr>
                <w:rFonts w:ascii="Calibri" w:hAnsi="Calibri" w:cs="Calibri"/>
              </w:rPr>
              <w:t>3</w:t>
            </w:r>
          </w:p>
        </w:tc>
      </w:tr>
    </w:tbl>
    <w:p w14:paraId="2BF3F6DB" w14:textId="77777777" w:rsidR="00E65DE6" w:rsidRPr="00B836A6" w:rsidRDefault="00E65DE6">
      <w:pPr>
        <w:rPr>
          <w:rFonts w:cs="Calibri"/>
          <w:bCs/>
        </w:rPr>
      </w:pPr>
    </w:p>
    <w:p w14:paraId="5D4C35DC" w14:textId="1E332A8C" w:rsidR="00A10B3C" w:rsidRPr="00B836A6" w:rsidRDefault="00A10B3C">
      <w:pPr>
        <w:rPr>
          <w:rFonts w:cs="Calibri"/>
        </w:rPr>
      </w:pPr>
      <w:r w:rsidRPr="00B836A6">
        <w:rPr>
          <w:rFonts w:cs="Calibri"/>
          <w:bCs/>
        </w:rPr>
        <w:br w:type="page"/>
      </w:r>
    </w:p>
    <w:sdt>
      <w:sdtPr>
        <w:rPr>
          <w:rFonts w:eastAsiaTheme="minorHAnsi" w:cs="Calibri"/>
          <w:bCs w:val="0"/>
          <w:color w:val="auto"/>
          <w:sz w:val="22"/>
          <w:szCs w:val="22"/>
          <w:shd w:val="clear" w:color="auto" w:fill="E6E6E6"/>
          <w:lang w:val="en-AU" w:eastAsia="en-US"/>
        </w:rPr>
        <w:id w:val="617881006"/>
        <w:docPartObj>
          <w:docPartGallery w:val="Table of Contents"/>
          <w:docPartUnique/>
        </w:docPartObj>
      </w:sdtPr>
      <w:sdtEndPr>
        <w:rPr>
          <w:b/>
        </w:rPr>
      </w:sdtEndPr>
      <w:sdtContent>
        <w:p w14:paraId="2057692A" w14:textId="618242DE" w:rsidR="000E6A48" w:rsidRPr="00B836A6" w:rsidRDefault="000E6A48" w:rsidP="000E6A48">
          <w:pPr>
            <w:pStyle w:val="TOCHeading"/>
            <w:rPr>
              <w:rFonts w:cs="Calibri"/>
            </w:rPr>
          </w:pPr>
          <w:r w:rsidRPr="00B836A6">
            <w:rPr>
              <w:rFonts w:cs="Calibri"/>
            </w:rPr>
            <w:t>Table of Contents</w:t>
          </w:r>
        </w:p>
        <w:p w14:paraId="5B11C0B1" w14:textId="6EC20C99" w:rsidR="0001487A" w:rsidRDefault="000E6A48">
          <w:pPr>
            <w:pStyle w:val="TOC1"/>
            <w:rPr>
              <w:rFonts w:asciiTheme="minorHAnsi" w:eastAsiaTheme="minorEastAsia" w:hAnsiTheme="minorHAnsi"/>
              <w:lang w:val="en-AU" w:eastAsia="en-AU"/>
            </w:rPr>
          </w:pPr>
          <w:r w:rsidRPr="00B836A6">
            <w:rPr>
              <w:rFonts w:cs="Calibri"/>
              <w:color w:val="2B579A"/>
              <w:shd w:val="clear" w:color="auto" w:fill="E6E6E6"/>
            </w:rPr>
            <w:fldChar w:fldCharType="begin"/>
          </w:r>
          <w:r w:rsidRPr="00B836A6">
            <w:rPr>
              <w:rFonts w:cs="Calibri"/>
            </w:rPr>
            <w:instrText xml:space="preserve"> TOC \o "1-3" \h \z \u </w:instrText>
          </w:r>
          <w:r w:rsidRPr="00B836A6">
            <w:rPr>
              <w:rFonts w:cs="Calibri"/>
              <w:color w:val="2B579A"/>
              <w:shd w:val="clear" w:color="auto" w:fill="E6E6E6"/>
            </w:rPr>
            <w:fldChar w:fldCharType="separate"/>
          </w:r>
          <w:hyperlink w:anchor="_Toc143705077" w:history="1">
            <w:r w:rsidR="0001487A" w:rsidRPr="006F1924">
              <w:rPr>
                <w:rStyle w:val="Hyperlink"/>
                <w:rFonts w:cs="Calibri"/>
              </w:rPr>
              <w:t>CDR Consent Review</w:t>
            </w:r>
            <w:r w:rsidR="0001487A">
              <w:rPr>
                <w:webHidden/>
              </w:rPr>
              <w:tab/>
            </w:r>
            <w:r w:rsidR="0001487A">
              <w:rPr>
                <w:webHidden/>
              </w:rPr>
              <w:fldChar w:fldCharType="begin"/>
            </w:r>
            <w:r w:rsidR="0001487A">
              <w:rPr>
                <w:webHidden/>
              </w:rPr>
              <w:instrText xml:space="preserve"> PAGEREF _Toc143705077 \h </w:instrText>
            </w:r>
            <w:r w:rsidR="0001487A">
              <w:rPr>
                <w:webHidden/>
              </w:rPr>
            </w:r>
            <w:r w:rsidR="0001487A">
              <w:rPr>
                <w:webHidden/>
              </w:rPr>
              <w:fldChar w:fldCharType="separate"/>
            </w:r>
            <w:r w:rsidR="009A7900">
              <w:rPr>
                <w:webHidden/>
              </w:rPr>
              <w:t>1</w:t>
            </w:r>
            <w:r w:rsidR="0001487A">
              <w:rPr>
                <w:webHidden/>
              </w:rPr>
              <w:fldChar w:fldCharType="end"/>
            </w:r>
          </w:hyperlink>
        </w:p>
        <w:p w14:paraId="531A3D70" w14:textId="21B271C8" w:rsidR="0001487A" w:rsidRDefault="00680C6E">
          <w:pPr>
            <w:pStyle w:val="TOC2"/>
            <w:rPr>
              <w:rFonts w:asciiTheme="minorHAnsi" w:eastAsiaTheme="minorEastAsia" w:hAnsiTheme="minorHAnsi"/>
              <w:lang w:eastAsia="en-AU"/>
            </w:rPr>
          </w:pPr>
          <w:hyperlink w:anchor="_Toc143705078" w:history="1">
            <w:r w:rsidR="0001487A" w:rsidRPr="006F1924">
              <w:rPr>
                <w:rStyle w:val="Hyperlink"/>
                <w:rFonts w:cs="Calibri"/>
              </w:rPr>
              <w:t>Purpose of this design paper</w:t>
            </w:r>
            <w:r w:rsidR="0001487A">
              <w:rPr>
                <w:webHidden/>
              </w:rPr>
              <w:tab/>
            </w:r>
            <w:r w:rsidR="0001487A">
              <w:rPr>
                <w:webHidden/>
              </w:rPr>
              <w:fldChar w:fldCharType="begin"/>
            </w:r>
            <w:r w:rsidR="0001487A">
              <w:rPr>
                <w:webHidden/>
              </w:rPr>
              <w:instrText xml:space="preserve"> PAGEREF _Toc143705078 \h </w:instrText>
            </w:r>
            <w:r w:rsidR="0001487A">
              <w:rPr>
                <w:webHidden/>
              </w:rPr>
            </w:r>
            <w:r w:rsidR="0001487A">
              <w:rPr>
                <w:webHidden/>
              </w:rPr>
              <w:fldChar w:fldCharType="separate"/>
            </w:r>
            <w:r w:rsidR="009A7900">
              <w:rPr>
                <w:webHidden/>
              </w:rPr>
              <w:t>3</w:t>
            </w:r>
            <w:r w:rsidR="0001487A">
              <w:rPr>
                <w:webHidden/>
              </w:rPr>
              <w:fldChar w:fldCharType="end"/>
            </w:r>
          </w:hyperlink>
        </w:p>
        <w:p w14:paraId="30B3C42F" w14:textId="53D55A2A" w:rsidR="0001487A" w:rsidRDefault="00680C6E">
          <w:pPr>
            <w:pStyle w:val="TOC2"/>
            <w:rPr>
              <w:rFonts w:asciiTheme="minorHAnsi" w:eastAsiaTheme="minorEastAsia" w:hAnsiTheme="minorHAnsi"/>
              <w:lang w:eastAsia="en-AU"/>
            </w:rPr>
          </w:pPr>
          <w:hyperlink w:anchor="_Toc143705079" w:history="1">
            <w:r w:rsidR="0001487A" w:rsidRPr="006F1924">
              <w:rPr>
                <w:rStyle w:val="Hyperlink"/>
                <w:rFonts w:cs="Calibri"/>
              </w:rPr>
              <w:t>Rules and standards for CDR consent</w:t>
            </w:r>
            <w:r w:rsidR="0001487A">
              <w:rPr>
                <w:webHidden/>
              </w:rPr>
              <w:tab/>
            </w:r>
            <w:r w:rsidR="0001487A">
              <w:rPr>
                <w:webHidden/>
              </w:rPr>
              <w:fldChar w:fldCharType="begin"/>
            </w:r>
            <w:r w:rsidR="0001487A">
              <w:rPr>
                <w:webHidden/>
              </w:rPr>
              <w:instrText xml:space="preserve"> PAGEREF _Toc143705079 \h </w:instrText>
            </w:r>
            <w:r w:rsidR="0001487A">
              <w:rPr>
                <w:webHidden/>
              </w:rPr>
            </w:r>
            <w:r w:rsidR="0001487A">
              <w:rPr>
                <w:webHidden/>
              </w:rPr>
              <w:fldChar w:fldCharType="separate"/>
            </w:r>
            <w:r w:rsidR="009A7900">
              <w:rPr>
                <w:webHidden/>
              </w:rPr>
              <w:t>3</w:t>
            </w:r>
            <w:r w:rsidR="0001487A">
              <w:rPr>
                <w:webHidden/>
              </w:rPr>
              <w:fldChar w:fldCharType="end"/>
            </w:r>
          </w:hyperlink>
        </w:p>
        <w:p w14:paraId="7B7A1863" w14:textId="469DB30D" w:rsidR="0001487A" w:rsidRDefault="00680C6E">
          <w:pPr>
            <w:pStyle w:val="TOC2"/>
            <w:rPr>
              <w:rFonts w:asciiTheme="minorHAnsi" w:eastAsiaTheme="minorEastAsia" w:hAnsiTheme="minorHAnsi"/>
              <w:lang w:eastAsia="en-AU"/>
            </w:rPr>
          </w:pPr>
          <w:hyperlink w:anchor="_Toc143705080" w:history="1">
            <w:r w:rsidR="0001487A" w:rsidRPr="006F1924">
              <w:rPr>
                <w:rStyle w:val="Hyperlink"/>
                <w:rFonts w:cs="Calibri"/>
              </w:rPr>
              <w:t>Other relevant reviews and processes</w:t>
            </w:r>
            <w:r w:rsidR="0001487A">
              <w:rPr>
                <w:webHidden/>
              </w:rPr>
              <w:tab/>
            </w:r>
            <w:r w:rsidR="0001487A">
              <w:rPr>
                <w:webHidden/>
              </w:rPr>
              <w:fldChar w:fldCharType="begin"/>
            </w:r>
            <w:r w:rsidR="0001487A">
              <w:rPr>
                <w:webHidden/>
              </w:rPr>
              <w:instrText xml:space="preserve"> PAGEREF _Toc143705080 \h </w:instrText>
            </w:r>
            <w:r w:rsidR="0001487A">
              <w:rPr>
                <w:webHidden/>
              </w:rPr>
            </w:r>
            <w:r w:rsidR="0001487A">
              <w:rPr>
                <w:webHidden/>
              </w:rPr>
              <w:fldChar w:fldCharType="separate"/>
            </w:r>
            <w:r w:rsidR="009A7900">
              <w:rPr>
                <w:webHidden/>
              </w:rPr>
              <w:t>4</w:t>
            </w:r>
            <w:r w:rsidR="0001487A">
              <w:rPr>
                <w:webHidden/>
              </w:rPr>
              <w:fldChar w:fldCharType="end"/>
            </w:r>
          </w:hyperlink>
        </w:p>
        <w:p w14:paraId="16067B96" w14:textId="1077CDD2" w:rsidR="0001487A" w:rsidRDefault="00680C6E">
          <w:pPr>
            <w:pStyle w:val="TOC2"/>
            <w:rPr>
              <w:rFonts w:asciiTheme="minorHAnsi" w:eastAsiaTheme="minorEastAsia" w:hAnsiTheme="minorHAnsi"/>
              <w:lang w:eastAsia="en-AU"/>
            </w:rPr>
          </w:pPr>
          <w:hyperlink w:anchor="_Toc143705081" w:history="1">
            <w:r w:rsidR="0001487A" w:rsidRPr="006F1924">
              <w:rPr>
                <w:rStyle w:val="Hyperlink"/>
                <w:rFonts w:cs="Calibri"/>
              </w:rPr>
              <w:t>Consultation on this design paper</w:t>
            </w:r>
            <w:r w:rsidR="0001487A">
              <w:rPr>
                <w:webHidden/>
              </w:rPr>
              <w:tab/>
            </w:r>
            <w:r w:rsidR="0001487A">
              <w:rPr>
                <w:webHidden/>
              </w:rPr>
              <w:fldChar w:fldCharType="begin"/>
            </w:r>
            <w:r w:rsidR="0001487A">
              <w:rPr>
                <w:webHidden/>
              </w:rPr>
              <w:instrText xml:space="preserve"> PAGEREF _Toc143705081 \h </w:instrText>
            </w:r>
            <w:r w:rsidR="0001487A">
              <w:rPr>
                <w:webHidden/>
              </w:rPr>
            </w:r>
            <w:r w:rsidR="0001487A">
              <w:rPr>
                <w:webHidden/>
              </w:rPr>
              <w:fldChar w:fldCharType="separate"/>
            </w:r>
            <w:r w:rsidR="009A7900">
              <w:rPr>
                <w:webHidden/>
              </w:rPr>
              <w:t>5</w:t>
            </w:r>
            <w:r w:rsidR="0001487A">
              <w:rPr>
                <w:webHidden/>
              </w:rPr>
              <w:fldChar w:fldCharType="end"/>
            </w:r>
          </w:hyperlink>
        </w:p>
        <w:p w14:paraId="11BFF972" w14:textId="5C935E47" w:rsidR="0001487A" w:rsidRDefault="00680C6E">
          <w:pPr>
            <w:pStyle w:val="TOC1"/>
            <w:rPr>
              <w:rFonts w:asciiTheme="minorHAnsi" w:eastAsiaTheme="minorEastAsia" w:hAnsiTheme="minorHAnsi"/>
              <w:lang w:val="en-AU" w:eastAsia="en-AU"/>
            </w:rPr>
          </w:pPr>
          <w:hyperlink w:anchor="_Toc143705082" w:history="1">
            <w:r w:rsidR="0001487A" w:rsidRPr="006F1924">
              <w:rPr>
                <w:rStyle w:val="Hyperlink"/>
                <w:rFonts w:eastAsia="Calibri" w:cs="Calibri"/>
              </w:rPr>
              <w:t>Issues for Feedback</w:t>
            </w:r>
            <w:r w:rsidR="0001487A">
              <w:rPr>
                <w:webHidden/>
              </w:rPr>
              <w:tab/>
            </w:r>
            <w:r w:rsidR="0001487A">
              <w:rPr>
                <w:webHidden/>
              </w:rPr>
              <w:fldChar w:fldCharType="begin"/>
            </w:r>
            <w:r w:rsidR="0001487A">
              <w:rPr>
                <w:webHidden/>
              </w:rPr>
              <w:instrText xml:space="preserve"> PAGEREF _Toc143705082 \h </w:instrText>
            </w:r>
            <w:r w:rsidR="0001487A">
              <w:rPr>
                <w:webHidden/>
              </w:rPr>
            </w:r>
            <w:r w:rsidR="0001487A">
              <w:rPr>
                <w:webHidden/>
              </w:rPr>
              <w:fldChar w:fldCharType="separate"/>
            </w:r>
            <w:r w:rsidR="009A7900">
              <w:rPr>
                <w:webHidden/>
              </w:rPr>
              <w:t>6</w:t>
            </w:r>
            <w:r w:rsidR="0001487A">
              <w:rPr>
                <w:webHidden/>
              </w:rPr>
              <w:fldChar w:fldCharType="end"/>
            </w:r>
          </w:hyperlink>
        </w:p>
        <w:p w14:paraId="0CD136A0" w14:textId="10448DC6" w:rsidR="0001487A" w:rsidRDefault="00680C6E">
          <w:pPr>
            <w:pStyle w:val="TOC2"/>
            <w:rPr>
              <w:rFonts w:asciiTheme="minorHAnsi" w:eastAsiaTheme="minorEastAsia" w:hAnsiTheme="minorHAnsi"/>
              <w:lang w:eastAsia="en-AU"/>
            </w:rPr>
          </w:pPr>
          <w:hyperlink w:anchor="_Toc143705083" w:history="1">
            <w:r w:rsidR="0001487A" w:rsidRPr="006F1924">
              <w:rPr>
                <w:rStyle w:val="Hyperlink"/>
                <w:rFonts w:eastAsia="Calibri" w:cs="Calibri"/>
              </w:rPr>
              <w:t>1.</w:t>
            </w:r>
            <w:r w:rsidR="0001487A">
              <w:rPr>
                <w:rFonts w:asciiTheme="minorHAnsi" w:eastAsiaTheme="minorEastAsia" w:hAnsiTheme="minorHAnsi"/>
                <w:lang w:eastAsia="en-AU"/>
              </w:rPr>
              <w:tab/>
            </w:r>
            <w:r w:rsidR="0001487A" w:rsidRPr="006F1924">
              <w:rPr>
                <w:rStyle w:val="Hyperlink"/>
                <w:rFonts w:eastAsia="Calibri" w:cs="Calibri"/>
              </w:rPr>
              <w:t>Bundling of consents</w:t>
            </w:r>
            <w:r w:rsidR="0001487A">
              <w:rPr>
                <w:webHidden/>
              </w:rPr>
              <w:tab/>
            </w:r>
            <w:r w:rsidR="0001487A">
              <w:rPr>
                <w:webHidden/>
              </w:rPr>
              <w:fldChar w:fldCharType="begin"/>
            </w:r>
            <w:r w:rsidR="0001487A">
              <w:rPr>
                <w:webHidden/>
              </w:rPr>
              <w:instrText xml:space="preserve"> PAGEREF _Toc143705083 \h </w:instrText>
            </w:r>
            <w:r w:rsidR="0001487A">
              <w:rPr>
                <w:webHidden/>
              </w:rPr>
            </w:r>
            <w:r w:rsidR="0001487A">
              <w:rPr>
                <w:webHidden/>
              </w:rPr>
              <w:fldChar w:fldCharType="separate"/>
            </w:r>
            <w:r w:rsidR="009A7900">
              <w:rPr>
                <w:webHidden/>
              </w:rPr>
              <w:t>6</w:t>
            </w:r>
            <w:r w:rsidR="0001487A">
              <w:rPr>
                <w:webHidden/>
              </w:rPr>
              <w:fldChar w:fldCharType="end"/>
            </w:r>
          </w:hyperlink>
        </w:p>
        <w:p w14:paraId="5129520B" w14:textId="583EC2AF" w:rsidR="0001487A" w:rsidRDefault="00680C6E">
          <w:pPr>
            <w:pStyle w:val="TOC2"/>
            <w:rPr>
              <w:rFonts w:asciiTheme="minorHAnsi" w:eastAsiaTheme="minorEastAsia" w:hAnsiTheme="minorHAnsi"/>
              <w:lang w:eastAsia="en-AU"/>
            </w:rPr>
          </w:pPr>
          <w:hyperlink w:anchor="_Toc143705084" w:history="1">
            <w:r w:rsidR="0001487A" w:rsidRPr="006F1924">
              <w:rPr>
                <w:rStyle w:val="Hyperlink"/>
              </w:rPr>
              <w:t>2.</w:t>
            </w:r>
            <w:r w:rsidR="0001487A">
              <w:rPr>
                <w:rFonts w:asciiTheme="minorHAnsi" w:eastAsiaTheme="minorEastAsia" w:hAnsiTheme="minorHAnsi"/>
                <w:lang w:eastAsia="en-AU"/>
              </w:rPr>
              <w:tab/>
            </w:r>
            <w:r w:rsidR="0001487A" w:rsidRPr="006F1924">
              <w:rPr>
                <w:rStyle w:val="Hyperlink"/>
              </w:rPr>
              <w:t>Pre-selected and actively selected options</w:t>
            </w:r>
            <w:r w:rsidR="0001487A">
              <w:rPr>
                <w:webHidden/>
              </w:rPr>
              <w:tab/>
            </w:r>
            <w:r w:rsidR="0001487A">
              <w:rPr>
                <w:webHidden/>
              </w:rPr>
              <w:fldChar w:fldCharType="begin"/>
            </w:r>
            <w:r w:rsidR="0001487A">
              <w:rPr>
                <w:webHidden/>
              </w:rPr>
              <w:instrText xml:space="preserve"> PAGEREF _Toc143705084 \h </w:instrText>
            </w:r>
            <w:r w:rsidR="0001487A">
              <w:rPr>
                <w:webHidden/>
              </w:rPr>
            </w:r>
            <w:r w:rsidR="0001487A">
              <w:rPr>
                <w:webHidden/>
              </w:rPr>
              <w:fldChar w:fldCharType="separate"/>
            </w:r>
            <w:r w:rsidR="009A7900">
              <w:rPr>
                <w:webHidden/>
              </w:rPr>
              <w:t>10</w:t>
            </w:r>
            <w:r w:rsidR="0001487A">
              <w:rPr>
                <w:webHidden/>
              </w:rPr>
              <w:fldChar w:fldCharType="end"/>
            </w:r>
          </w:hyperlink>
        </w:p>
        <w:p w14:paraId="393D597F" w14:textId="2580A090" w:rsidR="0001487A" w:rsidRDefault="00680C6E">
          <w:pPr>
            <w:pStyle w:val="TOC2"/>
            <w:rPr>
              <w:rFonts w:asciiTheme="minorHAnsi" w:eastAsiaTheme="minorEastAsia" w:hAnsiTheme="minorHAnsi"/>
              <w:lang w:eastAsia="en-AU"/>
            </w:rPr>
          </w:pPr>
          <w:hyperlink w:anchor="_Toc143705085" w:history="1">
            <w:r w:rsidR="0001487A" w:rsidRPr="006F1924">
              <w:rPr>
                <w:rStyle w:val="Hyperlink"/>
              </w:rPr>
              <w:t>3.</w:t>
            </w:r>
            <w:r w:rsidR="0001487A">
              <w:rPr>
                <w:rFonts w:asciiTheme="minorHAnsi" w:eastAsiaTheme="minorEastAsia" w:hAnsiTheme="minorHAnsi"/>
                <w:lang w:eastAsia="en-AU"/>
              </w:rPr>
              <w:tab/>
            </w:r>
            <w:r w:rsidR="0001487A" w:rsidRPr="006F1924">
              <w:rPr>
                <w:rStyle w:val="Hyperlink"/>
              </w:rPr>
              <w:t>Withdrawal of consent information</w:t>
            </w:r>
            <w:r w:rsidR="0001487A">
              <w:rPr>
                <w:webHidden/>
              </w:rPr>
              <w:tab/>
            </w:r>
            <w:r w:rsidR="0001487A">
              <w:rPr>
                <w:webHidden/>
              </w:rPr>
              <w:fldChar w:fldCharType="begin"/>
            </w:r>
            <w:r w:rsidR="0001487A">
              <w:rPr>
                <w:webHidden/>
              </w:rPr>
              <w:instrText xml:space="preserve"> PAGEREF _Toc143705085 \h </w:instrText>
            </w:r>
            <w:r w:rsidR="0001487A">
              <w:rPr>
                <w:webHidden/>
              </w:rPr>
            </w:r>
            <w:r w:rsidR="0001487A">
              <w:rPr>
                <w:webHidden/>
              </w:rPr>
              <w:fldChar w:fldCharType="separate"/>
            </w:r>
            <w:r w:rsidR="009A7900">
              <w:rPr>
                <w:webHidden/>
              </w:rPr>
              <w:t>13</w:t>
            </w:r>
            <w:r w:rsidR="0001487A">
              <w:rPr>
                <w:webHidden/>
              </w:rPr>
              <w:fldChar w:fldCharType="end"/>
            </w:r>
          </w:hyperlink>
        </w:p>
        <w:p w14:paraId="019F2D64" w14:textId="5A9EC47F" w:rsidR="0001487A" w:rsidRDefault="00680C6E">
          <w:pPr>
            <w:pStyle w:val="TOC2"/>
            <w:rPr>
              <w:rFonts w:asciiTheme="minorHAnsi" w:eastAsiaTheme="minorEastAsia" w:hAnsiTheme="minorHAnsi"/>
              <w:lang w:eastAsia="en-AU"/>
            </w:rPr>
          </w:pPr>
          <w:hyperlink w:anchor="_Toc143705086" w:history="1">
            <w:r w:rsidR="0001487A" w:rsidRPr="006F1924">
              <w:rPr>
                <w:rStyle w:val="Hyperlink"/>
              </w:rPr>
              <w:t>4.</w:t>
            </w:r>
            <w:r w:rsidR="0001487A">
              <w:rPr>
                <w:rFonts w:asciiTheme="minorHAnsi" w:eastAsiaTheme="minorEastAsia" w:hAnsiTheme="minorHAnsi"/>
                <w:lang w:eastAsia="en-AU"/>
              </w:rPr>
              <w:tab/>
            </w:r>
            <w:r w:rsidR="0001487A" w:rsidRPr="006F1924">
              <w:rPr>
                <w:rStyle w:val="Hyperlink"/>
              </w:rPr>
              <w:t>Supporting parties</w:t>
            </w:r>
            <w:r w:rsidR="0001487A">
              <w:rPr>
                <w:webHidden/>
              </w:rPr>
              <w:tab/>
            </w:r>
            <w:r w:rsidR="0001487A">
              <w:rPr>
                <w:webHidden/>
              </w:rPr>
              <w:fldChar w:fldCharType="begin"/>
            </w:r>
            <w:r w:rsidR="0001487A">
              <w:rPr>
                <w:webHidden/>
              </w:rPr>
              <w:instrText xml:space="preserve"> PAGEREF _Toc143705086 \h </w:instrText>
            </w:r>
            <w:r w:rsidR="0001487A">
              <w:rPr>
                <w:webHidden/>
              </w:rPr>
            </w:r>
            <w:r w:rsidR="0001487A">
              <w:rPr>
                <w:webHidden/>
              </w:rPr>
              <w:fldChar w:fldCharType="separate"/>
            </w:r>
            <w:r w:rsidR="009A7900">
              <w:rPr>
                <w:webHidden/>
              </w:rPr>
              <w:t>14</w:t>
            </w:r>
            <w:r w:rsidR="0001487A">
              <w:rPr>
                <w:webHidden/>
              </w:rPr>
              <w:fldChar w:fldCharType="end"/>
            </w:r>
          </w:hyperlink>
        </w:p>
        <w:p w14:paraId="529CF70C" w14:textId="49B43310" w:rsidR="0001487A" w:rsidRDefault="00680C6E">
          <w:pPr>
            <w:pStyle w:val="TOC2"/>
            <w:rPr>
              <w:rFonts w:asciiTheme="minorHAnsi" w:eastAsiaTheme="minorEastAsia" w:hAnsiTheme="minorHAnsi"/>
              <w:lang w:eastAsia="en-AU"/>
            </w:rPr>
          </w:pPr>
          <w:hyperlink w:anchor="_Toc143705087" w:history="1">
            <w:r w:rsidR="0001487A" w:rsidRPr="006F1924">
              <w:rPr>
                <w:rStyle w:val="Hyperlink"/>
                <w:rFonts w:eastAsia="Calibri" w:cs="Calibri"/>
              </w:rPr>
              <w:t>5.</w:t>
            </w:r>
            <w:r w:rsidR="0001487A">
              <w:rPr>
                <w:rFonts w:asciiTheme="minorHAnsi" w:eastAsiaTheme="minorEastAsia" w:hAnsiTheme="minorHAnsi"/>
                <w:lang w:eastAsia="en-AU"/>
              </w:rPr>
              <w:tab/>
            </w:r>
            <w:r w:rsidR="0001487A" w:rsidRPr="006F1924">
              <w:rPr>
                <w:rStyle w:val="Hyperlink"/>
                <w:rFonts w:eastAsia="Calibri" w:cs="Calibri"/>
              </w:rPr>
              <w:t>Notifications</w:t>
            </w:r>
            <w:r w:rsidR="0001487A">
              <w:rPr>
                <w:webHidden/>
              </w:rPr>
              <w:tab/>
            </w:r>
            <w:r w:rsidR="0001487A">
              <w:rPr>
                <w:webHidden/>
              </w:rPr>
              <w:fldChar w:fldCharType="begin"/>
            </w:r>
            <w:r w:rsidR="0001487A">
              <w:rPr>
                <w:webHidden/>
              </w:rPr>
              <w:instrText xml:space="preserve"> PAGEREF _Toc143705087 \h </w:instrText>
            </w:r>
            <w:r w:rsidR="0001487A">
              <w:rPr>
                <w:webHidden/>
              </w:rPr>
            </w:r>
            <w:r w:rsidR="0001487A">
              <w:rPr>
                <w:webHidden/>
              </w:rPr>
              <w:fldChar w:fldCharType="separate"/>
            </w:r>
            <w:r w:rsidR="009A7900">
              <w:rPr>
                <w:webHidden/>
              </w:rPr>
              <w:t>17</w:t>
            </w:r>
            <w:r w:rsidR="0001487A">
              <w:rPr>
                <w:webHidden/>
              </w:rPr>
              <w:fldChar w:fldCharType="end"/>
            </w:r>
          </w:hyperlink>
        </w:p>
        <w:p w14:paraId="6ABE5728" w14:textId="27D0CA7B" w:rsidR="0001487A" w:rsidRDefault="00680C6E">
          <w:pPr>
            <w:pStyle w:val="TOC3"/>
            <w:rPr>
              <w:rFonts w:asciiTheme="minorHAnsi" w:eastAsiaTheme="minorEastAsia" w:hAnsiTheme="minorHAnsi"/>
              <w:lang w:eastAsia="en-AU"/>
            </w:rPr>
          </w:pPr>
          <w:hyperlink w:anchor="_Toc143705088" w:history="1">
            <w:r w:rsidR="0001487A" w:rsidRPr="006F1924">
              <w:rPr>
                <w:rStyle w:val="Hyperlink"/>
                <w:rFonts w:eastAsia="Calibri" w:cs="Calibri"/>
              </w:rPr>
              <w:t>CDR receipts</w:t>
            </w:r>
            <w:r w:rsidR="0001487A">
              <w:rPr>
                <w:webHidden/>
              </w:rPr>
              <w:tab/>
            </w:r>
            <w:r w:rsidR="0001487A">
              <w:rPr>
                <w:webHidden/>
              </w:rPr>
              <w:fldChar w:fldCharType="begin"/>
            </w:r>
            <w:r w:rsidR="0001487A">
              <w:rPr>
                <w:webHidden/>
              </w:rPr>
              <w:instrText xml:space="preserve"> PAGEREF _Toc143705088 \h </w:instrText>
            </w:r>
            <w:r w:rsidR="0001487A">
              <w:rPr>
                <w:webHidden/>
              </w:rPr>
            </w:r>
            <w:r w:rsidR="0001487A">
              <w:rPr>
                <w:webHidden/>
              </w:rPr>
              <w:fldChar w:fldCharType="separate"/>
            </w:r>
            <w:r w:rsidR="009A7900">
              <w:rPr>
                <w:webHidden/>
              </w:rPr>
              <w:t>18</w:t>
            </w:r>
            <w:r w:rsidR="0001487A">
              <w:rPr>
                <w:webHidden/>
              </w:rPr>
              <w:fldChar w:fldCharType="end"/>
            </w:r>
          </w:hyperlink>
        </w:p>
        <w:p w14:paraId="23228FFF" w14:textId="34F18E60" w:rsidR="0001487A" w:rsidRDefault="00680C6E">
          <w:pPr>
            <w:pStyle w:val="TOC3"/>
            <w:rPr>
              <w:rFonts w:asciiTheme="minorHAnsi" w:eastAsiaTheme="minorEastAsia" w:hAnsiTheme="minorHAnsi"/>
              <w:lang w:eastAsia="en-AU"/>
            </w:rPr>
          </w:pPr>
          <w:hyperlink w:anchor="_Toc143705089" w:history="1">
            <w:r w:rsidR="0001487A" w:rsidRPr="006F1924">
              <w:rPr>
                <w:rStyle w:val="Hyperlink"/>
                <w:rFonts w:eastAsia="Calibri" w:cs="Calibri"/>
              </w:rPr>
              <w:t>90-day notifications</w:t>
            </w:r>
            <w:r w:rsidR="0001487A">
              <w:rPr>
                <w:webHidden/>
              </w:rPr>
              <w:tab/>
            </w:r>
            <w:r w:rsidR="0001487A">
              <w:rPr>
                <w:webHidden/>
              </w:rPr>
              <w:fldChar w:fldCharType="begin"/>
            </w:r>
            <w:r w:rsidR="0001487A">
              <w:rPr>
                <w:webHidden/>
              </w:rPr>
              <w:instrText xml:space="preserve"> PAGEREF _Toc143705089 \h </w:instrText>
            </w:r>
            <w:r w:rsidR="0001487A">
              <w:rPr>
                <w:webHidden/>
              </w:rPr>
            </w:r>
            <w:r w:rsidR="0001487A">
              <w:rPr>
                <w:webHidden/>
              </w:rPr>
              <w:fldChar w:fldCharType="separate"/>
            </w:r>
            <w:r w:rsidR="009A7900">
              <w:rPr>
                <w:webHidden/>
              </w:rPr>
              <w:t>19</w:t>
            </w:r>
            <w:r w:rsidR="0001487A">
              <w:rPr>
                <w:webHidden/>
              </w:rPr>
              <w:fldChar w:fldCharType="end"/>
            </w:r>
          </w:hyperlink>
        </w:p>
        <w:p w14:paraId="7FFAE3C7" w14:textId="55FB249A" w:rsidR="0001487A" w:rsidRDefault="00680C6E">
          <w:pPr>
            <w:pStyle w:val="TOC2"/>
            <w:rPr>
              <w:rFonts w:asciiTheme="minorHAnsi" w:eastAsiaTheme="minorEastAsia" w:hAnsiTheme="minorHAnsi"/>
              <w:lang w:eastAsia="en-AU"/>
            </w:rPr>
          </w:pPr>
          <w:hyperlink w:anchor="_Toc143705090" w:history="1">
            <w:r w:rsidR="0001487A" w:rsidRPr="006F1924">
              <w:rPr>
                <w:rStyle w:val="Hyperlink"/>
                <w:rFonts w:eastAsia="Calibri" w:cs="Calibri"/>
              </w:rPr>
              <w:t>6.</w:t>
            </w:r>
            <w:r w:rsidR="0001487A">
              <w:rPr>
                <w:rFonts w:asciiTheme="minorHAnsi" w:eastAsiaTheme="minorEastAsia" w:hAnsiTheme="minorHAnsi"/>
                <w:lang w:eastAsia="en-AU"/>
              </w:rPr>
              <w:tab/>
            </w:r>
            <w:r w:rsidR="0001487A" w:rsidRPr="006F1924">
              <w:rPr>
                <w:rStyle w:val="Hyperlink"/>
                <w:rFonts w:eastAsia="Calibri" w:cs="Calibri"/>
              </w:rPr>
              <w:t>De-identification and deletion by default</w:t>
            </w:r>
            <w:r w:rsidR="0001487A">
              <w:rPr>
                <w:webHidden/>
              </w:rPr>
              <w:tab/>
            </w:r>
            <w:r w:rsidR="0001487A">
              <w:rPr>
                <w:webHidden/>
              </w:rPr>
              <w:fldChar w:fldCharType="begin"/>
            </w:r>
            <w:r w:rsidR="0001487A">
              <w:rPr>
                <w:webHidden/>
              </w:rPr>
              <w:instrText xml:space="preserve"> PAGEREF _Toc143705090 \h </w:instrText>
            </w:r>
            <w:r w:rsidR="0001487A">
              <w:rPr>
                <w:webHidden/>
              </w:rPr>
            </w:r>
            <w:r w:rsidR="0001487A">
              <w:rPr>
                <w:webHidden/>
              </w:rPr>
              <w:fldChar w:fldCharType="separate"/>
            </w:r>
            <w:r w:rsidR="009A7900">
              <w:rPr>
                <w:webHidden/>
              </w:rPr>
              <w:t>20</w:t>
            </w:r>
            <w:r w:rsidR="0001487A">
              <w:rPr>
                <w:webHidden/>
              </w:rPr>
              <w:fldChar w:fldCharType="end"/>
            </w:r>
          </w:hyperlink>
        </w:p>
        <w:p w14:paraId="570147B2" w14:textId="17BB6492" w:rsidR="0001487A" w:rsidRDefault="00680C6E">
          <w:pPr>
            <w:pStyle w:val="TOC2"/>
            <w:rPr>
              <w:rFonts w:asciiTheme="minorHAnsi" w:eastAsiaTheme="minorEastAsia" w:hAnsiTheme="minorHAnsi"/>
              <w:lang w:eastAsia="en-AU"/>
            </w:rPr>
          </w:pPr>
          <w:hyperlink w:anchor="_Toc143705091" w:history="1">
            <w:r w:rsidR="0001487A" w:rsidRPr="006F1924">
              <w:rPr>
                <w:rStyle w:val="Hyperlink"/>
                <w:rFonts w:eastAsia="Calibri" w:cs="Calibri"/>
              </w:rPr>
              <w:t>7.</w:t>
            </w:r>
            <w:r w:rsidR="0001487A">
              <w:rPr>
                <w:rFonts w:asciiTheme="minorHAnsi" w:eastAsiaTheme="minorEastAsia" w:hAnsiTheme="minorHAnsi"/>
                <w:lang w:eastAsia="en-AU"/>
              </w:rPr>
              <w:tab/>
            </w:r>
            <w:r w:rsidR="0001487A" w:rsidRPr="006F1924">
              <w:rPr>
                <w:rStyle w:val="Hyperlink"/>
                <w:rFonts w:eastAsia="Calibri" w:cs="Calibri"/>
              </w:rPr>
              <w:t>Dark patterns</w:t>
            </w:r>
            <w:r w:rsidR="0001487A">
              <w:rPr>
                <w:webHidden/>
              </w:rPr>
              <w:tab/>
            </w:r>
            <w:r w:rsidR="0001487A">
              <w:rPr>
                <w:webHidden/>
              </w:rPr>
              <w:fldChar w:fldCharType="begin"/>
            </w:r>
            <w:r w:rsidR="0001487A">
              <w:rPr>
                <w:webHidden/>
              </w:rPr>
              <w:instrText xml:space="preserve"> PAGEREF _Toc143705091 \h </w:instrText>
            </w:r>
            <w:r w:rsidR="0001487A">
              <w:rPr>
                <w:webHidden/>
              </w:rPr>
            </w:r>
            <w:r w:rsidR="0001487A">
              <w:rPr>
                <w:webHidden/>
              </w:rPr>
              <w:fldChar w:fldCharType="separate"/>
            </w:r>
            <w:r w:rsidR="009A7900">
              <w:rPr>
                <w:webHidden/>
              </w:rPr>
              <w:t>21</w:t>
            </w:r>
            <w:r w:rsidR="0001487A">
              <w:rPr>
                <w:webHidden/>
              </w:rPr>
              <w:fldChar w:fldCharType="end"/>
            </w:r>
          </w:hyperlink>
        </w:p>
        <w:p w14:paraId="672861FC" w14:textId="2EA0ED02" w:rsidR="0001487A" w:rsidRDefault="00680C6E">
          <w:pPr>
            <w:pStyle w:val="TOC2"/>
            <w:rPr>
              <w:rFonts w:asciiTheme="minorHAnsi" w:eastAsiaTheme="minorEastAsia" w:hAnsiTheme="minorHAnsi"/>
              <w:lang w:eastAsia="en-AU"/>
            </w:rPr>
          </w:pPr>
          <w:hyperlink w:anchor="_Toc143705092" w:history="1">
            <w:r w:rsidR="0001487A" w:rsidRPr="006F1924">
              <w:rPr>
                <w:rStyle w:val="Hyperlink"/>
              </w:rPr>
              <w:t>8.</w:t>
            </w:r>
            <w:r w:rsidR="0001487A">
              <w:rPr>
                <w:rFonts w:asciiTheme="minorHAnsi" w:eastAsiaTheme="minorEastAsia" w:hAnsiTheme="minorHAnsi"/>
                <w:lang w:eastAsia="en-AU"/>
              </w:rPr>
              <w:tab/>
            </w:r>
            <w:r w:rsidR="0001487A" w:rsidRPr="006F1924">
              <w:rPr>
                <w:rStyle w:val="Hyperlink"/>
              </w:rPr>
              <w:t>Future work on consent</w:t>
            </w:r>
            <w:r w:rsidR="0001487A">
              <w:rPr>
                <w:webHidden/>
              </w:rPr>
              <w:tab/>
            </w:r>
            <w:r w:rsidR="0001487A">
              <w:rPr>
                <w:webHidden/>
              </w:rPr>
              <w:fldChar w:fldCharType="begin"/>
            </w:r>
            <w:r w:rsidR="0001487A">
              <w:rPr>
                <w:webHidden/>
              </w:rPr>
              <w:instrText xml:space="preserve"> PAGEREF _Toc143705092 \h </w:instrText>
            </w:r>
            <w:r w:rsidR="0001487A">
              <w:rPr>
                <w:webHidden/>
              </w:rPr>
            </w:r>
            <w:r w:rsidR="0001487A">
              <w:rPr>
                <w:webHidden/>
              </w:rPr>
              <w:fldChar w:fldCharType="separate"/>
            </w:r>
            <w:r w:rsidR="009A7900">
              <w:rPr>
                <w:webHidden/>
              </w:rPr>
              <w:t>24</w:t>
            </w:r>
            <w:r w:rsidR="0001487A">
              <w:rPr>
                <w:webHidden/>
              </w:rPr>
              <w:fldChar w:fldCharType="end"/>
            </w:r>
          </w:hyperlink>
        </w:p>
        <w:p w14:paraId="3B03274C" w14:textId="1343F716" w:rsidR="000E6A48" w:rsidRPr="00B836A6" w:rsidRDefault="000E6A48" w:rsidP="000E6A48">
          <w:pPr>
            <w:rPr>
              <w:rFonts w:cs="Calibri"/>
              <w:b/>
              <w:noProof/>
            </w:rPr>
          </w:pPr>
          <w:r w:rsidRPr="00B836A6">
            <w:rPr>
              <w:rFonts w:cs="Calibri"/>
              <w:b/>
              <w:color w:val="2B579A"/>
              <w:shd w:val="clear" w:color="auto" w:fill="E6E6E6"/>
            </w:rPr>
            <w:fldChar w:fldCharType="end"/>
          </w:r>
        </w:p>
      </w:sdtContent>
    </w:sdt>
    <w:bookmarkEnd w:id="0"/>
    <w:p w14:paraId="42324883" w14:textId="77777777" w:rsidR="00901220" w:rsidRPr="00B836A6" w:rsidRDefault="00901220" w:rsidP="20057625">
      <w:pPr>
        <w:pStyle w:val="Heading2"/>
        <w:numPr>
          <w:ilvl w:val="0"/>
          <w:numId w:val="0"/>
        </w:numPr>
        <w:rPr>
          <w:rFonts w:cs="Calibri"/>
        </w:rPr>
        <w:sectPr w:rsidR="00901220" w:rsidRPr="00B836A6">
          <w:headerReference w:type="default" r:id="rId13"/>
          <w:footerReference w:type="default" r:id="rId14"/>
          <w:pgSz w:w="11906" w:h="16838"/>
          <w:pgMar w:top="1440" w:right="1440" w:bottom="1440" w:left="1440" w:header="708" w:footer="708" w:gutter="0"/>
          <w:cols w:space="708"/>
          <w:docGrid w:linePitch="360"/>
        </w:sectPr>
      </w:pPr>
    </w:p>
    <w:p w14:paraId="408442EE" w14:textId="2457F383" w:rsidR="0074592B" w:rsidRPr="00B836A6" w:rsidRDefault="007A21B5" w:rsidP="00284667">
      <w:pPr>
        <w:pStyle w:val="Heading2"/>
        <w:numPr>
          <w:ilvl w:val="0"/>
          <w:numId w:val="0"/>
        </w:numPr>
        <w:rPr>
          <w:rFonts w:cs="Calibri"/>
        </w:rPr>
      </w:pPr>
      <w:bookmarkStart w:id="2" w:name="_Toc142317572"/>
      <w:bookmarkStart w:id="3" w:name="_Toc143705078"/>
      <w:r w:rsidRPr="00B836A6">
        <w:rPr>
          <w:rFonts w:cs="Calibri"/>
        </w:rPr>
        <w:lastRenderedPageBreak/>
        <w:t>P</w:t>
      </w:r>
      <w:r w:rsidR="00B97AA7" w:rsidRPr="00B836A6">
        <w:rPr>
          <w:rFonts w:cs="Calibri"/>
        </w:rPr>
        <w:t xml:space="preserve">urpose of </w:t>
      </w:r>
      <w:r w:rsidR="00C127DF">
        <w:rPr>
          <w:rFonts w:cs="Calibri"/>
        </w:rPr>
        <w:t xml:space="preserve">this </w:t>
      </w:r>
      <w:r w:rsidR="00B97AA7" w:rsidRPr="00B836A6">
        <w:rPr>
          <w:rFonts w:cs="Calibri"/>
        </w:rPr>
        <w:t>design paper</w:t>
      </w:r>
      <w:bookmarkEnd w:id="2"/>
      <w:bookmarkEnd w:id="3"/>
    </w:p>
    <w:p w14:paraId="4E1314A1" w14:textId="710B0199" w:rsidR="00A54C2E" w:rsidRPr="00B2207A" w:rsidRDefault="04AD8402" w:rsidP="00A54C2E">
      <w:pPr>
        <w:rPr>
          <w:rFonts w:cs="Calibri"/>
        </w:rPr>
      </w:pPr>
      <w:bookmarkStart w:id="4" w:name="_Hlk118116867"/>
      <w:r w:rsidRPr="06AE641B">
        <w:rPr>
          <w:rFonts w:cs="Calibri"/>
        </w:rPr>
        <w:t xml:space="preserve">The </w:t>
      </w:r>
      <w:r w:rsidR="003B11E1" w:rsidRPr="06AE641B">
        <w:rPr>
          <w:rFonts w:cs="Calibri"/>
        </w:rPr>
        <w:t xml:space="preserve">Treasury </w:t>
      </w:r>
      <w:r w:rsidR="003B11E1">
        <w:rPr>
          <w:rFonts w:cs="Calibri"/>
        </w:rPr>
        <w:t xml:space="preserve">and the </w:t>
      </w:r>
      <w:r w:rsidRPr="06AE641B">
        <w:rPr>
          <w:rFonts w:cs="Calibri"/>
        </w:rPr>
        <w:t xml:space="preserve">Data Standards Body (DSB) are </w:t>
      </w:r>
      <w:r w:rsidR="3ED6EDD1" w:rsidRPr="06AE641B">
        <w:rPr>
          <w:rFonts w:cs="Calibri"/>
        </w:rPr>
        <w:t xml:space="preserve">reviewing </w:t>
      </w:r>
      <w:r w:rsidRPr="06AE641B">
        <w:rPr>
          <w:rFonts w:cs="Calibri"/>
        </w:rPr>
        <w:t xml:space="preserve">the </w:t>
      </w:r>
      <w:hyperlink r:id="rId15">
        <w:r w:rsidR="00491EC6" w:rsidRPr="00491EC6">
          <w:rPr>
            <w:rStyle w:val="Hyperlink"/>
            <w:rFonts w:cs="Calibri"/>
            <w:i/>
            <w:iCs/>
          </w:rPr>
          <w:t>Competition and Consumer (Consumer Data Right) Rules 2020</w:t>
        </w:r>
      </w:hyperlink>
      <w:r w:rsidR="00491EC6" w:rsidRPr="00305072">
        <w:rPr>
          <w:rFonts w:cs="Calibri"/>
          <w:i/>
        </w:rPr>
        <w:t xml:space="preserve"> </w:t>
      </w:r>
      <w:r w:rsidR="00491EC6" w:rsidRPr="00305072">
        <w:rPr>
          <w:rFonts w:cs="Calibri"/>
        </w:rPr>
        <w:t>(the CDR Rules)</w:t>
      </w:r>
      <w:r w:rsidR="00491EC6">
        <w:rPr>
          <w:rFonts w:cs="Calibri"/>
        </w:rPr>
        <w:t xml:space="preserve"> </w:t>
      </w:r>
      <w:r w:rsidRPr="06AE641B">
        <w:rPr>
          <w:rFonts w:cs="Calibri"/>
        </w:rPr>
        <w:t xml:space="preserve">and </w:t>
      </w:r>
      <w:r w:rsidR="00CA0984">
        <w:rPr>
          <w:rFonts w:cs="Calibri"/>
        </w:rPr>
        <w:t>Data S</w:t>
      </w:r>
      <w:r w:rsidRPr="06AE641B">
        <w:rPr>
          <w:rFonts w:cs="Calibri"/>
        </w:rPr>
        <w:t xml:space="preserve">tandards </w:t>
      </w:r>
      <w:r w:rsidR="00853944">
        <w:rPr>
          <w:rFonts w:cs="Calibri"/>
        </w:rPr>
        <w:t>(standards)</w:t>
      </w:r>
      <w:r w:rsidRPr="06AE641B">
        <w:rPr>
          <w:rFonts w:cs="Calibri"/>
        </w:rPr>
        <w:t xml:space="preserve"> </w:t>
      </w:r>
      <w:r w:rsidR="00491EC6">
        <w:rPr>
          <w:rFonts w:cs="Calibri"/>
        </w:rPr>
        <w:t xml:space="preserve">for consent </w:t>
      </w:r>
      <w:r w:rsidRPr="06AE641B">
        <w:rPr>
          <w:rFonts w:cs="Calibri"/>
        </w:rPr>
        <w:t xml:space="preserve">to support a better consumer experience while maintaining key consumer protections. The </w:t>
      </w:r>
      <w:r w:rsidR="1A90E161" w:rsidRPr="06AE641B">
        <w:rPr>
          <w:rFonts w:cs="Calibri"/>
        </w:rPr>
        <w:t>purpose</w:t>
      </w:r>
      <w:r w:rsidRPr="06AE641B">
        <w:rPr>
          <w:rFonts w:cs="Calibri"/>
        </w:rPr>
        <w:t xml:space="preserve"> of the review is to help organisations provide intuitive, informed, and trustworthy consent experiences that enable positive outcomes for CDR consumers.</w:t>
      </w:r>
    </w:p>
    <w:p w14:paraId="4BC3DF7B" w14:textId="3AFA9497" w:rsidR="007846A5" w:rsidRDefault="00122DFC" w:rsidP="009D49F1">
      <w:pPr>
        <w:rPr>
          <w:rFonts w:cs="Calibri"/>
        </w:rPr>
      </w:pPr>
      <w:r w:rsidRPr="00B2207A">
        <w:rPr>
          <w:rFonts w:cs="Calibri"/>
        </w:rPr>
        <w:t>This design pape</w:t>
      </w:r>
      <w:r w:rsidR="00AB36DA" w:rsidRPr="00B2207A">
        <w:rPr>
          <w:rFonts w:cs="Calibri"/>
        </w:rPr>
        <w:t>r</w:t>
      </w:r>
      <w:r w:rsidR="003C3C8B" w:rsidRPr="00B2207A">
        <w:rPr>
          <w:rFonts w:cs="Calibri"/>
        </w:rPr>
        <w:t xml:space="preserve"> sets out the </w:t>
      </w:r>
      <w:r w:rsidR="009B3C34">
        <w:rPr>
          <w:rFonts w:cs="Calibri"/>
        </w:rPr>
        <w:t>proposals</w:t>
      </w:r>
      <w:r w:rsidR="003C3C8B" w:rsidRPr="00B2207A">
        <w:rPr>
          <w:rFonts w:cs="Calibri"/>
        </w:rPr>
        <w:t xml:space="preserve"> that </w:t>
      </w:r>
      <w:r w:rsidR="00770FB8" w:rsidRPr="00B2207A">
        <w:rPr>
          <w:rFonts w:cs="Calibri"/>
        </w:rPr>
        <w:t>will support</w:t>
      </w:r>
      <w:r w:rsidR="003C3C8B" w:rsidRPr="00B2207A">
        <w:rPr>
          <w:rFonts w:cs="Calibri"/>
        </w:rPr>
        <w:t xml:space="preserve"> </w:t>
      </w:r>
      <w:r w:rsidR="00770FB8" w:rsidRPr="00B2207A">
        <w:rPr>
          <w:rFonts w:cs="Calibri"/>
        </w:rPr>
        <w:t>the development of the rules and standards on CDR consents</w:t>
      </w:r>
      <w:r w:rsidR="00F16EA6">
        <w:rPr>
          <w:rFonts w:cs="Calibri"/>
        </w:rPr>
        <w:t xml:space="preserve">. </w:t>
      </w:r>
      <w:r w:rsidR="006759D2">
        <w:rPr>
          <w:rFonts w:cs="Calibri"/>
        </w:rPr>
        <w:t>Each of the issues for feedback in this paper</w:t>
      </w:r>
      <w:r w:rsidR="00081D83">
        <w:rPr>
          <w:rFonts w:cs="Calibri"/>
        </w:rPr>
        <w:t xml:space="preserve"> </w:t>
      </w:r>
      <w:r w:rsidR="00AF3FC3">
        <w:rPr>
          <w:rFonts w:cs="Calibri"/>
        </w:rPr>
        <w:t xml:space="preserve">expand </w:t>
      </w:r>
      <w:r w:rsidR="00781412">
        <w:rPr>
          <w:rFonts w:cs="Calibri"/>
        </w:rPr>
        <w:t xml:space="preserve">on the </w:t>
      </w:r>
      <w:r w:rsidR="00D91A9F">
        <w:rPr>
          <w:rFonts w:cs="Calibri"/>
        </w:rPr>
        <w:t xml:space="preserve">change </w:t>
      </w:r>
      <w:r w:rsidR="00727D41">
        <w:rPr>
          <w:rFonts w:cs="Calibri"/>
        </w:rPr>
        <w:t xml:space="preserve">proposals </w:t>
      </w:r>
      <w:r w:rsidR="007E305A" w:rsidRPr="00B836A6">
        <w:rPr>
          <w:rFonts w:cs="Calibri"/>
        </w:rPr>
        <w:t xml:space="preserve">outlined in </w:t>
      </w:r>
      <w:bookmarkStart w:id="5" w:name="_Hlk131598564"/>
      <w:r w:rsidR="00920F81">
        <w:fldChar w:fldCharType="begin"/>
      </w:r>
      <w:r w:rsidR="00920F81">
        <w:instrText xml:space="preserve"> HYPERLINK "https://github.com/ConsumerDataStandardsAustralia/standards/issues/273" \h </w:instrText>
      </w:r>
      <w:r w:rsidR="00920F81">
        <w:fldChar w:fldCharType="separate"/>
      </w:r>
      <w:r w:rsidR="33E9E443" w:rsidRPr="212C0ED2">
        <w:rPr>
          <w:rStyle w:val="Hyperlink"/>
          <w:rFonts w:cs="Calibri"/>
        </w:rPr>
        <w:t>Noting Paper 273 – Consent Review</w:t>
      </w:r>
      <w:r w:rsidR="00920F81">
        <w:rPr>
          <w:rStyle w:val="Hyperlink"/>
          <w:rFonts w:cs="Calibri"/>
        </w:rPr>
        <w:fldChar w:fldCharType="end"/>
      </w:r>
      <w:bookmarkEnd w:id="5"/>
      <w:r w:rsidR="007E3997" w:rsidRPr="000C7D96">
        <w:t xml:space="preserve"> </w:t>
      </w:r>
      <w:r w:rsidR="009D49F1" w:rsidRPr="000C7D96">
        <w:t>(noting paper)</w:t>
      </w:r>
      <w:r w:rsidR="13FCCB71" w:rsidRPr="212C0ED2">
        <w:rPr>
          <w:rFonts w:cs="Calibri"/>
        </w:rPr>
        <w:t>.</w:t>
      </w:r>
      <w:r w:rsidR="000566A1">
        <w:rPr>
          <w:rFonts w:cs="Calibri"/>
        </w:rPr>
        <w:t xml:space="preserve"> </w:t>
      </w:r>
    </w:p>
    <w:p w14:paraId="16A9022E" w14:textId="30E7AED6" w:rsidR="007846A5" w:rsidRDefault="00C41A64" w:rsidP="001210DA">
      <w:pPr>
        <w:rPr>
          <w:rFonts w:cs="Calibri"/>
        </w:rPr>
      </w:pPr>
      <w:r>
        <w:rPr>
          <w:rFonts w:cs="Calibri"/>
        </w:rPr>
        <w:t xml:space="preserve">Example </w:t>
      </w:r>
      <w:hyperlink r:id="rId16" w:history="1">
        <w:r w:rsidRPr="00C41A64">
          <w:rPr>
            <w:rStyle w:val="Hyperlink"/>
            <w:rFonts w:cs="Calibri"/>
          </w:rPr>
          <w:t>wireframes</w:t>
        </w:r>
      </w:hyperlink>
      <w:r w:rsidR="2FF7226C" w:rsidRPr="06AE641B">
        <w:rPr>
          <w:rFonts w:cs="Calibri"/>
        </w:rPr>
        <w:t xml:space="preserve"> have been </w:t>
      </w:r>
      <w:r w:rsidR="00F47E89">
        <w:rPr>
          <w:rFonts w:cs="Calibri"/>
        </w:rPr>
        <w:t>developed</w:t>
      </w:r>
      <w:r w:rsidR="2FF7226C" w:rsidRPr="06AE641B">
        <w:rPr>
          <w:rFonts w:cs="Calibri"/>
        </w:rPr>
        <w:t xml:space="preserve"> to provide a visual aid to </w:t>
      </w:r>
      <w:r w:rsidR="004141BA">
        <w:rPr>
          <w:rFonts w:cs="Calibri"/>
        </w:rPr>
        <w:t>the proposals in this</w:t>
      </w:r>
      <w:r w:rsidR="004141BA" w:rsidRPr="06AE641B">
        <w:rPr>
          <w:rFonts w:cs="Calibri"/>
        </w:rPr>
        <w:t xml:space="preserve"> </w:t>
      </w:r>
      <w:r w:rsidR="2FF7226C" w:rsidRPr="06AE641B">
        <w:rPr>
          <w:rFonts w:cs="Calibri"/>
        </w:rPr>
        <w:t>consultation</w:t>
      </w:r>
      <w:r w:rsidR="00345726">
        <w:rPr>
          <w:rFonts w:cs="Calibri"/>
        </w:rPr>
        <w:t xml:space="preserve"> and</w:t>
      </w:r>
      <w:r w:rsidR="2FF7226C" w:rsidRPr="06AE641B">
        <w:rPr>
          <w:rFonts w:cs="Calibri"/>
        </w:rPr>
        <w:t xml:space="preserve"> outline where certain issues </w:t>
      </w:r>
      <w:r w:rsidR="00345726">
        <w:rPr>
          <w:rFonts w:cs="Calibri"/>
        </w:rPr>
        <w:t>identified</w:t>
      </w:r>
      <w:r w:rsidR="00345726" w:rsidRPr="06AE641B">
        <w:rPr>
          <w:rFonts w:cs="Calibri"/>
        </w:rPr>
        <w:t xml:space="preserve"> </w:t>
      </w:r>
      <w:r w:rsidR="2FF7226C" w:rsidRPr="06AE641B">
        <w:rPr>
          <w:rFonts w:cs="Calibri"/>
        </w:rPr>
        <w:t xml:space="preserve">in this paper may arise. </w:t>
      </w:r>
      <w:r w:rsidR="642AC39E" w:rsidRPr="06AE641B">
        <w:rPr>
          <w:rFonts w:cs="Calibri"/>
        </w:rPr>
        <w:t>Specific wireframes will be directly referred to</w:t>
      </w:r>
      <w:r w:rsidR="3CF8B922" w:rsidRPr="06AE641B">
        <w:rPr>
          <w:rFonts w:cs="Calibri"/>
        </w:rPr>
        <w:t xml:space="preserve"> where relevant</w:t>
      </w:r>
      <w:r w:rsidR="642AC39E" w:rsidRPr="06AE641B">
        <w:rPr>
          <w:rFonts w:cs="Calibri"/>
        </w:rPr>
        <w:t xml:space="preserve"> in the content of this paper.</w:t>
      </w:r>
    </w:p>
    <w:p w14:paraId="659AFA4F" w14:textId="5EB4E184" w:rsidR="007E305A" w:rsidRPr="00B836A6" w:rsidRDefault="00B35A84" w:rsidP="001210DA">
      <w:pPr>
        <w:rPr>
          <w:rFonts w:cs="Calibri"/>
        </w:rPr>
      </w:pPr>
      <w:r>
        <w:rPr>
          <w:rFonts w:cs="Calibri"/>
        </w:rPr>
        <w:t xml:space="preserve">The design paper </w:t>
      </w:r>
      <w:r w:rsidR="00F16EA6">
        <w:rPr>
          <w:rFonts w:cs="Calibri"/>
        </w:rPr>
        <w:t>draws on a range of sources, including:</w:t>
      </w:r>
    </w:p>
    <w:p w14:paraId="6C7FC27B" w14:textId="06C84432" w:rsidR="00F16EA6" w:rsidRDefault="00F16EA6" w:rsidP="003B6327">
      <w:pPr>
        <w:pStyle w:val="Bulletpoint"/>
      </w:pPr>
      <w:r>
        <w:t xml:space="preserve">Feedback provided in response to </w:t>
      </w:r>
      <w:hyperlink r:id="rId17" w:history="1">
        <w:r w:rsidRPr="007653C3">
          <w:rPr>
            <w:rStyle w:val="Hyperlink"/>
            <w:rFonts w:cs="Calibri"/>
          </w:rPr>
          <w:t>Noting Paper 273</w:t>
        </w:r>
        <w:r w:rsidR="007653C3" w:rsidRPr="007653C3">
          <w:rPr>
            <w:rStyle w:val="Hyperlink"/>
            <w:rFonts w:cs="Calibri"/>
          </w:rPr>
          <w:t xml:space="preserve"> – Consent Review</w:t>
        </w:r>
      </w:hyperlink>
      <w:r w:rsidRPr="00F16EA6">
        <w:rPr>
          <w:rFonts w:cs="Calibri"/>
        </w:rPr>
        <w:t xml:space="preserve"> </w:t>
      </w:r>
      <w:r>
        <w:t>and the public workshops held in November</w:t>
      </w:r>
      <w:r w:rsidR="0089779E">
        <w:t> </w:t>
      </w:r>
      <w:r>
        <w:t>2022.</w:t>
      </w:r>
      <w:r w:rsidR="00781412">
        <w:t xml:space="preserve"> </w:t>
      </w:r>
    </w:p>
    <w:p w14:paraId="1763280C" w14:textId="10D5EDA7" w:rsidR="0091140E" w:rsidRDefault="00680C6E" w:rsidP="0091140E">
      <w:pPr>
        <w:pStyle w:val="Bulletpoint"/>
      </w:pPr>
      <w:hyperlink r:id="rId18" w:history="1">
        <w:r w:rsidR="0091140E">
          <w:rPr>
            <w:rStyle w:val="Hyperlink"/>
          </w:rPr>
          <w:t>Consumer Experience (CX) research</w:t>
        </w:r>
      </w:hyperlink>
      <w:r w:rsidR="0091140E">
        <w:t xml:space="preserve"> conducted by the DSB specifically for the purposes of the consent review. This research ran between September and November 2022 to examine the viability of simplifying rules and standards relating to consents and dashboards. It engaged a total of 290 consumer participants in the form of unmoderated surveys, unmoderated prototype tasks, and moderated one-on-one interviews.</w:t>
      </w:r>
      <w:r w:rsidR="0091140E">
        <w:rPr>
          <w:rStyle w:val="FootnoteReference"/>
        </w:rPr>
        <w:footnoteReference w:id="2"/>
      </w:r>
      <w:r w:rsidR="0091140E">
        <w:t xml:space="preserve"> </w:t>
      </w:r>
    </w:p>
    <w:p w14:paraId="4B6D4D81" w14:textId="5436C040" w:rsidR="00AE3921" w:rsidRDefault="0091140E" w:rsidP="003B6327">
      <w:pPr>
        <w:pStyle w:val="Bulletpoint"/>
      </w:pPr>
      <w:r>
        <w:t>Historical CX research and community engagement work led by the DSB dating back to 2019, which has engaged over 1000 consumer participants and various community sector organisations in relation to the CDR consent model.</w:t>
      </w:r>
      <w:r w:rsidR="00F26D9D">
        <w:rPr>
          <w:rStyle w:val="FootnoteReference"/>
        </w:rPr>
        <w:footnoteReference w:id="3"/>
      </w:r>
      <w:r w:rsidR="00DD6912">
        <w:t xml:space="preserve"> </w:t>
      </w:r>
    </w:p>
    <w:p w14:paraId="620BD978" w14:textId="6A45E768" w:rsidR="00AE3921" w:rsidRDefault="00D80A85" w:rsidP="003B6327">
      <w:pPr>
        <w:pStyle w:val="Bulletpoint"/>
      </w:pPr>
      <w:r>
        <w:t>T</w:t>
      </w:r>
      <w:r w:rsidR="00770FB8" w:rsidRPr="00B2207A">
        <w:t>he object</w:t>
      </w:r>
      <w:r w:rsidR="00F250E1">
        <w:t>s</w:t>
      </w:r>
      <w:r w:rsidR="00770FB8" w:rsidRPr="00B2207A">
        <w:t xml:space="preserve"> </w:t>
      </w:r>
      <w:r w:rsidR="007850E4">
        <w:t>set out in the CDR R</w:t>
      </w:r>
      <w:r w:rsidR="00770FB8" w:rsidRPr="00B2207A">
        <w:t>ules</w:t>
      </w:r>
      <w:r w:rsidR="003316B7">
        <w:t xml:space="preserve"> that CDR consents are voluntary, express, informed, specific as to purpose, time limited and easily withdrawn</w:t>
      </w:r>
      <w:r w:rsidR="007B4FF4">
        <w:t>.</w:t>
      </w:r>
      <w:r w:rsidR="00E62F73">
        <w:rPr>
          <w:rStyle w:val="FootnoteReference"/>
        </w:rPr>
        <w:footnoteReference w:id="4"/>
      </w:r>
    </w:p>
    <w:p w14:paraId="6A541513" w14:textId="558F3EF1" w:rsidR="00AE3921" w:rsidRDefault="1482382D" w:rsidP="003B6327">
      <w:pPr>
        <w:pStyle w:val="Bulletpoint"/>
      </w:pPr>
      <w:r>
        <w:t>Findings</w:t>
      </w:r>
      <w:r w:rsidR="650783F2">
        <w:t xml:space="preserve"> </w:t>
      </w:r>
      <w:r>
        <w:t xml:space="preserve">and recommendations </w:t>
      </w:r>
      <w:r w:rsidR="2C4F9658">
        <w:t xml:space="preserve">relating to consent in the </w:t>
      </w:r>
      <w:r w:rsidR="4A958657">
        <w:t xml:space="preserve">independent </w:t>
      </w:r>
      <w:hyperlink r:id="rId19">
        <w:r w:rsidR="4A958657" w:rsidRPr="04AA6B35">
          <w:rPr>
            <w:rStyle w:val="Hyperlink"/>
          </w:rPr>
          <w:t xml:space="preserve">Statutory Review of the </w:t>
        </w:r>
        <w:r w:rsidR="03682982" w:rsidRPr="04AA6B35">
          <w:rPr>
            <w:rStyle w:val="Hyperlink"/>
          </w:rPr>
          <w:t>Consumer Data Right</w:t>
        </w:r>
        <w:r w:rsidR="00482370" w:rsidRPr="04AA6B35">
          <w:rPr>
            <w:rStyle w:val="Hyperlink"/>
          </w:rPr>
          <w:t xml:space="preserve"> </w:t>
        </w:r>
        <w:r w:rsidR="00532764" w:rsidRPr="04AA6B35">
          <w:rPr>
            <w:rStyle w:val="Hyperlink"/>
          </w:rPr>
          <w:t>–</w:t>
        </w:r>
        <w:r w:rsidR="00482370" w:rsidRPr="04AA6B35">
          <w:rPr>
            <w:rStyle w:val="Hyperlink"/>
          </w:rPr>
          <w:t xml:space="preserve"> Final Report</w:t>
        </w:r>
      </w:hyperlink>
      <w:r w:rsidR="03682982">
        <w:t xml:space="preserve"> (Statutory Review)</w:t>
      </w:r>
      <w:r w:rsidR="362AC813">
        <w:t>.</w:t>
      </w:r>
    </w:p>
    <w:p w14:paraId="25BBFD06" w14:textId="77777777" w:rsidR="007726CA" w:rsidRDefault="007726CA" w:rsidP="007726CA">
      <w:pPr>
        <w:pStyle w:val="Bulletpoint"/>
        <w:numPr>
          <w:ilvl w:val="0"/>
          <w:numId w:val="0"/>
        </w:numPr>
      </w:pPr>
    </w:p>
    <w:p w14:paraId="354A5CE4" w14:textId="409409AA" w:rsidR="007726CA" w:rsidRPr="00B836A6" w:rsidRDefault="007726CA" w:rsidP="007726CA">
      <w:pPr>
        <w:pStyle w:val="Heading2"/>
        <w:numPr>
          <w:ilvl w:val="0"/>
          <w:numId w:val="0"/>
        </w:numPr>
        <w:tabs>
          <w:tab w:val="left" w:pos="4570"/>
        </w:tabs>
        <w:spacing w:before="0"/>
        <w:rPr>
          <w:rFonts w:cs="Calibri"/>
        </w:rPr>
      </w:pPr>
      <w:bookmarkStart w:id="6" w:name="_Toc142317573"/>
      <w:bookmarkStart w:id="7" w:name="_Toc143705079"/>
      <w:bookmarkStart w:id="8" w:name="_Hlk127805455"/>
      <w:r w:rsidRPr="00B836A6">
        <w:rPr>
          <w:rFonts w:cs="Calibri"/>
        </w:rPr>
        <w:t xml:space="preserve">Rules </w:t>
      </w:r>
      <w:r>
        <w:rPr>
          <w:rFonts w:cs="Calibri"/>
        </w:rPr>
        <w:t xml:space="preserve">and </w:t>
      </w:r>
      <w:r w:rsidR="00297E29">
        <w:rPr>
          <w:rFonts w:cs="Calibri"/>
        </w:rPr>
        <w:t>s</w:t>
      </w:r>
      <w:r>
        <w:rPr>
          <w:rFonts w:cs="Calibri"/>
        </w:rPr>
        <w:t xml:space="preserve">tandards </w:t>
      </w:r>
      <w:r w:rsidRPr="00B836A6">
        <w:rPr>
          <w:rFonts w:cs="Calibri"/>
        </w:rPr>
        <w:t>for CDR consent</w:t>
      </w:r>
      <w:bookmarkEnd w:id="6"/>
      <w:bookmarkEnd w:id="7"/>
      <w:r w:rsidRPr="00B836A6">
        <w:rPr>
          <w:rFonts w:cs="Calibri"/>
        </w:rPr>
        <w:tab/>
      </w:r>
    </w:p>
    <w:p w14:paraId="00DA6DAD" w14:textId="634B885A" w:rsidR="007726CA" w:rsidRPr="00B83470" w:rsidRDefault="7240A43B" w:rsidP="007726CA">
      <w:pPr>
        <w:rPr>
          <w:rFonts w:cs="Calibri"/>
        </w:rPr>
      </w:pPr>
      <w:r>
        <w:t xml:space="preserve">Treasury is responsible for advising the Minister, who has the authority to make and amend the </w:t>
      </w:r>
      <w:r w:rsidR="0CC2FE05">
        <w:t xml:space="preserve">CDR </w:t>
      </w:r>
      <w:r>
        <w:t xml:space="preserve">Rules, on amendments to </w:t>
      </w:r>
      <w:r w:rsidR="00A220A2">
        <w:t xml:space="preserve">enhance </w:t>
      </w:r>
      <w:r>
        <w:t xml:space="preserve">and expand the </w:t>
      </w:r>
      <w:r w:rsidR="00512DEA">
        <w:t xml:space="preserve">CDR </w:t>
      </w:r>
      <w:r>
        <w:t xml:space="preserve">regime. </w:t>
      </w:r>
      <w:r w:rsidR="00CF1E9A" w:rsidRPr="00CF1E9A">
        <w:rPr>
          <w:rFonts w:cs="Calibri"/>
        </w:rPr>
        <w:t xml:space="preserve">The CDR Rules consist of rules of general application, which have been developed to apply universally across all sectors of the economy, and sector-specific schedules. </w:t>
      </w:r>
      <w:r w:rsidRPr="06AE641B">
        <w:rPr>
          <w:rFonts w:cs="Calibri"/>
        </w:rPr>
        <w:t xml:space="preserve">The CDR Rules for consent </w:t>
      </w:r>
      <w:proofErr w:type="gramStart"/>
      <w:r w:rsidRPr="06AE641B">
        <w:rPr>
          <w:rFonts w:cs="Calibri"/>
        </w:rPr>
        <w:t>are</w:t>
      </w:r>
      <w:proofErr w:type="gramEnd"/>
      <w:r w:rsidRPr="06AE641B">
        <w:rPr>
          <w:rFonts w:cs="Calibri"/>
        </w:rPr>
        <w:t xml:space="preserve"> contained within </w:t>
      </w:r>
      <w:r w:rsidR="00C55351">
        <w:rPr>
          <w:rFonts w:cs="Calibri"/>
        </w:rPr>
        <w:t xml:space="preserve">Part 4 and </w:t>
      </w:r>
      <w:r w:rsidRPr="06AE641B">
        <w:rPr>
          <w:rFonts w:cs="Calibri"/>
        </w:rPr>
        <w:t xml:space="preserve">apply </w:t>
      </w:r>
      <w:r w:rsidR="00C55351">
        <w:rPr>
          <w:rFonts w:cs="Calibri"/>
        </w:rPr>
        <w:t xml:space="preserve">in respect of </w:t>
      </w:r>
      <w:r w:rsidRPr="06AE641B">
        <w:rPr>
          <w:rFonts w:cs="Calibri"/>
        </w:rPr>
        <w:t>each designated sector</w:t>
      </w:r>
      <w:r w:rsidR="007D5E48">
        <w:rPr>
          <w:rFonts w:cs="Calibri"/>
        </w:rPr>
        <w:t>. R</w:t>
      </w:r>
      <w:r w:rsidR="00B73A79">
        <w:rPr>
          <w:rFonts w:cs="Calibri"/>
        </w:rPr>
        <w:t>eferences to requirements on ADRs are generally inclusive of requirements on CDR representatives</w:t>
      </w:r>
      <w:r w:rsidRPr="06AE641B">
        <w:rPr>
          <w:rFonts w:cs="Calibri"/>
        </w:rPr>
        <w:t>.</w:t>
      </w:r>
      <w:r w:rsidR="00E6365D">
        <w:rPr>
          <w:rStyle w:val="FootnoteReference"/>
          <w:rFonts w:cs="Calibri"/>
        </w:rPr>
        <w:footnoteReference w:id="5"/>
      </w:r>
      <w:r w:rsidRPr="06AE641B">
        <w:rPr>
          <w:rFonts w:cs="Calibri"/>
        </w:rPr>
        <w:t xml:space="preserve"> </w:t>
      </w:r>
      <w:r w:rsidR="007F5B92">
        <w:rPr>
          <w:rFonts w:cs="Calibri"/>
        </w:rPr>
        <w:t xml:space="preserve"> </w:t>
      </w:r>
    </w:p>
    <w:p w14:paraId="56AE26F7" w14:textId="553798CC" w:rsidR="007726CA" w:rsidRPr="00B836A6" w:rsidRDefault="7240A43B" w:rsidP="007726CA">
      <w:pPr>
        <w:rPr>
          <w:rFonts w:cs="Calibri"/>
        </w:rPr>
      </w:pPr>
      <w:bookmarkStart w:id="9" w:name="_Hlk119054171"/>
      <w:r w:rsidRPr="06AE641B">
        <w:rPr>
          <w:rFonts w:cs="Calibri"/>
        </w:rPr>
        <w:lastRenderedPageBreak/>
        <w:t xml:space="preserve">The Data Standards are developed and maintained by the DSB in the Treasury and made by the Data Standards Chair </w:t>
      </w:r>
      <w:bookmarkEnd w:id="9"/>
      <w:r w:rsidRPr="06AE641B">
        <w:rPr>
          <w:rFonts w:cs="Calibri"/>
        </w:rPr>
        <w:t>in accordance with the</w:t>
      </w:r>
      <w:r w:rsidR="0CC2FE05" w:rsidRPr="06AE641B">
        <w:rPr>
          <w:rFonts w:cs="Calibri"/>
        </w:rPr>
        <w:t xml:space="preserve"> CDR</w:t>
      </w:r>
      <w:r w:rsidRPr="06AE641B">
        <w:rPr>
          <w:rFonts w:cs="Calibri"/>
        </w:rPr>
        <w:t xml:space="preserve"> Rules. The Data Standards for Consumer Experience, Security Profile and Application Programming Interface (API) definitions are published on the </w:t>
      </w:r>
      <w:hyperlink r:id="rId20">
        <w:r w:rsidRPr="06AE641B">
          <w:rPr>
            <w:rStyle w:val="Hyperlink"/>
            <w:rFonts w:cs="Calibri"/>
          </w:rPr>
          <w:t>Consumer Data Standards website</w:t>
        </w:r>
      </w:hyperlink>
      <w:r w:rsidRPr="06AE641B">
        <w:rPr>
          <w:rFonts w:cs="Calibri"/>
        </w:rPr>
        <w:t xml:space="preserve">. The Data Standards are publicly consulted on using </w:t>
      </w:r>
      <w:hyperlink r:id="rId21">
        <w:r w:rsidRPr="06AE641B">
          <w:rPr>
            <w:rStyle w:val="Hyperlink"/>
            <w:rFonts w:cs="Calibri"/>
          </w:rPr>
          <w:t>GitHub</w:t>
        </w:r>
      </w:hyperlink>
      <w:r w:rsidRPr="06AE641B">
        <w:rPr>
          <w:rFonts w:cs="Calibri"/>
        </w:rPr>
        <w:t xml:space="preserve">, and change requests to the Data Standards can also be raised on the </w:t>
      </w:r>
      <w:hyperlink r:id="rId22">
        <w:r w:rsidRPr="06AE641B">
          <w:rPr>
            <w:rStyle w:val="Hyperlink"/>
            <w:rFonts w:cs="Calibri"/>
          </w:rPr>
          <w:t>standards maintenance site</w:t>
        </w:r>
      </w:hyperlink>
      <w:r w:rsidRPr="06AE641B">
        <w:rPr>
          <w:rFonts w:cs="Calibri"/>
        </w:rPr>
        <w:t xml:space="preserve">. </w:t>
      </w:r>
    </w:p>
    <w:p w14:paraId="7219B682" w14:textId="54EFC0D8" w:rsidR="007726CA" w:rsidRDefault="7240A43B" w:rsidP="007726CA">
      <w:pPr>
        <w:rPr>
          <w:rFonts w:cs="Calibri"/>
        </w:rPr>
      </w:pPr>
      <w:r w:rsidRPr="06AE641B">
        <w:rPr>
          <w:rFonts w:cs="Calibri"/>
        </w:rPr>
        <w:t xml:space="preserve">The </w:t>
      </w:r>
      <w:hyperlink r:id="rId23">
        <w:r w:rsidRPr="06AE641B">
          <w:rPr>
            <w:rStyle w:val="Hyperlink"/>
            <w:rFonts w:cs="Calibri"/>
          </w:rPr>
          <w:t>Consumer Experience Guidelines</w:t>
        </w:r>
      </w:hyperlink>
      <w:r w:rsidRPr="06AE641B">
        <w:rPr>
          <w:rFonts w:cs="Calibri"/>
        </w:rPr>
        <w:t xml:space="preserve"> (CX Guidelines) provide optional implementation examples for key </w:t>
      </w:r>
      <w:r w:rsidR="0CC2FE05" w:rsidRPr="06AE641B">
        <w:rPr>
          <w:rFonts w:cs="Calibri"/>
        </w:rPr>
        <w:t>r</w:t>
      </w:r>
      <w:r w:rsidRPr="06AE641B">
        <w:rPr>
          <w:rFonts w:cs="Calibri"/>
        </w:rPr>
        <w:t xml:space="preserve">ules, </w:t>
      </w:r>
      <w:r w:rsidR="0CC2FE05" w:rsidRPr="06AE641B">
        <w:rPr>
          <w:rFonts w:cs="Calibri"/>
        </w:rPr>
        <w:t>s</w:t>
      </w:r>
      <w:r w:rsidRPr="06AE641B">
        <w:rPr>
          <w:rFonts w:cs="Calibri"/>
        </w:rPr>
        <w:t>tandards, and best practice recommendations. They include annotated wireframes, open-source assets, prototypes, and a checklist outlining key requirements. The CX Guidelines are used to assist CDR implementation in the banking</w:t>
      </w:r>
      <w:r w:rsidR="001757B7">
        <w:rPr>
          <w:rFonts w:cs="Calibri"/>
        </w:rPr>
        <w:t xml:space="preserve"> and </w:t>
      </w:r>
      <w:r w:rsidRPr="06AE641B">
        <w:rPr>
          <w:rFonts w:cs="Calibri"/>
        </w:rPr>
        <w:t>energy sectors.</w:t>
      </w:r>
    </w:p>
    <w:p w14:paraId="11616E3E" w14:textId="0A20F984" w:rsidR="00141DD2" w:rsidRDefault="00141DD2" w:rsidP="00284667">
      <w:pPr>
        <w:pStyle w:val="Heading2"/>
        <w:numPr>
          <w:ilvl w:val="0"/>
          <w:numId w:val="0"/>
        </w:numPr>
        <w:rPr>
          <w:rFonts w:cs="Calibri"/>
        </w:rPr>
      </w:pPr>
      <w:bookmarkStart w:id="10" w:name="_Toc142317574"/>
      <w:bookmarkStart w:id="11" w:name="_Toc143705080"/>
      <w:r w:rsidRPr="38EC608D">
        <w:rPr>
          <w:rFonts w:cs="Calibri"/>
        </w:rPr>
        <w:t xml:space="preserve">Other relevant </w:t>
      </w:r>
      <w:r w:rsidR="258FE837" w:rsidRPr="38EC608D">
        <w:rPr>
          <w:rFonts w:cs="Calibri"/>
        </w:rPr>
        <w:t xml:space="preserve">reviews and </w:t>
      </w:r>
      <w:r w:rsidR="70E920E3" w:rsidRPr="38EC608D">
        <w:rPr>
          <w:rFonts w:cs="Calibri"/>
        </w:rPr>
        <w:t>processes</w:t>
      </w:r>
      <w:bookmarkEnd w:id="10"/>
      <w:bookmarkEnd w:id="11"/>
    </w:p>
    <w:p w14:paraId="19984555" w14:textId="1BB26FA3" w:rsidR="00B2207A" w:rsidRPr="00552E10" w:rsidRDefault="11117884" w:rsidP="4D73EC89">
      <w:pPr>
        <w:rPr>
          <w:rFonts w:cs="Calibri"/>
          <w:b/>
        </w:rPr>
      </w:pPr>
      <w:r w:rsidRPr="00552E10">
        <w:rPr>
          <w:rFonts w:cs="Calibri"/>
          <w:b/>
        </w:rPr>
        <w:t>Legislation to introduce action initiation into the CDR</w:t>
      </w:r>
    </w:p>
    <w:p w14:paraId="00EBAB7D" w14:textId="2E4DDA8C" w:rsidR="00B2207A" w:rsidRPr="00B2207A" w:rsidRDefault="00B2207A" w:rsidP="00B2207A">
      <w:pPr>
        <w:rPr>
          <w:rFonts w:cs="Calibri"/>
        </w:rPr>
      </w:pPr>
      <w:r w:rsidRPr="00B2207A">
        <w:rPr>
          <w:rFonts w:cs="Calibri"/>
        </w:rPr>
        <w:t xml:space="preserve">Treasury notes that </w:t>
      </w:r>
      <w:r w:rsidR="00055D3C" w:rsidRPr="00055D3C">
        <w:rPr>
          <w:rFonts w:cs="Calibri"/>
        </w:rPr>
        <w:t>amendments</w:t>
      </w:r>
      <w:r w:rsidRPr="00B2207A">
        <w:rPr>
          <w:rFonts w:cs="Calibri"/>
        </w:rPr>
        <w:t xml:space="preserve"> to the </w:t>
      </w:r>
      <w:r w:rsidRPr="00B2207A">
        <w:rPr>
          <w:rFonts w:cs="Calibri"/>
          <w:i/>
          <w:iCs/>
        </w:rPr>
        <w:t>Competition and Consumer Act 2010</w:t>
      </w:r>
      <w:r w:rsidRPr="00B2207A">
        <w:rPr>
          <w:rFonts w:cs="Calibri"/>
        </w:rPr>
        <w:t xml:space="preserve"> to expand the CDR to enable action initiation were introduced to the Parliament on 30 November 2022.</w:t>
      </w:r>
      <w:r w:rsidRPr="00B2207A">
        <w:rPr>
          <w:rStyle w:val="FootnoteReference"/>
          <w:rFonts w:cs="Calibri"/>
        </w:rPr>
        <w:footnoteReference w:id="6"/>
      </w:r>
      <w:r w:rsidRPr="00B2207A">
        <w:rPr>
          <w:rFonts w:cs="Calibri"/>
        </w:rPr>
        <w:t xml:space="preserve"> If passed, the proposed amendments would </w:t>
      </w:r>
      <w:r w:rsidR="00715821">
        <w:rPr>
          <w:rFonts w:cs="Calibri"/>
        </w:rPr>
        <w:t xml:space="preserve">set up the framework to </w:t>
      </w:r>
      <w:r w:rsidRPr="00B2207A">
        <w:rPr>
          <w:rFonts w:cs="Calibri"/>
        </w:rPr>
        <w:t>enable</w:t>
      </w:r>
      <w:r w:rsidR="009147A3">
        <w:rPr>
          <w:rFonts w:cs="Calibri"/>
        </w:rPr>
        <w:t xml:space="preserve"> consumers to instruct</w:t>
      </w:r>
      <w:r w:rsidRPr="00B2207A">
        <w:rPr>
          <w:rFonts w:cs="Calibri"/>
        </w:rPr>
        <w:t xml:space="preserve"> third parties, known as accredited action initiators</w:t>
      </w:r>
      <w:r w:rsidR="009147A3">
        <w:rPr>
          <w:rFonts w:cs="Calibri"/>
        </w:rPr>
        <w:t>, to initiate actions on their behalf and with their consent th</w:t>
      </w:r>
      <w:r w:rsidRPr="00B2207A">
        <w:rPr>
          <w:rFonts w:cs="Calibri"/>
        </w:rPr>
        <w:t xml:space="preserve">rough the CDR. The proposed amendments would give the Minister </w:t>
      </w:r>
      <w:r w:rsidR="00CF1AD4">
        <w:rPr>
          <w:rFonts w:cs="Calibri"/>
        </w:rPr>
        <w:t xml:space="preserve">declaration and </w:t>
      </w:r>
      <w:r w:rsidRPr="00B2207A">
        <w:rPr>
          <w:rFonts w:cs="Calibri"/>
        </w:rPr>
        <w:t>rule-making powers to enliven new action initiation arrangements.</w:t>
      </w:r>
    </w:p>
    <w:p w14:paraId="6C1E99B9" w14:textId="30B8A36C" w:rsidR="00B2207A" w:rsidRPr="00B2207A" w:rsidRDefault="7CB36F89" w:rsidP="00B2207A">
      <w:pPr>
        <w:rPr>
          <w:rFonts w:cs="Calibri"/>
        </w:rPr>
      </w:pPr>
      <w:r w:rsidRPr="06AE641B">
        <w:rPr>
          <w:rFonts w:cs="Calibri"/>
        </w:rPr>
        <w:t xml:space="preserve">It is envisaged that CDR action initiation could support the sending of instructions on matters such as making payments, switching service </w:t>
      </w:r>
      <w:proofErr w:type="gramStart"/>
      <w:r w:rsidRPr="06AE641B">
        <w:rPr>
          <w:rFonts w:cs="Calibri"/>
        </w:rPr>
        <w:t>providers</w:t>
      </w:r>
      <w:proofErr w:type="gramEnd"/>
      <w:r w:rsidRPr="06AE641B">
        <w:rPr>
          <w:rFonts w:cs="Calibri"/>
        </w:rPr>
        <w:t xml:space="preserve"> and updating personal details across accounts. As with the current regime for data sharing, obtaining informed consumer consent for action initiation will continue to be a critical element of the CDR. Feedback from this consultation about how consents are managed and presented for data sharing </w:t>
      </w:r>
      <w:r w:rsidR="05EF5B21" w:rsidRPr="06AE641B">
        <w:rPr>
          <w:rFonts w:cs="Calibri"/>
        </w:rPr>
        <w:t>can help</w:t>
      </w:r>
      <w:r w:rsidRPr="06AE641B">
        <w:rPr>
          <w:rFonts w:cs="Calibri"/>
        </w:rPr>
        <w:t xml:space="preserve"> </w:t>
      </w:r>
      <w:r w:rsidR="1BEA2272" w:rsidRPr="06AE641B">
        <w:rPr>
          <w:rFonts w:cs="Calibri"/>
        </w:rPr>
        <w:t xml:space="preserve">inform future changes </w:t>
      </w:r>
      <w:r w:rsidR="41A56B7F" w:rsidRPr="06AE641B">
        <w:rPr>
          <w:rFonts w:cs="Calibri"/>
        </w:rPr>
        <w:t xml:space="preserve">to the CDR Rules, including those </w:t>
      </w:r>
      <w:r w:rsidR="1BEA2272" w:rsidRPr="06AE641B">
        <w:rPr>
          <w:rFonts w:cs="Calibri"/>
        </w:rPr>
        <w:t>related to action initiation.</w:t>
      </w:r>
      <w:r w:rsidR="004C2605">
        <w:rPr>
          <w:rFonts w:cs="Calibri"/>
        </w:rPr>
        <w:t xml:space="preserve"> </w:t>
      </w:r>
      <w:r w:rsidR="004C2605" w:rsidRPr="003045EE">
        <w:rPr>
          <w:rFonts w:cs="Calibri"/>
        </w:rPr>
        <w:t>Treasury is also planning to undertake separate consultation on action initiation.</w:t>
      </w:r>
    </w:p>
    <w:p w14:paraId="188091CE" w14:textId="337575D7" w:rsidR="29306772" w:rsidRDefault="1459DDC0" w:rsidP="29306772">
      <w:pPr>
        <w:rPr>
          <w:rFonts w:eastAsia="Calibri" w:cs="Calibri"/>
          <w:b/>
          <w:color w:val="000000" w:themeColor="text1"/>
        </w:rPr>
      </w:pPr>
      <w:r w:rsidRPr="3DE81B44">
        <w:rPr>
          <w:rFonts w:eastAsia="Calibri" w:cs="Calibri"/>
          <w:b/>
          <w:bCs/>
          <w:color w:val="000000" w:themeColor="text1"/>
        </w:rPr>
        <w:t xml:space="preserve">Privacy Act </w:t>
      </w:r>
      <w:r w:rsidRPr="667810EE">
        <w:rPr>
          <w:rFonts w:eastAsia="Calibri" w:cs="Calibri"/>
          <w:b/>
          <w:bCs/>
          <w:color w:val="000000" w:themeColor="text1"/>
        </w:rPr>
        <w:t>Review</w:t>
      </w:r>
    </w:p>
    <w:p w14:paraId="71981FB9" w14:textId="3EAED579" w:rsidR="371FC8A3" w:rsidRPr="008B3B91" w:rsidRDefault="72507B44" w:rsidP="371FC8A3">
      <w:r w:rsidRPr="02FB3975">
        <w:rPr>
          <w:rFonts w:eastAsia="Calibri" w:cs="Calibri"/>
          <w:color w:val="000000" w:themeColor="text1"/>
        </w:rPr>
        <w:t xml:space="preserve">We also note that </w:t>
      </w:r>
      <w:r w:rsidR="0721D693" w:rsidRPr="02FB3975">
        <w:rPr>
          <w:rFonts w:eastAsia="Calibri" w:cs="Calibri"/>
          <w:color w:val="000000" w:themeColor="text1"/>
        </w:rPr>
        <w:t>the Attorney-General</w:t>
      </w:r>
      <w:r w:rsidR="52FEF056" w:rsidRPr="02FB3975">
        <w:rPr>
          <w:rFonts w:eastAsia="Calibri" w:cs="Calibri"/>
          <w:color w:val="000000" w:themeColor="text1"/>
        </w:rPr>
        <w:t>’s Department</w:t>
      </w:r>
      <w:r w:rsidR="0721D693" w:rsidRPr="02FB3975">
        <w:rPr>
          <w:rFonts w:eastAsia="Calibri" w:cs="Calibri"/>
          <w:color w:val="000000" w:themeColor="text1"/>
        </w:rPr>
        <w:t xml:space="preserve"> </w:t>
      </w:r>
      <w:r w:rsidR="5EC1D2E2" w:rsidRPr="02FB3975">
        <w:rPr>
          <w:rFonts w:eastAsia="Calibri" w:cs="Calibri"/>
          <w:color w:val="000000" w:themeColor="text1"/>
        </w:rPr>
        <w:t xml:space="preserve">published </w:t>
      </w:r>
      <w:r w:rsidR="6539D8E3" w:rsidRPr="02FB3975">
        <w:rPr>
          <w:rFonts w:eastAsia="Calibri" w:cs="Calibri"/>
          <w:color w:val="000000" w:themeColor="text1"/>
        </w:rPr>
        <w:t>its</w:t>
      </w:r>
      <w:r w:rsidR="4C58C072" w:rsidRPr="02FB3975">
        <w:rPr>
          <w:rFonts w:eastAsia="Calibri" w:cs="Calibri"/>
          <w:color w:val="000000" w:themeColor="text1"/>
        </w:rPr>
        <w:t xml:space="preserve"> </w:t>
      </w:r>
      <w:r w:rsidR="0721D693" w:rsidRPr="02FB3975">
        <w:rPr>
          <w:rFonts w:eastAsia="Calibri" w:cs="Calibri"/>
          <w:color w:val="000000" w:themeColor="text1"/>
        </w:rPr>
        <w:t>Privacy Act Review Report</w:t>
      </w:r>
      <w:r w:rsidR="00A75574">
        <w:rPr>
          <w:rFonts w:eastAsia="Calibri" w:cs="Calibri"/>
          <w:color w:val="000000" w:themeColor="text1"/>
        </w:rPr>
        <w:t xml:space="preserve"> (Privacy Act Review)</w:t>
      </w:r>
      <w:r w:rsidR="00BC6899">
        <w:rPr>
          <w:rFonts w:eastAsia="Calibri" w:cs="Calibri"/>
          <w:color w:val="000000" w:themeColor="text1"/>
        </w:rPr>
        <w:t xml:space="preserve"> in early 2023</w:t>
      </w:r>
      <w:r w:rsidR="0721D693" w:rsidRPr="02FB3975">
        <w:rPr>
          <w:rFonts w:eastAsia="Calibri" w:cs="Calibri"/>
          <w:color w:val="000000" w:themeColor="text1"/>
        </w:rPr>
        <w:t>.</w:t>
      </w:r>
      <w:r w:rsidR="00F44338">
        <w:rPr>
          <w:rStyle w:val="FootnoteReference"/>
          <w:rFonts w:eastAsia="Calibri" w:cs="Calibri"/>
          <w:color w:val="000000" w:themeColor="text1"/>
        </w:rPr>
        <w:footnoteReference w:id="7"/>
      </w:r>
      <w:r w:rsidR="0721D693" w:rsidRPr="02FB3975">
        <w:rPr>
          <w:rFonts w:eastAsia="Calibri" w:cs="Calibri"/>
          <w:color w:val="000000" w:themeColor="text1"/>
        </w:rPr>
        <w:t xml:space="preserve"> The </w:t>
      </w:r>
      <w:r w:rsidR="00A75574">
        <w:rPr>
          <w:rFonts w:eastAsia="Calibri" w:cs="Calibri"/>
          <w:color w:val="000000" w:themeColor="text1"/>
        </w:rPr>
        <w:t xml:space="preserve">Privacy Act </w:t>
      </w:r>
      <w:r w:rsidR="0721D693" w:rsidRPr="02FB3975">
        <w:rPr>
          <w:rFonts w:eastAsia="Calibri" w:cs="Calibri"/>
          <w:color w:val="000000" w:themeColor="text1"/>
        </w:rPr>
        <w:t xml:space="preserve">Review </w:t>
      </w:r>
      <w:r w:rsidR="00BE1335">
        <w:rPr>
          <w:rFonts w:eastAsia="Calibri" w:cs="Calibri"/>
          <w:color w:val="000000" w:themeColor="text1"/>
        </w:rPr>
        <w:t>‘</w:t>
      </w:r>
      <w:r w:rsidR="0721D693" w:rsidRPr="02FB3975">
        <w:rPr>
          <w:rFonts w:eastAsia="Calibri" w:cs="Calibri"/>
          <w:color w:val="000000" w:themeColor="text1"/>
        </w:rPr>
        <w:t xml:space="preserve">considered whether the </w:t>
      </w:r>
      <w:r w:rsidR="0721D693" w:rsidRPr="02FB3975">
        <w:rPr>
          <w:rFonts w:eastAsia="Calibri" w:cs="Calibri"/>
          <w:i/>
          <w:iCs/>
          <w:color w:val="000000" w:themeColor="text1"/>
        </w:rPr>
        <w:t>Privacy Act 1988</w:t>
      </w:r>
      <w:r w:rsidR="0721D693" w:rsidRPr="02FB3975">
        <w:rPr>
          <w:rFonts w:eastAsia="Calibri" w:cs="Calibri"/>
          <w:color w:val="000000" w:themeColor="text1"/>
        </w:rPr>
        <w:t xml:space="preserve"> (Privacy Act) and its enforcement mechanisms are fit for purpose in an environment where Australians now live much of their lives online and their information is collected and used for a myriad of purposes in the digital economy</w:t>
      </w:r>
      <w:r w:rsidR="007E25E1">
        <w:rPr>
          <w:rFonts w:eastAsia="Calibri" w:cs="Calibri"/>
          <w:color w:val="000000" w:themeColor="text1"/>
        </w:rPr>
        <w:t>’</w:t>
      </w:r>
      <w:r w:rsidR="0721D693" w:rsidRPr="02FB3975">
        <w:rPr>
          <w:rFonts w:eastAsia="Calibri" w:cs="Calibri"/>
          <w:color w:val="000000" w:themeColor="text1"/>
        </w:rPr>
        <w:t>.</w:t>
      </w:r>
      <w:r w:rsidR="006A3B0F">
        <w:rPr>
          <w:rStyle w:val="FootnoteReference"/>
          <w:rFonts w:eastAsia="Calibri" w:cs="Calibri"/>
          <w:color w:val="000000" w:themeColor="text1"/>
        </w:rPr>
        <w:footnoteReference w:id="8"/>
      </w:r>
    </w:p>
    <w:p w14:paraId="25B0B011" w14:textId="2A4B8D12" w:rsidR="5353538D" w:rsidRDefault="2763BCAD" w:rsidP="00552E10">
      <w:pPr>
        <w:rPr>
          <w:rFonts w:eastAsia="Calibri" w:cs="Calibri"/>
        </w:rPr>
      </w:pPr>
      <w:r w:rsidRPr="6BB67354">
        <w:rPr>
          <w:rFonts w:eastAsia="Calibri" w:cs="Calibri"/>
        </w:rPr>
        <w:t xml:space="preserve">The Privacy Act Review made a number of proposals in relation to consent, including: </w:t>
      </w:r>
    </w:p>
    <w:p w14:paraId="77F6D711" w14:textId="2ADF7145" w:rsidR="5353538D" w:rsidRDefault="005071AA" w:rsidP="007C0B77">
      <w:pPr>
        <w:pStyle w:val="Bulletpoint"/>
      </w:pPr>
      <w:r>
        <w:t>Proposal 11.1 – A</w:t>
      </w:r>
      <w:r w:rsidR="782EC883">
        <w:t>mend</w:t>
      </w:r>
      <w:r w:rsidR="2763BCAD" w:rsidRPr="6BB67354">
        <w:t xml:space="preserve"> the definition of consent to provide that it must be voluntary, informed, current, specific, and unambiguous</w:t>
      </w:r>
      <w:r>
        <w:t>.</w:t>
      </w:r>
      <w:r w:rsidR="2763BCAD" w:rsidRPr="6BB67354">
        <w:t xml:space="preserve"> </w:t>
      </w:r>
    </w:p>
    <w:p w14:paraId="62AF09EF" w14:textId="58E3ED99" w:rsidR="00C57FA9" w:rsidRDefault="00C57FA9" w:rsidP="007C0B77">
      <w:pPr>
        <w:pStyle w:val="Bulletpoint"/>
      </w:pPr>
      <w:r>
        <w:t xml:space="preserve">Proposal 11.2 – The Office of the Australian Information Commissioner (OAIC) could develop guidance on how online services should design consent requests. This guidance could address whether </w:t>
      </w:r>
      <w:proofErr w:type="gramStart"/>
      <w:r>
        <w:t>particular layouts</w:t>
      </w:r>
      <w:proofErr w:type="gramEnd"/>
      <w:r>
        <w:t xml:space="preserve">, wording or icons could be used when obtaining consent, and how the elements of valid consent should be interpreted in the online context. Consideration could </w:t>
      </w:r>
      <w:r>
        <w:lastRenderedPageBreak/>
        <w:t>be given to further progressing standardised consents as part of any future Australian Privacy Principle (APP) codes.</w:t>
      </w:r>
    </w:p>
    <w:p w14:paraId="2C131D67" w14:textId="669F3069" w:rsidR="0018184D" w:rsidRDefault="0018184D" w:rsidP="0018184D">
      <w:pPr>
        <w:pStyle w:val="Bulletpoint"/>
      </w:pPr>
      <w:r>
        <w:t>Proposal 11.3 – Expressly recognise the ability to withdraw consent, and to do so in a manner as easily as the provision of consent. The withdrawal of consent shall not affect the lawfulness of processing based on consent before its withdrawal.</w:t>
      </w:r>
    </w:p>
    <w:p w14:paraId="37B9AC03" w14:textId="32DF20A1" w:rsidR="5353538D" w:rsidRDefault="008F5AF3" w:rsidP="007C0B77">
      <w:pPr>
        <w:pStyle w:val="Bulletpoint"/>
      </w:pPr>
      <w:r>
        <w:t>P</w:t>
      </w:r>
      <w:r w:rsidRPr="008F5AF3">
        <w:t xml:space="preserve">roposal 11.4 </w:t>
      </w:r>
      <w:r>
        <w:t xml:space="preserve">– </w:t>
      </w:r>
      <w:r w:rsidRPr="008F5AF3">
        <w:t>Online privacy settings should reflect the privacy by default framework of the Act.</w:t>
      </w:r>
      <w:r>
        <w:t xml:space="preserve"> </w:t>
      </w:r>
      <w:r w:rsidR="00323036">
        <w:t>APP entities that provide online services should be required to ensure that any privacy settings are clear and easily accessible for service users.</w:t>
      </w:r>
    </w:p>
    <w:p w14:paraId="3307F992" w14:textId="55084A34" w:rsidR="5353538D" w:rsidRDefault="2763BCAD" w:rsidP="00552E10">
      <w:pPr>
        <w:spacing w:line="257" w:lineRule="auto"/>
        <w:rPr>
          <w:rFonts w:eastAsia="Calibri" w:cs="Calibri"/>
        </w:rPr>
      </w:pPr>
      <w:r w:rsidRPr="6BB67354">
        <w:rPr>
          <w:rFonts w:eastAsia="Calibri" w:cs="Calibri"/>
        </w:rPr>
        <w:t xml:space="preserve">In relation to </w:t>
      </w:r>
      <w:r w:rsidR="002D79CC" w:rsidRPr="2E6D6F1C">
        <w:rPr>
          <w:rFonts w:eastAsia="Calibri" w:cs="Calibri"/>
        </w:rPr>
        <w:t>p</w:t>
      </w:r>
      <w:r w:rsidR="4F46A9EF" w:rsidRPr="2E6D6F1C">
        <w:rPr>
          <w:rFonts w:eastAsia="Calibri" w:cs="Calibri"/>
        </w:rPr>
        <w:t>roposal</w:t>
      </w:r>
      <w:r w:rsidRPr="6BB67354">
        <w:rPr>
          <w:rFonts w:eastAsia="Calibri" w:cs="Calibri"/>
        </w:rPr>
        <w:t xml:space="preserve"> 11.2, the </w:t>
      </w:r>
      <w:r w:rsidR="002D79CC">
        <w:rPr>
          <w:rFonts w:eastAsia="Calibri" w:cs="Calibri"/>
        </w:rPr>
        <w:t xml:space="preserve">Privacy Act </w:t>
      </w:r>
      <w:r w:rsidR="002D79CC" w:rsidRPr="2E6D6F1C">
        <w:rPr>
          <w:rFonts w:eastAsia="Calibri" w:cs="Calibri"/>
        </w:rPr>
        <w:t>R</w:t>
      </w:r>
      <w:r w:rsidRPr="2E6D6F1C">
        <w:rPr>
          <w:rFonts w:eastAsia="Calibri" w:cs="Calibri"/>
        </w:rPr>
        <w:t>eview</w:t>
      </w:r>
      <w:r w:rsidRPr="6BB67354">
        <w:rPr>
          <w:rFonts w:eastAsia="Calibri" w:cs="Calibri"/>
        </w:rPr>
        <w:t xml:space="preserve"> noted the substantial body of work being progressed in relation to standardising consents under the CDR, and considered the OAIC should work with the Treasury and the </w:t>
      </w:r>
      <w:r w:rsidR="00F636A3">
        <w:rPr>
          <w:rFonts w:eastAsia="Calibri" w:cs="Calibri"/>
        </w:rPr>
        <w:t>DSB</w:t>
      </w:r>
      <w:r w:rsidRPr="6BB67354">
        <w:rPr>
          <w:rFonts w:eastAsia="Calibri" w:cs="Calibri"/>
        </w:rPr>
        <w:t xml:space="preserve"> to ascertain whether standardisation research undertaken for the CDR could be leveraged more broadly for APP entities covered by the </w:t>
      </w:r>
      <w:r w:rsidR="002D79CC">
        <w:rPr>
          <w:rFonts w:eastAsia="Calibri" w:cs="Calibri"/>
        </w:rPr>
        <w:t xml:space="preserve">Privacy </w:t>
      </w:r>
      <w:r w:rsidRPr="6BB67354">
        <w:rPr>
          <w:rFonts w:eastAsia="Calibri" w:cs="Calibri"/>
        </w:rPr>
        <w:t>Act.</w:t>
      </w:r>
      <w:r w:rsidR="00966B53">
        <w:rPr>
          <w:rStyle w:val="FootnoteReference"/>
          <w:rFonts w:eastAsia="Calibri" w:cs="Calibri"/>
        </w:rPr>
        <w:footnoteReference w:id="9"/>
      </w:r>
      <w:r w:rsidRPr="6BB67354">
        <w:rPr>
          <w:rFonts w:eastAsia="Calibri" w:cs="Calibri"/>
        </w:rPr>
        <w:t xml:space="preserve"> </w:t>
      </w:r>
    </w:p>
    <w:p w14:paraId="3224E1D9" w14:textId="7D39EFCB" w:rsidR="486B2BB7" w:rsidRDefault="305AEFCC" w:rsidP="12B29405">
      <w:r>
        <w:t>The Government is considering its response to the Privacy Act Review Report.</w:t>
      </w:r>
    </w:p>
    <w:p w14:paraId="28CD18E5" w14:textId="669DE6C8" w:rsidR="005300AD" w:rsidRPr="008A5F12" w:rsidRDefault="005300AD" w:rsidP="005300AD">
      <w:pPr>
        <w:rPr>
          <w:b/>
          <w:bCs/>
        </w:rPr>
      </w:pPr>
      <w:r w:rsidRPr="008A5F12">
        <w:rPr>
          <w:b/>
          <w:bCs/>
        </w:rPr>
        <w:t>Consultation on screen scraping</w:t>
      </w:r>
    </w:p>
    <w:p w14:paraId="4B076C93" w14:textId="77777777" w:rsidR="000C6F6F" w:rsidRDefault="00822C55" w:rsidP="005300AD">
      <w:r w:rsidRPr="000C6F6F">
        <w:t>‘Screen scraping’ or ‘digital data capture’ are terms used to describe the practice of a consumer sharing their login details with a third party so the third party can, for example, access the consumer’s banking data. When a consumer discloses their login details with a third party, there are associated risks</w:t>
      </w:r>
      <w:r w:rsidR="003964E7" w:rsidRPr="000C6F6F">
        <w:t>.</w:t>
      </w:r>
      <w:r w:rsidR="002F3C03" w:rsidRPr="000C6F6F">
        <w:t xml:space="preserve"> </w:t>
      </w:r>
    </w:p>
    <w:p w14:paraId="5F40D996" w14:textId="2D7DB7F8" w:rsidR="005300AD" w:rsidRDefault="005300AD" w:rsidP="005300AD">
      <w:pPr>
        <w:rPr>
          <w:rFonts w:eastAsia="Times New Roman"/>
        </w:rPr>
      </w:pPr>
      <w:r w:rsidRPr="008A5F12">
        <w:rPr>
          <w:rFonts w:eastAsia="Times New Roman"/>
        </w:rPr>
        <w:t xml:space="preserve">Recommendation 2.1 of the </w:t>
      </w:r>
      <w:r w:rsidR="00572122">
        <w:rPr>
          <w:rFonts w:eastAsia="Times New Roman"/>
        </w:rPr>
        <w:t xml:space="preserve">independent </w:t>
      </w:r>
      <w:r w:rsidR="00E6475A">
        <w:rPr>
          <w:rFonts w:eastAsia="Times New Roman"/>
        </w:rPr>
        <w:t>S</w:t>
      </w:r>
      <w:r w:rsidRPr="008A5F12">
        <w:rPr>
          <w:rFonts w:eastAsia="Times New Roman"/>
        </w:rPr>
        <w:t xml:space="preserve">tatutory </w:t>
      </w:r>
      <w:r w:rsidR="00665967">
        <w:rPr>
          <w:rFonts w:eastAsia="Times New Roman"/>
        </w:rPr>
        <w:t>R</w:t>
      </w:r>
      <w:r w:rsidRPr="008A5F12">
        <w:rPr>
          <w:rFonts w:eastAsia="Times New Roman"/>
        </w:rPr>
        <w:t xml:space="preserve">eview </w:t>
      </w:r>
      <w:r w:rsidR="00665967">
        <w:rPr>
          <w:rFonts w:eastAsia="Times New Roman"/>
        </w:rPr>
        <w:t>of</w:t>
      </w:r>
      <w:r w:rsidR="00572122">
        <w:rPr>
          <w:rFonts w:eastAsia="Times New Roman"/>
        </w:rPr>
        <w:t xml:space="preserve"> the CDR </w:t>
      </w:r>
      <w:r w:rsidRPr="008A5F12">
        <w:rPr>
          <w:rFonts w:eastAsia="Times New Roman"/>
        </w:rPr>
        <w:t xml:space="preserve">was that ‘screen scraping should be banned </w:t>
      </w:r>
      <w:proofErr w:type="gramStart"/>
      <w:r w:rsidRPr="008A5F12">
        <w:rPr>
          <w:rFonts w:eastAsia="Times New Roman"/>
        </w:rPr>
        <w:t>in the near future</w:t>
      </w:r>
      <w:proofErr w:type="gramEnd"/>
      <w:r w:rsidRPr="008A5F12">
        <w:rPr>
          <w:rFonts w:eastAsia="Times New Roman"/>
        </w:rPr>
        <w:t xml:space="preserve"> in sectors where the CDR is a viable alternative. Importantly, the Government should clearly signal when and how the implementation of the ban would take effect. This would provide certainty and adequate time for businesses to transition, along with stronger incentives to invest in moving to the CDR.’ </w:t>
      </w:r>
    </w:p>
    <w:p w14:paraId="0D48EB28" w14:textId="76045AE8" w:rsidR="00846656" w:rsidRDefault="005300AD" w:rsidP="12B29405">
      <w:r>
        <w:rPr>
          <w:rFonts w:eastAsia="Times New Roman"/>
        </w:rPr>
        <w:t>T</w:t>
      </w:r>
      <w:r w:rsidRPr="008A5F12">
        <w:rPr>
          <w:rFonts w:eastAsia="Times New Roman"/>
        </w:rPr>
        <w:t xml:space="preserve">he </w:t>
      </w:r>
      <w:hyperlink r:id="rId24" w:history="1">
        <w:r w:rsidRPr="008A5F12">
          <w:rPr>
            <w:rStyle w:val="Hyperlink"/>
            <w:rFonts w:eastAsia="Times New Roman"/>
          </w:rPr>
          <w:t>Government’s statement in response to the Statutory Review</w:t>
        </w:r>
      </w:hyperlink>
      <w:r>
        <w:rPr>
          <w:rFonts w:eastAsia="Times New Roman"/>
        </w:rPr>
        <w:t xml:space="preserve"> released on 7 June 2023 outlined that</w:t>
      </w:r>
      <w:r w:rsidRPr="008A5F12">
        <w:rPr>
          <w:rFonts w:eastAsia="Times New Roman"/>
        </w:rPr>
        <w:t xml:space="preserve"> the Government will consult with stakeholders to determine options to regulate screen scraping, commencing in the banking sector, starting </w:t>
      </w:r>
      <w:r w:rsidRPr="00B31CFD">
        <w:rPr>
          <w:rFonts w:eastAsia="Times New Roman"/>
        </w:rPr>
        <w:t xml:space="preserve">with the release of a discussion paper in the second half of 2023. </w:t>
      </w:r>
      <w:r w:rsidRPr="00B31CFD">
        <w:t>Treasury will be releasing a discussion paper in due course.</w:t>
      </w:r>
    </w:p>
    <w:p w14:paraId="0D9408E6" w14:textId="09E7D613" w:rsidR="00365C10" w:rsidRPr="00B836A6" w:rsidRDefault="003073BB" w:rsidP="00FA7ED5">
      <w:pPr>
        <w:pStyle w:val="Heading2"/>
        <w:numPr>
          <w:ilvl w:val="0"/>
          <w:numId w:val="0"/>
        </w:numPr>
        <w:rPr>
          <w:rFonts w:cs="Calibri"/>
        </w:rPr>
      </w:pPr>
      <w:bookmarkStart w:id="12" w:name="_Toc142317575"/>
      <w:bookmarkStart w:id="13" w:name="_Toc143705081"/>
      <w:bookmarkEnd w:id="4"/>
      <w:bookmarkEnd w:id="8"/>
      <w:r w:rsidRPr="00B836A6">
        <w:rPr>
          <w:rFonts w:cs="Calibri"/>
        </w:rPr>
        <w:t xml:space="preserve">Consultation on </w:t>
      </w:r>
      <w:r w:rsidR="005F7E86" w:rsidRPr="00B836A6">
        <w:rPr>
          <w:rFonts w:cs="Calibri"/>
        </w:rPr>
        <w:t>this design paper</w:t>
      </w:r>
      <w:bookmarkEnd w:id="12"/>
      <w:bookmarkEnd w:id="13"/>
    </w:p>
    <w:p w14:paraId="43B4A5E3" w14:textId="58E590FB" w:rsidR="009D5A80" w:rsidRDefault="002B2C94" w:rsidP="2ADC12AC">
      <w:pPr>
        <w:spacing w:line="259" w:lineRule="auto"/>
        <w:rPr>
          <w:rFonts w:cs="Calibri"/>
        </w:rPr>
      </w:pPr>
      <w:r w:rsidRPr="00B836A6">
        <w:rPr>
          <w:rFonts w:cs="Calibri"/>
        </w:rPr>
        <w:t>Treasury</w:t>
      </w:r>
      <w:r w:rsidR="0071792F" w:rsidRPr="00B836A6">
        <w:rPr>
          <w:rFonts w:cs="Calibri"/>
        </w:rPr>
        <w:t xml:space="preserve"> and the </w:t>
      </w:r>
      <w:r w:rsidR="00A47C49" w:rsidRPr="00B836A6">
        <w:rPr>
          <w:rFonts w:cs="Calibri"/>
        </w:rPr>
        <w:t>DSB</w:t>
      </w:r>
      <w:r w:rsidRPr="00B836A6">
        <w:rPr>
          <w:rFonts w:cs="Calibri"/>
        </w:rPr>
        <w:t xml:space="preserve"> seek feedback on the proposed policy </w:t>
      </w:r>
      <w:r w:rsidR="0044610C" w:rsidRPr="00B836A6">
        <w:rPr>
          <w:rFonts w:cs="Calibri"/>
        </w:rPr>
        <w:t>approach set out in th</w:t>
      </w:r>
      <w:r w:rsidR="00B8651F" w:rsidRPr="00B836A6">
        <w:rPr>
          <w:rFonts w:cs="Calibri"/>
        </w:rPr>
        <w:t>is</w:t>
      </w:r>
      <w:r w:rsidR="0044610C" w:rsidRPr="00B836A6">
        <w:rPr>
          <w:rFonts w:cs="Calibri"/>
        </w:rPr>
        <w:t xml:space="preserve"> paper, as well as the </w:t>
      </w:r>
      <w:r w:rsidR="00242491" w:rsidRPr="00B836A6">
        <w:rPr>
          <w:rFonts w:cs="Calibri"/>
        </w:rPr>
        <w:t>consultation questions</w:t>
      </w:r>
      <w:r w:rsidR="0044610C" w:rsidRPr="00B836A6">
        <w:rPr>
          <w:rFonts w:cs="Calibri"/>
        </w:rPr>
        <w:t>,</w:t>
      </w:r>
      <w:r w:rsidRPr="00B836A6">
        <w:rPr>
          <w:rFonts w:cs="Calibri"/>
        </w:rPr>
        <w:t xml:space="preserve"> </w:t>
      </w:r>
      <w:r w:rsidR="00F454B1" w:rsidRPr="00B836A6">
        <w:rPr>
          <w:rFonts w:cs="Calibri"/>
        </w:rPr>
        <w:t>by</w:t>
      </w:r>
      <w:r w:rsidR="00AF2331">
        <w:rPr>
          <w:rFonts w:cs="Calibri"/>
        </w:rPr>
        <w:t xml:space="preserve"> Friday 6 October 2023</w:t>
      </w:r>
      <w:r w:rsidRPr="00B836A6">
        <w:rPr>
          <w:rFonts w:cs="Calibri"/>
        </w:rPr>
        <w:t>.</w:t>
      </w:r>
      <w:r w:rsidR="0044610C" w:rsidRPr="00B836A6">
        <w:rPr>
          <w:rFonts w:cs="Calibri"/>
        </w:rPr>
        <w:t xml:space="preserve"> Feedback can be provided via email to</w:t>
      </w:r>
      <w:r w:rsidR="0030292A">
        <w:rPr>
          <w:rFonts w:cs="Calibri"/>
        </w:rPr>
        <w:t xml:space="preserve"> </w:t>
      </w:r>
      <w:hyperlink r:id="rId25" w:history="1">
        <w:r w:rsidR="00491574" w:rsidRPr="00926D13">
          <w:rPr>
            <w:rStyle w:val="Hyperlink"/>
            <w:rFonts w:cs="Calibri"/>
          </w:rPr>
          <w:t>CDRRules@treasury.gov.au</w:t>
        </w:r>
      </w:hyperlink>
      <w:r w:rsidR="0044610C" w:rsidRPr="00B836A6">
        <w:rPr>
          <w:rFonts w:cs="Calibri"/>
        </w:rPr>
        <w:t xml:space="preserve">. </w:t>
      </w:r>
      <w:r w:rsidR="00AB169E" w:rsidRPr="00B836A6">
        <w:rPr>
          <w:rFonts w:cs="Calibri"/>
        </w:rPr>
        <w:t>Feedback, c</w:t>
      </w:r>
      <w:r w:rsidR="00771492" w:rsidRPr="00B836A6">
        <w:rPr>
          <w:rFonts w:cs="Calibri"/>
        </w:rPr>
        <w:t>omments</w:t>
      </w:r>
      <w:r w:rsidR="00243CC8" w:rsidRPr="00B836A6">
        <w:rPr>
          <w:rFonts w:cs="Calibri"/>
        </w:rPr>
        <w:t xml:space="preserve"> and ongoing discussion</w:t>
      </w:r>
      <w:r w:rsidR="00771492" w:rsidRPr="00B836A6">
        <w:rPr>
          <w:rFonts w:cs="Calibri"/>
        </w:rPr>
        <w:t xml:space="preserve"> can also be lodged on the publi</w:t>
      </w:r>
      <w:r w:rsidR="00771492" w:rsidRPr="00920F81">
        <w:rPr>
          <w:rFonts w:cs="Calibri"/>
        </w:rPr>
        <w:t xml:space="preserve">c </w:t>
      </w:r>
      <w:hyperlink r:id="rId26">
        <w:r w:rsidR="4994D742" w:rsidRPr="04AA6B35">
          <w:rPr>
            <w:rStyle w:val="Hyperlink"/>
          </w:rPr>
          <w:t>GitHub page</w:t>
        </w:r>
      </w:hyperlink>
      <w:r w:rsidR="4994D742" w:rsidRPr="00920F81">
        <w:rPr>
          <w:rFonts w:cs="Calibri"/>
        </w:rPr>
        <w:t xml:space="preserve"> </w:t>
      </w:r>
      <w:r w:rsidR="5D42DF1F" w:rsidRPr="00B836A6">
        <w:rPr>
          <w:rFonts w:cs="Calibri"/>
        </w:rPr>
        <w:t xml:space="preserve">maintained by the </w:t>
      </w:r>
      <w:r w:rsidR="69F22692" w:rsidRPr="00B836A6">
        <w:rPr>
          <w:rFonts w:cs="Calibri"/>
        </w:rPr>
        <w:t>DSB.</w:t>
      </w:r>
      <w:r w:rsidR="008B4301" w:rsidRPr="00B836A6">
        <w:rPr>
          <w:rStyle w:val="FootnoteReference"/>
          <w:rFonts w:cs="Calibri"/>
        </w:rPr>
        <w:footnoteReference w:id="10"/>
      </w:r>
      <w:r w:rsidR="5C86CF0C" w:rsidRPr="00B836A6">
        <w:rPr>
          <w:rFonts w:cs="Calibri"/>
        </w:rPr>
        <w:t xml:space="preserve"> </w:t>
      </w:r>
    </w:p>
    <w:p w14:paraId="753BDF95" w14:textId="2EB45660" w:rsidR="00F14C21" w:rsidRDefault="6723CAE5" w:rsidP="00F14C21">
      <w:pPr>
        <w:rPr>
          <w:rFonts w:cs="Calibri"/>
        </w:rPr>
      </w:pPr>
      <w:r w:rsidRPr="06AE641B">
        <w:rPr>
          <w:rFonts w:cs="Calibri"/>
        </w:rPr>
        <w:t xml:space="preserve">Feedback provided in response to this paper will be used to develop the draft </w:t>
      </w:r>
      <w:r w:rsidR="3E42C4ED" w:rsidRPr="06AE641B">
        <w:rPr>
          <w:rFonts w:cs="Calibri"/>
        </w:rPr>
        <w:t>amendments to the</w:t>
      </w:r>
      <w:r w:rsidRPr="06AE641B">
        <w:rPr>
          <w:rFonts w:cs="Calibri"/>
        </w:rPr>
        <w:t xml:space="preserve"> </w:t>
      </w:r>
      <w:r w:rsidR="63D9FC19" w:rsidRPr="06AE641B">
        <w:rPr>
          <w:rFonts w:cs="Calibri"/>
        </w:rPr>
        <w:t xml:space="preserve">CDR </w:t>
      </w:r>
      <w:r w:rsidR="5B707508" w:rsidRPr="06AE641B">
        <w:rPr>
          <w:rFonts w:cs="Calibri"/>
        </w:rPr>
        <w:t>R</w:t>
      </w:r>
      <w:r w:rsidRPr="06AE641B">
        <w:rPr>
          <w:rFonts w:cs="Calibri"/>
        </w:rPr>
        <w:t xml:space="preserve">ules </w:t>
      </w:r>
      <w:r w:rsidR="3E42C4ED" w:rsidRPr="06AE641B">
        <w:rPr>
          <w:rFonts w:cs="Calibri"/>
        </w:rPr>
        <w:t xml:space="preserve">for CDR consents </w:t>
      </w:r>
      <w:r w:rsidRPr="06AE641B">
        <w:rPr>
          <w:rFonts w:cs="Calibri"/>
        </w:rPr>
        <w:t xml:space="preserve">and will inform Treasury’s advice to the </w:t>
      </w:r>
      <w:r w:rsidR="4965F633" w:rsidRPr="06AE641B">
        <w:rPr>
          <w:rFonts w:cs="Calibri"/>
        </w:rPr>
        <w:t>Minister</w:t>
      </w:r>
      <w:r w:rsidRPr="06AE641B">
        <w:rPr>
          <w:rFonts w:cs="Calibri"/>
        </w:rPr>
        <w:t xml:space="preserve">. </w:t>
      </w:r>
      <w:r w:rsidR="268CCD53" w:rsidRPr="06AE641B">
        <w:rPr>
          <w:rFonts w:cs="Calibri"/>
        </w:rPr>
        <w:t xml:space="preserve">It will also inform the DSB’s development of </w:t>
      </w:r>
      <w:r w:rsidR="01B28C71" w:rsidRPr="06AE641B">
        <w:rPr>
          <w:rFonts w:cs="Calibri"/>
        </w:rPr>
        <w:t>consumer experience s</w:t>
      </w:r>
      <w:r w:rsidR="268CCD53" w:rsidRPr="06AE641B">
        <w:rPr>
          <w:rFonts w:cs="Calibri"/>
        </w:rPr>
        <w:t xml:space="preserve">tandards. </w:t>
      </w:r>
      <w:r w:rsidRPr="06AE641B">
        <w:rPr>
          <w:rFonts w:cs="Calibri"/>
        </w:rPr>
        <w:t xml:space="preserve">Stakeholders will have a further opportunity to </w:t>
      </w:r>
      <w:r w:rsidR="5B707508" w:rsidRPr="06AE641B">
        <w:rPr>
          <w:rFonts w:cs="Calibri"/>
        </w:rPr>
        <w:t xml:space="preserve">provide feedback </w:t>
      </w:r>
      <w:r w:rsidRPr="06AE641B">
        <w:rPr>
          <w:rFonts w:cs="Calibri"/>
        </w:rPr>
        <w:t xml:space="preserve">on draft </w:t>
      </w:r>
      <w:r w:rsidR="39E345D7" w:rsidRPr="06AE641B">
        <w:rPr>
          <w:rFonts w:cs="Calibri"/>
        </w:rPr>
        <w:t>r</w:t>
      </w:r>
      <w:r w:rsidRPr="06AE641B">
        <w:rPr>
          <w:rFonts w:cs="Calibri"/>
        </w:rPr>
        <w:t>ule</w:t>
      </w:r>
      <w:r w:rsidR="6C76A56F" w:rsidRPr="06AE641B">
        <w:rPr>
          <w:rFonts w:cs="Calibri"/>
        </w:rPr>
        <w:t xml:space="preserve"> amendments</w:t>
      </w:r>
      <w:r w:rsidRPr="06AE641B">
        <w:rPr>
          <w:rFonts w:cs="Calibri"/>
        </w:rPr>
        <w:t xml:space="preserve"> and </w:t>
      </w:r>
      <w:r w:rsidR="2BA2B8D9" w:rsidRPr="3AE5841C">
        <w:rPr>
          <w:rFonts w:cs="Calibri"/>
        </w:rPr>
        <w:t>s</w:t>
      </w:r>
      <w:r w:rsidRPr="06AE641B">
        <w:rPr>
          <w:rFonts w:cs="Calibri"/>
        </w:rPr>
        <w:t>tandards at a later stage.</w:t>
      </w:r>
      <w:r w:rsidR="00F14C21" w:rsidRPr="00F14C21">
        <w:rPr>
          <w:rFonts w:cs="Calibri"/>
        </w:rPr>
        <w:t xml:space="preserve"> </w:t>
      </w:r>
    </w:p>
    <w:p w14:paraId="5DD57E21" w14:textId="43D3BC6A" w:rsidR="00F14C21" w:rsidRPr="00F14C21" w:rsidRDefault="00F14C21" w:rsidP="00F14C21">
      <w:pPr>
        <w:rPr>
          <w:rFonts w:cs="Calibri"/>
          <w:b/>
          <w:bCs/>
        </w:rPr>
      </w:pPr>
      <w:r>
        <w:rPr>
          <w:rFonts w:cs="Calibri"/>
          <w:b/>
          <w:bCs/>
        </w:rPr>
        <w:lastRenderedPageBreak/>
        <w:t>Privacy Impact Assessment</w:t>
      </w:r>
    </w:p>
    <w:p w14:paraId="3559D47A" w14:textId="353C1A9B" w:rsidR="00F14C21" w:rsidRPr="00B836A6" w:rsidRDefault="00F14C21" w:rsidP="00F14C21">
      <w:pPr>
        <w:rPr>
          <w:rFonts w:cs="Calibri"/>
        </w:rPr>
      </w:pPr>
      <w:r w:rsidRPr="06AE641B">
        <w:rPr>
          <w:rFonts w:cs="Calibri"/>
        </w:rPr>
        <w:t>Treasury is also commissioning a Privacy Impact Assessment (PIA) considering the privacy risks of making the changes to the CDR Rules</w:t>
      </w:r>
      <w:r>
        <w:rPr>
          <w:rFonts w:cs="Calibri"/>
        </w:rPr>
        <w:t xml:space="preserve"> and standards</w:t>
      </w:r>
      <w:r w:rsidRPr="06AE641B">
        <w:rPr>
          <w:rFonts w:cs="Calibri"/>
        </w:rPr>
        <w:t xml:space="preserve"> for CDR consents. Treasury seeks feedback on any privacy issues or risks relating to changes to the CDR Rules</w:t>
      </w:r>
      <w:r>
        <w:rPr>
          <w:rFonts w:cs="Calibri"/>
        </w:rPr>
        <w:t xml:space="preserve"> and standards</w:t>
      </w:r>
      <w:r w:rsidRPr="06AE641B">
        <w:rPr>
          <w:rFonts w:cs="Calibri"/>
        </w:rPr>
        <w:t xml:space="preserve"> that should be addressed in the PIA. </w:t>
      </w:r>
    </w:p>
    <w:p w14:paraId="7F36A4A1" w14:textId="002EEACD" w:rsidR="009E0C11" w:rsidRPr="00C13384" w:rsidRDefault="009E0C11">
      <w:pPr>
        <w:rPr>
          <w:rFonts w:cs="Calibri"/>
        </w:rPr>
      </w:pPr>
    </w:p>
    <w:p w14:paraId="6B79DFEA" w14:textId="219BCAB2" w:rsidR="002325F2" w:rsidRPr="00B836A6" w:rsidRDefault="002325F2" w:rsidP="00994BDE">
      <w:pPr>
        <w:pStyle w:val="Heading1"/>
        <w:spacing w:before="0"/>
        <w:rPr>
          <w:rFonts w:eastAsia="Calibri" w:cs="Calibri"/>
        </w:rPr>
      </w:pPr>
      <w:bookmarkStart w:id="14" w:name="_Toc142317576"/>
      <w:bookmarkStart w:id="15" w:name="_Toc143705082"/>
      <w:r w:rsidRPr="00B836A6">
        <w:rPr>
          <w:rFonts w:eastAsia="Calibri" w:cs="Calibri"/>
        </w:rPr>
        <w:t>Issues for Feedback</w:t>
      </w:r>
      <w:bookmarkEnd w:id="14"/>
      <w:bookmarkEnd w:id="15"/>
    </w:p>
    <w:p w14:paraId="623210AB" w14:textId="3B72DF2A" w:rsidR="00924092" w:rsidRDefault="002311CA" w:rsidP="00924092">
      <w:r w:rsidRPr="3C47EC05">
        <w:rPr>
          <w:rFonts w:cs="Calibri"/>
        </w:rPr>
        <w:t xml:space="preserve">The issues for feedback </w:t>
      </w:r>
      <w:r w:rsidR="00487ADD" w:rsidRPr="3C47EC05">
        <w:rPr>
          <w:rFonts w:cs="Calibri"/>
        </w:rPr>
        <w:t xml:space="preserve">in this design paper </w:t>
      </w:r>
      <w:r w:rsidRPr="3C47EC05">
        <w:rPr>
          <w:rFonts w:cs="Calibri"/>
        </w:rPr>
        <w:t xml:space="preserve">expand on the change proposals outlined in </w:t>
      </w:r>
      <w:hyperlink r:id="rId27">
        <w:r w:rsidRPr="3C47EC05">
          <w:rPr>
            <w:rStyle w:val="Hyperlink"/>
            <w:rFonts w:cs="Calibri"/>
          </w:rPr>
          <w:t>Noting Paper 273 – Consent Review</w:t>
        </w:r>
      </w:hyperlink>
      <w:r w:rsidR="003247C6" w:rsidRPr="002F0AD6">
        <w:t xml:space="preserve"> (the noting paper)</w:t>
      </w:r>
      <w:r w:rsidRPr="3C47EC05">
        <w:rPr>
          <w:rFonts w:cs="Calibri"/>
        </w:rPr>
        <w:t>.</w:t>
      </w:r>
      <w:r w:rsidR="00A85863">
        <w:rPr>
          <w:rStyle w:val="FootnoteReference"/>
          <w:rFonts w:cs="Calibri"/>
        </w:rPr>
        <w:footnoteReference w:id="11"/>
      </w:r>
      <w:r w:rsidR="00CA1DF9" w:rsidRPr="3C47EC05">
        <w:rPr>
          <w:rFonts w:cs="Calibri"/>
        </w:rPr>
        <w:t xml:space="preserve"> However, </w:t>
      </w:r>
      <w:r w:rsidR="00422671" w:rsidRPr="3C47EC05">
        <w:rPr>
          <w:rFonts w:cs="Calibri"/>
        </w:rPr>
        <w:t>not all of th</w:t>
      </w:r>
      <w:r w:rsidR="57442CF1" w:rsidRPr="3C47EC05">
        <w:rPr>
          <w:rFonts w:cs="Calibri"/>
        </w:rPr>
        <w:t>ose</w:t>
      </w:r>
      <w:r w:rsidR="00FC44C5">
        <w:rPr>
          <w:rFonts w:cs="Calibri"/>
        </w:rPr>
        <w:t xml:space="preserve"> </w:t>
      </w:r>
      <w:r w:rsidR="00487ADD" w:rsidRPr="3C47EC05">
        <w:rPr>
          <w:rFonts w:cs="Calibri"/>
        </w:rPr>
        <w:t xml:space="preserve">proposals are </w:t>
      </w:r>
      <w:r w:rsidR="24341B23" w:rsidRPr="3C47EC05">
        <w:rPr>
          <w:rFonts w:cs="Calibri"/>
        </w:rPr>
        <w:t>included</w:t>
      </w:r>
      <w:r w:rsidR="00FC44C5">
        <w:rPr>
          <w:rFonts w:cs="Calibri"/>
        </w:rPr>
        <w:t xml:space="preserve"> </w:t>
      </w:r>
      <w:r w:rsidR="00487ADD" w:rsidRPr="3C47EC05">
        <w:rPr>
          <w:rFonts w:cs="Calibri"/>
        </w:rPr>
        <w:t>in this</w:t>
      </w:r>
      <w:r w:rsidR="003247C6">
        <w:rPr>
          <w:rFonts w:cs="Calibri"/>
        </w:rPr>
        <w:t xml:space="preserve"> design</w:t>
      </w:r>
      <w:r w:rsidR="00487ADD" w:rsidRPr="3C47EC05">
        <w:rPr>
          <w:rFonts w:cs="Calibri"/>
        </w:rPr>
        <w:t xml:space="preserve"> </w:t>
      </w:r>
      <w:r w:rsidR="0017601A" w:rsidRPr="3C47EC05">
        <w:rPr>
          <w:rFonts w:cs="Calibri"/>
        </w:rPr>
        <w:t>paper</w:t>
      </w:r>
      <w:r w:rsidR="00924092" w:rsidRPr="3C47EC05">
        <w:rPr>
          <w:rFonts w:cs="Calibri"/>
        </w:rPr>
        <w:t>.</w:t>
      </w:r>
      <w:r w:rsidR="6EDDEC78">
        <w:t xml:space="preserve"> In particular</w:t>
      </w:r>
      <w:r w:rsidR="00924092">
        <w:t>:</w:t>
      </w:r>
    </w:p>
    <w:p w14:paraId="7D9939B5" w14:textId="5D9478B7" w:rsidR="00924092" w:rsidRPr="00FC44C5" w:rsidRDefault="3FC0903C" w:rsidP="00FC44C5">
      <w:pPr>
        <w:pStyle w:val="Bulletpoint"/>
        <w:rPr>
          <w:rFonts w:eastAsia="Calibri" w:cs="Calibri"/>
        </w:rPr>
      </w:pPr>
      <w:r>
        <w:t xml:space="preserve">Data language standards – </w:t>
      </w:r>
      <w:r w:rsidR="66870A8C">
        <w:t>C</w:t>
      </w:r>
      <w:r w:rsidR="1AD338BD">
        <w:t xml:space="preserve">hanges to data language standards have been deprioritised, as </w:t>
      </w:r>
      <w:r w:rsidR="0254938C">
        <w:t>these</w:t>
      </w:r>
      <w:r w:rsidR="1AD338BD">
        <w:t xml:space="preserve"> did not present a compelling </w:t>
      </w:r>
      <w:r w:rsidR="390473C1">
        <w:t xml:space="preserve">case for </w:t>
      </w:r>
      <w:r w:rsidR="1AD338BD">
        <w:t>change at this time. Data language standards will continue to be a research focus for the DSB</w:t>
      </w:r>
      <w:r w:rsidR="00C44807">
        <w:t>’s</w:t>
      </w:r>
      <w:r w:rsidR="1AD338BD">
        <w:t xml:space="preserve"> CX working group. </w:t>
      </w:r>
    </w:p>
    <w:p w14:paraId="23F1349C" w14:textId="7F78027C" w:rsidR="00924092" w:rsidRPr="00FC44C5" w:rsidRDefault="157E37A7" w:rsidP="00FC44C5">
      <w:pPr>
        <w:pStyle w:val="Bulletpoint"/>
        <w:rPr>
          <w:rFonts w:eastAsia="Calibri" w:cs="Calibri"/>
        </w:rPr>
      </w:pPr>
      <w:r>
        <w:t xml:space="preserve">Authentication information – </w:t>
      </w:r>
      <w:r w:rsidR="60B4776F">
        <w:t>C</w:t>
      </w:r>
      <w:r w:rsidR="293ED0AA">
        <w:t xml:space="preserve">hanges to authentication information </w:t>
      </w:r>
      <w:r w:rsidR="653934F2">
        <w:t>will</w:t>
      </w:r>
      <w:r w:rsidR="293ED0AA">
        <w:t xml:space="preserve"> be progressed as part of </w:t>
      </w:r>
      <w:r w:rsidR="5F71BF29">
        <w:t xml:space="preserve">the </w:t>
      </w:r>
      <w:r w:rsidR="293ED0AA">
        <w:t>Authentication Uplift work currently being conducted by the DSB</w:t>
      </w:r>
      <w:r w:rsidR="4BBCC2F3" w:rsidRPr="005159F3">
        <w:rPr>
          <w:rFonts w:cs="Calibri"/>
        </w:rPr>
        <w:t>.</w:t>
      </w:r>
      <w:r w:rsidR="00AE1A22">
        <w:rPr>
          <w:rStyle w:val="FootnoteReference"/>
          <w:rFonts w:cs="Calibri"/>
        </w:rPr>
        <w:footnoteReference w:id="12"/>
      </w:r>
    </w:p>
    <w:p w14:paraId="0A40A403" w14:textId="13B75530" w:rsidR="3DDF6470" w:rsidRPr="00924092" w:rsidRDefault="6022BBEE" w:rsidP="00FC44C5">
      <w:pPr>
        <w:pStyle w:val="Bulletpoint"/>
        <w:rPr>
          <w:rFonts w:eastAsia="Calibri" w:cs="Calibri"/>
        </w:rPr>
      </w:pPr>
      <w:r>
        <w:t xml:space="preserve">Dashboards for once-off consents – </w:t>
      </w:r>
      <w:r w:rsidR="3FDC9D78">
        <w:t>W</w:t>
      </w:r>
      <w:r w:rsidR="6041B767">
        <w:t>e are not proceed</w:t>
      </w:r>
      <w:r w:rsidR="3F033796">
        <w:t>ing</w:t>
      </w:r>
      <w:r w:rsidR="6041B767">
        <w:t xml:space="preserve"> with the proposal to remove dashboard requirements for once-off consents</w:t>
      </w:r>
      <w:r w:rsidR="381BFA88">
        <w:t xml:space="preserve">, </w:t>
      </w:r>
      <w:r w:rsidR="00C52F78">
        <w:t>as</w:t>
      </w:r>
      <w:r w:rsidR="42632524">
        <w:t xml:space="preserve"> </w:t>
      </w:r>
      <w:r>
        <w:t>feedback</w:t>
      </w:r>
      <w:r w:rsidR="33824A52">
        <w:t xml:space="preserve"> indicat</w:t>
      </w:r>
      <w:r w:rsidR="00C52F78">
        <w:t>ed</w:t>
      </w:r>
      <w:r>
        <w:t xml:space="preserve"> </w:t>
      </w:r>
      <w:r w:rsidR="3477E812">
        <w:t xml:space="preserve">that </w:t>
      </w:r>
      <w:r w:rsidR="7B88B14C">
        <w:t xml:space="preserve">dashboard requirements </w:t>
      </w:r>
      <w:r w:rsidR="7FF3D3AE">
        <w:t xml:space="preserve">are important </w:t>
      </w:r>
      <w:r w:rsidR="04CBDE83">
        <w:t>for</w:t>
      </w:r>
      <w:r w:rsidR="6EA104B4">
        <w:t xml:space="preserve"> the management of CDR consents</w:t>
      </w:r>
      <w:r w:rsidR="381BFA88">
        <w:t>.</w:t>
      </w:r>
    </w:p>
    <w:p w14:paraId="6DE2BDE1" w14:textId="3AFDC8E6" w:rsidR="007C46CB" w:rsidRPr="00B836A6" w:rsidRDefault="001C378B" w:rsidP="007C46CB">
      <w:pPr>
        <w:pStyle w:val="Heading2"/>
        <w:spacing w:after="240"/>
        <w:rPr>
          <w:rFonts w:eastAsia="Calibri" w:cs="Calibri"/>
        </w:rPr>
      </w:pPr>
      <w:bookmarkStart w:id="16" w:name="_Ref139985286"/>
      <w:bookmarkStart w:id="17" w:name="_Toc142317577"/>
      <w:bookmarkStart w:id="18" w:name="_Toc143705083"/>
      <w:r>
        <w:rPr>
          <w:rFonts w:eastAsia="Calibri" w:cs="Calibri"/>
        </w:rPr>
        <w:t>Bundling</w:t>
      </w:r>
      <w:r w:rsidR="52DE69FD" w:rsidRPr="20057625">
        <w:rPr>
          <w:rFonts w:eastAsia="Calibri" w:cs="Calibri"/>
        </w:rPr>
        <w:t xml:space="preserve"> of consents</w:t>
      </w:r>
      <w:bookmarkEnd w:id="16"/>
      <w:bookmarkEnd w:id="17"/>
      <w:bookmarkEnd w:id="18"/>
    </w:p>
    <w:p w14:paraId="4C7DCB77" w14:textId="470BACE0" w:rsidR="0071752A" w:rsidRDefault="00653EE6" w:rsidP="007108C6">
      <w:pPr>
        <w:rPr>
          <w:rFonts w:cs="Calibri"/>
        </w:rPr>
      </w:pPr>
      <w:r>
        <w:rPr>
          <w:rFonts w:cs="Calibri"/>
        </w:rPr>
        <w:t xml:space="preserve">The CDR Rules </w:t>
      </w:r>
      <w:r w:rsidR="0070654F">
        <w:rPr>
          <w:rFonts w:cs="Calibri"/>
        </w:rPr>
        <w:t>require</w:t>
      </w:r>
      <w:r>
        <w:rPr>
          <w:rFonts w:cs="Calibri"/>
        </w:rPr>
        <w:t xml:space="preserve"> that</w:t>
      </w:r>
      <w:r w:rsidR="007108C6" w:rsidRPr="1EEC6329">
        <w:rPr>
          <w:rFonts w:cs="Calibri"/>
        </w:rPr>
        <w:t xml:space="preserve"> an accredited person</w:t>
      </w:r>
      <w:r w:rsidR="00EA53CF">
        <w:rPr>
          <w:rFonts w:cs="Calibri"/>
        </w:rPr>
        <w:t xml:space="preserve">’s </w:t>
      </w:r>
      <w:r w:rsidR="007108C6" w:rsidRPr="1EEC6329">
        <w:rPr>
          <w:rFonts w:cs="Calibri"/>
        </w:rPr>
        <w:t>processes for asking a CDR consumer</w:t>
      </w:r>
      <w:r w:rsidR="0002107E">
        <w:rPr>
          <w:rFonts w:cs="Calibri"/>
        </w:rPr>
        <w:t xml:space="preserve"> to give a consent must not </w:t>
      </w:r>
      <w:r w:rsidR="007108C6" w:rsidRPr="1EEC6329">
        <w:rPr>
          <w:rFonts w:cs="Calibri"/>
        </w:rPr>
        <w:t>bundle consents with other directions, permissions, consents or agreements.</w:t>
      </w:r>
      <w:r w:rsidR="001401A7">
        <w:rPr>
          <w:rStyle w:val="FootnoteReference"/>
          <w:rFonts w:cs="Calibri"/>
        </w:rPr>
        <w:footnoteReference w:id="13"/>
      </w:r>
      <w:r w:rsidR="007108C6" w:rsidRPr="1EEC6329">
        <w:rPr>
          <w:rFonts w:cs="Calibri"/>
        </w:rPr>
        <w:t xml:space="preserve"> </w:t>
      </w:r>
    </w:p>
    <w:p w14:paraId="62C2EC02" w14:textId="7F5500B7" w:rsidR="007108C6" w:rsidRDefault="00100E51" w:rsidP="007108C6">
      <w:pPr>
        <w:rPr>
          <w:rFonts w:cs="Calibri"/>
        </w:rPr>
      </w:pPr>
      <w:r>
        <w:rPr>
          <w:rFonts w:cs="Calibri"/>
        </w:rPr>
        <w:t>‘</w:t>
      </w:r>
      <w:r w:rsidR="00AB4BC7">
        <w:rPr>
          <w:rFonts w:cs="Calibri"/>
        </w:rPr>
        <w:t>Bund</w:t>
      </w:r>
      <w:r w:rsidR="0020655C">
        <w:rPr>
          <w:rFonts w:cs="Calibri"/>
        </w:rPr>
        <w:t>led consent</w:t>
      </w:r>
      <w:r>
        <w:rPr>
          <w:rFonts w:cs="Calibri"/>
        </w:rPr>
        <w:t>’</w:t>
      </w:r>
      <w:r w:rsidR="0020655C">
        <w:rPr>
          <w:rFonts w:cs="Calibri"/>
        </w:rPr>
        <w:t xml:space="preserve"> </w:t>
      </w:r>
      <w:r>
        <w:rPr>
          <w:rFonts w:cs="Calibri"/>
        </w:rPr>
        <w:t xml:space="preserve">is not a </w:t>
      </w:r>
      <w:r w:rsidR="0020655C">
        <w:rPr>
          <w:rFonts w:cs="Calibri"/>
        </w:rPr>
        <w:t xml:space="preserve">defined </w:t>
      </w:r>
      <w:r>
        <w:rPr>
          <w:rFonts w:cs="Calibri"/>
        </w:rPr>
        <w:t>term within the CDR Rules</w:t>
      </w:r>
      <w:r w:rsidR="00D50027">
        <w:rPr>
          <w:rFonts w:cs="Calibri"/>
        </w:rPr>
        <w:t>.</w:t>
      </w:r>
      <w:r w:rsidR="0071752A">
        <w:rPr>
          <w:rFonts w:cs="Calibri"/>
        </w:rPr>
        <w:t xml:space="preserve"> </w:t>
      </w:r>
      <w:r w:rsidR="00FC6433">
        <w:rPr>
          <w:rFonts w:cs="Calibri"/>
        </w:rPr>
        <w:t>We note t</w:t>
      </w:r>
      <w:r w:rsidR="00D84B2B">
        <w:rPr>
          <w:rFonts w:cs="Calibri"/>
        </w:rPr>
        <w:t xml:space="preserve">he </w:t>
      </w:r>
      <w:r w:rsidR="007108C6" w:rsidRPr="00B836A6">
        <w:rPr>
          <w:rFonts w:cs="Calibri"/>
        </w:rPr>
        <w:t>OAIC</w:t>
      </w:r>
      <w:r w:rsidR="00D84B2B">
        <w:rPr>
          <w:rFonts w:cs="Calibri"/>
        </w:rPr>
        <w:t>’s CDR</w:t>
      </w:r>
      <w:r w:rsidR="007108C6" w:rsidRPr="00B836A6">
        <w:rPr>
          <w:rFonts w:cs="Calibri"/>
        </w:rPr>
        <w:t xml:space="preserve"> </w:t>
      </w:r>
      <w:r w:rsidR="00D84B2B">
        <w:rPr>
          <w:rFonts w:cs="Calibri"/>
        </w:rPr>
        <w:t xml:space="preserve">Privacy Safeguard Guidelines describe </w:t>
      </w:r>
      <w:r w:rsidR="007108C6" w:rsidRPr="00B836A6">
        <w:rPr>
          <w:rFonts w:cs="Calibri"/>
        </w:rPr>
        <w:t xml:space="preserve">bundled consent </w:t>
      </w:r>
      <w:r w:rsidR="00D84B2B">
        <w:rPr>
          <w:rFonts w:cs="Calibri"/>
        </w:rPr>
        <w:t>as</w:t>
      </w:r>
      <w:r w:rsidR="007108C6" w:rsidRPr="00B836A6">
        <w:rPr>
          <w:rFonts w:cs="Calibri"/>
        </w:rPr>
        <w:t xml:space="preserve"> the ‘bundling’ together of multiple requests for a consumer’s consent to a wide range of collections, uses and/or disclosures of CDR data, without giving the consumer the opportunity to choose which collections, uses or disclosures they agree to and which they do not.</w:t>
      </w:r>
      <w:r w:rsidR="003448AB">
        <w:rPr>
          <w:rStyle w:val="FootnoteReference"/>
          <w:rFonts w:cs="Calibri"/>
        </w:rPr>
        <w:footnoteReference w:id="14"/>
      </w:r>
      <w:r w:rsidR="007108C6" w:rsidRPr="00B836A6">
        <w:rPr>
          <w:rFonts w:cs="Calibri"/>
        </w:rPr>
        <w:t xml:space="preserve"> </w:t>
      </w:r>
      <w:r w:rsidR="00210775">
        <w:rPr>
          <w:rFonts w:cs="Calibri"/>
        </w:rPr>
        <w:t>The OAIC recognises bundling practices as having the potential to undermine the voluntary nature of the consent.</w:t>
      </w:r>
      <w:r w:rsidR="00BC53DD">
        <w:rPr>
          <w:rStyle w:val="FootnoteReference"/>
          <w:rFonts w:cs="Calibri"/>
        </w:rPr>
        <w:footnoteReference w:id="15"/>
      </w:r>
      <w:r w:rsidR="00210775">
        <w:rPr>
          <w:rFonts w:cs="Calibri"/>
        </w:rPr>
        <w:t xml:space="preserve"> </w:t>
      </w:r>
    </w:p>
    <w:p w14:paraId="76CD2A00" w14:textId="3D217FB6" w:rsidR="00AD534D" w:rsidRDefault="3783277B" w:rsidP="007108C6">
      <w:pPr>
        <w:rPr>
          <w:rFonts w:cs="Calibri"/>
        </w:rPr>
      </w:pPr>
      <w:r w:rsidRPr="1EEC6329">
        <w:rPr>
          <w:rFonts w:cs="Calibri"/>
        </w:rPr>
        <w:t xml:space="preserve">The CDR </w:t>
      </w:r>
      <w:r w:rsidR="284C5245">
        <w:rPr>
          <w:rFonts w:cs="Calibri"/>
        </w:rPr>
        <w:t>R</w:t>
      </w:r>
      <w:r w:rsidRPr="1EEC6329">
        <w:rPr>
          <w:rFonts w:cs="Calibri"/>
        </w:rPr>
        <w:t>ules include multiple types of consents</w:t>
      </w:r>
      <w:r w:rsidR="59507CBB" w:rsidRPr="1EEC6329">
        <w:rPr>
          <w:rFonts w:cs="Calibri"/>
        </w:rPr>
        <w:t>, including consents to collect, use, disclose</w:t>
      </w:r>
      <w:r w:rsidR="61E2C8EC" w:rsidRPr="1EEC6329">
        <w:rPr>
          <w:rFonts w:cs="Calibri"/>
        </w:rPr>
        <w:t xml:space="preserve"> or</w:t>
      </w:r>
      <w:r w:rsidR="59507CBB" w:rsidRPr="1EEC6329">
        <w:rPr>
          <w:rFonts w:cs="Calibri"/>
        </w:rPr>
        <w:t xml:space="preserve"> de-identify</w:t>
      </w:r>
      <w:r w:rsidR="61E2C8EC" w:rsidRPr="1EEC6329">
        <w:rPr>
          <w:rFonts w:cs="Calibri"/>
        </w:rPr>
        <w:t xml:space="preserve"> CDR data</w:t>
      </w:r>
      <w:r w:rsidR="15C1FA2F" w:rsidRPr="1EEC6329">
        <w:rPr>
          <w:rFonts w:cs="Calibri"/>
        </w:rPr>
        <w:t xml:space="preserve">, </w:t>
      </w:r>
      <w:r w:rsidR="17B89C07" w:rsidRPr="1EEC6329">
        <w:rPr>
          <w:rFonts w:cs="Calibri"/>
        </w:rPr>
        <w:t>or</w:t>
      </w:r>
      <w:r w:rsidR="333A700F" w:rsidRPr="1EEC6329">
        <w:rPr>
          <w:rFonts w:cs="Calibri"/>
        </w:rPr>
        <w:t xml:space="preserve"> conduct direct </w:t>
      </w:r>
      <w:r w:rsidR="0C37EB86" w:rsidRPr="1EEC6329">
        <w:rPr>
          <w:rFonts w:cs="Calibri"/>
        </w:rPr>
        <w:t>marketing</w:t>
      </w:r>
      <w:r w:rsidR="61E2C8EC" w:rsidRPr="1EEC6329">
        <w:rPr>
          <w:rFonts w:cs="Calibri"/>
        </w:rPr>
        <w:t xml:space="preserve"> activities</w:t>
      </w:r>
      <w:r w:rsidR="0C37EB86" w:rsidRPr="1EEC6329">
        <w:rPr>
          <w:rFonts w:cs="Calibri"/>
        </w:rPr>
        <w:t>.</w:t>
      </w:r>
      <w:r w:rsidR="00FC70B6">
        <w:rPr>
          <w:rStyle w:val="FootnoteReference"/>
          <w:rFonts w:cs="Calibri"/>
        </w:rPr>
        <w:footnoteReference w:id="16"/>
      </w:r>
      <w:r w:rsidR="0C37EB86" w:rsidRPr="1EEC6329">
        <w:rPr>
          <w:rFonts w:cs="Calibri"/>
        </w:rPr>
        <w:t xml:space="preserve"> </w:t>
      </w:r>
      <w:r w:rsidR="57634566">
        <w:rPr>
          <w:rFonts w:cs="Calibri"/>
        </w:rPr>
        <w:t xml:space="preserve">For the purpose of this paper, </w:t>
      </w:r>
      <w:r w:rsidR="628CA7D8">
        <w:rPr>
          <w:rFonts w:cs="Calibri"/>
        </w:rPr>
        <w:t xml:space="preserve">we </w:t>
      </w:r>
      <w:r w:rsidR="7BF2F21B">
        <w:rPr>
          <w:rFonts w:cs="Calibri"/>
        </w:rPr>
        <w:t>use</w:t>
      </w:r>
      <w:r w:rsidR="21AEDC9B">
        <w:rPr>
          <w:rFonts w:cs="Calibri"/>
        </w:rPr>
        <w:t xml:space="preserve"> the term</w:t>
      </w:r>
      <w:r w:rsidR="628CA7D8">
        <w:rPr>
          <w:rFonts w:cs="Calibri"/>
        </w:rPr>
        <w:t xml:space="preserve"> </w:t>
      </w:r>
      <w:r w:rsidR="00FF3ADA">
        <w:rPr>
          <w:rFonts w:cs="Calibri"/>
        </w:rPr>
        <w:t>‘</w:t>
      </w:r>
      <w:r w:rsidR="628CA7D8">
        <w:rPr>
          <w:rFonts w:cs="Calibri"/>
        </w:rPr>
        <w:t>b</w:t>
      </w:r>
      <w:r w:rsidR="628CA7D8" w:rsidRPr="1EEC6329">
        <w:rPr>
          <w:rFonts w:cs="Calibri"/>
        </w:rPr>
        <w:t>undling</w:t>
      </w:r>
      <w:r w:rsidR="00FF3ADA">
        <w:rPr>
          <w:rFonts w:cs="Calibri"/>
        </w:rPr>
        <w:t>’</w:t>
      </w:r>
      <w:r w:rsidR="21AEDC9B">
        <w:rPr>
          <w:rFonts w:cs="Calibri"/>
        </w:rPr>
        <w:t xml:space="preserve"> to</w:t>
      </w:r>
      <w:r w:rsidR="628CA7D8" w:rsidRPr="1EEC6329">
        <w:rPr>
          <w:rFonts w:cs="Calibri"/>
        </w:rPr>
        <w:t xml:space="preserve"> </w:t>
      </w:r>
      <w:r w:rsidR="2381B84B" w:rsidRPr="04A83235">
        <w:rPr>
          <w:rFonts w:cs="Calibri"/>
        </w:rPr>
        <w:t>refer</w:t>
      </w:r>
      <w:r w:rsidR="2381B84B" w:rsidRPr="1EEC6329">
        <w:rPr>
          <w:rFonts w:cs="Calibri"/>
        </w:rPr>
        <w:t xml:space="preserve"> to</w:t>
      </w:r>
      <w:r w:rsidR="6A7CBE31" w:rsidRPr="1EEC6329">
        <w:rPr>
          <w:rFonts w:cs="Calibri"/>
        </w:rPr>
        <w:t xml:space="preserve"> an </w:t>
      </w:r>
      <w:r w:rsidR="7F6AEABF">
        <w:rPr>
          <w:rFonts w:cs="Calibri"/>
        </w:rPr>
        <w:t>Accredited Data Recipient (</w:t>
      </w:r>
      <w:r w:rsidR="6A7CBE31" w:rsidRPr="1EEC6329">
        <w:rPr>
          <w:rFonts w:cs="Calibri"/>
        </w:rPr>
        <w:t>ADR</w:t>
      </w:r>
      <w:r w:rsidR="7F6AEABF">
        <w:rPr>
          <w:rFonts w:cs="Calibri"/>
        </w:rPr>
        <w:t>)</w:t>
      </w:r>
      <w:r w:rsidR="2381B84B" w:rsidRPr="1EEC6329">
        <w:rPr>
          <w:rFonts w:cs="Calibri"/>
        </w:rPr>
        <w:t xml:space="preserve"> </w:t>
      </w:r>
      <w:r w:rsidR="7575E0D1" w:rsidRPr="1EEC6329">
        <w:rPr>
          <w:rFonts w:cs="Calibri"/>
        </w:rPr>
        <w:t xml:space="preserve">requesting </w:t>
      </w:r>
      <w:r w:rsidR="2FAD20C1" w:rsidRPr="1EEC6329">
        <w:rPr>
          <w:rFonts w:cs="Calibri"/>
        </w:rPr>
        <w:t xml:space="preserve">that </w:t>
      </w:r>
      <w:r w:rsidR="7575E0D1" w:rsidRPr="1EEC6329">
        <w:rPr>
          <w:rFonts w:cs="Calibri"/>
        </w:rPr>
        <w:t xml:space="preserve">the consumer agree to </w:t>
      </w:r>
      <w:r w:rsidR="5D33006D" w:rsidRPr="1EEC6329">
        <w:rPr>
          <w:rFonts w:cs="Calibri"/>
        </w:rPr>
        <w:t xml:space="preserve">multiple </w:t>
      </w:r>
      <w:r w:rsidR="0E202440" w:rsidRPr="1EEC6329">
        <w:rPr>
          <w:rFonts w:cs="Calibri"/>
        </w:rPr>
        <w:t>consents at the same time</w:t>
      </w:r>
      <w:r w:rsidR="440CCBE5" w:rsidRPr="1EEC6329">
        <w:rPr>
          <w:rFonts w:cs="Calibri"/>
        </w:rPr>
        <w:t xml:space="preserve"> through a single express action</w:t>
      </w:r>
      <w:r w:rsidR="00FF3ADA">
        <w:rPr>
          <w:rFonts w:cs="Calibri"/>
        </w:rPr>
        <w:t>.</w:t>
      </w:r>
      <w:r w:rsidR="0E202440" w:rsidRPr="1EEC6329">
        <w:rPr>
          <w:rFonts w:cs="Calibri"/>
        </w:rPr>
        <w:t xml:space="preserve"> </w:t>
      </w:r>
      <w:r w:rsidR="61AF85C3" w:rsidRPr="1EEC6329">
        <w:rPr>
          <w:rFonts w:cs="Calibri"/>
        </w:rPr>
        <w:t xml:space="preserve">While a consumer </w:t>
      </w:r>
      <w:r w:rsidR="7E7DEA44" w:rsidRPr="1EEC6329">
        <w:rPr>
          <w:rFonts w:cs="Calibri"/>
        </w:rPr>
        <w:t xml:space="preserve">will generally be required to agree to a </w:t>
      </w:r>
      <w:r w:rsidR="1CB8F569" w:rsidRPr="1EEC6329">
        <w:rPr>
          <w:rFonts w:cs="Calibri"/>
        </w:rPr>
        <w:t>number of</w:t>
      </w:r>
      <w:r w:rsidR="7E7DEA44" w:rsidRPr="1EEC6329">
        <w:rPr>
          <w:rFonts w:cs="Calibri"/>
        </w:rPr>
        <w:t xml:space="preserve"> </w:t>
      </w:r>
      <w:r w:rsidR="08D93D05" w:rsidRPr="1EEC6329">
        <w:rPr>
          <w:rFonts w:cs="Calibri"/>
        </w:rPr>
        <w:t xml:space="preserve">consents </w:t>
      </w:r>
      <w:r w:rsidR="5BFF2716" w:rsidRPr="1EEC6329">
        <w:rPr>
          <w:rFonts w:cs="Calibri"/>
        </w:rPr>
        <w:t xml:space="preserve">before being provided with a good or service, </w:t>
      </w:r>
      <w:r w:rsidR="04626FFE" w:rsidRPr="1EEC6329">
        <w:rPr>
          <w:rFonts w:cs="Calibri"/>
        </w:rPr>
        <w:t>wher</w:t>
      </w:r>
      <w:r w:rsidR="2EE514E7" w:rsidRPr="1EEC6329">
        <w:rPr>
          <w:rFonts w:cs="Calibri"/>
        </w:rPr>
        <w:t>e</w:t>
      </w:r>
      <w:r w:rsidR="5BFF2716" w:rsidRPr="1EEC6329">
        <w:rPr>
          <w:rFonts w:cs="Calibri"/>
        </w:rPr>
        <w:t xml:space="preserve"> th</w:t>
      </w:r>
      <w:r w:rsidR="3FF926B1" w:rsidRPr="1EEC6329">
        <w:rPr>
          <w:rFonts w:cs="Calibri"/>
        </w:rPr>
        <w:t xml:space="preserve">e consumer is </w:t>
      </w:r>
      <w:r w:rsidR="5BFF2716" w:rsidRPr="1EEC6329">
        <w:rPr>
          <w:rFonts w:cs="Calibri"/>
        </w:rPr>
        <w:t xml:space="preserve">given </w:t>
      </w:r>
      <w:r w:rsidR="733E986B" w:rsidRPr="1EEC6329">
        <w:rPr>
          <w:rFonts w:cs="Calibri"/>
        </w:rPr>
        <w:t xml:space="preserve">the </w:t>
      </w:r>
      <w:r w:rsidR="761BCCA3" w:rsidRPr="1EEC6329">
        <w:rPr>
          <w:rFonts w:cs="Calibri"/>
        </w:rPr>
        <w:t xml:space="preserve">option </w:t>
      </w:r>
      <w:r w:rsidR="5BFF2716" w:rsidRPr="1EEC6329">
        <w:rPr>
          <w:rFonts w:cs="Calibri"/>
        </w:rPr>
        <w:t xml:space="preserve">to </w:t>
      </w:r>
      <w:r w:rsidR="393A1082" w:rsidRPr="1EEC6329">
        <w:rPr>
          <w:rFonts w:cs="Calibri"/>
        </w:rPr>
        <w:t xml:space="preserve">individually </w:t>
      </w:r>
      <w:r w:rsidR="2DA659FB" w:rsidRPr="1EEC6329">
        <w:rPr>
          <w:rFonts w:cs="Calibri"/>
        </w:rPr>
        <w:t xml:space="preserve">select which </w:t>
      </w:r>
      <w:proofErr w:type="gramStart"/>
      <w:r w:rsidR="08D93D05" w:rsidRPr="1EEC6329">
        <w:rPr>
          <w:rFonts w:cs="Calibri"/>
        </w:rPr>
        <w:t>consents</w:t>
      </w:r>
      <w:proofErr w:type="gramEnd"/>
      <w:r w:rsidR="08D93D05" w:rsidRPr="1EEC6329">
        <w:rPr>
          <w:rFonts w:cs="Calibri"/>
        </w:rPr>
        <w:t xml:space="preserve"> </w:t>
      </w:r>
      <w:r w:rsidR="2DA659FB" w:rsidRPr="1EEC6329">
        <w:rPr>
          <w:rFonts w:cs="Calibri"/>
        </w:rPr>
        <w:t xml:space="preserve">they agree to and </w:t>
      </w:r>
      <w:r w:rsidR="69497048" w:rsidRPr="1EEC6329">
        <w:rPr>
          <w:rFonts w:cs="Calibri"/>
        </w:rPr>
        <w:t xml:space="preserve">which they </w:t>
      </w:r>
      <w:r w:rsidR="3EA8B0A0" w:rsidRPr="1EEC6329">
        <w:rPr>
          <w:rFonts w:cs="Calibri"/>
        </w:rPr>
        <w:t>do not</w:t>
      </w:r>
      <w:r w:rsidR="00B69C49" w:rsidRPr="1EEC6329">
        <w:rPr>
          <w:rFonts w:cs="Calibri"/>
        </w:rPr>
        <w:t xml:space="preserve">, </w:t>
      </w:r>
      <w:r w:rsidR="432B49C8" w:rsidRPr="1EEC6329">
        <w:rPr>
          <w:rFonts w:cs="Calibri"/>
        </w:rPr>
        <w:t xml:space="preserve">those </w:t>
      </w:r>
      <w:r w:rsidR="08D93D05" w:rsidRPr="1EEC6329">
        <w:rPr>
          <w:rFonts w:cs="Calibri"/>
        </w:rPr>
        <w:t xml:space="preserve">consents </w:t>
      </w:r>
      <w:r w:rsidR="00B69C49" w:rsidRPr="1EEC6329">
        <w:rPr>
          <w:rFonts w:cs="Calibri"/>
        </w:rPr>
        <w:t xml:space="preserve">will not </w:t>
      </w:r>
      <w:r w:rsidR="2EE514E7" w:rsidRPr="1EEC6329">
        <w:rPr>
          <w:rFonts w:cs="Calibri"/>
        </w:rPr>
        <w:t xml:space="preserve">be </w:t>
      </w:r>
      <w:r w:rsidR="3BAE34E2" w:rsidRPr="1EEC6329">
        <w:rPr>
          <w:rFonts w:cs="Calibri"/>
        </w:rPr>
        <w:t xml:space="preserve">considered to </w:t>
      </w:r>
      <w:r w:rsidR="00B69C49" w:rsidRPr="1EEC6329">
        <w:rPr>
          <w:rFonts w:cs="Calibri"/>
        </w:rPr>
        <w:t>be bundled.</w:t>
      </w:r>
      <w:r w:rsidR="59FA162D" w:rsidRPr="1EEC6329">
        <w:rPr>
          <w:rFonts w:cs="Calibri"/>
        </w:rPr>
        <w:t xml:space="preserve"> </w:t>
      </w:r>
      <w:r w:rsidR="00AD534D" w:rsidRPr="00012F9D">
        <w:rPr>
          <w:rFonts w:cs="Calibri"/>
        </w:rPr>
        <w:t xml:space="preserve">This paper uses the terms ‘combined’ and ‘integrated’ to refer to a single flow or process that contains multiple consents </w:t>
      </w:r>
      <w:r w:rsidR="00AD534D" w:rsidRPr="00012F9D">
        <w:rPr>
          <w:rFonts w:cs="Calibri"/>
        </w:rPr>
        <w:lastRenderedPageBreak/>
        <w:t>or permissions that the consumer would agree to in separate, distinct actions. This contrasts with a bundled consent, where agreement is signalled through a single express action.</w:t>
      </w:r>
    </w:p>
    <w:p w14:paraId="36B5C1C8" w14:textId="55DD269D" w:rsidR="00F17924" w:rsidRDefault="16317C32" w:rsidP="00B07A9B">
      <w:pPr>
        <w:rPr>
          <w:rFonts w:cs="Calibri"/>
        </w:rPr>
      </w:pPr>
      <w:r w:rsidRPr="00B07A9B">
        <w:rPr>
          <w:rFonts w:cs="Calibri"/>
        </w:rPr>
        <w:t xml:space="preserve">The Statutory Review </w:t>
      </w:r>
      <w:r w:rsidR="452EB516">
        <w:rPr>
          <w:rFonts w:cs="Calibri"/>
        </w:rPr>
        <w:t>found that</w:t>
      </w:r>
      <w:r w:rsidR="00312ADD">
        <w:rPr>
          <w:rFonts w:cs="Calibri"/>
        </w:rPr>
        <w:t>:</w:t>
      </w:r>
      <w:r w:rsidR="452EB516">
        <w:rPr>
          <w:rFonts w:cs="Calibri"/>
        </w:rPr>
        <w:t xml:space="preserve"> </w:t>
      </w:r>
    </w:p>
    <w:p w14:paraId="23D7D370" w14:textId="71E35047" w:rsidR="00312ADD" w:rsidRDefault="00312ADD" w:rsidP="00F17924">
      <w:pPr>
        <w:ind w:left="340"/>
        <w:rPr>
          <w:rFonts w:cs="Calibri"/>
        </w:rPr>
      </w:pPr>
      <w:r w:rsidRPr="0069146D">
        <w:rPr>
          <w:rFonts w:cs="Calibri"/>
          <w:i/>
          <w:iCs/>
        </w:rPr>
        <w:t>T</w:t>
      </w:r>
      <w:r w:rsidR="0D868897" w:rsidRPr="0069146D">
        <w:rPr>
          <w:rFonts w:cs="Calibri"/>
          <w:i/>
          <w:iCs/>
        </w:rPr>
        <w:t xml:space="preserve">he </w:t>
      </w:r>
      <w:r w:rsidR="452EB516" w:rsidRPr="0069146D">
        <w:rPr>
          <w:rFonts w:cs="Calibri"/>
          <w:i/>
          <w:iCs/>
        </w:rPr>
        <w:t xml:space="preserve">consent process is central to CDR’s realisation of informed consumer decision making and delivery of consumer benefits. Complex consent processes may </w:t>
      </w:r>
      <w:r w:rsidR="20C212CC" w:rsidRPr="0069146D">
        <w:rPr>
          <w:rFonts w:cs="Calibri"/>
          <w:i/>
          <w:iCs/>
        </w:rPr>
        <w:t xml:space="preserve">discourage </w:t>
      </w:r>
      <w:r w:rsidR="452EB516" w:rsidRPr="0069146D">
        <w:rPr>
          <w:rFonts w:cs="Calibri"/>
          <w:i/>
          <w:iCs/>
        </w:rPr>
        <w:t>participation in the CDR and contribute to ‘consent fatigue’</w:t>
      </w:r>
      <w:r w:rsidRPr="0069146D">
        <w:rPr>
          <w:rFonts w:cs="Calibri"/>
          <w:i/>
          <w:iCs/>
        </w:rPr>
        <w:t>,</w:t>
      </w:r>
      <w:r w:rsidR="00F17924" w:rsidRPr="0069146D">
        <w:rPr>
          <w:rStyle w:val="FootnoteReference"/>
          <w:rFonts w:cs="Calibri"/>
          <w:i/>
          <w:iCs/>
        </w:rPr>
        <w:footnoteReference w:id="17"/>
      </w:r>
      <w:r w:rsidR="007B3889" w:rsidRPr="0069146D">
        <w:rPr>
          <w:rFonts w:cs="Calibri"/>
          <w:i/>
          <w:iCs/>
        </w:rPr>
        <w:t xml:space="preserve"> </w:t>
      </w:r>
      <w:r w:rsidR="00F17924" w:rsidRPr="0069146D">
        <w:rPr>
          <w:rFonts w:cs="Calibri"/>
          <w:i/>
          <w:iCs/>
        </w:rPr>
        <w:t>which may undermine genuine consumer consent.</w:t>
      </w:r>
      <w:r w:rsidR="340B97FF" w:rsidRPr="00012F9D">
        <w:rPr>
          <w:rFonts w:cs="Calibri"/>
          <w:i/>
          <w:iCs/>
        </w:rPr>
        <w:t xml:space="preserve"> </w:t>
      </w:r>
      <w:r w:rsidRPr="00012F9D">
        <w:rPr>
          <w:rFonts w:cs="Calibri"/>
          <w:i/>
          <w:iCs/>
        </w:rPr>
        <w:t>As</w:t>
      </w:r>
      <w:r w:rsidR="452EB516" w:rsidRPr="00012F9D">
        <w:rPr>
          <w:rFonts w:cs="Calibri"/>
          <w:i/>
          <w:iCs/>
        </w:rPr>
        <w:t xml:space="preserve"> the CDR evolves, the consent process should be monitored and adjusted to ensure benefits are realised, and as the CDR expands to include actions and payments, further consideration should be given to other consent models, such as bundling of consents</w:t>
      </w:r>
      <w:r w:rsidR="452EB516" w:rsidRPr="000F17D0">
        <w:rPr>
          <w:rFonts w:cs="Calibri"/>
        </w:rPr>
        <w:t>.</w:t>
      </w:r>
      <w:r w:rsidR="00BE4BAC">
        <w:rPr>
          <w:rStyle w:val="FootnoteReference"/>
          <w:rFonts w:cs="Calibri"/>
        </w:rPr>
        <w:footnoteReference w:id="18"/>
      </w:r>
      <w:r w:rsidR="0F521CD2">
        <w:rPr>
          <w:rFonts w:cs="Calibri"/>
        </w:rPr>
        <w:t xml:space="preserve"> </w:t>
      </w:r>
    </w:p>
    <w:p w14:paraId="1EB7B92B" w14:textId="62291385" w:rsidR="000F17D0" w:rsidRDefault="00B55FEA" w:rsidP="00312ADD">
      <w:pPr>
        <w:rPr>
          <w:rFonts w:cs="Calibri"/>
        </w:rPr>
      </w:pPr>
      <w:r>
        <w:rPr>
          <w:rFonts w:cs="Calibri"/>
        </w:rPr>
        <w:t>The Statu</w:t>
      </w:r>
      <w:r w:rsidR="00274249">
        <w:rPr>
          <w:rFonts w:cs="Calibri"/>
        </w:rPr>
        <w:t>tory Review</w:t>
      </w:r>
      <w:r w:rsidR="11B699AB" w:rsidRPr="6EDE0A44">
        <w:rPr>
          <w:rFonts w:cs="Calibri"/>
        </w:rPr>
        <w:t xml:space="preserve"> </w:t>
      </w:r>
      <w:r w:rsidR="02A214A0" w:rsidRPr="6EDE0A44">
        <w:rPr>
          <w:rFonts w:cs="Calibri"/>
        </w:rPr>
        <w:t xml:space="preserve">also noted that </w:t>
      </w:r>
      <w:r w:rsidR="1FFB22ED" w:rsidRPr="6EDE0A44">
        <w:rPr>
          <w:rFonts w:cs="Calibri"/>
        </w:rPr>
        <w:t xml:space="preserve">care must be taken to ensure any changes </w:t>
      </w:r>
      <w:r w:rsidR="71F3EB9D" w:rsidRPr="6EDE0A44">
        <w:rPr>
          <w:rFonts w:cs="Calibri"/>
        </w:rPr>
        <w:t xml:space="preserve">do not </w:t>
      </w:r>
      <w:r w:rsidR="455D2A16" w:rsidRPr="6EDE0A44">
        <w:rPr>
          <w:rFonts w:cs="Calibri"/>
        </w:rPr>
        <w:t xml:space="preserve">undermine </w:t>
      </w:r>
      <w:r w:rsidR="195644CC" w:rsidRPr="6EDE0A44">
        <w:rPr>
          <w:rFonts w:cs="Calibri"/>
        </w:rPr>
        <w:t>the consumer’s informed consent.</w:t>
      </w:r>
      <w:r w:rsidR="005B5350">
        <w:rPr>
          <w:rStyle w:val="FootnoteReference"/>
          <w:rFonts w:cs="Calibri"/>
        </w:rPr>
        <w:footnoteReference w:id="19"/>
      </w:r>
    </w:p>
    <w:p w14:paraId="25A3EEBC" w14:textId="43E83271" w:rsidR="00FD0CDA" w:rsidRPr="00FD0CDA" w:rsidRDefault="00FD0CDA" w:rsidP="00053F3D">
      <w:pPr>
        <w:rPr>
          <w:rFonts w:cs="Calibri"/>
          <w:b/>
          <w:bCs/>
        </w:rPr>
      </w:pPr>
      <w:r w:rsidRPr="00FD0CDA">
        <w:rPr>
          <w:rFonts w:cs="Calibri"/>
          <w:b/>
          <w:bCs/>
        </w:rPr>
        <w:t>Consent Review Noting Paper</w:t>
      </w:r>
    </w:p>
    <w:p w14:paraId="67576B79" w14:textId="6B7A238E" w:rsidR="00053F3D" w:rsidRPr="00B836A6" w:rsidRDefault="7431A4A6" w:rsidP="00053F3D">
      <w:pPr>
        <w:rPr>
          <w:rFonts w:cs="Calibri"/>
        </w:rPr>
      </w:pPr>
      <w:r w:rsidRPr="06AE641B">
        <w:rPr>
          <w:rFonts w:cs="Calibri"/>
        </w:rPr>
        <w:t xml:space="preserve">The noting paper considered </w:t>
      </w:r>
      <w:r w:rsidR="3DEE3F58" w:rsidRPr="06AE641B">
        <w:rPr>
          <w:rFonts w:cs="Calibri"/>
        </w:rPr>
        <w:t xml:space="preserve">whether </w:t>
      </w:r>
      <w:r w:rsidR="4491F460" w:rsidRPr="06AE641B">
        <w:rPr>
          <w:rFonts w:cs="Calibri"/>
        </w:rPr>
        <w:t>t</w:t>
      </w:r>
      <w:r w:rsidR="3B7CC872" w:rsidRPr="06AE641B">
        <w:rPr>
          <w:rFonts w:cs="Calibri"/>
        </w:rPr>
        <w:t xml:space="preserve">he bundling restriction could be </w:t>
      </w:r>
      <w:r w:rsidR="009B303B">
        <w:rPr>
          <w:rFonts w:cs="Calibri"/>
        </w:rPr>
        <w:t>amended</w:t>
      </w:r>
      <w:r w:rsidR="009B303B" w:rsidRPr="06AE641B">
        <w:rPr>
          <w:rFonts w:cs="Calibri"/>
        </w:rPr>
        <w:t xml:space="preserve"> </w:t>
      </w:r>
      <w:r w:rsidR="3B7CC872" w:rsidRPr="06AE641B">
        <w:rPr>
          <w:rFonts w:cs="Calibri"/>
        </w:rPr>
        <w:t xml:space="preserve">to allow ‘bundling’ of CDR collection, use and/or disclosure consents where </w:t>
      </w:r>
      <w:r w:rsidR="007E7A5C">
        <w:rPr>
          <w:rFonts w:cs="Calibri"/>
        </w:rPr>
        <w:t>each</w:t>
      </w:r>
      <w:r w:rsidR="3B7CC872" w:rsidRPr="06AE641B">
        <w:rPr>
          <w:rFonts w:cs="Calibri"/>
        </w:rPr>
        <w:t xml:space="preserve"> consent type </w:t>
      </w:r>
      <w:r w:rsidR="0058195A">
        <w:rPr>
          <w:rFonts w:cs="Calibri"/>
        </w:rPr>
        <w:t>is</w:t>
      </w:r>
      <w:r w:rsidR="3B7CC872" w:rsidRPr="06AE641B">
        <w:rPr>
          <w:rFonts w:cs="Calibri"/>
        </w:rPr>
        <w:t xml:space="preserve"> necessary for the requested good or service</w:t>
      </w:r>
      <w:r w:rsidR="00137883">
        <w:rPr>
          <w:rFonts w:cs="Calibri"/>
        </w:rPr>
        <w:t xml:space="preserve"> to function</w:t>
      </w:r>
      <w:r w:rsidR="3B7CC872" w:rsidRPr="06AE641B">
        <w:rPr>
          <w:rFonts w:cs="Calibri"/>
        </w:rPr>
        <w:t xml:space="preserve">. </w:t>
      </w:r>
      <w:r w:rsidR="4C3C87E8" w:rsidRPr="06AE641B">
        <w:rPr>
          <w:rFonts w:cs="Calibri"/>
        </w:rPr>
        <w:t xml:space="preserve">CDR consents that are not necessary for the provision of the good or service </w:t>
      </w:r>
      <w:r w:rsidR="5F2F6FEC" w:rsidRPr="06AE641B">
        <w:rPr>
          <w:rFonts w:cs="Calibri"/>
        </w:rPr>
        <w:t>would</w:t>
      </w:r>
      <w:r w:rsidR="4C3C87E8" w:rsidRPr="06AE641B">
        <w:rPr>
          <w:rFonts w:cs="Calibri"/>
        </w:rPr>
        <w:t xml:space="preserve"> </w:t>
      </w:r>
      <w:r w:rsidR="004309CA">
        <w:rPr>
          <w:rFonts w:cs="Calibri"/>
        </w:rPr>
        <w:t>not be able</w:t>
      </w:r>
      <w:r w:rsidR="5F2F6FEC" w:rsidRPr="06AE641B">
        <w:rPr>
          <w:rFonts w:cs="Calibri"/>
        </w:rPr>
        <w:t xml:space="preserve"> to be </w:t>
      </w:r>
      <w:r w:rsidR="4C3C87E8" w:rsidRPr="06AE641B">
        <w:rPr>
          <w:rFonts w:cs="Calibri"/>
        </w:rPr>
        <w:t xml:space="preserve">‘bundled’ and would </w:t>
      </w:r>
      <w:r w:rsidR="004309CA">
        <w:rPr>
          <w:rFonts w:cs="Calibri"/>
        </w:rPr>
        <w:t xml:space="preserve">therefore </w:t>
      </w:r>
      <w:r w:rsidR="4C3C87E8" w:rsidRPr="06AE641B">
        <w:rPr>
          <w:rFonts w:cs="Calibri"/>
        </w:rPr>
        <w:t xml:space="preserve">always require individual active selection by the CDR consumer. This would </w:t>
      </w:r>
      <w:r w:rsidR="003F6DEB">
        <w:rPr>
          <w:rFonts w:cs="Calibri"/>
        </w:rPr>
        <w:t>prevent</w:t>
      </w:r>
      <w:r w:rsidR="735C0A3B" w:rsidRPr="06AE641B">
        <w:rPr>
          <w:rFonts w:cs="Calibri"/>
        </w:rPr>
        <w:t xml:space="preserve"> </w:t>
      </w:r>
      <w:r w:rsidR="0E9D9573" w:rsidRPr="06AE641B">
        <w:rPr>
          <w:rFonts w:cs="Calibri"/>
        </w:rPr>
        <w:t xml:space="preserve">bundling of </w:t>
      </w:r>
      <w:r w:rsidR="4C3C87E8" w:rsidRPr="06AE641B">
        <w:rPr>
          <w:rFonts w:cs="Calibri"/>
        </w:rPr>
        <w:t>consents that can function separately to the good or service that is requested</w:t>
      </w:r>
      <w:r w:rsidR="003F6DEB">
        <w:rPr>
          <w:rFonts w:cs="Calibri"/>
        </w:rPr>
        <w:t>,</w:t>
      </w:r>
      <w:r w:rsidR="4C3C87E8" w:rsidRPr="06AE641B">
        <w:rPr>
          <w:rFonts w:cs="Calibri"/>
        </w:rPr>
        <w:t xml:space="preserve"> </w:t>
      </w:r>
      <w:r w:rsidR="4983C305" w:rsidRPr="06AE641B">
        <w:rPr>
          <w:rFonts w:cs="Calibri"/>
        </w:rPr>
        <w:t>including</w:t>
      </w:r>
      <w:r w:rsidR="69119B89" w:rsidRPr="06AE641B">
        <w:rPr>
          <w:rFonts w:cs="Calibri"/>
        </w:rPr>
        <w:t xml:space="preserve"> direct</w:t>
      </w:r>
      <w:r w:rsidR="4C3C87E8" w:rsidRPr="06AE641B">
        <w:rPr>
          <w:rFonts w:cs="Calibri"/>
        </w:rPr>
        <w:t xml:space="preserve"> marketing </w:t>
      </w:r>
      <w:r w:rsidR="003F6DEB">
        <w:rPr>
          <w:rFonts w:cs="Calibri"/>
        </w:rPr>
        <w:t xml:space="preserve">consents </w:t>
      </w:r>
      <w:r w:rsidR="639A3B0E" w:rsidRPr="06AE641B">
        <w:rPr>
          <w:rFonts w:cs="Calibri"/>
        </w:rPr>
        <w:t xml:space="preserve">and </w:t>
      </w:r>
      <w:r w:rsidR="69119B89" w:rsidRPr="06AE641B">
        <w:rPr>
          <w:rFonts w:cs="Calibri"/>
        </w:rPr>
        <w:t>de-identification consents</w:t>
      </w:r>
      <w:r w:rsidR="4C3C87E8" w:rsidRPr="06AE641B">
        <w:rPr>
          <w:rFonts w:cs="Calibri"/>
        </w:rPr>
        <w:t xml:space="preserve">. </w:t>
      </w:r>
      <w:r w:rsidR="2FC186A0" w:rsidRPr="06AE641B">
        <w:rPr>
          <w:rFonts w:cs="Calibri"/>
        </w:rPr>
        <w:t>Where a consent is bundled, t</w:t>
      </w:r>
      <w:r w:rsidR="35669A5D" w:rsidRPr="06AE641B">
        <w:rPr>
          <w:rFonts w:cs="Calibri"/>
        </w:rPr>
        <w:t xml:space="preserve">he consumer would still be presented with all necessary information about the consents they are agreeing to </w:t>
      </w:r>
      <w:proofErr w:type="gramStart"/>
      <w:r w:rsidR="35669A5D" w:rsidRPr="06AE641B">
        <w:rPr>
          <w:rFonts w:cs="Calibri"/>
        </w:rPr>
        <w:t>in order to</w:t>
      </w:r>
      <w:proofErr w:type="gramEnd"/>
      <w:r w:rsidR="35669A5D" w:rsidRPr="06AE641B">
        <w:rPr>
          <w:rFonts w:cs="Calibri"/>
        </w:rPr>
        <w:t xml:space="preserve"> receive the good or service.</w:t>
      </w:r>
    </w:p>
    <w:p w14:paraId="4EC80AD5" w14:textId="55D43EB6" w:rsidR="00C677BF" w:rsidRPr="003F47DA" w:rsidRDefault="1B0C3586" w:rsidP="003F47DA">
      <w:pPr>
        <w:rPr>
          <w:rFonts w:cs="Calibri"/>
        </w:rPr>
      </w:pPr>
      <w:r w:rsidRPr="4B2D6899">
        <w:rPr>
          <w:rFonts w:cs="Calibri"/>
        </w:rPr>
        <w:t xml:space="preserve">Feedback </w:t>
      </w:r>
      <w:r w:rsidR="00F774FA">
        <w:rPr>
          <w:rFonts w:cs="Calibri"/>
        </w:rPr>
        <w:t xml:space="preserve">in response </w:t>
      </w:r>
      <w:r w:rsidR="005F6B8C">
        <w:rPr>
          <w:rFonts w:cs="Calibri"/>
        </w:rPr>
        <w:t>to</w:t>
      </w:r>
      <w:r w:rsidR="647FA80C" w:rsidRPr="4B2D6899">
        <w:rPr>
          <w:rFonts w:cs="Calibri"/>
        </w:rPr>
        <w:t xml:space="preserve"> the noting paper</w:t>
      </w:r>
      <w:r w:rsidR="1F9ACDDE" w:rsidRPr="4B2D6899">
        <w:rPr>
          <w:rFonts w:cs="Calibri"/>
        </w:rPr>
        <w:t xml:space="preserve"> was mixed. </w:t>
      </w:r>
      <w:r w:rsidR="30A6FA9C" w:rsidRPr="4B2D6899">
        <w:rPr>
          <w:rFonts w:cs="Calibri"/>
        </w:rPr>
        <w:t>A number of stakeholders expressed</w:t>
      </w:r>
      <w:r w:rsidR="6253414A" w:rsidRPr="4B2D6899">
        <w:rPr>
          <w:rFonts w:cs="Calibri"/>
        </w:rPr>
        <w:t xml:space="preserve"> in-</w:t>
      </w:r>
      <w:proofErr w:type="gramStart"/>
      <w:r w:rsidR="6253414A" w:rsidRPr="4B2D6899">
        <w:rPr>
          <w:rFonts w:cs="Calibri"/>
        </w:rPr>
        <w:t>principle</w:t>
      </w:r>
      <w:proofErr w:type="gramEnd"/>
      <w:r w:rsidR="6253414A" w:rsidRPr="4B2D6899">
        <w:rPr>
          <w:rFonts w:cs="Calibri"/>
        </w:rPr>
        <w:t xml:space="preserve"> support</w:t>
      </w:r>
      <w:r w:rsidR="3BF7BE01" w:rsidRPr="4B2D6899">
        <w:rPr>
          <w:rFonts w:cs="Calibri"/>
        </w:rPr>
        <w:t xml:space="preserve"> for bundling</w:t>
      </w:r>
      <w:r w:rsidR="6253414A" w:rsidRPr="4B2D6899">
        <w:rPr>
          <w:rFonts w:cs="Calibri"/>
        </w:rPr>
        <w:t xml:space="preserve"> </w:t>
      </w:r>
      <w:r w:rsidR="675E4DC4" w:rsidRPr="4B2D6899">
        <w:rPr>
          <w:rFonts w:cs="Calibri"/>
        </w:rPr>
        <w:t xml:space="preserve">as consolidating the </w:t>
      </w:r>
      <w:r w:rsidR="00920F81" w:rsidRPr="4B2D6899">
        <w:rPr>
          <w:rFonts w:cs="Calibri"/>
        </w:rPr>
        <w:t>consents</w:t>
      </w:r>
      <w:r w:rsidR="675E4DC4" w:rsidRPr="4B2D6899">
        <w:rPr>
          <w:rFonts w:cs="Calibri"/>
        </w:rPr>
        <w:t xml:space="preserve"> into a single streamlined process </w:t>
      </w:r>
      <w:r w:rsidR="6253414A" w:rsidRPr="4B2D6899">
        <w:rPr>
          <w:rFonts w:cs="Calibri"/>
        </w:rPr>
        <w:t xml:space="preserve">would reduce </w:t>
      </w:r>
      <w:r w:rsidR="00755A28">
        <w:rPr>
          <w:rFonts w:cs="Calibri"/>
        </w:rPr>
        <w:t>‘</w:t>
      </w:r>
      <w:r w:rsidR="6253414A" w:rsidRPr="4B2D6899">
        <w:rPr>
          <w:rFonts w:cs="Calibri"/>
        </w:rPr>
        <w:t>friction</w:t>
      </w:r>
      <w:r w:rsidR="00755A28">
        <w:rPr>
          <w:rFonts w:cs="Calibri"/>
        </w:rPr>
        <w:t>’</w:t>
      </w:r>
      <w:r w:rsidR="77B78EFD" w:rsidRPr="4B2D6899">
        <w:rPr>
          <w:rStyle w:val="FootnoteReference"/>
          <w:rFonts w:cs="Calibri"/>
        </w:rPr>
        <w:footnoteReference w:id="20"/>
      </w:r>
      <w:r w:rsidR="00EC5F42">
        <w:rPr>
          <w:rFonts w:cs="Calibri"/>
        </w:rPr>
        <w:t xml:space="preserve"> </w:t>
      </w:r>
      <w:r w:rsidR="6253414A" w:rsidRPr="4B2D6899">
        <w:rPr>
          <w:rFonts w:cs="Calibri"/>
        </w:rPr>
        <w:t xml:space="preserve">and </w:t>
      </w:r>
      <w:r w:rsidR="00755A28">
        <w:rPr>
          <w:rFonts w:cs="Calibri"/>
        </w:rPr>
        <w:t>‘</w:t>
      </w:r>
      <w:r w:rsidR="6253414A" w:rsidRPr="4B2D6899">
        <w:rPr>
          <w:rFonts w:cs="Calibri"/>
        </w:rPr>
        <w:t>cognitive load</w:t>
      </w:r>
      <w:r w:rsidR="00755A28">
        <w:rPr>
          <w:rFonts w:cs="Calibri"/>
        </w:rPr>
        <w:t>’</w:t>
      </w:r>
      <w:r w:rsidR="77B78EFD" w:rsidRPr="4B2D6899">
        <w:rPr>
          <w:rStyle w:val="FootnoteReference"/>
          <w:rFonts w:cs="Calibri"/>
        </w:rPr>
        <w:footnoteReference w:id="21"/>
      </w:r>
      <w:r w:rsidR="2FDE1758" w:rsidRPr="4B2D6899">
        <w:rPr>
          <w:rFonts w:cs="Calibri"/>
        </w:rPr>
        <w:t xml:space="preserve"> </w:t>
      </w:r>
      <w:r w:rsidR="6253414A" w:rsidRPr="4B2D6899">
        <w:rPr>
          <w:rFonts w:cs="Calibri"/>
        </w:rPr>
        <w:t xml:space="preserve">for the consumer, </w:t>
      </w:r>
      <w:r w:rsidR="00072B06">
        <w:rPr>
          <w:rFonts w:cs="Calibri"/>
        </w:rPr>
        <w:t>and</w:t>
      </w:r>
      <w:r w:rsidR="6253414A" w:rsidRPr="4B2D6899">
        <w:rPr>
          <w:rFonts w:cs="Calibri"/>
        </w:rPr>
        <w:t xml:space="preserve"> would </w:t>
      </w:r>
      <w:r w:rsidR="3CA2E7FE" w:rsidRPr="4B2D6899">
        <w:rPr>
          <w:rFonts w:cs="Calibri"/>
        </w:rPr>
        <w:t>align with the ADR</w:t>
      </w:r>
      <w:r w:rsidR="4C162CB9" w:rsidRPr="4B2D6899">
        <w:rPr>
          <w:rFonts w:cs="Calibri"/>
        </w:rPr>
        <w:t>’s</w:t>
      </w:r>
      <w:r w:rsidR="3CA2E7FE" w:rsidRPr="4B2D6899">
        <w:rPr>
          <w:rFonts w:cs="Calibri"/>
        </w:rPr>
        <w:t xml:space="preserve"> proposition </w:t>
      </w:r>
      <w:r w:rsidR="4C162CB9" w:rsidRPr="4B2D6899">
        <w:rPr>
          <w:rFonts w:cs="Calibri"/>
        </w:rPr>
        <w:t xml:space="preserve">and </w:t>
      </w:r>
      <w:r w:rsidR="3CA2E7FE" w:rsidRPr="4B2D6899">
        <w:rPr>
          <w:rFonts w:cs="Calibri"/>
        </w:rPr>
        <w:t>the consumer’s expectation</w:t>
      </w:r>
      <w:r w:rsidR="006A7C3C">
        <w:rPr>
          <w:rFonts w:cs="Calibri"/>
        </w:rPr>
        <w:t>s</w:t>
      </w:r>
      <w:r w:rsidR="3CA2E7FE" w:rsidRPr="4B2D6899">
        <w:rPr>
          <w:rFonts w:cs="Calibri"/>
        </w:rPr>
        <w:t>.</w:t>
      </w:r>
    </w:p>
    <w:p w14:paraId="46D6CBAC" w14:textId="0B3F8880" w:rsidR="00653447" w:rsidRPr="003F47DA" w:rsidRDefault="1A937176" w:rsidP="00C02134">
      <w:pPr>
        <w:rPr>
          <w:rFonts w:cs="Calibri"/>
        </w:rPr>
      </w:pPr>
      <w:r w:rsidRPr="6EDE0A44">
        <w:rPr>
          <w:rFonts w:cs="Calibri"/>
        </w:rPr>
        <w:t>Other</w:t>
      </w:r>
      <w:r w:rsidR="73849FF0" w:rsidRPr="6EDE0A44">
        <w:rPr>
          <w:rFonts w:cs="Calibri"/>
        </w:rPr>
        <w:t xml:space="preserve"> </w:t>
      </w:r>
      <w:r w:rsidR="698168A8" w:rsidRPr="6EDE0A44">
        <w:rPr>
          <w:rFonts w:cs="Calibri"/>
        </w:rPr>
        <w:t>stakeholders</w:t>
      </w:r>
      <w:r w:rsidR="17AB4EF2" w:rsidRPr="6EDE0A44">
        <w:rPr>
          <w:rFonts w:cs="Calibri"/>
        </w:rPr>
        <w:t xml:space="preserve"> </w:t>
      </w:r>
      <w:r w:rsidR="4D311867" w:rsidRPr="6EDE0A44">
        <w:rPr>
          <w:rFonts w:cs="Calibri"/>
        </w:rPr>
        <w:t>submitted</w:t>
      </w:r>
      <w:r w:rsidR="00BED2B6" w:rsidRPr="6EDE0A44">
        <w:rPr>
          <w:rFonts w:cs="Calibri"/>
        </w:rPr>
        <w:t xml:space="preserve"> that </w:t>
      </w:r>
      <w:r w:rsidR="17AB4EF2" w:rsidRPr="6EDE0A44">
        <w:rPr>
          <w:rFonts w:cs="Calibri"/>
        </w:rPr>
        <w:t>bundling could undermine the effectiveness of the CDR consent process</w:t>
      </w:r>
      <w:r w:rsidR="76395A4A" w:rsidRPr="6EDE0A44">
        <w:rPr>
          <w:rFonts w:cs="Calibri"/>
        </w:rPr>
        <w:t xml:space="preserve">. </w:t>
      </w:r>
      <w:r w:rsidR="46CB56B0" w:rsidRPr="6EDE0A44">
        <w:rPr>
          <w:rFonts w:cs="Calibri"/>
        </w:rPr>
        <w:t xml:space="preserve">These stakeholders considered </w:t>
      </w:r>
      <w:r w:rsidR="1695DE72" w:rsidRPr="6EDE0A44">
        <w:rPr>
          <w:rFonts w:cs="Calibri"/>
        </w:rPr>
        <w:t>that</w:t>
      </w:r>
      <w:r w:rsidR="52C582E3" w:rsidRPr="6EDE0A44">
        <w:rPr>
          <w:rFonts w:cs="Calibri"/>
        </w:rPr>
        <w:t xml:space="preserve"> even where a consent is </w:t>
      </w:r>
      <w:r w:rsidR="00C91CD0">
        <w:rPr>
          <w:rFonts w:cs="Calibri"/>
        </w:rPr>
        <w:t>necessary</w:t>
      </w:r>
      <w:r w:rsidR="52C582E3" w:rsidRPr="6EDE0A44">
        <w:rPr>
          <w:rFonts w:cs="Calibri"/>
        </w:rPr>
        <w:t xml:space="preserve"> for the service, requiring an active selection creates pause for the consumer to consider their relative comfort with </w:t>
      </w:r>
      <w:r w:rsidR="29A62436" w:rsidRPr="6EDE0A44">
        <w:rPr>
          <w:rFonts w:cs="Calibri"/>
        </w:rPr>
        <w:t>how</w:t>
      </w:r>
      <w:r w:rsidR="0BDB27B6" w:rsidRPr="6EDE0A44">
        <w:rPr>
          <w:rFonts w:cs="Calibri"/>
        </w:rPr>
        <w:t xml:space="preserve"> the</w:t>
      </w:r>
      <w:r w:rsidR="52C582E3" w:rsidRPr="6EDE0A44">
        <w:rPr>
          <w:rFonts w:cs="Calibri"/>
        </w:rPr>
        <w:t xml:space="preserve"> ADR proposes to handle their personal information, which may be particularly important for consumers who are disengaged or have vulnerabilities. </w:t>
      </w:r>
      <w:r w:rsidR="62BCE1F8" w:rsidRPr="6EDE0A44">
        <w:rPr>
          <w:rFonts w:cs="Calibri"/>
        </w:rPr>
        <w:t>One</w:t>
      </w:r>
      <w:r w:rsidR="0D8274AB" w:rsidRPr="6EDE0A44">
        <w:rPr>
          <w:rFonts w:cs="Calibri"/>
        </w:rPr>
        <w:t xml:space="preserve"> </w:t>
      </w:r>
      <w:r w:rsidR="62BCE1F8" w:rsidRPr="6EDE0A44">
        <w:rPr>
          <w:rFonts w:cs="Calibri"/>
        </w:rPr>
        <w:t>stakeholder</w:t>
      </w:r>
      <w:r w:rsidR="5C23A9D0" w:rsidRPr="6EDE0A44">
        <w:rPr>
          <w:rFonts w:cs="Calibri"/>
        </w:rPr>
        <w:t xml:space="preserve"> </w:t>
      </w:r>
      <w:r w:rsidR="3B58A1A9" w:rsidRPr="6EDE0A44">
        <w:rPr>
          <w:rFonts w:cs="Calibri"/>
        </w:rPr>
        <w:t xml:space="preserve">cautioned </w:t>
      </w:r>
      <w:r w:rsidR="57951BE8" w:rsidRPr="6EDE0A44">
        <w:rPr>
          <w:rFonts w:cs="Calibri"/>
        </w:rPr>
        <w:t>that bundling may lead to ‘tick and flick’ approaches, less consumer engagement</w:t>
      </w:r>
      <w:r w:rsidR="2C39920B" w:rsidRPr="6EDE0A44">
        <w:rPr>
          <w:rFonts w:cs="Calibri"/>
        </w:rPr>
        <w:t>,</w:t>
      </w:r>
      <w:r w:rsidR="7B70E213" w:rsidRPr="6EDE0A44">
        <w:rPr>
          <w:rFonts w:cs="Calibri"/>
        </w:rPr>
        <w:t xml:space="preserve"> and that b</w:t>
      </w:r>
      <w:r w:rsidR="57951BE8" w:rsidRPr="6EDE0A44">
        <w:rPr>
          <w:rFonts w:cs="Calibri"/>
        </w:rPr>
        <w:t xml:space="preserve">undling may ‘hide’ elements of the consent </w:t>
      </w:r>
      <w:r w:rsidR="61DAF73D" w:rsidRPr="6EDE0A44">
        <w:rPr>
          <w:rFonts w:cs="Calibri"/>
        </w:rPr>
        <w:t xml:space="preserve">that </w:t>
      </w:r>
      <w:r w:rsidR="57951BE8" w:rsidRPr="6EDE0A44">
        <w:rPr>
          <w:rFonts w:cs="Calibri"/>
        </w:rPr>
        <w:t>the consumer may not be comfortable with.</w:t>
      </w:r>
      <w:r w:rsidR="03772F4A" w:rsidRPr="6EDE0A44">
        <w:rPr>
          <w:rFonts w:cs="Calibri"/>
        </w:rPr>
        <w:t xml:space="preserve"> </w:t>
      </w:r>
      <w:r w:rsidR="6CDAC508" w:rsidRPr="6EDE0A44">
        <w:rPr>
          <w:rFonts w:cs="Calibri"/>
        </w:rPr>
        <w:t>Several stakeholders</w:t>
      </w:r>
      <w:r w:rsidR="4CB685CB" w:rsidRPr="6EDE0A44">
        <w:rPr>
          <w:rFonts w:cs="Calibri"/>
        </w:rPr>
        <w:t xml:space="preserve"> </w:t>
      </w:r>
      <w:r w:rsidR="00340A11">
        <w:rPr>
          <w:rFonts w:cs="Calibri"/>
        </w:rPr>
        <w:t xml:space="preserve">also </w:t>
      </w:r>
      <w:r w:rsidR="72FEB60A" w:rsidRPr="6EDE0A44">
        <w:rPr>
          <w:rFonts w:cs="Calibri"/>
        </w:rPr>
        <w:t xml:space="preserve">queried </w:t>
      </w:r>
      <w:r w:rsidR="6AAB6C0A" w:rsidRPr="6EDE0A44">
        <w:rPr>
          <w:rFonts w:cs="Calibri"/>
        </w:rPr>
        <w:t>what it meant for a consent to be</w:t>
      </w:r>
      <w:r w:rsidR="57187ACE" w:rsidRPr="6EDE0A44">
        <w:rPr>
          <w:rFonts w:cs="Calibri"/>
        </w:rPr>
        <w:t xml:space="preserve"> ‘necessary’ or</w:t>
      </w:r>
      <w:r w:rsidR="6AAB6C0A" w:rsidRPr="6EDE0A44">
        <w:rPr>
          <w:rFonts w:cs="Calibri"/>
        </w:rPr>
        <w:t xml:space="preserve"> </w:t>
      </w:r>
      <w:r w:rsidR="7B839310" w:rsidRPr="6EDE0A44">
        <w:rPr>
          <w:rFonts w:cs="Calibri"/>
        </w:rPr>
        <w:t xml:space="preserve">‘required’ for a service </w:t>
      </w:r>
      <w:r w:rsidR="54C09A33" w:rsidRPr="6EDE0A44">
        <w:rPr>
          <w:rFonts w:cs="Calibri"/>
        </w:rPr>
        <w:t xml:space="preserve">and noted that </w:t>
      </w:r>
      <w:r w:rsidR="500EC9C7" w:rsidRPr="6EDE0A44">
        <w:rPr>
          <w:rFonts w:cs="Calibri"/>
        </w:rPr>
        <w:t>it</w:t>
      </w:r>
      <w:r w:rsidR="54C09A33" w:rsidRPr="6EDE0A44">
        <w:rPr>
          <w:rFonts w:cs="Calibri"/>
        </w:rPr>
        <w:t xml:space="preserve"> </w:t>
      </w:r>
      <w:r w:rsidR="5A12BC6A" w:rsidRPr="6EDE0A44">
        <w:rPr>
          <w:rFonts w:cs="Calibri"/>
        </w:rPr>
        <w:t>may</w:t>
      </w:r>
      <w:r w:rsidR="54C09A33" w:rsidRPr="6EDE0A44">
        <w:rPr>
          <w:rFonts w:cs="Calibri"/>
        </w:rPr>
        <w:t xml:space="preserve"> not be clear to the consumer</w:t>
      </w:r>
      <w:r w:rsidR="500EC9C7" w:rsidRPr="6EDE0A44">
        <w:rPr>
          <w:rFonts w:cs="Calibri"/>
        </w:rPr>
        <w:t xml:space="preserve"> whether a consent is </w:t>
      </w:r>
      <w:r w:rsidR="57187ACE" w:rsidRPr="6EDE0A44">
        <w:rPr>
          <w:rFonts w:cs="Calibri"/>
        </w:rPr>
        <w:t>necessary</w:t>
      </w:r>
      <w:r w:rsidR="500EC9C7" w:rsidRPr="6EDE0A44">
        <w:rPr>
          <w:rFonts w:cs="Calibri"/>
        </w:rPr>
        <w:t xml:space="preserve"> or not</w:t>
      </w:r>
      <w:r w:rsidR="654851AC" w:rsidRPr="6EDE0A44">
        <w:rPr>
          <w:rFonts w:cs="Calibri"/>
        </w:rPr>
        <w:t xml:space="preserve">. </w:t>
      </w:r>
    </w:p>
    <w:p w14:paraId="683E0DC9" w14:textId="77777777" w:rsidR="007B7E95" w:rsidRDefault="007B7E95">
      <w:pPr>
        <w:rPr>
          <w:rFonts w:eastAsia="Calibri" w:cs="Calibri"/>
          <w:b/>
          <w:bCs/>
        </w:rPr>
      </w:pPr>
      <w:r>
        <w:rPr>
          <w:rFonts w:eastAsia="Calibri" w:cs="Calibri"/>
          <w:b/>
          <w:bCs/>
        </w:rPr>
        <w:br w:type="page"/>
      </w:r>
    </w:p>
    <w:p w14:paraId="3C5E7643" w14:textId="0C6A61FE" w:rsidR="00751E4D" w:rsidRDefault="00C32AB1" w:rsidP="003F2DF6">
      <w:pPr>
        <w:rPr>
          <w:rFonts w:eastAsia="Calibri" w:cs="Calibri"/>
        </w:rPr>
      </w:pPr>
      <w:r>
        <w:rPr>
          <w:rFonts w:eastAsia="Calibri" w:cs="Calibri"/>
          <w:b/>
          <w:bCs/>
        </w:rPr>
        <w:lastRenderedPageBreak/>
        <w:t xml:space="preserve">Consumer </w:t>
      </w:r>
      <w:r w:rsidR="00DB2403">
        <w:rPr>
          <w:rFonts w:eastAsia="Calibri" w:cs="Calibri"/>
          <w:b/>
          <w:bCs/>
        </w:rPr>
        <w:t>r</w:t>
      </w:r>
      <w:r>
        <w:rPr>
          <w:rFonts w:eastAsia="Calibri" w:cs="Calibri"/>
          <w:b/>
          <w:bCs/>
        </w:rPr>
        <w:t>esearch</w:t>
      </w:r>
    </w:p>
    <w:p w14:paraId="7F231959" w14:textId="12A6FB6D" w:rsidR="00674D37" w:rsidRDefault="00D55A03" w:rsidP="48F5CBDE">
      <w:pPr>
        <w:rPr>
          <w:rFonts w:eastAsia="Calibri" w:cs="Calibri"/>
        </w:rPr>
      </w:pPr>
      <w:r>
        <w:rPr>
          <w:rFonts w:eastAsia="Calibri" w:cs="Calibri"/>
        </w:rPr>
        <w:t xml:space="preserve">CX </w:t>
      </w:r>
      <w:r w:rsidR="451D2B19">
        <w:rPr>
          <w:rFonts w:eastAsia="Calibri" w:cs="Calibri"/>
        </w:rPr>
        <w:t>research</w:t>
      </w:r>
      <w:r w:rsidR="1EB9C724">
        <w:rPr>
          <w:rFonts w:eastAsia="Calibri" w:cs="Calibri"/>
        </w:rPr>
        <w:t xml:space="preserve"> </w:t>
      </w:r>
      <w:r w:rsidR="52239766">
        <w:rPr>
          <w:rFonts w:eastAsia="Calibri" w:cs="Calibri"/>
        </w:rPr>
        <w:t>to-date</w:t>
      </w:r>
      <w:r w:rsidR="451D2B19">
        <w:rPr>
          <w:rFonts w:eastAsia="Calibri" w:cs="Calibri"/>
        </w:rPr>
        <w:t xml:space="preserve"> </w:t>
      </w:r>
      <w:r w:rsidR="24EE4B75">
        <w:rPr>
          <w:rFonts w:eastAsia="Calibri" w:cs="Calibri"/>
        </w:rPr>
        <w:t xml:space="preserve">has </w:t>
      </w:r>
      <w:r w:rsidR="6CC4D8B1">
        <w:rPr>
          <w:rFonts w:eastAsia="Calibri" w:cs="Calibri"/>
        </w:rPr>
        <w:t>found that</w:t>
      </w:r>
      <w:r w:rsidR="0F2A26FE">
        <w:rPr>
          <w:rFonts w:eastAsia="Calibri" w:cs="Calibri"/>
        </w:rPr>
        <w:t>, for</w:t>
      </w:r>
      <w:r w:rsidR="79AFA87F" w:rsidRPr="00B60EB7">
        <w:rPr>
          <w:rFonts w:eastAsia="Calibri" w:cs="Calibri"/>
        </w:rPr>
        <w:t xml:space="preserve"> consumers</w:t>
      </w:r>
      <w:r w:rsidR="79AFA87F">
        <w:rPr>
          <w:rFonts w:eastAsia="Calibri" w:cs="Calibri"/>
        </w:rPr>
        <w:t xml:space="preserve">, the data </w:t>
      </w:r>
      <w:r w:rsidR="00340A11">
        <w:rPr>
          <w:rFonts w:eastAsia="Calibri" w:cs="Calibri"/>
        </w:rPr>
        <w:t>that the ADR requests</w:t>
      </w:r>
      <w:r w:rsidR="79AFA87F">
        <w:rPr>
          <w:rFonts w:eastAsia="Calibri" w:cs="Calibri"/>
        </w:rPr>
        <w:t xml:space="preserve"> and the service</w:t>
      </w:r>
      <w:r w:rsidR="00F43CC9">
        <w:rPr>
          <w:rFonts w:eastAsia="Calibri" w:cs="Calibri"/>
        </w:rPr>
        <w:t>s</w:t>
      </w:r>
      <w:r w:rsidR="79AFA87F">
        <w:rPr>
          <w:rFonts w:eastAsia="Calibri" w:cs="Calibri"/>
        </w:rPr>
        <w:t xml:space="preserve"> deliver</w:t>
      </w:r>
      <w:r w:rsidR="00835A12">
        <w:rPr>
          <w:rFonts w:eastAsia="Calibri" w:cs="Calibri"/>
        </w:rPr>
        <w:t>ed</w:t>
      </w:r>
      <w:r w:rsidR="79AFA87F">
        <w:rPr>
          <w:rFonts w:eastAsia="Calibri" w:cs="Calibri"/>
        </w:rPr>
        <w:t xml:space="preserve"> are inextricably linked. </w:t>
      </w:r>
      <w:r w:rsidR="1480885A">
        <w:rPr>
          <w:rFonts w:eastAsia="Calibri" w:cs="Calibri"/>
        </w:rPr>
        <w:t xml:space="preserve">CX research conducted by the </w:t>
      </w:r>
      <w:r w:rsidR="7D6F9929">
        <w:rPr>
          <w:rFonts w:eastAsia="Calibri" w:cs="Calibri"/>
        </w:rPr>
        <w:t>DSB</w:t>
      </w:r>
      <w:r w:rsidR="559CD53F">
        <w:rPr>
          <w:rFonts w:eastAsia="Calibri" w:cs="Calibri"/>
        </w:rPr>
        <w:t xml:space="preserve"> </w:t>
      </w:r>
      <w:r w:rsidR="1480885A">
        <w:rPr>
          <w:rFonts w:eastAsia="Calibri" w:cs="Calibri"/>
        </w:rPr>
        <w:t xml:space="preserve">since 2019 has shown that </w:t>
      </w:r>
      <w:r w:rsidR="0AD849E0" w:rsidRPr="0CEB1619">
        <w:rPr>
          <w:rFonts w:eastAsia="Calibri" w:cs="Calibri"/>
          <w:color w:val="000000" w:themeColor="text1"/>
        </w:rPr>
        <w:t xml:space="preserve">bundling collection and use </w:t>
      </w:r>
      <w:r w:rsidR="64DC3837" w:rsidRPr="341D71C8">
        <w:rPr>
          <w:rFonts w:eastAsia="Calibri" w:cs="Calibri"/>
          <w:color w:val="000000" w:themeColor="text1"/>
        </w:rPr>
        <w:t xml:space="preserve">consents </w:t>
      </w:r>
      <w:r w:rsidR="0AD849E0" w:rsidRPr="0CEB1619">
        <w:rPr>
          <w:rFonts w:eastAsia="Calibri" w:cs="Calibri"/>
          <w:color w:val="000000" w:themeColor="text1"/>
        </w:rPr>
        <w:t xml:space="preserve">matched consumers’ </w:t>
      </w:r>
      <w:r w:rsidR="00643D05">
        <w:rPr>
          <w:rFonts w:eastAsia="Calibri" w:cs="Calibri"/>
          <w:color w:val="000000" w:themeColor="text1"/>
        </w:rPr>
        <w:t>‘</w:t>
      </w:r>
      <w:r w:rsidR="0AD849E0" w:rsidRPr="0CEB1619">
        <w:rPr>
          <w:rFonts w:eastAsia="Calibri" w:cs="Calibri"/>
          <w:color w:val="000000" w:themeColor="text1"/>
        </w:rPr>
        <w:t>mental models</w:t>
      </w:r>
      <w:r w:rsidR="00643D05">
        <w:rPr>
          <w:rFonts w:eastAsia="Calibri" w:cs="Calibri"/>
          <w:color w:val="000000" w:themeColor="text1"/>
        </w:rPr>
        <w:t>’</w:t>
      </w:r>
      <w:r w:rsidR="0AD849E0" w:rsidRPr="0CEB1619">
        <w:rPr>
          <w:rFonts w:eastAsia="Calibri" w:cs="Calibri"/>
          <w:color w:val="000000" w:themeColor="text1"/>
        </w:rPr>
        <w:t>.</w:t>
      </w:r>
      <w:r w:rsidR="00ED075E" w:rsidRPr="44339592">
        <w:rPr>
          <w:rStyle w:val="FootnoteReference"/>
          <w:rFonts w:eastAsia="Calibri" w:cs="Calibri"/>
        </w:rPr>
        <w:footnoteReference w:id="22"/>
      </w:r>
      <w:r w:rsidR="4EDA3FBA" w:rsidRPr="003F2DF6">
        <w:rPr>
          <w:rFonts w:eastAsia="Calibri" w:cs="Calibri"/>
        </w:rPr>
        <w:t xml:space="preserve"> </w:t>
      </w:r>
      <w:r w:rsidR="2544553F">
        <w:rPr>
          <w:rFonts w:eastAsia="Calibri" w:cs="Calibri"/>
        </w:rPr>
        <w:t>Further, 2021 research into disclosure consents</w:t>
      </w:r>
      <w:r w:rsidR="5BF424EE">
        <w:rPr>
          <w:rFonts w:eastAsia="Calibri" w:cs="Calibri"/>
        </w:rPr>
        <w:t>, including trusted advisor disclosures and insight disclosures,</w:t>
      </w:r>
      <w:r w:rsidR="2544553F">
        <w:rPr>
          <w:rFonts w:eastAsia="Calibri" w:cs="Calibri"/>
        </w:rPr>
        <w:t xml:space="preserve"> showed that where a disclosure was the primary purpose for data </w:t>
      </w:r>
      <w:r w:rsidR="39AB706E" w:rsidRPr="694CB314">
        <w:rPr>
          <w:rFonts w:eastAsia="Calibri" w:cs="Calibri"/>
        </w:rPr>
        <w:t>collection</w:t>
      </w:r>
      <w:r w:rsidR="4D2A83F1" w:rsidRPr="25B45936">
        <w:rPr>
          <w:rFonts w:eastAsia="Calibri" w:cs="Calibri"/>
        </w:rPr>
        <w:t xml:space="preserve"> and use</w:t>
      </w:r>
      <w:r w:rsidR="39AB706E" w:rsidRPr="694CB314">
        <w:rPr>
          <w:rFonts w:eastAsia="Calibri" w:cs="Calibri"/>
        </w:rPr>
        <w:t>, then bundling of collection</w:t>
      </w:r>
      <w:r w:rsidR="232619F3" w:rsidRPr="25B45936">
        <w:rPr>
          <w:rFonts w:eastAsia="Calibri" w:cs="Calibri"/>
        </w:rPr>
        <w:t>, use</w:t>
      </w:r>
      <w:r w:rsidR="39AB706E" w:rsidRPr="694CB314">
        <w:rPr>
          <w:rFonts w:eastAsia="Calibri" w:cs="Calibri"/>
        </w:rPr>
        <w:t xml:space="preserve"> and disclosure aligned with consumers’ mental models.</w:t>
      </w:r>
      <w:r w:rsidR="0079588C" w:rsidRPr="5BD75D75">
        <w:rPr>
          <w:rStyle w:val="FootnoteReference"/>
          <w:rFonts w:eastAsia="Calibri" w:cs="Calibri"/>
        </w:rPr>
        <w:footnoteReference w:id="23"/>
      </w:r>
      <w:r w:rsidR="39AB706E" w:rsidRPr="694CB314">
        <w:rPr>
          <w:rFonts w:eastAsia="Calibri" w:cs="Calibri"/>
        </w:rPr>
        <w:t xml:space="preserve"> </w:t>
      </w:r>
      <w:r w:rsidR="4EDA3FBA" w:rsidRPr="003F2DF6">
        <w:rPr>
          <w:rFonts w:eastAsia="Calibri" w:cs="Calibri"/>
        </w:rPr>
        <w:t xml:space="preserve">This </w:t>
      </w:r>
      <w:r w:rsidR="5C90BA11" w:rsidRPr="003F2DF6">
        <w:rPr>
          <w:rFonts w:eastAsia="Calibri" w:cs="Calibri"/>
        </w:rPr>
        <w:t xml:space="preserve">mental model </w:t>
      </w:r>
      <w:r w:rsidR="1518051F" w:rsidRPr="003F2DF6">
        <w:rPr>
          <w:rFonts w:eastAsia="Calibri" w:cs="Calibri"/>
        </w:rPr>
        <w:t>has been</w:t>
      </w:r>
      <w:r w:rsidR="4EDA3FBA" w:rsidRPr="003F2DF6">
        <w:rPr>
          <w:rFonts w:eastAsia="Calibri" w:cs="Calibri"/>
        </w:rPr>
        <w:t xml:space="preserve"> evidenced in re</w:t>
      </w:r>
      <w:r w:rsidR="514459A7" w:rsidRPr="003F2DF6">
        <w:rPr>
          <w:rFonts w:eastAsia="Calibri" w:cs="Calibri"/>
        </w:rPr>
        <w:t>search across sectors and use cases</w:t>
      </w:r>
      <w:r w:rsidR="4FB638D1" w:rsidRPr="003F2DF6">
        <w:rPr>
          <w:rFonts w:eastAsia="Calibri" w:cs="Calibri"/>
        </w:rPr>
        <w:t xml:space="preserve">. </w:t>
      </w:r>
      <w:r w:rsidR="3F275C79" w:rsidRPr="003F2DF6">
        <w:rPr>
          <w:rFonts w:eastAsia="Calibri" w:cs="Calibri"/>
        </w:rPr>
        <w:t xml:space="preserve">The DSB will continue to conduct </w:t>
      </w:r>
      <w:r w:rsidR="00994B0F">
        <w:rPr>
          <w:rFonts w:eastAsia="Calibri" w:cs="Calibri"/>
        </w:rPr>
        <w:t xml:space="preserve">CX </w:t>
      </w:r>
      <w:r w:rsidR="3F275C79" w:rsidRPr="003F2DF6">
        <w:rPr>
          <w:rFonts w:eastAsia="Calibri" w:cs="Calibri"/>
        </w:rPr>
        <w:t>research on a variety of use cases and sectors as they are designated, to ensure this mental model continues to hold true.</w:t>
      </w:r>
    </w:p>
    <w:p w14:paraId="6C6C2B57" w14:textId="6253C470" w:rsidR="00674D37" w:rsidRDefault="6DCC6DF5" w:rsidP="003F2DF6">
      <w:pPr>
        <w:rPr>
          <w:rStyle w:val="FootnoteReference"/>
          <w:rFonts w:eastAsia="Calibri" w:cs="Calibri"/>
        </w:rPr>
      </w:pPr>
      <w:r w:rsidRPr="30D55201">
        <w:rPr>
          <w:rFonts w:eastAsia="Calibri" w:cs="Calibri"/>
        </w:rPr>
        <w:t xml:space="preserve">2022 </w:t>
      </w:r>
      <w:r w:rsidR="4DF6BF73" w:rsidRPr="30D55201">
        <w:rPr>
          <w:rFonts w:eastAsia="Calibri" w:cs="Calibri"/>
        </w:rPr>
        <w:t>CX</w:t>
      </w:r>
      <w:r w:rsidR="00994B0F">
        <w:rPr>
          <w:rFonts w:eastAsia="Calibri" w:cs="Calibri"/>
        </w:rPr>
        <w:t xml:space="preserve"> r</w:t>
      </w:r>
      <w:r w:rsidR="35E943C5" w:rsidRPr="6EDE0A44">
        <w:rPr>
          <w:rFonts w:eastAsia="Calibri" w:cs="Calibri"/>
        </w:rPr>
        <w:t xml:space="preserve">esearch suggests that </w:t>
      </w:r>
      <w:r w:rsidR="037484BC" w:rsidRPr="6EDE0A44">
        <w:rPr>
          <w:rFonts w:eastAsia="Calibri" w:cs="Calibri"/>
        </w:rPr>
        <w:t>a</w:t>
      </w:r>
      <w:r w:rsidR="48E26480" w:rsidRPr="6EDE0A44">
        <w:rPr>
          <w:rFonts w:eastAsia="Calibri" w:cs="Calibri"/>
        </w:rPr>
        <w:t xml:space="preserve"> use consent outlining a clear description of the service also provides consumers with reassurance and clarity to justify the data requested in the collection consent. </w:t>
      </w:r>
    </w:p>
    <w:p w14:paraId="332EE9F1" w14:textId="01F307DA" w:rsidR="00032D54" w:rsidRPr="00B836A6" w:rsidRDefault="00A07A23" w:rsidP="00220E71">
      <w:pPr>
        <w:pStyle w:val="Heading4"/>
        <w:rPr>
          <w:rFonts w:eastAsia="Calibri" w:cs="Calibri"/>
        </w:rPr>
      </w:pPr>
      <w:r w:rsidRPr="00B836A6">
        <w:rPr>
          <w:rFonts w:eastAsia="Calibri" w:cs="Calibri"/>
        </w:rPr>
        <w:t>Proposed approach</w:t>
      </w:r>
    </w:p>
    <w:p w14:paraId="38532DC9" w14:textId="37E7F547" w:rsidR="0055014D" w:rsidRPr="00773104" w:rsidRDefault="0055014D" w:rsidP="1EEC6329">
      <w:pPr>
        <w:rPr>
          <w:rFonts w:cs="Calibri"/>
          <w:b/>
          <w:bCs/>
        </w:rPr>
      </w:pPr>
      <w:r w:rsidRPr="1EEC6329">
        <w:rPr>
          <w:rFonts w:cs="Calibri"/>
          <w:b/>
          <w:bCs/>
        </w:rPr>
        <w:t>Bundling CDR consents</w:t>
      </w:r>
      <w:r w:rsidR="00711579" w:rsidRPr="1EEC6329">
        <w:rPr>
          <w:rFonts w:cs="Calibri"/>
          <w:b/>
          <w:bCs/>
        </w:rPr>
        <w:t xml:space="preserve">  </w:t>
      </w:r>
    </w:p>
    <w:p w14:paraId="0AB603DC" w14:textId="3FA1F855" w:rsidR="00267C14" w:rsidRPr="006A3D0D" w:rsidRDefault="00267C14" w:rsidP="00292F93">
      <w:pPr>
        <w:rPr>
          <w:rFonts w:cs="Calibri"/>
          <w:i/>
        </w:rPr>
      </w:pPr>
      <w:r w:rsidRPr="006A3D0D">
        <w:rPr>
          <w:rFonts w:cs="Calibri"/>
          <w:i/>
        </w:rPr>
        <w:t xml:space="preserve">Consents </w:t>
      </w:r>
      <w:r w:rsidR="00D63CE9">
        <w:rPr>
          <w:rFonts w:cs="Calibri"/>
          <w:i/>
        </w:rPr>
        <w:t xml:space="preserve">reasonably </w:t>
      </w:r>
      <w:r w:rsidR="00AD5EF4">
        <w:rPr>
          <w:rFonts w:cs="Calibri"/>
          <w:i/>
        </w:rPr>
        <w:t>required</w:t>
      </w:r>
      <w:r w:rsidR="00C17EC5">
        <w:rPr>
          <w:rFonts w:cs="Calibri"/>
          <w:i/>
        </w:rPr>
        <w:t xml:space="preserve"> for the provision of the</w:t>
      </w:r>
      <w:r w:rsidR="00651D32">
        <w:rPr>
          <w:rFonts w:cs="Calibri"/>
          <w:i/>
        </w:rPr>
        <w:t xml:space="preserve"> requested service</w:t>
      </w:r>
    </w:p>
    <w:p w14:paraId="17139D97" w14:textId="353EAA22" w:rsidR="002159D2" w:rsidRDefault="1013E717" w:rsidP="04A83235">
      <w:pPr>
        <w:rPr>
          <w:rFonts w:cs="Calibri"/>
        </w:rPr>
      </w:pPr>
      <w:r w:rsidRPr="4B2D6899">
        <w:rPr>
          <w:rFonts w:cs="Calibri"/>
        </w:rPr>
        <w:t xml:space="preserve">As </w:t>
      </w:r>
      <w:r w:rsidR="458BFC6A" w:rsidRPr="4B2D6899">
        <w:rPr>
          <w:rFonts w:cs="Calibri"/>
        </w:rPr>
        <w:t>described</w:t>
      </w:r>
      <w:r w:rsidRPr="4B2D6899">
        <w:rPr>
          <w:rFonts w:cs="Calibri"/>
        </w:rPr>
        <w:t xml:space="preserve"> in the noting paper, w</w:t>
      </w:r>
      <w:r w:rsidR="1438597D" w:rsidRPr="4B2D6899">
        <w:rPr>
          <w:rFonts w:cs="Calibri"/>
        </w:rPr>
        <w:t>e</w:t>
      </w:r>
      <w:r w:rsidR="05380860" w:rsidRPr="4B2D6899">
        <w:rPr>
          <w:rFonts w:cs="Calibri"/>
        </w:rPr>
        <w:t xml:space="preserve"> </w:t>
      </w:r>
      <w:r w:rsidR="458BFC6A" w:rsidRPr="4B2D6899">
        <w:rPr>
          <w:rFonts w:cs="Calibri"/>
        </w:rPr>
        <w:t xml:space="preserve">propose </w:t>
      </w:r>
      <w:r w:rsidR="55224EC2" w:rsidRPr="4B2D6899">
        <w:rPr>
          <w:rFonts w:cs="Calibri"/>
        </w:rPr>
        <w:t xml:space="preserve">to </w:t>
      </w:r>
      <w:r w:rsidR="00C30093">
        <w:rPr>
          <w:rFonts w:cs="Calibri"/>
        </w:rPr>
        <w:t>amend</w:t>
      </w:r>
      <w:r w:rsidR="00C30093" w:rsidRPr="4B2D6899">
        <w:rPr>
          <w:rFonts w:cs="Calibri"/>
        </w:rPr>
        <w:t xml:space="preserve"> </w:t>
      </w:r>
      <w:r w:rsidR="198DC620" w:rsidRPr="4B2D6899">
        <w:rPr>
          <w:rFonts w:cs="Calibri"/>
        </w:rPr>
        <w:t xml:space="preserve">the </w:t>
      </w:r>
      <w:r w:rsidR="00712F70">
        <w:rPr>
          <w:rFonts w:cs="Calibri"/>
        </w:rPr>
        <w:t xml:space="preserve">bundling provisions in the </w:t>
      </w:r>
      <w:r w:rsidR="00DE58E8">
        <w:rPr>
          <w:rFonts w:cs="Calibri"/>
        </w:rPr>
        <w:t>CDR R</w:t>
      </w:r>
      <w:r w:rsidR="198DC620" w:rsidRPr="4B2D6899">
        <w:rPr>
          <w:rFonts w:cs="Calibri"/>
        </w:rPr>
        <w:t xml:space="preserve">ules </w:t>
      </w:r>
      <w:r w:rsidR="57DA8775" w:rsidRPr="4B2D6899">
        <w:rPr>
          <w:rFonts w:cs="Calibri"/>
        </w:rPr>
        <w:t xml:space="preserve">to </w:t>
      </w:r>
      <w:r w:rsidR="198DC620" w:rsidRPr="4B2D6899">
        <w:rPr>
          <w:rFonts w:cs="Calibri"/>
        </w:rPr>
        <w:t>expressly permit</w:t>
      </w:r>
      <w:r w:rsidR="668AD1E8" w:rsidRPr="4B2D6899">
        <w:rPr>
          <w:rFonts w:cs="Calibri"/>
        </w:rPr>
        <w:t xml:space="preserve"> </w:t>
      </w:r>
      <w:r w:rsidR="6D465D59" w:rsidRPr="4B2D6899">
        <w:rPr>
          <w:rFonts w:cs="Calibri"/>
        </w:rPr>
        <w:t xml:space="preserve">ADRs to bundle </w:t>
      </w:r>
      <w:r w:rsidR="6C5AE3B5" w:rsidRPr="4B2D6899">
        <w:rPr>
          <w:rFonts w:cs="Calibri"/>
        </w:rPr>
        <w:t>consent</w:t>
      </w:r>
      <w:r w:rsidR="198DC620" w:rsidRPr="4B2D6899">
        <w:rPr>
          <w:rFonts w:cs="Calibri"/>
        </w:rPr>
        <w:t xml:space="preserve">s </w:t>
      </w:r>
      <w:r w:rsidR="207C4BBF" w:rsidRPr="4B2D6899">
        <w:rPr>
          <w:rFonts w:cs="Calibri"/>
        </w:rPr>
        <w:t xml:space="preserve">that </w:t>
      </w:r>
      <w:r w:rsidR="699F07B2" w:rsidRPr="4B2D6899">
        <w:rPr>
          <w:rFonts w:cs="Calibri"/>
        </w:rPr>
        <w:t xml:space="preserve">are </w:t>
      </w:r>
      <w:r w:rsidR="6544B683" w:rsidRPr="4B2D6899">
        <w:rPr>
          <w:rFonts w:cs="Calibri"/>
        </w:rPr>
        <w:t xml:space="preserve">reasonably </w:t>
      </w:r>
      <w:r w:rsidR="00AD5EF4">
        <w:rPr>
          <w:rFonts w:cs="Calibri"/>
        </w:rPr>
        <w:t>required</w:t>
      </w:r>
      <w:r w:rsidR="57DA8775" w:rsidRPr="4B2D6899">
        <w:rPr>
          <w:rFonts w:cs="Calibri"/>
        </w:rPr>
        <w:t xml:space="preserve"> </w:t>
      </w:r>
      <w:r w:rsidR="699F07B2" w:rsidRPr="4B2D6899">
        <w:rPr>
          <w:rFonts w:cs="Calibri"/>
        </w:rPr>
        <w:t xml:space="preserve">for the provision of </w:t>
      </w:r>
      <w:r w:rsidR="1CBEFFDF" w:rsidRPr="4B2D6899">
        <w:rPr>
          <w:rFonts w:cs="Calibri"/>
        </w:rPr>
        <w:t xml:space="preserve">the requested </w:t>
      </w:r>
      <w:r w:rsidR="6CA26A5F" w:rsidRPr="4B2D6899">
        <w:rPr>
          <w:rFonts w:cs="Calibri"/>
        </w:rPr>
        <w:t>service</w:t>
      </w:r>
      <w:r w:rsidR="6309A2B3" w:rsidRPr="4B2D6899">
        <w:rPr>
          <w:rFonts w:cs="Calibri"/>
        </w:rPr>
        <w:t>.</w:t>
      </w:r>
      <w:r w:rsidR="1CBEFFDF" w:rsidRPr="4B2D6899">
        <w:rPr>
          <w:rFonts w:cs="Calibri"/>
        </w:rPr>
        <w:t xml:space="preserve"> </w:t>
      </w:r>
      <w:r w:rsidR="01698BDD" w:rsidRPr="4B2D6899">
        <w:rPr>
          <w:rFonts w:cs="Calibri"/>
        </w:rPr>
        <w:t>Th</w:t>
      </w:r>
      <w:r w:rsidR="6A67FBDA" w:rsidRPr="4B2D6899">
        <w:rPr>
          <w:rFonts w:cs="Calibri"/>
        </w:rPr>
        <w:t>e term ‘</w:t>
      </w:r>
      <w:r w:rsidR="6544B683" w:rsidRPr="4B2D6899">
        <w:rPr>
          <w:rFonts w:cs="Calibri"/>
        </w:rPr>
        <w:t xml:space="preserve">reasonably </w:t>
      </w:r>
      <w:r w:rsidR="00AD5EF4">
        <w:rPr>
          <w:rFonts w:cs="Calibri"/>
        </w:rPr>
        <w:t>required</w:t>
      </w:r>
      <w:r w:rsidR="6A67FBDA" w:rsidRPr="4B2D6899">
        <w:rPr>
          <w:rFonts w:cs="Calibri"/>
        </w:rPr>
        <w:t xml:space="preserve">’ in this context </w:t>
      </w:r>
      <w:r w:rsidR="2DD7255F" w:rsidRPr="4B2D6899">
        <w:rPr>
          <w:rFonts w:cs="Calibri"/>
        </w:rPr>
        <w:t xml:space="preserve">refers to </w:t>
      </w:r>
      <w:r w:rsidR="49809B61" w:rsidRPr="4B2D6899">
        <w:rPr>
          <w:rFonts w:cs="Calibri"/>
        </w:rPr>
        <w:t xml:space="preserve">situations where it would not be possible for the ADR to provide </w:t>
      </w:r>
      <w:r w:rsidR="1821936D" w:rsidRPr="4B2D6899">
        <w:rPr>
          <w:rFonts w:cs="Calibri"/>
        </w:rPr>
        <w:t xml:space="preserve">the service to the consumer </w:t>
      </w:r>
      <w:r w:rsidR="1821936D" w:rsidRPr="0038500E">
        <w:rPr>
          <w:rFonts w:cs="Calibri"/>
        </w:rPr>
        <w:t xml:space="preserve">without the consumer </w:t>
      </w:r>
      <w:r w:rsidR="00BC728A">
        <w:rPr>
          <w:rFonts w:cs="Calibri"/>
        </w:rPr>
        <w:t>giv</w:t>
      </w:r>
      <w:r w:rsidR="1821936D" w:rsidRPr="0038500E">
        <w:rPr>
          <w:rFonts w:cs="Calibri"/>
        </w:rPr>
        <w:t xml:space="preserve">ing the consents. </w:t>
      </w:r>
      <w:r w:rsidR="207C4BBF" w:rsidRPr="0038500E">
        <w:rPr>
          <w:rFonts w:cs="Calibri"/>
        </w:rPr>
        <w:t>For example</w:t>
      </w:r>
      <w:r w:rsidR="057204B9" w:rsidRPr="0038500E">
        <w:rPr>
          <w:rFonts w:cs="Calibri"/>
        </w:rPr>
        <w:t xml:space="preserve">, </w:t>
      </w:r>
      <w:r w:rsidR="665343D1" w:rsidRPr="0038500E">
        <w:rPr>
          <w:rFonts w:cs="Calibri"/>
        </w:rPr>
        <w:t xml:space="preserve">the ADR could seek a bundled collection and use consent </w:t>
      </w:r>
      <w:r w:rsidR="7C4B075B" w:rsidRPr="0038500E">
        <w:rPr>
          <w:rFonts w:cs="Calibri"/>
        </w:rPr>
        <w:t>in a single action</w:t>
      </w:r>
      <w:r w:rsidR="3F991D6F" w:rsidRPr="0038500E">
        <w:rPr>
          <w:rFonts w:cs="Calibri"/>
        </w:rPr>
        <w:t xml:space="preserve"> where they are </w:t>
      </w:r>
      <w:r w:rsidR="6AB69F0C" w:rsidRPr="0038500E">
        <w:rPr>
          <w:rFonts w:cs="Calibri"/>
        </w:rPr>
        <w:t xml:space="preserve">reasonably </w:t>
      </w:r>
      <w:r w:rsidR="00AD5EF4">
        <w:rPr>
          <w:rFonts w:cs="Calibri"/>
        </w:rPr>
        <w:t>required</w:t>
      </w:r>
      <w:r w:rsidR="3F991D6F" w:rsidRPr="0038500E">
        <w:rPr>
          <w:rFonts w:cs="Calibri"/>
        </w:rPr>
        <w:t xml:space="preserve"> for the service</w:t>
      </w:r>
      <w:r w:rsidR="22A0ED09" w:rsidRPr="0038500E">
        <w:rPr>
          <w:rFonts w:cs="Calibri"/>
        </w:rPr>
        <w:t xml:space="preserve">. </w:t>
      </w:r>
      <w:r w:rsidR="00433111" w:rsidRPr="4B2D6899">
        <w:rPr>
          <w:rFonts w:cs="Calibri"/>
        </w:rPr>
        <w:t xml:space="preserve">See </w:t>
      </w:r>
      <w:hyperlink r:id="rId28">
        <w:r w:rsidR="00433111" w:rsidRPr="4B2D6899">
          <w:rPr>
            <w:rStyle w:val="Hyperlink"/>
          </w:rPr>
          <w:t xml:space="preserve">wireframe 2.1 - bundled collection and use </w:t>
        </w:r>
        <w:r w:rsidR="162E9774" w:rsidRPr="30D55201">
          <w:rPr>
            <w:rStyle w:val="Hyperlink"/>
          </w:rPr>
          <w:t>consent</w:t>
        </w:r>
        <w:r w:rsidR="14D48B71" w:rsidRPr="30D55201">
          <w:rPr>
            <w:rStyle w:val="Hyperlink"/>
          </w:rPr>
          <w:t>s</w:t>
        </w:r>
      </w:hyperlink>
      <w:r w:rsidR="00433111" w:rsidRPr="4B2D6899">
        <w:rPr>
          <w:rFonts w:cs="Calibri"/>
        </w:rPr>
        <w:t xml:space="preserve"> </w:t>
      </w:r>
      <w:r w:rsidR="00433111" w:rsidRPr="4B2D6899">
        <w:rPr>
          <w:rFonts w:cs="Calibri"/>
        </w:rPr>
        <w:fldChar w:fldCharType="begin"/>
      </w:r>
      <w:r w:rsidR="00433111">
        <w:instrText>￼￼</w:instrText>
      </w:r>
      <w:r w:rsidR="00433111" w:rsidRPr="4B2D6899">
        <w:rPr>
          <w:rFonts w:cs="Calibri"/>
        </w:rPr>
        <w:instrText>wireframe 2.1</w:instrText>
      </w:r>
      <w:r w:rsidR="00433111" w:rsidRPr="4B2D6899">
        <w:rPr>
          <w:rStyle w:val="Hyperlink"/>
          <w:rFonts w:cs="Calibri"/>
        </w:rPr>
        <w:instrText xml:space="preserve"> – bundled collection &amp; use consents</w:instrText>
      </w:r>
      <w:r w:rsidR="00433111" w:rsidRPr="4B2D6899">
        <w:rPr>
          <w:rFonts w:cs="Calibri"/>
        </w:rPr>
        <w:fldChar w:fldCharType="end"/>
      </w:r>
      <w:r w:rsidR="00433111" w:rsidRPr="4B2D6899">
        <w:rPr>
          <w:rFonts w:cs="Calibri"/>
        </w:rPr>
        <w:t xml:space="preserve">for a visual example of this scenario. </w:t>
      </w:r>
      <w:r w:rsidR="00303EF7" w:rsidRPr="0038500E">
        <w:rPr>
          <w:rFonts w:cs="Calibri"/>
        </w:rPr>
        <w:t>Ho</w:t>
      </w:r>
      <w:r w:rsidR="152D8D77" w:rsidRPr="0038500E">
        <w:rPr>
          <w:rFonts w:cs="Calibri"/>
        </w:rPr>
        <w:t xml:space="preserve">wever, </w:t>
      </w:r>
      <w:r w:rsidR="7AD89CAE" w:rsidRPr="0038500E">
        <w:rPr>
          <w:rFonts w:cs="Calibri"/>
        </w:rPr>
        <w:t xml:space="preserve">the </w:t>
      </w:r>
      <w:r w:rsidR="00717A0B">
        <w:rPr>
          <w:rFonts w:cs="Calibri"/>
        </w:rPr>
        <w:t>CDR Rules</w:t>
      </w:r>
      <w:r w:rsidR="7AD89CAE" w:rsidRPr="0038500E">
        <w:rPr>
          <w:rFonts w:cs="Calibri"/>
        </w:rPr>
        <w:t xml:space="preserve"> would </w:t>
      </w:r>
      <w:r w:rsidR="00380DAB">
        <w:rPr>
          <w:rFonts w:cs="Calibri"/>
        </w:rPr>
        <w:t xml:space="preserve">continue to </w:t>
      </w:r>
      <w:r w:rsidR="00F75EC5">
        <w:rPr>
          <w:rFonts w:cs="Calibri"/>
        </w:rPr>
        <w:t>prevent</w:t>
      </w:r>
      <w:r w:rsidR="00631432" w:rsidRPr="4B2D6899">
        <w:rPr>
          <w:rFonts w:cs="Calibri"/>
        </w:rPr>
        <w:t xml:space="preserve"> </w:t>
      </w:r>
      <w:r w:rsidR="00F75EC5">
        <w:rPr>
          <w:rFonts w:cs="Calibri"/>
        </w:rPr>
        <w:t xml:space="preserve">an </w:t>
      </w:r>
      <w:r w:rsidR="575ABC8C" w:rsidRPr="4B2D6899">
        <w:rPr>
          <w:rFonts w:cs="Calibri"/>
        </w:rPr>
        <w:t xml:space="preserve">ADR from bundling </w:t>
      </w:r>
      <w:r w:rsidR="2EFB77D5" w:rsidRPr="4B2D6899">
        <w:rPr>
          <w:rFonts w:cs="Calibri"/>
        </w:rPr>
        <w:t xml:space="preserve">direct marketing </w:t>
      </w:r>
      <w:r w:rsidR="006761A5">
        <w:rPr>
          <w:rFonts w:cs="Calibri"/>
        </w:rPr>
        <w:t>and</w:t>
      </w:r>
      <w:r w:rsidR="2EFB77D5" w:rsidRPr="4B2D6899">
        <w:rPr>
          <w:rFonts w:cs="Calibri"/>
        </w:rPr>
        <w:t xml:space="preserve"> de-identification consents.</w:t>
      </w:r>
    </w:p>
    <w:p w14:paraId="74BCFBE8" w14:textId="1A656543" w:rsidR="002159D2" w:rsidRDefault="70779F92" w:rsidP="4B2D6899">
      <w:pPr>
        <w:rPr>
          <w:rFonts w:cs="Calibri"/>
        </w:rPr>
      </w:pPr>
      <w:r w:rsidRPr="4B2D6899">
        <w:rPr>
          <w:rFonts w:eastAsia="Calibri" w:cs="Calibri"/>
        </w:rPr>
        <w:t xml:space="preserve">The </w:t>
      </w:r>
      <w:r w:rsidR="00422CE0">
        <w:rPr>
          <w:rFonts w:eastAsia="Calibri" w:cs="Calibri"/>
        </w:rPr>
        <w:t xml:space="preserve">proposed </w:t>
      </w:r>
      <w:r w:rsidRPr="4B2D6899">
        <w:rPr>
          <w:rFonts w:eastAsia="Calibri" w:cs="Calibri"/>
        </w:rPr>
        <w:t xml:space="preserve">approach of bundling collection and use consents is supported by the </w:t>
      </w:r>
      <w:r w:rsidR="2689E07A" w:rsidRPr="73C90DA0">
        <w:rPr>
          <w:rFonts w:eastAsia="Calibri" w:cs="Calibri"/>
        </w:rPr>
        <w:t>2022</w:t>
      </w:r>
      <w:r w:rsidR="003316C3">
        <w:rPr>
          <w:rFonts w:eastAsia="Calibri" w:cs="Calibri"/>
        </w:rPr>
        <w:t> </w:t>
      </w:r>
      <w:r w:rsidRPr="4B2D6899">
        <w:rPr>
          <w:rFonts w:eastAsia="Calibri" w:cs="Calibri"/>
        </w:rPr>
        <w:t>CX</w:t>
      </w:r>
      <w:r w:rsidR="003316C3">
        <w:rPr>
          <w:rFonts w:eastAsia="Calibri" w:cs="Calibri"/>
        </w:rPr>
        <w:t> </w:t>
      </w:r>
      <w:r w:rsidRPr="4B2D6899">
        <w:rPr>
          <w:rFonts w:eastAsia="Calibri" w:cs="Calibri"/>
        </w:rPr>
        <w:t>research</w:t>
      </w:r>
      <w:r w:rsidR="0B625538" w:rsidRPr="5BD75D75">
        <w:rPr>
          <w:rFonts w:eastAsia="Calibri" w:cs="Calibri"/>
        </w:rPr>
        <w:t>,</w:t>
      </w:r>
      <w:r w:rsidRPr="4B2D6899">
        <w:rPr>
          <w:rFonts w:eastAsia="Calibri" w:cs="Calibri"/>
        </w:rPr>
        <w:t xml:space="preserve"> which found that customers are likely to assume</w:t>
      </w:r>
      <w:r w:rsidR="40B41223" w:rsidRPr="4B2D6899">
        <w:rPr>
          <w:rFonts w:eastAsia="Calibri" w:cs="Calibri"/>
        </w:rPr>
        <w:t xml:space="preserve"> that</w:t>
      </w:r>
      <w:r w:rsidRPr="4B2D6899">
        <w:rPr>
          <w:rFonts w:eastAsia="Calibri" w:cs="Calibri"/>
        </w:rPr>
        <w:t xml:space="preserve">, or </w:t>
      </w:r>
      <w:r w:rsidR="26DA45AA" w:rsidRPr="4B2D6899">
        <w:rPr>
          <w:rFonts w:eastAsia="Calibri" w:cs="Calibri"/>
        </w:rPr>
        <w:t>assess whether</w:t>
      </w:r>
      <w:r w:rsidRPr="4B2D6899">
        <w:rPr>
          <w:rFonts w:eastAsia="Calibri" w:cs="Calibri"/>
        </w:rPr>
        <w:t>, the collection of the data relates to the use for which it is being collected.</w:t>
      </w:r>
      <w:r w:rsidR="345282BB" w:rsidRPr="4B2D6899">
        <w:rPr>
          <w:rFonts w:cs="Calibri"/>
        </w:rPr>
        <w:t xml:space="preserve"> </w:t>
      </w:r>
      <w:r w:rsidR="7D9375FB" w:rsidRPr="4B2D6899">
        <w:rPr>
          <w:rFonts w:cs="Calibri"/>
        </w:rPr>
        <w:t>Separating these consent</w:t>
      </w:r>
      <w:r w:rsidR="3FBD601D" w:rsidRPr="4B2D6899">
        <w:rPr>
          <w:rFonts w:cs="Calibri"/>
        </w:rPr>
        <w:t xml:space="preserve"> type</w:t>
      </w:r>
      <w:r w:rsidR="7D9375FB" w:rsidRPr="4B2D6899">
        <w:rPr>
          <w:rFonts w:cs="Calibri"/>
        </w:rPr>
        <w:t xml:space="preserve">s into </w:t>
      </w:r>
      <w:r w:rsidR="5BAA0C01" w:rsidRPr="4B2D6899">
        <w:rPr>
          <w:rFonts w:cs="Calibri"/>
        </w:rPr>
        <w:t xml:space="preserve">separate </w:t>
      </w:r>
      <w:r w:rsidR="0AA1E25E" w:rsidRPr="4B2D6899">
        <w:rPr>
          <w:rFonts w:cs="Calibri"/>
        </w:rPr>
        <w:t xml:space="preserve">proposals may unnecessarily increase cognitive load for the consumer without </w:t>
      </w:r>
      <w:r w:rsidR="5F38B898" w:rsidRPr="4B2D6899">
        <w:rPr>
          <w:rFonts w:cs="Calibri"/>
        </w:rPr>
        <w:t xml:space="preserve">increasing </w:t>
      </w:r>
      <w:r w:rsidR="17ED5221" w:rsidRPr="4B2D6899">
        <w:rPr>
          <w:rFonts w:cs="Calibri"/>
        </w:rPr>
        <w:t xml:space="preserve">real </w:t>
      </w:r>
      <w:r w:rsidR="5F38B898" w:rsidRPr="4B2D6899">
        <w:rPr>
          <w:rFonts w:cs="Calibri"/>
        </w:rPr>
        <w:t>choice.</w:t>
      </w:r>
    </w:p>
    <w:p w14:paraId="4048FD83" w14:textId="563DC475" w:rsidR="00181916" w:rsidRDefault="00181916" w:rsidP="4B2D6899">
      <w:pPr>
        <w:rPr>
          <w:rFonts w:cs="Calibri"/>
        </w:rPr>
      </w:pPr>
      <w:r>
        <w:rPr>
          <w:rFonts w:cs="Calibri"/>
        </w:rPr>
        <w:t xml:space="preserve">Some stakeholders proposed that </w:t>
      </w:r>
      <w:r w:rsidR="004B3320">
        <w:rPr>
          <w:rFonts w:cs="Calibri"/>
        </w:rPr>
        <w:t xml:space="preserve">where a consumer has entered into </w:t>
      </w:r>
      <w:r>
        <w:rPr>
          <w:rFonts w:cs="Calibri"/>
        </w:rPr>
        <w:t xml:space="preserve">bundled </w:t>
      </w:r>
      <w:r w:rsidR="00CA33AD">
        <w:rPr>
          <w:rFonts w:cs="Calibri"/>
        </w:rPr>
        <w:t>consents</w:t>
      </w:r>
      <w:r>
        <w:rPr>
          <w:rFonts w:cs="Calibri"/>
        </w:rPr>
        <w:t xml:space="preserve"> </w:t>
      </w:r>
      <w:r w:rsidR="008E18F5">
        <w:rPr>
          <w:rFonts w:cs="Calibri"/>
        </w:rPr>
        <w:t xml:space="preserve">there </w:t>
      </w:r>
      <w:r>
        <w:rPr>
          <w:rFonts w:cs="Calibri"/>
        </w:rPr>
        <w:t xml:space="preserve">should </w:t>
      </w:r>
      <w:r w:rsidR="00D67CAC">
        <w:rPr>
          <w:rFonts w:cs="Calibri"/>
        </w:rPr>
        <w:t>be flexibility for those consents to be subs</w:t>
      </w:r>
      <w:r w:rsidR="001157A5">
        <w:rPr>
          <w:rFonts w:cs="Calibri"/>
        </w:rPr>
        <w:t>equently</w:t>
      </w:r>
      <w:r>
        <w:rPr>
          <w:rFonts w:cs="Calibri"/>
        </w:rPr>
        <w:t xml:space="preserve"> unbundled</w:t>
      </w:r>
      <w:r w:rsidR="001157A5">
        <w:rPr>
          <w:rFonts w:cs="Calibri"/>
        </w:rPr>
        <w:t xml:space="preserve"> and managed separately</w:t>
      </w:r>
      <w:r>
        <w:rPr>
          <w:rFonts w:cs="Calibri"/>
        </w:rPr>
        <w:t xml:space="preserve">, such as when a consumer seeks to withdraw </w:t>
      </w:r>
      <w:r w:rsidR="00FF5CFA">
        <w:rPr>
          <w:rFonts w:cs="Calibri"/>
        </w:rPr>
        <w:t xml:space="preserve">one consent type without </w:t>
      </w:r>
      <w:r w:rsidR="000452AD">
        <w:rPr>
          <w:rFonts w:cs="Calibri"/>
        </w:rPr>
        <w:t xml:space="preserve">discontinuing </w:t>
      </w:r>
      <w:r w:rsidR="006536B7">
        <w:rPr>
          <w:rFonts w:cs="Calibri"/>
        </w:rPr>
        <w:t>others</w:t>
      </w:r>
      <w:r>
        <w:rPr>
          <w:rFonts w:cs="Calibri"/>
        </w:rPr>
        <w:t xml:space="preserve">. </w:t>
      </w:r>
      <w:r w:rsidR="009D70F6">
        <w:rPr>
          <w:rFonts w:cs="Calibri"/>
        </w:rPr>
        <w:t>Under the proposal, t</w:t>
      </w:r>
      <w:r>
        <w:rPr>
          <w:rFonts w:cs="Calibri"/>
        </w:rPr>
        <w:t xml:space="preserve">he CDR Rules </w:t>
      </w:r>
      <w:r w:rsidR="00457475">
        <w:rPr>
          <w:rFonts w:cs="Calibri"/>
        </w:rPr>
        <w:t>w</w:t>
      </w:r>
      <w:r w:rsidR="009D70F6">
        <w:rPr>
          <w:rFonts w:cs="Calibri"/>
        </w:rPr>
        <w:t>ould</w:t>
      </w:r>
      <w:r w:rsidR="00457475">
        <w:rPr>
          <w:rFonts w:cs="Calibri"/>
        </w:rPr>
        <w:t xml:space="preserve"> continue to </w:t>
      </w:r>
      <w:r>
        <w:rPr>
          <w:rFonts w:cs="Calibri"/>
        </w:rPr>
        <w:t xml:space="preserve">provide </w:t>
      </w:r>
      <w:r w:rsidR="00011FD6">
        <w:rPr>
          <w:rFonts w:cs="Calibri"/>
        </w:rPr>
        <w:t xml:space="preserve">the </w:t>
      </w:r>
      <w:r>
        <w:rPr>
          <w:rFonts w:cs="Calibri"/>
        </w:rPr>
        <w:t>flexibility</w:t>
      </w:r>
      <w:r w:rsidR="00011FD6">
        <w:rPr>
          <w:rFonts w:cs="Calibri"/>
        </w:rPr>
        <w:t xml:space="preserve"> for </w:t>
      </w:r>
      <w:r w:rsidR="005A4CFF">
        <w:rPr>
          <w:rFonts w:cs="Calibri"/>
        </w:rPr>
        <w:t>ADR</w:t>
      </w:r>
      <w:r w:rsidR="000F1F3E">
        <w:rPr>
          <w:rFonts w:cs="Calibri"/>
        </w:rPr>
        <w:t>s</w:t>
      </w:r>
      <w:r w:rsidR="005A4CFF">
        <w:rPr>
          <w:rFonts w:cs="Calibri"/>
        </w:rPr>
        <w:t xml:space="preserve"> to provide consumers with the ability </w:t>
      </w:r>
      <w:r>
        <w:rPr>
          <w:rFonts w:cs="Calibri"/>
        </w:rPr>
        <w:t xml:space="preserve">to individually </w:t>
      </w:r>
      <w:r w:rsidR="005A4CFF">
        <w:rPr>
          <w:rFonts w:cs="Calibri"/>
        </w:rPr>
        <w:t xml:space="preserve">withdraw </w:t>
      </w:r>
      <w:r>
        <w:rPr>
          <w:rFonts w:cs="Calibri"/>
        </w:rPr>
        <w:t>consents via</w:t>
      </w:r>
      <w:r w:rsidRPr="00B836A6">
        <w:rPr>
          <w:rFonts w:cs="Calibri"/>
        </w:rPr>
        <w:t xml:space="preserve"> the</w:t>
      </w:r>
      <w:r>
        <w:rPr>
          <w:rFonts w:cs="Calibri"/>
        </w:rPr>
        <w:t>ir</w:t>
      </w:r>
      <w:r w:rsidRPr="00B836A6">
        <w:rPr>
          <w:rFonts w:cs="Calibri"/>
        </w:rPr>
        <w:t xml:space="preserve"> consumer dashboard</w:t>
      </w:r>
      <w:r w:rsidR="00FB3A77">
        <w:rPr>
          <w:rFonts w:cs="Calibri"/>
        </w:rPr>
        <w:t>, even where the initial consents were bundled</w:t>
      </w:r>
      <w:r>
        <w:rPr>
          <w:rFonts w:cs="Calibri"/>
        </w:rPr>
        <w:t>. For example,</w:t>
      </w:r>
      <w:r w:rsidRPr="00B836A6">
        <w:rPr>
          <w:rFonts w:cs="Calibri"/>
        </w:rPr>
        <w:t xml:space="preserve"> </w:t>
      </w:r>
      <w:r w:rsidR="00FD79DD">
        <w:rPr>
          <w:rFonts w:cs="Calibri"/>
        </w:rPr>
        <w:t>an ADR</w:t>
      </w:r>
      <w:r>
        <w:rPr>
          <w:rFonts w:cs="Calibri"/>
        </w:rPr>
        <w:t xml:space="preserve"> may provide functionality for </w:t>
      </w:r>
      <w:r w:rsidRPr="00B836A6">
        <w:rPr>
          <w:rFonts w:cs="Calibri"/>
        </w:rPr>
        <w:t xml:space="preserve">a collection consent to </w:t>
      </w:r>
      <w:r>
        <w:rPr>
          <w:rFonts w:cs="Calibri"/>
        </w:rPr>
        <w:t>be withdrawn</w:t>
      </w:r>
      <w:r w:rsidRPr="00B836A6">
        <w:rPr>
          <w:rFonts w:cs="Calibri"/>
        </w:rPr>
        <w:t xml:space="preserve"> </w:t>
      </w:r>
      <w:r>
        <w:rPr>
          <w:rFonts w:cs="Calibri"/>
        </w:rPr>
        <w:t>without affecting the</w:t>
      </w:r>
      <w:r w:rsidRPr="00B836A6">
        <w:rPr>
          <w:rFonts w:cs="Calibri"/>
        </w:rPr>
        <w:t xml:space="preserve"> use consent</w:t>
      </w:r>
      <w:r w:rsidRPr="4B2D6899">
        <w:rPr>
          <w:rFonts w:cs="Calibri"/>
        </w:rPr>
        <w:t xml:space="preserve"> if it is possible for the service to continue to be provided without collecting additional CDR data</w:t>
      </w:r>
      <w:r>
        <w:rPr>
          <w:rFonts w:cs="Calibri"/>
        </w:rPr>
        <w:t>, or alternatively provide the ability for all consents relating to the service to be withdrawn together</w:t>
      </w:r>
      <w:r w:rsidRPr="00B836A6">
        <w:rPr>
          <w:rFonts w:cs="Calibri"/>
        </w:rPr>
        <w:t>.</w:t>
      </w:r>
      <w:r w:rsidR="00DE1CF6">
        <w:rPr>
          <w:rStyle w:val="FootnoteReference"/>
          <w:rFonts w:cs="Calibri"/>
        </w:rPr>
        <w:footnoteReference w:id="24"/>
      </w:r>
    </w:p>
    <w:p w14:paraId="6265EB1B" w14:textId="39B4C165" w:rsidR="001723C0" w:rsidRPr="0032135B" w:rsidRDefault="4BF41413" w:rsidP="00DD49EA">
      <w:pPr>
        <w:keepNext/>
        <w:rPr>
          <w:rFonts w:cs="Calibri"/>
          <w:i/>
          <w:iCs/>
        </w:rPr>
      </w:pPr>
      <w:r w:rsidRPr="04A83235">
        <w:rPr>
          <w:rFonts w:cs="Calibri"/>
          <w:i/>
          <w:iCs/>
        </w:rPr>
        <w:lastRenderedPageBreak/>
        <w:t>Bundling of disclosure consents</w:t>
      </w:r>
    </w:p>
    <w:p w14:paraId="59A22FBA" w14:textId="351CBDB7" w:rsidR="00C702F6" w:rsidRDefault="4DC2CA4D" w:rsidP="00D64B1B">
      <w:pPr>
        <w:rPr>
          <w:rFonts w:cs="Calibri"/>
        </w:rPr>
      </w:pPr>
      <w:r w:rsidRPr="6EDE0A44">
        <w:rPr>
          <w:rFonts w:cs="Calibri"/>
        </w:rPr>
        <w:t xml:space="preserve">We welcome further views on whether </w:t>
      </w:r>
      <w:r w:rsidR="75002237" w:rsidRPr="6EDE0A44">
        <w:rPr>
          <w:rFonts w:cs="Calibri"/>
        </w:rPr>
        <w:t xml:space="preserve">the </w:t>
      </w:r>
      <w:r w:rsidR="2D8C86CA" w:rsidRPr="6EDE0A44">
        <w:rPr>
          <w:rFonts w:cs="Calibri"/>
        </w:rPr>
        <w:t>CDR R</w:t>
      </w:r>
      <w:r w:rsidR="75002237" w:rsidRPr="6EDE0A44">
        <w:rPr>
          <w:rFonts w:cs="Calibri"/>
        </w:rPr>
        <w:t xml:space="preserve">ules should permit bundling of </w:t>
      </w:r>
      <w:r w:rsidRPr="6EDE0A44">
        <w:rPr>
          <w:rFonts w:cs="Calibri"/>
        </w:rPr>
        <w:t xml:space="preserve">disclosure consents where they are necessary for the provision of the service. </w:t>
      </w:r>
      <w:r w:rsidR="6768C0FD" w:rsidRPr="6EDE0A44">
        <w:rPr>
          <w:rFonts w:cs="Calibri"/>
        </w:rPr>
        <w:t xml:space="preserve">We </w:t>
      </w:r>
      <w:r w:rsidR="541AC074" w:rsidRPr="6EDE0A44">
        <w:rPr>
          <w:rFonts w:cs="Calibri"/>
        </w:rPr>
        <w:t>consider</w:t>
      </w:r>
      <w:r w:rsidR="00D80A98">
        <w:rPr>
          <w:rFonts w:cs="Calibri"/>
        </w:rPr>
        <w:t xml:space="preserve"> </w:t>
      </w:r>
      <w:r w:rsidR="541AC074" w:rsidRPr="6EDE0A44">
        <w:rPr>
          <w:rFonts w:cs="Calibri"/>
        </w:rPr>
        <w:t xml:space="preserve">that </w:t>
      </w:r>
      <w:r w:rsidR="27859692" w:rsidRPr="6EDE0A44">
        <w:rPr>
          <w:rFonts w:cs="Calibri"/>
        </w:rPr>
        <w:t>a</w:t>
      </w:r>
      <w:r w:rsidR="541AC074" w:rsidRPr="6EDE0A44">
        <w:rPr>
          <w:rFonts w:cs="Calibri"/>
        </w:rPr>
        <w:t xml:space="preserve"> </w:t>
      </w:r>
      <w:r w:rsidR="5E32434B" w:rsidRPr="6EDE0A44">
        <w:rPr>
          <w:rFonts w:cs="Calibri"/>
        </w:rPr>
        <w:t xml:space="preserve">disclosure consent </w:t>
      </w:r>
      <w:r w:rsidR="541AC074" w:rsidRPr="6EDE0A44">
        <w:rPr>
          <w:rFonts w:cs="Calibri"/>
        </w:rPr>
        <w:t xml:space="preserve">would only be </w:t>
      </w:r>
      <w:r w:rsidR="00E36A43">
        <w:rPr>
          <w:rFonts w:cs="Calibri"/>
        </w:rPr>
        <w:t xml:space="preserve">reasonably </w:t>
      </w:r>
      <w:r w:rsidR="00AD5EF4">
        <w:rPr>
          <w:rFonts w:cs="Calibri"/>
        </w:rPr>
        <w:t>required</w:t>
      </w:r>
      <w:r w:rsidR="27859692" w:rsidRPr="6EDE0A44">
        <w:rPr>
          <w:rFonts w:cs="Calibri"/>
        </w:rPr>
        <w:t xml:space="preserve"> for the provision of the service </w:t>
      </w:r>
      <w:r w:rsidR="00A13B6B">
        <w:rPr>
          <w:rFonts w:cs="Calibri"/>
        </w:rPr>
        <w:t xml:space="preserve">(and therefore </w:t>
      </w:r>
      <w:r w:rsidR="00453A3F">
        <w:rPr>
          <w:rFonts w:cs="Calibri"/>
        </w:rPr>
        <w:t xml:space="preserve">permitted to be bundled) </w:t>
      </w:r>
      <w:r w:rsidR="27859692" w:rsidRPr="6EDE0A44">
        <w:rPr>
          <w:rFonts w:cs="Calibri"/>
        </w:rPr>
        <w:t>in</w:t>
      </w:r>
      <w:r w:rsidR="541AC074" w:rsidRPr="6EDE0A44">
        <w:rPr>
          <w:rFonts w:cs="Calibri"/>
        </w:rPr>
        <w:t xml:space="preserve"> circumstances where the </w:t>
      </w:r>
      <w:r w:rsidR="0D1DDFA1" w:rsidRPr="6EDE0A44">
        <w:rPr>
          <w:rFonts w:cs="Calibri"/>
        </w:rPr>
        <w:t>ADR</w:t>
      </w:r>
      <w:r w:rsidR="1D61D00A" w:rsidRPr="6EDE0A44">
        <w:rPr>
          <w:rFonts w:cs="Calibri"/>
        </w:rPr>
        <w:t>’s</w:t>
      </w:r>
      <w:r w:rsidR="0D1DDFA1" w:rsidRPr="6EDE0A44">
        <w:rPr>
          <w:rFonts w:cs="Calibri"/>
        </w:rPr>
        <w:t xml:space="preserve"> </w:t>
      </w:r>
      <w:r w:rsidR="7D0CA691" w:rsidRPr="6EDE0A44">
        <w:rPr>
          <w:rFonts w:cs="Calibri"/>
        </w:rPr>
        <w:t>service</w:t>
      </w:r>
      <w:r w:rsidR="0D1DDFA1" w:rsidRPr="6EDE0A44">
        <w:rPr>
          <w:rFonts w:cs="Calibri"/>
        </w:rPr>
        <w:t xml:space="preserve"> </w:t>
      </w:r>
      <w:r w:rsidR="7CFCAFBE" w:rsidRPr="6EDE0A44">
        <w:rPr>
          <w:rFonts w:cs="Calibri"/>
        </w:rPr>
        <w:t>is for the CDR data to be collected and disclosed</w:t>
      </w:r>
      <w:r w:rsidR="3D95100B" w:rsidRPr="6EDE0A44">
        <w:rPr>
          <w:rFonts w:cs="Calibri"/>
        </w:rPr>
        <w:t>.</w:t>
      </w:r>
      <w:r w:rsidR="302C0FE9" w:rsidRPr="6EDE0A44">
        <w:rPr>
          <w:rFonts w:cs="Calibri"/>
        </w:rPr>
        <w:t xml:space="preserve"> </w:t>
      </w:r>
      <w:r w:rsidR="43E6CAD0" w:rsidRPr="6EDE0A44">
        <w:rPr>
          <w:rFonts w:cs="Calibri"/>
        </w:rPr>
        <w:t xml:space="preserve">For example, </w:t>
      </w:r>
      <w:r w:rsidR="020488AD" w:rsidRPr="6EDE0A44">
        <w:rPr>
          <w:rFonts w:cs="Calibri"/>
        </w:rPr>
        <w:t>a</w:t>
      </w:r>
      <w:r w:rsidR="33756451" w:rsidRPr="6EDE0A44">
        <w:rPr>
          <w:rFonts w:cs="Calibri"/>
        </w:rPr>
        <w:t xml:space="preserve"> consumer </w:t>
      </w:r>
      <w:r w:rsidR="020488AD" w:rsidRPr="6EDE0A44">
        <w:rPr>
          <w:rFonts w:cs="Calibri"/>
        </w:rPr>
        <w:t xml:space="preserve">may wish to use </w:t>
      </w:r>
      <w:r w:rsidR="588A7296" w:rsidRPr="6EDE0A44">
        <w:rPr>
          <w:rFonts w:cs="Calibri"/>
        </w:rPr>
        <w:t>a</w:t>
      </w:r>
      <w:r w:rsidR="020488AD" w:rsidRPr="6EDE0A44">
        <w:rPr>
          <w:rFonts w:cs="Calibri"/>
        </w:rPr>
        <w:t xml:space="preserve"> CDR </w:t>
      </w:r>
      <w:r w:rsidR="588A7296" w:rsidRPr="6EDE0A44">
        <w:rPr>
          <w:rFonts w:cs="Calibri"/>
        </w:rPr>
        <w:t xml:space="preserve">service </w:t>
      </w:r>
      <w:r w:rsidR="64646BB5" w:rsidRPr="6EDE0A44">
        <w:rPr>
          <w:rFonts w:cs="Calibri"/>
        </w:rPr>
        <w:t xml:space="preserve">for the purpose of </w:t>
      </w:r>
      <w:r w:rsidR="588A7296" w:rsidRPr="6EDE0A44">
        <w:rPr>
          <w:rFonts w:cs="Calibri"/>
        </w:rPr>
        <w:t>disclos</w:t>
      </w:r>
      <w:r w:rsidR="44AE1609" w:rsidRPr="6EDE0A44">
        <w:rPr>
          <w:rFonts w:cs="Calibri"/>
        </w:rPr>
        <w:t>ing</w:t>
      </w:r>
      <w:r w:rsidR="588A7296" w:rsidRPr="6EDE0A44">
        <w:rPr>
          <w:rFonts w:cs="Calibri"/>
        </w:rPr>
        <w:t xml:space="preserve"> their banking data to their accountant</w:t>
      </w:r>
      <w:r w:rsidR="781B3072" w:rsidRPr="6EDE0A44">
        <w:rPr>
          <w:rFonts w:cs="Calibri"/>
        </w:rPr>
        <w:t xml:space="preserve">, </w:t>
      </w:r>
      <w:r w:rsidR="4D4E3B5A" w:rsidRPr="6EDE0A44">
        <w:rPr>
          <w:rFonts w:cs="Calibri"/>
        </w:rPr>
        <w:t>with whom</w:t>
      </w:r>
      <w:r w:rsidR="64646BB5" w:rsidRPr="6EDE0A44">
        <w:rPr>
          <w:rFonts w:cs="Calibri"/>
        </w:rPr>
        <w:t xml:space="preserve"> they have an existing relationship.</w:t>
      </w:r>
      <w:r w:rsidR="4501FD0F" w:rsidRPr="6EDE0A44">
        <w:rPr>
          <w:rFonts w:cs="Calibri"/>
        </w:rPr>
        <w:t xml:space="preserve"> </w:t>
      </w:r>
      <w:r w:rsidR="00441726" w:rsidRPr="6EDE0A44">
        <w:rPr>
          <w:rFonts w:cs="Calibri"/>
        </w:rPr>
        <w:t xml:space="preserve">See </w:t>
      </w:r>
      <w:hyperlink r:id="rId29">
        <w:r w:rsidR="00441726" w:rsidRPr="6EDE0A44">
          <w:rPr>
            <w:rStyle w:val="Hyperlink"/>
          </w:rPr>
          <w:t>wireframe 2.2 - bundled disclosure consent</w:t>
        </w:r>
        <w:r w:rsidR="00441726" w:rsidRPr="6EDE0A44">
          <w:rPr>
            <w:rFonts w:cs="Calibri"/>
          </w:rPr>
          <w:fldChar w:fldCharType="begin"/>
        </w:r>
        <w:r w:rsidR="00441726">
          <w:rPr>
            <w:rFonts w:ascii="Arial" w:hAnsi="Arial" w:cs="Arial"/>
          </w:rPr>
          <w:instrText>￼￼</w:instrText>
        </w:r>
        <w:r w:rsidR="00441726" w:rsidRPr="6EDE0A44">
          <w:rPr>
            <w:rStyle w:val="Hyperlink"/>
            <w:rFonts w:cs="Calibri"/>
          </w:rPr>
          <w:instrText>wireframe 2.2 - bundled disclosure consent</w:instrText>
        </w:r>
        <w:r w:rsidR="00441726" w:rsidRPr="6EDE0A44">
          <w:rPr>
            <w:rFonts w:cs="Calibri"/>
          </w:rPr>
          <w:fldChar w:fldCharType="end"/>
        </w:r>
      </w:hyperlink>
      <w:r w:rsidR="00441726" w:rsidRPr="6EDE0A44">
        <w:rPr>
          <w:rFonts w:cs="Calibri"/>
        </w:rPr>
        <w:t xml:space="preserve"> for a visual example of </w:t>
      </w:r>
      <w:r w:rsidR="00441726">
        <w:rPr>
          <w:rFonts w:cs="Calibri"/>
        </w:rPr>
        <w:t>a bundled disclosure consent</w:t>
      </w:r>
      <w:r w:rsidR="00441726" w:rsidRPr="6EDE0A44">
        <w:rPr>
          <w:rFonts w:cs="Calibri"/>
        </w:rPr>
        <w:t xml:space="preserve">. </w:t>
      </w:r>
    </w:p>
    <w:p w14:paraId="0FDC3CBF" w14:textId="1D241CB0" w:rsidR="00D64B1B" w:rsidRDefault="302C0FE9" w:rsidP="00D64B1B">
      <w:pPr>
        <w:rPr>
          <w:rFonts w:cs="Calibri"/>
        </w:rPr>
      </w:pPr>
      <w:r w:rsidRPr="6EDE0A44">
        <w:rPr>
          <w:rFonts w:cs="Calibri"/>
        </w:rPr>
        <w:t>However, w</w:t>
      </w:r>
      <w:r w:rsidR="06F91FD5" w:rsidRPr="6EDE0A44">
        <w:rPr>
          <w:rFonts w:cs="Calibri"/>
        </w:rPr>
        <w:t xml:space="preserve">e </w:t>
      </w:r>
      <w:r w:rsidRPr="6EDE0A44">
        <w:rPr>
          <w:rFonts w:cs="Calibri"/>
        </w:rPr>
        <w:t xml:space="preserve">also </w:t>
      </w:r>
      <w:r w:rsidR="06F91FD5" w:rsidRPr="6EDE0A44">
        <w:rPr>
          <w:rFonts w:cs="Calibri"/>
        </w:rPr>
        <w:t>note that d</w:t>
      </w:r>
      <w:r w:rsidR="445E1D77" w:rsidRPr="6EDE0A44">
        <w:rPr>
          <w:rFonts w:cs="Calibri"/>
        </w:rPr>
        <w:t xml:space="preserve">isclosures </w:t>
      </w:r>
      <w:r w:rsidR="06F91FD5" w:rsidRPr="6EDE0A44">
        <w:rPr>
          <w:rFonts w:cs="Calibri"/>
        </w:rPr>
        <w:t xml:space="preserve">may be </w:t>
      </w:r>
      <w:r w:rsidR="445E1D77" w:rsidRPr="6EDE0A44">
        <w:rPr>
          <w:rFonts w:cs="Calibri"/>
        </w:rPr>
        <w:t>to</w:t>
      </w:r>
      <w:r w:rsidR="15111E1A" w:rsidRPr="6EDE0A44">
        <w:rPr>
          <w:rFonts w:cs="Calibri"/>
        </w:rPr>
        <w:t xml:space="preserve"> </w:t>
      </w:r>
      <w:r w:rsidR="3D49C981" w:rsidRPr="6EDE0A44">
        <w:rPr>
          <w:rFonts w:cs="Calibri"/>
        </w:rPr>
        <w:t xml:space="preserve">third parties </w:t>
      </w:r>
      <w:r w:rsidR="15111E1A" w:rsidRPr="6EDE0A44">
        <w:rPr>
          <w:rFonts w:cs="Calibri"/>
        </w:rPr>
        <w:t xml:space="preserve">not </w:t>
      </w:r>
      <w:r w:rsidR="55DFB7E2" w:rsidRPr="6EDE0A44">
        <w:rPr>
          <w:rFonts w:cs="Calibri"/>
        </w:rPr>
        <w:t xml:space="preserve">affiliated with the ADR or </w:t>
      </w:r>
      <w:r w:rsidR="15111E1A" w:rsidRPr="6EDE0A44">
        <w:rPr>
          <w:rFonts w:cs="Calibri"/>
        </w:rPr>
        <w:t xml:space="preserve">regulated by the CDR </w:t>
      </w:r>
      <w:r w:rsidR="3618BC31" w:rsidRPr="6EDE0A44">
        <w:rPr>
          <w:rFonts w:cs="Calibri"/>
        </w:rPr>
        <w:t xml:space="preserve">and </w:t>
      </w:r>
      <w:r w:rsidR="000960FE">
        <w:rPr>
          <w:rFonts w:cs="Calibri"/>
        </w:rPr>
        <w:t xml:space="preserve">who </w:t>
      </w:r>
      <w:r w:rsidR="769F2B13" w:rsidRPr="6EDE0A44">
        <w:rPr>
          <w:rFonts w:cs="Calibri"/>
        </w:rPr>
        <w:t>may not be subject to the Privacy Act.</w:t>
      </w:r>
      <w:r w:rsidR="003F5FFF">
        <w:rPr>
          <w:rStyle w:val="FootnoteReference"/>
          <w:rFonts w:cs="Calibri"/>
        </w:rPr>
        <w:footnoteReference w:id="25"/>
      </w:r>
      <w:r w:rsidR="769F2B13" w:rsidRPr="6EDE0A44">
        <w:rPr>
          <w:rFonts w:cs="Calibri"/>
        </w:rPr>
        <w:t xml:space="preserve"> We </w:t>
      </w:r>
      <w:r w:rsidR="538CA7D4" w:rsidRPr="6EDE0A44">
        <w:rPr>
          <w:rFonts w:cs="Calibri"/>
        </w:rPr>
        <w:t xml:space="preserve">therefore </w:t>
      </w:r>
      <w:r w:rsidR="286BEA26" w:rsidRPr="6EDE0A44">
        <w:rPr>
          <w:rFonts w:cs="Calibri"/>
        </w:rPr>
        <w:t xml:space="preserve">see merit in </w:t>
      </w:r>
      <w:r w:rsidR="3CD6444C" w:rsidRPr="6EDE0A44">
        <w:rPr>
          <w:rFonts w:cs="Calibri"/>
        </w:rPr>
        <w:t xml:space="preserve">ensuring these consents are </w:t>
      </w:r>
      <w:r w:rsidR="0DB9B35D" w:rsidRPr="6EDE0A44">
        <w:rPr>
          <w:rFonts w:cs="Calibri"/>
        </w:rPr>
        <w:t>distinct</w:t>
      </w:r>
      <w:r w:rsidR="0A4AF3E0" w:rsidRPr="6EDE0A44">
        <w:rPr>
          <w:rFonts w:cs="Calibri"/>
        </w:rPr>
        <w:t xml:space="preserve"> from</w:t>
      </w:r>
      <w:r w:rsidR="0975F919" w:rsidRPr="6EDE0A44">
        <w:rPr>
          <w:rFonts w:cs="Calibri"/>
        </w:rPr>
        <w:t xml:space="preserve"> </w:t>
      </w:r>
      <w:r w:rsidR="0D14165D" w:rsidRPr="6EDE0A44">
        <w:rPr>
          <w:rFonts w:cs="Calibri"/>
        </w:rPr>
        <w:t xml:space="preserve">any collection and use </w:t>
      </w:r>
      <w:r w:rsidR="7FCFAEB3" w:rsidRPr="6EDE0A44">
        <w:rPr>
          <w:rFonts w:cs="Calibri"/>
        </w:rPr>
        <w:t xml:space="preserve">consents provided </w:t>
      </w:r>
      <w:r w:rsidR="0D14165D" w:rsidRPr="6EDE0A44">
        <w:rPr>
          <w:rFonts w:cs="Calibri"/>
        </w:rPr>
        <w:t xml:space="preserve">by </w:t>
      </w:r>
      <w:r w:rsidR="7FCFAEB3" w:rsidRPr="6EDE0A44">
        <w:rPr>
          <w:rFonts w:cs="Calibri"/>
        </w:rPr>
        <w:t xml:space="preserve">the </w:t>
      </w:r>
      <w:r w:rsidR="0D14165D" w:rsidRPr="6EDE0A44">
        <w:rPr>
          <w:rFonts w:cs="Calibri"/>
        </w:rPr>
        <w:t>consumer</w:t>
      </w:r>
      <w:r w:rsidR="445E1D77" w:rsidRPr="6EDE0A44">
        <w:rPr>
          <w:rFonts w:cs="Calibri"/>
        </w:rPr>
        <w:t>.</w:t>
      </w:r>
      <w:r w:rsidR="6DD64D6C" w:rsidRPr="6EDE0A44">
        <w:rPr>
          <w:rFonts w:cs="Calibri"/>
        </w:rPr>
        <w:t xml:space="preserve"> </w:t>
      </w:r>
      <w:r w:rsidR="2097B7E0" w:rsidRPr="6EDE0A44">
        <w:rPr>
          <w:rFonts w:cs="Calibri"/>
        </w:rPr>
        <w:t xml:space="preserve"> </w:t>
      </w:r>
    </w:p>
    <w:p w14:paraId="4FA34647" w14:textId="03C736CA" w:rsidR="008E7D16" w:rsidRPr="002936D6" w:rsidRDefault="6BF58CE7" w:rsidP="00A75E14">
      <w:pPr>
        <w:rPr>
          <w:rFonts w:cs="Calibri"/>
          <w:i/>
        </w:rPr>
      </w:pPr>
      <w:r w:rsidRPr="5B287445">
        <w:rPr>
          <w:rFonts w:cs="Calibri"/>
          <w:i/>
          <w:iCs/>
        </w:rPr>
        <w:t>Potential b</w:t>
      </w:r>
      <w:r w:rsidR="008E7D16" w:rsidRPr="002936D6">
        <w:rPr>
          <w:rFonts w:cs="Calibri"/>
          <w:i/>
        </w:rPr>
        <w:t>undling in action initiation</w:t>
      </w:r>
    </w:p>
    <w:p w14:paraId="0EAE3FF9" w14:textId="5FF1A068" w:rsidR="008E7D16" w:rsidRPr="008E7D16" w:rsidRDefault="00E22C96" w:rsidP="00A75E14">
      <w:pPr>
        <w:rPr>
          <w:rFonts w:cs="Calibri"/>
        </w:rPr>
      </w:pPr>
      <w:r w:rsidRPr="1EEC6329">
        <w:rPr>
          <w:rFonts w:cs="Calibri"/>
        </w:rPr>
        <w:t xml:space="preserve">The </w:t>
      </w:r>
      <w:r w:rsidR="00FC1A90" w:rsidRPr="1EEC6329">
        <w:rPr>
          <w:rFonts w:cs="Calibri"/>
        </w:rPr>
        <w:t xml:space="preserve">proposed approach to </w:t>
      </w:r>
      <w:r w:rsidR="008657C9" w:rsidRPr="1EEC6329">
        <w:rPr>
          <w:rFonts w:cs="Calibri"/>
        </w:rPr>
        <w:t xml:space="preserve">permit </w:t>
      </w:r>
      <w:r w:rsidR="00FC1A90" w:rsidRPr="1EEC6329">
        <w:rPr>
          <w:rFonts w:cs="Calibri"/>
        </w:rPr>
        <w:t xml:space="preserve">bundling </w:t>
      </w:r>
      <w:r w:rsidR="008657C9" w:rsidRPr="1EEC6329">
        <w:rPr>
          <w:rFonts w:cs="Calibri"/>
        </w:rPr>
        <w:t>of</w:t>
      </w:r>
      <w:r w:rsidR="00D15654" w:rsidRPr="1EEC6329">
        <w:rPr>
          <w:rFonts w:cs="Calibri"/>
        </w:rPr>
        <w:t xml:space="preserve"> consents </w:t>
      </w:r>
      <w:r w:rsidR="008657C9" w:rsidRPr="1EEC6329">
        <w:rPr>
          <w:rFonts w:cs="Calibri"/>
        </w:rPr>
        <w:t xml:space="preserve">that are necessary for the provision of the service </w:t>
      </w:r>
      <w:r w:rsidR="00D15654" w:rsidRPr="1EEC6329">
        <w:rPr>
          <w:rFonts w:cs="Calibri"/>
        </w:rPr>
        <w:t xml:space="preserve">could also have flow-on benefits </w:t>
      </w:r>
      <w:r w:rsidR="00F83D62" w:rsidRPr="1EEC6329">
        <w:rPr>
          <w:rFonts w:cs="Calibri"/>
        </w:rPr>
        <w:t xml:space="preserve">for the potential introduction of action initiation in the CDR. </w:t>
      </w:r>
      <w:r w:rsidR="0074310E" w:rsidRPr="1EEC6329">
        <w:rPr>
          <w:rFonts w:cs="Calibri"/>
        </w:rPr>
        <w:t>In order to complete an action, consumers may need to provide several consents</w:t>
      </w:r>
      <w:r w:rsidR="00C05455" w:rsidRPr="1EEC6329">
        <w:rPr>
          <w:rFonts w:cs="Calibri"/>
        </w:rPr>
        <w:t>.</w:t>
      </w:r>
      <w:r w:rsidR="0074310E" w:rsidRPr="1EEC6329">
        <w:rPr>
          <w:rFonts w:cs="Calibri"/>
        </w:rPr>
        <w:t xml:space="preserve"> </w:t>
      </w:r>
      <w:r w:rsidR="00C344FD" w:rsidRPr="1EEC6329">
        <w:rPr>
          <w:rFonts w:cs="Calibri"/>
        </w:rPr>
        <w:t xml:space="preserve">A broad range of future actions within the CDR could </w:t>
      </w:r>
      <w:r w:rsidR="00B24AF0" w:rsidRPr="1EEC6329">
        <w:rPr>
          <w:rFonts w:cs="Calibri"/>
        </w:rPr>
        <w:t>rely on</w:t>
      </w:r>
      <w:r w:rsidR="00FC1A90" w:rsidRPr="1EEC6329">
        <w:rPr>
          <w:rFonts w:cs="Calibri"/>
        </w:rPr>
        <w:t xml:space="preserve"> </w:t>
      </w:r>
      <w:r w:rsidR="0061531F" w:rsidRPr="1EEC6329">
        <w:rPr>
          <w:rFonts w:cs="Calibri"/>
        </w:rPr>
        <w:t>data being collected from data holders</w:t>
      </w:r>
      <w:r w:rsidR="00960EA1" w:rsidRPr="1EEC6329">
        <w:rPr>
          <w:rFonts w:cs="Calibri"/>
        </w:rPr>
        <w:t>,</w:t>
      </w:r>
      <w:r w:rsidR="00B37BD9" w:rsidRPr="1EEC6329">
        <w:rPr>
          <w:rFonts w:cs="Calibri"/>
        </w:rPr>
        <w:t xml:space="preserve"> </w:t>
      </w:r>
      <w:r w:rsidR="5CDD3D84" w:rsidRPr="5B287445">
        <w:rPr>
          <w:rFonts w:cs="Calibri"/>
        </w:rPr>
        <w:t>be</w:t>
      </w:r>
      <w:r w:rsidR="5095AD82" w:rsidRPr="5B287445">
        <w:rPr>
          <w:rFonts w:cs="Calibri"/>
        </w:rPr>
        <w:t>ing</w:t>
      </w:r>
      <w:r w:rsidR="490C0539" w:rsidRPr="1EEC6329">
        <w:rPr>
          <w:rFonts w:cs="Calibri"/>
        </w:rPr>
        <w:t xml:space="preserve"> </w:t>
      </w:r>
      <w:r w:rsidR="000D11AE" w:rsidRPr="1EEC6329">
        <w:rPr>
          <w:rFonts w:cs="Calibri"/>
        </w:rPr>
        <w:t>used</w:t>
      </w:r>
      <w:r w:rsidR="0061531F" w:rsidRPr="1EEC6329">
        <w:rPr>
          <w:rFonts w:cs="Calibri"/>
        </w:rPr>
        <w:t xml:space="preserve"> </w:t>
      </w:r>
      <w:r w:rsidR="007706DA" w:rsidRPr="1EEC6329">
        <w:rPr>
          <w:rFonts w:cs="Calibri"/>
        </w:rPr>
        <w:t>to assist consumers</w:t>
      </w:r>
      <w:r w:rsidR="441C8AF1" w:rsidRPr="1EEC6329">
        <w:rPr>
          <w:rFonts w:cs="Calibri"/>
        </w:rPr>
        <w:t xml:space="preserve"> to</w:t>
      </w:r>
      <w:r w:rsidR="007706DA" w:rsidRPr="1EEC6329">
        <w:rPr>
          <w:rFonts w:cs="Calibri"/>
        </w:rPr>
        <w:t xml:space="preserve"> </w:t>
      </w:r>
      <w:r w:rsidR="0026388A" w:rsidRPr="1EEC6329">
        <w:rPr>
          <w:rFonts w:cs="Calibri"/>
        </w:rPr>
        <w:t xml:space="preserve">make choices and to </w:t>
      </w:r>
      <w:r w:rsidR="00144CF8" w:rsidRPr="1EEC6329">
        <w:rPr>
          <w:rFonts w:cs="Calibri"/>
        </w:rPr>
        <w:t xml:space="preserve">facilitate preparation of action instructions. </w:t>
      </w:r>
      <w:r w:rsidR="00764EF1" w:rsidRPr="1EEC6329">
        <w:rPr>
          <w:rFonts w:cs="Calibri"/>
        </w:rPr>
        <w:t xml:space="preserve">Successful adoption of action initiation </w:t>
      </w:r>
      <w:r w:rsidR="00421D9E" w:rsidRPr="1EEC6329">
        <w:rPr>
          <w:rFonts w:cs="Calibri"/>
        </w:rPr>
        <w:t xml:space="preserve">will </w:t>
      </w:r>
      <w:r w:rsidR="00AA3B56" w:rsidRPr="1EEC6329">
        <w:rPr>
          <w:rFonts w:cs="Calibri"/>
        </w:rPr>
        <w:t xml:space="preserve">rely on </w:t>
      </w:r>
      <w:r w:rsidR="00107E34" w:rsidRPr="1EEC6329">
        <w:rPr>
          <w:rFonts w:cs="Calibri"/>
        </w:rPr>
        <w:t>giving</w:t>
      </w:r>
      <w:r w:rsidR="00FF2455" w:rsidRPr="1EEC6329">
        <w:rPr>
          <w:rFonts w:cs="Calibri"/>
        </w:rPr>
        <w:t xml:space="preserve"> all the necessary information to consumers </w:t>
      </w:r>
      <w:r w:rsidR="00107E34" w:rsidRPr="1EEC6329">
        <w:rPr>
          <w:rFonts w:cs="Calibri"/>
        </w:rPr>
        <w:t xml:space="preserve">to enable them to make informed </w:t>
      </w:r>
      <w:r w:rsidR="00E85A2B" w:rsidRPr="1EEC6329">
        <w:rPr>
          <w:rFonts w:cs="Calibri"/>
        </w:rPr>
        <w:t>decisions</w:t>
      </w:r>
      <w:r w:rsidR="00107E34" w:rsidRPr="1EEC6329">
        <w:rPr>
          <w:rFonts w:cs="Calibri"/>
        </w:rPr>
        <w:t xml:space="preserve"> while also</w:t>
      </w:r>
      <w:r w:rsidR="00A04617" w:rsidRPr="1EEC6329">
        <w:rPr>
          <w:rFonts w:cs="Calibri"/>
        </w:rPr>
        <w:t xml:space="preserve"> </w:t>
      </w:r>
      <w:r w:rsidR="00E97628" w:rsidRPr="1EEC6329">
        <w:rPr>
          <w:rFonts w:cs="Calibri"/>
        </w:rPr>
        <w:t xml:space="preserve">minimising cognitive load </w:t>
      </w:r>
      <w:r w:rsidR="005D4743" w:rsidRPr="1EEC6329">
        <w:rPr>
          <w:rFonts w:cs="Calibri"/>
        </w:rPr>
        <w:t xml:space="preserve">and </w:t>
      </w:r>
      <w:r w:rsidR="00052A7B" w:rsidRPr="1EEC6329">
        <w:rPr>
          <w:rFonts w:cs="Calibri"/>
        </w:rPr>
        <w:t xml:space="preserve">presenting </w:t>
      </w:r>
      <w:r w:rsidR="008B6188" w:rsidRPr="1EEC6329">
        <w:rPr>
          <w:rFonts w:cs="Calibri"/>
        </w:rPr>
        <w:t xml:space="preserve">choices </w:t>
      </w:r>
      <w:r w:rsidR="006546C6" w:rsidRPr="1EEC6329">
        <w:rPr>
          <w:rFonts w:cs="Calibri"/>
        </w:rPr>
        <w:t>in a comprehensible manner</w:t>
      </w:r>
      <w:r w:rsidR="00BA573A" w:rsidRPr="1EEC6329">
        <w:rPr>
          <w:rFonts w:cs="Calibri"/>
        </w:rPr>
        <w:t>.</w:t>
      </w:r>
      <w:r w:rsidR="00AA3B56" w:rsidRPr="1EEC6329">
        <w:rPr>
          <w:rFonts w:cs="Calibri"/>
        </w:rPr>
        <w:t xml:space="preserve"> </w:t>
      </w:r>
    </w:p>
    <w:p w14:paraId="7B9E51FE" w14:textId="79040951" w:rsidR="00277B09" w:rsidRPr="00773104" w:rsidRDefault="00FE7A57" w:rsidP="00AE3106">
      <w:pPr>
        <w:rPr>
          <w:rFonts w:cs="Calibri"/>
          <w:b/>
        </w:rPr>
      </w:pPr>
      <w:r>
        <w:rPr>
          <w:rFonts w:cs="Calibri"/>
          <w:b/>
        </w:rPr>
        <w:t xml:space="preserve">Services that </w:t>
      </w:r>
      <w:r w:rsidR="000C73CE">
        <w:rPr>
          <w:rFonts w:cs="Calibri"/>
          <w:b/>
        </w:rPr>
        <w:t xml:space="preserve">request </w:t>
      </w:r>
      <w:r w:rsidR="00277B09" w:rsidRPr="00773104">
        <w:rPr>
          <w:rFonts w:cs="Calibri"/>
          <w:b/>
        </w:rPr>
        <w:t xml:space="preserve">CDR </w:t>
      </w:r>
      <w:r w:rsidR="007C3281">
        <w:rPr>
          <w:rFonts w:cs="Calibri"/>
          <w:b/>
        </w:rPr>
        <w:t xml:space="preserve">consents </w:t>
      </w:r>
      <w:r w:rsidR="00277B09" w:rsidRPr="00773104">
        <w:rPr>
          <w:rFonts w:cs="Calibri"/>
          <w:b/>
        </w:rPr>
        <w:t xml:space="preserve">and non-CDR </w:t>
      </w:r>
      <w:r w:rsidR="007C3281">
        <w:rPr>
          <w:rFonts w:cs="Calibri"/>
          <w:b/>
        </w:rPr>
        <w:t>permissions</w:t>
      </w:r>
    </w:p>
    <w:p w14:paraId="5A4EAEE9" w14:textId="1C9EAD26" w:rsidR="000625D6" w:rsidRDefault="77C0A701" w:rsidP="00543D95">
      <w:pPr>
        <w:rPr>
          <w:rFonts w:cs="Calibri"/>
        </w:rPr>
      </w:pPr>
      <w:r w:rsidRPr="4B2D6899">
        <w:rPr>
          <w:rFonts w:cs="Calibri"/>
        </w:rPr>
        <w:t xml:space="preserve">In </w:t>
      </w:r>
      <w:r w:rsidR="172F8D4E" w:rsidRPr="4B2D6899">
        <w:rPr>
          <w:rFonts w:cs="Calibri"/>
        </w:rPr>
        <w:t>the public workshop</w:t>
      </w:r>
      <w:r w:rsidR="5D63FF48">
        <w:rPr>
          <w:rFonts w:cs="Calibri"/>
        </w:rPr>
        <w:t>s</w:t>
      </w:r>
      <w:r w:rsidRPr="4B2D6899">
        <w:rPr>
          <w:rFonts w:cs="Calibri"/>
        </w:rPr>
        <w:t>, s</w:t>
      </w:r>
      <w:r w:rsidR="4DAE26AB" w:rsidRPr="4B2D6899">
        <w:rPr>
          <w:rFonts w:cs="Calibri"/>
        </w:rPr>
        <w:t>takeholders</w:t>
      </w:r>
      <w:r w:rsidRPr="4B2D6899">
        <w:rPr>
          <w:rFonts w:cs="Calibri"/>
        </w:rPr>
        <w:t xml:space="preserve"> </w:t>
      </w:r>
      <w:r w:rsidR="10247F3B" w:rsidRPr="4B2D6899">
        <w:rPr>
          <w:rFonts w:cs="Calibri"/>
        </w:rPr>
        <w:t>noted</w:t>
      </w:r>
      <w:r w:rsidR="2055B440" w:rsidRPr="4B2D6899">
        <w:rPr>
          <w:rFonts w:cs="Calibri"/>
        </w:rPr>
        <w:t xml:space="preserve"> </w:t>
      </w:r>
      <w:r w:rsidR="4BF90206" w:rsidRPr="4B2D6899">
        <w:rPr>
          <w:rFonts w:cs="Calibri"/>
        </w:rPr>
        <w:t>th</w:t>
      </w:r>
      <w:r w:rsidR="49D9284A" w:rsidRPr="4B2D6899">
        <w:rPr>
          <w:rFonts w:cs="Calibri"/>
        </w:rPr>
        <w:t>at</w:t>
      </w:r>
      <w:r w:rsidR="146B8CC0" w:rsidRPr="4B2D6899">
        <w:rPr>
          <w:rFonts w:cs="Calibri"/>
        </w:rPr>
        <w:t xml:space="preserve"> </w:t>
      </w:r>
      <w:r w:rsidR="0085485E">
        <w:rPr>
          <w:rFonts w:cs="Calibri"/>
        </w:rPr>
        <w:t xml:space="preserve">ADRs would commonly need to ask </w:t>
      </w:r>
      <w:r w:rsidR="5F5EF6D3" w:rsidRPr="4B2D6899">
        <w:rPr>
          <w:rFonts w:cs="Calibri"/>
        </w:rPr>
        <w:t xml:space="preserve">consumers </w:t>
      </w:r>
      <w:r w:rsidR="523E4A5D" w:rsidRPr="4B2D6899">
        <w:rPr>
          <w:rFonts w:cs="Calibri"/>
        </w:rPr>
        <w:t xml:space="preserve">to </w:t>
      </w:r>
      <w:r w:rsidR="1AB9CCA5" w:rsidRPr="4B2D6899">
        <w:rPr>
          <w:rFonts w:cs="Calibri"/>
        </w:rPr>
        <w:t xml:space="preserve">provide </w:t>
      </w:r>
      <w:r w:rsidR="5C5941AC" w:rsidRPr="4B2D6899">
        <w:rPr>
          <w:rFonts w:cs="Calibri"/>
        </w:rPr>
        <w:t xml:space="preserve">other non-CDR permissions, consents or agreements </w:t>
      </w:r>
      <w:r w:rsidR="00B7053C">
        <w:rPr>
          <w:rFonts w:cs="Calibri"/>
        </w:rPr>
        <w:t xml:space="preserve">to complement </w:t>
      </w:r>
      <w:r w:rsidR="00AE435B">
        <w:rPr>
          <w:rFonts w:cs="Calibri"/>
        </w:rPr>
        <w:t xml:space="preserve">a CDR </w:t>
      </w:r>
      <w:r w:rsidR="00B7053C">
        <w:rPr>
          <w:rFonts w:cs="Calibri"/>
        </w:rPr>
        <w:t>consent</w:t>
      </w:r>
      <w:r w:rsidR="08B25A80" w:rsidRPr="4B2D6899">
        <w:rPr>
          <w:rFonts w:cs="Calibri"/>
        </w:rPr>
        <w:t>.</w:t>
      </w:r>
      <w:r w:rsidR="637EF5DC" w:rsidRPr="4B2D6899">
        <w:rPr>
          <w:rFonts w:cs="Calibri"/>
        </w:rPr>
        <w:t xml:space="preserve"> </w:t>
      </w:r>
      <w:r w:rsidR="00790784">
        <w:rPr>
          <w:rFonts w:cs="Calibri"/>
        </w:rPr>
        <w:t xml:space="preserve">One stakeholder </w:t>
      </w:r>
      <w:r w:rsidR="2B9B8446" w:rsidRPr="4B2D6899">
        <w:rPr>
          <w:rFonts w:cs="Calibri"/>
        </w:rPr>
        <w:t>also</w:t>
      </w:r>
      <w:r w:rsidR="4DAE26AB" w:rsidRPr="4B2D6899">
        <w:rPr>
          <w:rFonts w:cs="Calibri"/>
        </w:rPr>
        <w:t xml:space="preserve"> expressed support </w:t>
      </w:r>
      <w:r w:rsidR="75F7F9BF" w:rsidRPr="4B2D6899">
        <w:rPr>
          <w:rFonts w:cs="Calibri"/>
        </w:rPr>
        <w:t xml:space="preserve">in </w:t>
      </w:r>
      <w:r w:rsidR="00181E62">
        <w:rPr>
          <w:rFonts w:cs="Calibri"/>
        </w:rPr>
        <w:t>their</w:t>
      </w:r>
      <w:r w:rsidR="00181E62" w:rsidRPr="4B2D6899">
        <w:rPr>
          <w:rFonts w:cs="Calibri"/>
        </w:rPr>
        <w:t xml:space="preserve"> </w:t>
      </w:r>
      <w:r w:rsidR="75F7F9BF" w:rsidRPr="4B2D6899">
        <w:rPr>
          <w:rFonts w:cs="Calibri"/>
        </w:rPr>
        <w:t>written submission</w:t>
      </w:r>
      <w:r w:rsidR="05A54427" w:rsidRPr="4B2D6899">
        <w:rPr>
          <w:rFonts w:cs="Calibri"/>
        </w:rPr>
        <w:t xml:space="preserve"> to the </w:t>
      </w:r>
      <w:r w:rsidR="57671131" w:rsidRPr="4B2D6899">
        <w:rPr>
          <w:rFonts w:cs="Calibri"/>
        </w:rPr>
        <w:t>n</w:t>
      </w:r>
      <w:r w:rsidR="05A54427" w:rsidRPr="4B2D6899">
        <w:rPr>
          <w:rFonts w:cs="Calibri"/>
        </w:rPr>
        <w:t xml:space="preserve">oting </w:t>
      </w:r>
      <w:r w:rsidR="40586313" w:rsidRPr="4B2D6899">
        <w:rPr>
          <w:rFonts w:cs="Calibri"/>
        </w:rPr>
        <w:t>p</w:t>
      </w:r>
      <w:r w:rsidR="05A54427" w:rsidRPr="4B2D6899">
        <w:rPr>
          <w:rFonts w:cs="Calibri"/>
        </w:rPr>
        <w:t>aper</w:t>
      </w:r>
      <w:r w:rsidR="75F7F9BF" w:rsidRPr="4B2D6899">
        <w:rPr>
          <w:rFonts w:cs="Calibri"/>
        </w:rPr>
        <w:t xml:space="preserve"> </w:t>
      </w:r>
      <w:r w:rsidR="4DAE26AB" w:rsidRPr="4B2D6899">
        <w:rPr>
          <w:rFonts w:cs="Calibri"/>
        </w:rPr>
        <w:t xml:space="preserve">for more streamlined consumer experiences for </w:t>
      </w:r>
      <w:r w:rsidR="629B26F2" w:rsidRPr="4B2D6899">
        <w:rPr>
          <w:rFonts w:cs="Calibri"/>
        </w:rPr>
        <w:t>services that requ</w:t>
      </w:r>
      <w:r w:rsidR="35A18DDB" w:rsidRPr="4B2D6899">
        <w:rPr>
          <w:rFonts w:cs="Calibri"/>
        </w:rPr>
        <w:t>est</w:t>
      </w:r>
      <w:r w:rsidR="629B26F2" w:rsidRPr="4B2D6899">
        <w:rPr>
          <w:rFonts w:cs="Calibri"/>
        </w:rPr>
        <w:t xml:space="preserve"> </w:t>
      </w:r>
      <w:r w:rsidR="4DAE26AB" w:rsidRPr="4B2D6899">
        <w:rPr>
          <w:rFonts w:cs="Calibri"/>
        </w:rPr>
        <w:t>the consumer to</w:t>
      </w:r>
      <w:r w:rsidR="63E79E7A" w:rsidRPr="4B2D6899">
        <w:rPr>
          <w:rFonts w:cs="Calibri"/>
        </w:rPr>
        <w:t xml:space="preserve"> set up and</w:t>
      </w:r>
      <w:r w:rsidR="4DAE26AB" w:rsidRPr="4B2D6899">
        <w:rPr>
          <w:rFonts w:cs="Calibri"/>
        </w:rPr>
        <w:t xml:space="preserve"> authorise a payment agreement (such as </w:t>
      </w:r>
      <w:proofErr w:type="spellStart"/>
      <w:r w:rsidR="4DAE26AB" w:rsidRPr="4B2D6899">
        <w:rPr>
          <w:rFonts w:cs="Calibri"/>
        </w:rPr>
        <w:t>PayTo</w:t>
      </w:r>
      <w:proofErr w:type="spellEnd"/>
      <w:r w:rsidR="4DAE26AB" w:rsidRPr="4B2D6899">
        <w:rPr>
          <w:rFonts w:cs="Calibri"/>
        </w:rPr>
        <w:t>) and provide CDR consents.</w:t>
      </w:r>
    </w:p>
    <w:p w14:paraId="448379CA" w14:textId="77777777" w:rsidR="003045EE" w:rsidRDefault="002739EE" w:rsidP="003D0CAC">
      <w:pPr>
        <w:rPr>
          <w:rFonts w:cs="Calibri"/>
        </w:rPr>
      </w:pPr>
      <w:r>
        <w:rPr>
          <w:rFonts w:cs="Calibri"/>
        </w:rPr>
        <w:t xml:space="preserve">The </w:t>
      </w:r>
      <w:r w:rsidR="00112DF4">
        <w:rPr>
          <w:rFonts w:cs="Calibri"/>
        </w:rPr>
        <w:t>CDR R</w:t>
      </w:r>
      <w:r w:rsidR="3EDE7206" w:rsidRPr="4B2D6899">
        <w:rPr>
          <w:rFonts w:cs="Calibri"/>
        </w:rPr>
        <w:t>ules</w:t>
      </w:r>
      <w:r w:rsidR="00B1750A">
        <w:rPr>
          <w:rFonts w:cs="Calibri"/>
        </w:rPr>
        <w:t xml:space="preserve"> and </w:t>
      </w:r>
      <w:r w:rsidR="4FFF7276" w:rsidRPr="54D876A9">
        <w:rPr>
          <w:rFonts w:cs="Calibri"/>
        </w:rPr>
        <w:t>standards</w:t>
      </w:r>
      <w:r w:rsidR="3EDE7206" w:rsidRPr="4B2D6899">
        <w:rPr>
          <w:rFonts w:cs="Calibri"/>
        </w:rPr>
        <w:t xml:space="preserve"> do </w:t>
      </w:r>
      <w:r w:rsidR="79007ED9" w:rsidRPr="4B2D6899">
        <w:rPr>
          <w:rFonts w:cs="Calibri"/>
        </w:rPr>
        <w:t>not</w:t>
      </w:r>
      <w:r w:rsidR="1D086020" w:rsidRPr="4B2D6899">
        <w:rPr>
          <w:rFonts w:cs="Calibri"/>
        </w:rPr>
        <w:t xml:space="preserve"> </w:t>
      </w:r>
      <w:r w:rsidR="1D030225" w:rsidRPr="4B2D6899">
        <w:rPr>
          <w:rFonts w:cs="Calibri"/>
        </w:rPr>
        <w:t xml:space="preserve">deal </w:t>
      </w:r>
      <w:r w:rsidR="2AF86B25" w:rsidRPr="4B2D6899">
        <w:rPr>
          <w:rFonts w:cs="Calibri"/>
        </w:rPr>
        <w:t>directly</w:t>
      </w:r>
      <w:r w:rsidR="1D086020" w:rsidRPr="4B2D6899">
        <w:rPr>
          <w:rFonts w:cs="Calibri"/>
        </w:rPr>
        <w:t xml:space="preserve"> </w:t>
      </w:r>
      <w:r w:rsidR="1D030225" w:rsidRPr="4B2D6899">
        <w:rPr>
          <w:rFonts w:cs="Calibri"/>
        </w:rPr>
        <w:t xml:space="preserve">with </w:t>
      </w:r>
      <w:r w:rsidR="57B88ABB" w:rsidRPr="4B2D6899">
        <w:rPr>
          <w:rFonts w:cs="Calibri"/>
        </w:rPr>
        <w:t>ADR</w:t>
      </w:r>
      <w:r>
        <w:rPr>
          <w:rFonts w:cs="Calibri"/>
        </w:rPr>
        <w:t>s</w:t>
      </w:r>
      <w:r w:rsidR="57B88ABB" w:rsidRPr="4B2D6899">
        <w:rPr>
          <w:rFonts w:cs="Calibri"/>
        </w:rPr>
        <w:t xml:space="preserve"> request</w:t>
      </w:r>
      <w:r w:rsidR="6E1A04B5" w:rsidRPr="4B2D6899">
        <w:rPr>
          <w:rFonts w:cs="Calibri"/>
        </w:rPr>
        <w:t>ing</w:t>
      </w:r>
      <w:r w:rsidR="57B88ABB" w:rsidRPr="4B2D6899">
        <w:rPr>
          <w:rFonts w:cs="Calibri"/>
        </w:rPr>
        <w:t xml:space="preserve"> </w:t>
      </w:r>
      <w:r w:rsidR="1D030225" w:rsidRPr="4B2D6899">
        <w:rPr>
          <w:rFonts w:cs="Calibri"/>
        </w:rPr>
        <w:t xml:space="preserve">CDR and non-CDR </w:t>
      </w:r>
      <w:r w:rsidR="7E39A85D" w:rsidRPr="4B2D6899">
        <w:rPr>
          <w:rFonts w:cs="Calibri"/>
        </w:rPr>
        <w:t>permissions</w:t>
      </w:r>
      <w:r w:rsidR="1D030225" w:rsidRPr="4B2D6899">
        <w:rPr>
          <w:rFonts w:cs="Calibri"/>
        </w:rPr>
        <w:t xml:space="preserve"> </w:t>
      </w:r>
      <w:r w:rsidR="0F8E6B5F" w:rsidRPr="4B2D6899">
        <w:rPr>
          <w:rFonts w:cs="Calibri"/>
        </w:rPr>
        <w:t>for the same service.</w:t>
      </w:r>
      <w:r w:rsidR="6633BBBC" w:rsidRPr="4B2D6899">
        <w:rPr>
          <w:rFonts w:cs="Calibri"/>
        </w:rPr>
        <w:t xml:space="preserve"> </w:t>
      </w:r>
      <w:r w:rsidR="0011071F" w:rsidRPr="4B2D6899">
        <w:rPr>
          <w:rFonts w:cs="Calibri"/>
        </w:rPr>
        <w:t xml:space="preserve">While there is potential </w:t>
      </w:r>
      <w:r w:rsidR="0011071F">
        <w:rPr>
          <w:rFonts w:cs="Calibri"/>
        </w:rPr>
        <w:t>to streamline consent flows by bundling CDR consents, or by combining CDR consents with non-CDR permissions</w:t>
      </w:r>
      <w:r w:rsidR="00C97AF8">
        <w:rPr>
          <w:rFonts w:cs="Calibri"/>
        </w:rPr>
        <w:t xml:space="preserve"> in a single consent flow</w:t>
      </w:r>
      <w:r w:rsidR="0011071F">
        <w:rPr>
          <w:rFonts w:cs="Calibri"/>
        </w:rPr>
        <w:t>,</w:t>
      </w:r>
      <w:r w:rsidR="00C755FC">
        <w:rPr>
          <w:rFonts w:cs="Calibri"/>
        </w:rPr>
        <w:t xml:space="preserve"> </w:t>
      </w:r>
      <w:r w:rsidR="29A7C0AF" w:rsidRPr="4B2D6899">
        <w:rPr>
          <w:rFonts w:cs="Calibri"/>
        </w:rPr>
        <w:t xml:space="preserve">it </w:t>
      </w:r>
      <w:r w:rsidR="3CE619EF" w:rsidRPr="4B2D6899">
        <w:rPr>
          <w:rFonts w:cs="Calibri"/>
        </w:rPr>
        <w:t xml:space="preserve">is important </w:t>
      </w:r>
      <w:r w:rsidR="4B98FFF2" w:rsidRPr="4B2D6899">
        <w:rPr>
          <w:rFonts w:cs="Calibri"/>
        </w:rPr>
        <w:t xml:space="preserve">that </w:t>
      </w:r>
      <w:r w:rsidR="62A05978" w:rsidRPr="4B2D6899">
        <w:rPr>
          <w:rFonts w:cs="Calibri"/>
        </w:rPr>
        <w:t xml:space="preserve">ADRs </w:t>
      </w:r>
      <w:r w:rsidR="3CE619EF" w:rsidRPr="4B2D6899">
        <w:rPr>
          <w:rFonts w:cs="Calibri"/>
        </w:rPr>
        <w:t>do</w:t>
      </w:r>
      <w:r w:rsidR="6633BBBC" w:rsidRPr="4B2D6899">
        <w:rPr>
          <w:rFonts w:cs="Calibri"/>
        </w:rPr>
        <w:t xml:space="preserve"> not mislead </w:t>
      </w:r>
      <w:r w:rsidR="1F142997" w:rsidRPr="4B2D6899">
        <w:rPr>
          <w:rFonts w:cs="Calibri"/>
        </w:rPr>
        <w:t>consumer</w:t>
      </w:r>
      <w:r w:rsidR="0C80B58C" w:rsidRPr="4B2D6899">
        <w:rPr>
          <w:rFonts w:cs="Calibri"/>
        </w:rPr>
        <w:t>s</w:t>
      </w:r>
      <w:r w:rsidR="7D417DA5" w:rsidRPr="4B2D6899">
        <w:rPr>
          <w:rFonts w:cs="Calibri"/>
        </w:rPr>
        <w:t xml:space="preserve"> about </w:t>
      </w:r>
      <w:r w:rsidR="595D793F" w:rsidRPr="4B2D6899">
        <w:rPr>
          <w:rFonts w:cs="Calibri"/>
        </w:rPr>
        <w:t>the consents they are entering into</w:t>
      </w:r>
      <w:r w:rsidR="0B9057D3" w:rsidRPr="4B2D6899">
        <w:rPr>
          <w:rFonts w:cs="Calibri"/>
        </w:rPr>
        <w:t xml:space="preserve"> and </w:t>
      </w:r>
      <w:r w:rsidR="7598D341" w:rsidRPr="4B2D6899">
        <w:rPr>
          <w:rFonts w:cs="Calibri"/>
        </w:rPr>
        <w:t>the</w:t>
      </w:r>
      <w:r w:rsidR="73056B22" w:rsidRPr="4B2D6899">
        <w:rPr>
          <w:rFonts w:cs="Calibri"/>
        </w:rPr>
        <w:t>ir rights</w:t>
      </w:r>
      <w:r w:rsidR="3F2F17DC" w:rsidRPr="4B2D6899">
        <w:rPr>
          <w:rFonts w:cs="Calibri"/>
        </w:rPr>
        <w:t xml:space="preserve"> under the </w:t>
      </w:r>
      <w:r w:rsidR="73056B22" w:rsidRPr="4B2D6899">
        <w:rPr>
          <w:rFonts w:cs="Calibri"/>
        </w:rPr>
        <w:t xml:space="preserve">CDR </w:t>
      </w:r>
      <w:r w:rsidR="3F2F17DC" w:rsidRPr="4B2D6899">
        <w:rPr>
          <w:rFonts w:cs="Calibri"/>
        </w:rPr>
        <w:t>framework</w:t>
      </w:r>
      <w:r w:rsidR="5B19037C" w:rsidRPr="4B2D6899">
        <w:rPr>
          <w:rFonts w:cs="Calibri"/>
        </w:rPr>
        <w:t>.</w:t>
      </w:r>
      <w:r w:rsidR="74C73FEB" w:rsidRPr="4B2D6899">
        <w:rPr>
          <w:rFonts w:cs="Calibri"/>
        </w:rPr>
        <w:t xml:space="preserve"> </w:t>
      </w:r>
      <w:proofErr w:type="gramStart"/>
      <w:r w:rsidR="7CB50D62" w:rsidRPr="4B2D6899">
        <w:rPr>
          <w:rFonts w:cs="Calibri"/>
        </w:rPr>
        <w:t xml:space="preserve">In particular, </w:t>
      </w:r>
      <w:r w:rsidR="51AB1221" w:rsidRPr="4B2D6899">
        <w:rPr>
          <w:rFonts w:cs="Calibri"/>
        </w:rPr>
        <w:t>if</w:t>
      </w:r>
      <w:proofErr w:type="gramEnd"/>
      <w:r w:rsidR="51AB1221" w:rsidRPr="4B2D6899">
        <w:rPr>
          <w:rFonts w:cs="Calibri"/>
        </w:rPr>
        <w:t xml:space="preserve"> an ADR </w:t>
      </w:r>
      <w:r w:rsidR="26263DC1" w:rsidRPr="4B2D6899">
        <w:rPr>
          <w:rFonts w:cs="Calibri"/>
        </w:rPr>
        <w:t>were to seek</w:t>
      </w:r>
      <w:r w:rsidR="7CB50D62" w:rsidRPr="4B2D6899">
        <w:rPr>
          <w:rFonts w:cs="Calibri"/>
        </w:rPr>
        <w:t xml:space="preserve"> </w:t>
      </w:r>
      <w:r w:rsidR="3B0F7142" w:rsidRPr="4B2D6899">
        <w:rPr>
          <w:rFonts w:cs="Calibri"/>
        </w:rPr>
        <w:t>CDR consents a</w:t>
      </w:r>
      <w:r w:rsidR="6FA8EFA9" w:rsidRPr="4B2D6899">
        <w:rPr>
          <w:rFonts w:cs="Calibri"/>
        </w:rPr>
        <w:t>nd</w:t>
      </w:r>
      <w:r w:rsidR="3B0F7142" w:rsidRPr="4B2D6899">
        <w:rPr>
          <w:rFonts w:cs="Calibri"/>
        </w:rPr>
        <w:t xml:space="preserve"> non-CDR </w:t>
      </w:r>
      <w:r w:rsidR="26263DC1" w:rsidRPr="4B2D6899">
        <w:rPr>
          <w:rFonts w:cs="Calibri"/>
        </w:rPr>
        <w:t>permissions</w:t>
      </w:r>
      <w:r w:rsidR="6FA8EFA9" w:rsidRPr="4B2D6899">
        <w:rPr>
          <w:rFonts w:cs="Calibri"/>
        </w:rPr>
        <w:t xml:space="preserve"> for the same service</w:t>
      </w:r>
      <w:r w:rsidR="42C7FFCE" w:rsidRPr="4B2D6899">
        <w:rPr>
          <w:rFonts w:cs="Calibri"/>
        </w:rPr>
        <w:t xml:space="preserve"> </w:t>
      </w:r>
      <w:r w:rsidR="43601218" w:rsidRPr="4B2D6899">
        <w:rPr>
          <w:rFonts w:cs="Calibri"/>
        </w:rPr>
        <w:t>using</w:t>
      </w:r>
      <w:r w:rsidR="42C7FFCE" w:rsidRPr="4B2D6899">
        <w:rPr>
          <w:rFonts w:cs="Calibri"/>
        </w:rPr>
        <w:t xml:space="preserve"> an integrated consent flow</w:t>
      </w:r>
      <w:r w:rsidR="3B0F7142" w:rsidRPr="4B2D6899">
        <w:rPr>
          <w:rFonts w:cs="Calibri"/>
        </w:rPr>
        <w:t xml:space="preserve">, there is a </w:t>
      </w:r>
      <w:r w:rsidR="25055BF9" w:rsidRPr="4B2D6899">
        <w:rPr>
          <w:rFonts w:cs="Calibri"/>
        </w:rPr>
        <w:t xml:space="preserve">risk that the consumer </w:t>
      </w:r>
      <w:r w:rsidR="230747FB" w:rsidRPr="4B2D6899">
        <w:rPr>
          <w:rFonts w:cs="Calibri"/>
        </w:rPr>
        <w:t xml:space="preserve">may </w:t>
      </w:r>
      <w:r w:rsidR="58248224" w:rsidRPr="4B2D6899">
        <w:rPr>
          <w:rFonts w:cs="Calibri"/>
        </w:rPr>
        <w:t>misunderstand the application of the</w:t>
      </w:r>
      <w:r w:rsidR="47447EA6" w:rsidRPr="4B2D6899">
        <w:rPr>
          <w:rFonts w:cs="Calibri"/>
        </w:rPr>
        <w:t xml:space="preserve"> protections provided under the CDR</w:t>
      </w:r>
      <w:r w:rsidR="24FCE47D" w:rsidRPr="4B2D6899">
        <w:rPr>
          <w:rFonts w:cs="Calibri"/>
        </w:rPr>
        <w:t xml:space="preserve"> or mistakenly attribute these to the non-CDR consents.</w:t>
      </w:r>
      <w:r w:rsidR="009C0FEA">
        <w:rPr>
          <w:rStyle w:val="FootnoteReference"/>
          <w:rFonts w:cs="Calibri"/>
        </w:rPr>
        <w:footnoteReference w:id="26"/>
      </w:r>
      <w:r w:rsidR="00C755FC">
        <w:rPr>
          <w:rFonts w:cs="Calibri"/>
        </w:rPr>
        <w:t xml:space="preserve"> </w:t>
      </w:r>
    </w:p>
    <w:p w14:paraId="53A0A7EA" w14:textId="5AC7F80A" w:rsidR="003D0CAC" w:rsidRDefault="00536670" w:rsidP="003D0CAC">
      <w:pPr>
        <w:rPr>
          <w:rFonts w:cs="Calibri"/>
        </w:rPr>
      </w:pPr>
      <w:r>
        <w:rPr>
          <w:rFonts w:cs="Calibri"/>
        </w:rPr>
        <w:lastRenderedPageBreak/>
        <w:t>W</w:t>
      </w:r>
      <w:r w:rsidR="003B6234">
        <w:rPr>
          <w:rFonts w:cs="Calibri"/>
        </w:rPr>
        <w:t>e</w:t>
      </w:r>
      <w:r w:rsidR="00F069ED" w:rsidRPr="00B836A6">
        <w:rPr>
          <w:rFonts w:cs="Calibri"/>
        </w:rPr>
        <w:t xml:space="preserve"> would welcome </w:t>
      </w:r>
      <w:r w:rsidR="001378A0" w:rsidRPr="00B836A6">
        <w:rPr>
          <w:rFonts w:cs="Calibri"/>
        </w:rPr>
        <w:t xml:space="preserve">submissions on </w:t>
      </w:r>
      <w:r w:rsidR="00F1751C">
        <w:rPr>
          <w:rFonts w:cs="Calibri"/>
        </w:rPr>
        <w:t>clarification</w:t>
      </w:r>
      <w:r w:rsidR="00B43745">
        <w:rPr>
          <w:rFonts w:cs="Calibri"/>
        </w:rPr>
        <w:t>s</w:t>
      </w:r>
      <w:r w:rsidR="00F1751C">
        <w:rPr>
          <w:rFonts w:cs="Calibri"/>
        </w:rPr>
        <w:t xml:space="preserve"> required</w:t>
      </w:r>
      <w:r w:rsidR="00C65164">
        <w:rPr>
          <w:rFonts w:cs="Calibri"/>
        </w:rPr>
        <w:t xml:space="preserve"> </w:t>
      </w:r>
      <w:r w:rsidR="00127AE5">
        <w:rPr>
          <w:rFonts w:cs="Calibri"/>
        </w:rPr>
        <w:t>with respect to</w:t>
      </w:r>
      <w:r w:rsidR="00C65164">
        <w:rPr>
          <w:rFonts w:cs="Calibri"/>
        </w:rPr>
        <w:t xml:space="preserve"> how </w:t>
      </w:r>
      <w:r w:rsidR="001D085C">
        <w:rPr>
          <w:rFonts w:cs="Calibri"/>
        </w:rPr>
        <w:t xml:space="preserve">CDR </w:t>
      </w:r>
      <w:r w:rsidR="00E67C98">
        <w:rPr>
          <w:rFonts w:cs="Calibri"/>
        </w:rPr>
        <w:t xml:space="preserve">consents </w:t>
      </w:r>
      <w:r w:rsidR="003A76E0">
        <w:rPr>
          <w:rFonts w:cs="Calibri"/>
        </w:rPr>
        <w:t xml:space="preserve">may be </w:t>
      </w:r>
      <w:r w:rsidR="00EC16EE">
        <w:rPr>
          <w:rFonts w:cs="Calibri"/>
        </w:rPr>
        <w:t>requested</w:t>
      </w:r>
      <w:r w:rsidR="00A3676F">
        <w:rPr>
          <w:rFonts w:cs="Calibri"/>
        </w:rPr>
        <w:t xml:space="preserve"> where </w:t>
      </w:r>
      <w:r w:rsidR="00E67C98">
        <w:rPr>
          <w:rFonts w:cs="Calibri"/>
        </w:rPr>
        <w:t xml:space="preserve">non-CDR </w:t>
      </w:r>
      <w:r w:rsidR="00EC16EE">
        <w:rPr>
          <w:rFonts w:cs="Calibri"/>
        </w:rPr>
        <w:t xml:space="preserve">permissions, </w:t>
      </w:r>
      <w:r w:rsidR="00E67C98">
        <w:rPr>
          <w:rFonts w:cs="Calibri"/>
        </w:rPr>
        <w:t>consents</w:t>
      </w:r>
      <w:r w:rsidR="00EC16EE">
        <w:rPr>
          <w:rFonts w:cs="Calibri"/>
        </w:rPr>
        <w:t xml:space="preserve"> or agreements</w:t>
      </w:r>
      <w:r w:rsidR="00A3676F">
        <w:rPr>
          <w:rFonts w:cs="Calibri"/>
        </w:rPr>
        <w:t xml:space="preserve"> are </w:t>
      </w:r>
      <w:r w:rsidR="00B30053">
        <w:rPr>
          <w:rFonts w:cs="Calibri"/>
        </w:rPr>
        <w:t>requested for the same service</w:t>
      </w:r>
      <w:r w:rsidR="001D085C">
        <w:rPr>
          <w:rFonts w:cs="Calibri"/>
        </w:rPr>
        <w:t>.</w:t>
      </w:r>
      <w:r w:rsidR="003D0CAC">
        <w:rPr>
          <w:rFonts w:cs="Calibri"/>
        </w:rPr>
        <w:br/>
      </w:r>
    </w:p>
    <w:tbl>
      <w:tblPr>
        <w:tblStyle w:val="TableGrid1"/>
        <w:tblW w:w="0" w:type="auto"/>
        <w:tblCellMar>
          <w:top w:w="85" w:type="dxa"/>
          <w:bottom w:w="85" w:type="dxa"/>
        </w:tblCellMar>
        <w:tblLook w:val="0600" w:firstRow="0" w:lastRow="0" w:firstColumn="0" w:lastColumn="0" w:noHBand="1" w:noVBand="1"/>
      </w:tblPr>
      <w:tblGrid>
        <w:gridCol w:w="9016"/>
      </w:tblGrid>
      <w:tr w:rsidR="00964990" w14:paraId="61C848B1" w14:textId="77777777" w:rsidTr="38EC608D">
        <w:tc>
          <w:tcPr>
            <w:tcW w:w="9026" w:type="dxa"/>
          </w:tcPr>
          <w:p w14:paraId="313A8DC0" w14:textId="77777777" w:rsidR="00964990" w:rsidRPr="00B836A6" w:rsidRDefault="00964990" w:rsidP="002F0AD6">
            <w:pPr>
              <w:keepNext/>
              <w:rPr>
                <w:rFonts w:cs="Calibri"/>
                <w:b/>
                <w:bCs/>
              </w:rPr>
            </w:pPr>
            <w:r w:rsidRPr="00B836A6">
              <w:rPr>
                <w:rFonts w:cs="Calibri"/>
                <w:b/>
                <w:bCs/>
              </w:rPr>
              <w:t>Consultation questions</w:t>
            </w:r>
          </w:p>
          <w:p w14:paraId="2E5CCFC0" w14:textId="2D5192A5" w:rsidR="00964990" w:rsidRDefault="2C061C56" w:rsidP="00460E50">
            <w:pPr>
              <w:pStyle w:val="ListParagraph"/>
            </w:pPr>
            <w:r>
              <w:t xml:space="preserve">Do you support the bundling of </w:t>
            </w:r>
            <w:r w:rsidR="5911BF25">
              <w:t xml:space="preserve">CDR </w:t>
            </w:r>
            <w:r>
              <w:t xml:space="preserve">consents that are </w:t>
            </w:r>
            <w:r w:rsidR="497A2B90">
              <w:t xml:space="preserve">reasonably </w:t>
            </w:r>
            <w:r w:rsidR="00AD5EF4">
              <w:t>required</w:t>
            </w:r>
            <w:r>
              <w:t xml:space="preserve"> for the provision of the service requested by the consumer?</w:t>
            </w:r>
            <w:r w:rsidR="45C7F30B">
              <w:t xml:space="preserve"> Do you consider the proposal strikes the right balance to </w:t>
            </w:r>
            <w:r w:rsidR="00A873F3">
              <w:t xml:space="preserve">reduce cognitive load while </w:t>
            </w:r>
            <w:r w:rsidR="009065BE">
              <w:t xml:space="preserve">maintaining </w:t>
            </w:r>
            <w:r w:rsidR="45C7F30B">
              <w:t>informed consumer consent?</w:t>
            </w:r>
          </w:p>
          <w:p w14:paraId="399AB9CA" w14:textId="487D5B9B" w:rsidR="00964990" w:rsidRPr="005E1BD0" w:rsidRDefault="06FE36EF" w:rsidP="00964990">
            <w:pPr>
              <w:pStyle w:val="ListParagraph"/>
            </w:pPr>
            <w:r>
              <w:t>Should disclosure consents be able to be bundled where the service requested by the consumer is for their data to be collected and disclosed (</w:t>
            </w:r>
            <w:proofErr w:type="gramStart"/>
            <w:r>
              <w:t>e.g.</w:t>
            </w:r>
            <w:proofErr w:type="gramEnd"/>
            <w:r>
              <w:t xml:space="preserve"> as an insight or to a trusted adviser)? </w:t>
            </w:r>
          </w:p>
          <w:p w14:paraId="7FD64755" w14:textId="647C9793" w:rsidR="00964990" w:rsidRDefault="00964990" w:rsidP="00964990">
            <w:pPr>
              <w:pStyle w:val="ListParagraph"/>
            </w:pPr>
            <w:r>
              <w:t>Do you consider clarification is required with respect to how CDR consents may be requested where non-CDR permissions, consents or agreements are requested for the same service?</w:t>
            </w:r>
            <w:r w:rsidR="00146B17">
              <w:t xml:space="preserve"> If so, what changes should be considered?</w:t>
            </w:r>
          </w:p>
          <w:p w14:paraId="46B32612" w14:textId="61189160" w:rsidR="00964990" w:rsidRPr="00964990" w:rsidRDefault="00964990" w:rsidP="00964990">
            <w:pPr>
              <w:pStyle w:val="ListParagraph"/>
            </w:pPr>
            <w:r w:rsidRPr="00286326">
              <w:t xml:space="preserve">What are the key opportunities </w:t>
            </w:r>
            <w:r w:rsidR="7327E5A1">
              <w:t xml:space="preserve">associated with </w:t>
            </w:r>
            <w:r w:rsidRPr="00286326">
              <w:t xml:space="preserve">combining </w:t>
            </w:r>
            <w:r w:rsidR="009C313A">
              <w:t xml:space="preserve">or integrating </w:t>
            </w:r>
            <w:r w:rsidRPr="00286326">
              <w:t>CDR and non-CDR consents</w:t>
            </w:r>
            <w:r w:rsidR="00BA436D">
              <w:t xml:space="preserve"> within a single </w:t>
            </w:r>
            <w:r w:rsidR="00B82CBE">
              <w:t xml:space="preserve">consent </w:t>
            </w:r>
            <w:r w:rsidR="00BA436D">
              <w:t>flow</w:t>
            </w:r>
            <w:r w:rsidR="00FD7409">
              <w:t>? A</w:t>
            </w:r>
            <w:r w:rsidRPr="00286326">
              <w:t>re there any barriers or risks associated with these opportunities?</w:t>
            </w:r>
          </w:p>
        </w:tc>
      </w:tr>
    </w:tbl>
    <w:p w14:paraId="477D230C" w14:textId="307AD807" w:rsidR="00B24FB1" w:rsidRPr="00B836A6" w:rsidRDefault="3627C982" w:rsidP="002F0AD6">
      <w:pPr>
        <w:pStyle w:val="Heading2"/>
        <w:keepNext/>
      </w:pPr>
      <w:bookmarkStart w:id="19" w:name="_Toc142317578"/>
      <w:bookmarkStart w:id="20" w:name="_Toc143705084"/>
      <w:r>
        <w:t>Pre</w:t>
      </w:r>
      <w:r w:rsidR="3861891F">
        <w:t>-</w:t>
      </w:r>
      <w:r>
        <w:t xml:space="preserve">selected and actively </w:t>
      </w:r>
      <w:r w:rsidR="0F10FAEE">
        <w:t>select</w:t>
      </w:r>
      <w:r>
        <w:t>ed options</w:t>
      </w:r>
      <w:bookmarkEnd w:id="19"/>
      <w:bookmarkEnd w:id="20"/>
    </w:p>
    <w:p w14:paraId="5F970DA3" w14:textId="29B304EE" w:rsidR="002F10E1" w:rsidRDefault="29FAAB88" w:rsidP="00FA22C5">
      <w:pPr>
        <w:rPr>
          <w:rFonts w:cs="Calibri"/>
        </w:rPr>
      </w:pPr>
      <w:r>
        <w:rPr>
          <w:rFonts w:cs="Calibri"/>
        </w:rPr>
        <w:t xml:space="preserve">ADRs </w:t>
      </w:r>
      <w:r w:rsidR="00FA4E0E">
        <w:rPr>
          <w:rFonts w:cs="Calibri"/>
        </w:rPr>
        <w:t xml:space="preserve">are required </w:t>
      </w:r>
      <w:r w:rsidR="00CD7A53">
        <w:rPr>
          <w:rFonts w:cs="Calibri"/>
        </w:rPr>
        <w:t>to</w:t>
      </w:r>
      <w:r w:rsidR="07A2B3A4">
        <w:rPr>
          <w:rFonts w:cs="Calibri"/>
        </w:rPr>
        <w:t xml:space="preserve"> </w:t>
      </w:r>
      <w:r>
        <w:rPr>
          <w:rFonts w:cs="Calibri"/>
        </w:rPr>
        <w:t xml:space="preserve">allow a </w:t>
      </w:r>
      <w:r w:rsidRPr="00B836A6">
        <w:rPr>
          <w:rFonts w:cs="Calibri"/>
        </w:rPr>
        <w:t>consumer</w:t>
      </w:r>
      <w:r w:rsidR="06CBC105" w:rsidRPr="00B836A6">
        <w:rPr>
          <w:rFonts w:cs="Calibri"/>
        </w:rPr>
        <w:t xml:space="preserve"> to actively select or otherwise clearly </w:t>
      </w:r>
      <w:r w:rsidR="0E3A8791">
        <w:rPr>
          <w:rFonts w:cs="Calibri"/>
        </w:rPr>
        <w:t xml:space="preserve">indicate their </w:t>
      </w:r>
      <w:r w:rsidR="052530AF">
        <w:rPr>
          <w:rFonts w:cs="Calibri"/>
        </w:rPr>
        <w:t>consent to key</w:t>
      </w:r>
      <w:r w:rsidR="1A53D481">
        <w:rPr>
          <w:rFonts w:cs="Calibri"/>
        </w:rPr>
        <w:t xml:space="preserve"> consent</w:t>
      </w:r>
      <w:r w:rsidR="052530AF">
        <w:rPr>
          <w:rFonts w:cs="Calibri"/>
        </w:rPr>
        <w:t xml:space="preserve"> terms, including </w:t>
      </w:r>
      <w:r w:rsidR="07A2B3A4">
        <w:rPr>
          <w:rFonts w:cs="Calibri"/>
        </w:rPr>
        <w:t xml:space="preserve">in relation to </w:t>
      </w:r>
      <w:r w:rsidR="1CEF5F79">
        <w:rPr>
          <w:rFonts w:cs="Calibri"/>
        </w:rPr>
        <w:t>CDR data to be collected or disclosed</w:t>
      </w:r>
      <w:r w:rsidR="06CBC105" w:rsidRPr="00B836A6">
        <w:rPr>
          <w:rFonts w:cs="Calibri"/>
        </w:rPr>
        <w:t>, uses</w:t>
      </w:r>
      <w:r w:rsidR="1CEF5F79">
        <w:rPr>
          <w:rFonts w:cs="Calibri"/>
        </w:rPr>
        <w:t xml:space="preserve"> of collected data</w:t>
      </w:r>
      <w:r w:rsidR="052530AF">
        <w:rPr>
          <w:rFonts w:cs="Calibri"/>
        </w:rPr>
        <w:t xml:space="preserve">, </w:t>
      </w:r>
      <w:r w:rsidR="29154401">
        <w:rPr>
          <w:rFonts w:cs="Calibri"/>
        </w:rPr>
        <w:t xml:space="preserve">the </w:t>
      </w:r>
      <w:r w:rsidR="73457213">
        <w:rPr>
          <w:rFonts w:cs="Calibri"/>
        </w:rPr>
        <w:t xml:space="preserve">period </w:t>
      </w:r>
      <w:r w:rsidR="1CEF5F79">
        <w:rPr>
          <w:rFonts w:cs="Calibri"/>
        </w:rPr>
        <w:t>of the consent</w:t>
      </w:r>
      <w:r w:rsidR="16602561">
        <w:rPr>
          <w:rFonts w:cs="Calibri"/>
        </w:rPr>
        <w:t>,</w:t>
      </w:r>
      <w:r w:rsidR="1CEF5F79">
        <w:rPr>
          <w:rFonts w:cs="Calibri"/>
        </w:rPr>
        <w:t xml:space="preserve"> </w:t>
      </w:r>
      <w:r w:rsidR="43BB2FDB">
        <w:rPr>
          <w:rFonts w:cs="Calibri"/>
        </w:rPr>
        <w:t xml:space="preserve">and </w:t>
      </w:r>
      <w:r w:rsidR="16602561">
        <w:rPr>
          <w:rFonts w:cs="Calibri"/>
        </w:rPr>
        <w:t xml:space="preserve">the </w:t>
      </w:r>
      <w:r w:rsidR="43BB2FDB">
        <w:rPr>
          <w:rFonts w:cs="Calibri"/>
        </w:rPr>
        <w:t xml:space="preserve">recipient of data under a </w:t>
      </w:r>
      <w:r w:rsidR="052530AF">
        <w:rPr>
          <w:rFonts w:cs="Calibri"/>
        </w:rPr>
        <w:t>disclosure</w:t>
      </w:r>
      <w:r w:rsidR="43BB2FDB">
        <w:rPr>
          <w:rFonts w:cs="Calibri"/>
        </w:rPr>
        <w:t xml:space="preserve"> consent</w:t>
      </w:r>
      <w:r w:rsidR="06CBC105" w:rsidRPr="00B836A6">
        <w:rPr>
          <w:rFonts w:cs="Calibri"/>
        </w:rPr>
        <w:t>.</w:t>
      </w:r>
      <w:r w:rsidR="00F244A9">
        <w:rPr>
          <w:rStyle w:val="FootnoteReference"/>
          <w:rFonts w:cs="Calibri"/>
        </w:rPr>
        <w:footnoteReference w:id="27"/>
      </w:r>
      <w:r w:rsidR="06CBC105" w:rsidRPr="00B836A6">
        <w:rPr>
          <w:rFonts w:cs="Calibri"/>
        </w:rPr>
        <w:t xml:space="preserve"> </w:t>
      </w:r>
      <w:r w:rsidR="1E77B599" w:rsidRPr="00EF0858">
        <w:rPr>
          <w:rFonts w:cs="Calibri"/>
        </w:rPr>
        <w:t xml:space="preserve">The </w:t>
      </w:r>
      <w:r w:rsidR="00112DF4">
        <w:rPr>
          <w:rFonts w:cs="Calibri"/>
        </w:rPr>
        <w:t>CDR R</w:t>
      </w:r>
      <w:r w:rsidR="1E77B599" w:rsidRPr="00EF0858">
        <w:rPr>
          <w:rFonts w:cs="Calibri"/>
        </w:rPr>
        <w:t>ule</w:t>
      </w:r>
      <w:r w:rsidR="1E77B599">
        <w:rPr>
          <w:rFonts w:cs="Calibri"/>
        </w:rPr>
        <w:t>s</w:t>
      </w:r>
      <w:r w:rsidR="1E77B599" w:rsidRPr="00EF0858">
        <w:rPr>
          <w:rFonts w:cs="Calibri"/>
        </w:rPr>
        <w:t xml:space="preserve"> </w:t>
      </w:r>
      <w:r w:rsidR="005E07F2">
        <w:rPr>
          <w:rFonts w:cs="Calibri"/>
        </w:rPr>
        <w:t xml:space="preserve">also </w:t>
      </w:r>
      <w:r w:rsidR="1E77B599" w:rsidRPr="00EF0858">
        <w:rPr>
          <w:rFonts w:cs="Calibri"/>
        </w:rPr>
        <w:t xml:space="preserve">prohibit ADRs from presenting these </w:t>
      </w:r>
      <w:r w:rsidR="5A770D15">
        <w:rPr>
          <w:rFonts w:cs="Calibri"/>
        </w:rPr>
        <w:t xml:space="preserve">terms as </w:t>
      </w:r>
      <w:r w:rsidR="1E77B599" w:rsidRPr="00EF0858">
        <w:rPr>
          <w:rFonts w:cs="Calibri"/>
        </w:rPr>
        <w:t>pre-selected options to the consumer</w:t>
      </w:r>
      <w:r w:rsidR="5B16AB6E">
        <w:rPr>
          <w:rFonts w:cs="Calibri"/>
        </w:rPr>
        <w:t xml:space="preserve">, and </w:t>
      </w:r>
      <w:r w:rsidR="06CBC105" w:rsidRPr="00B836A6">
        <w:rPr>
          <w:rFonts w:cs="Calibri"/>
        </w:rPr>
        <w:t xml:space="preserve">suggest that un-filled checkboxes </w:t>
      </w:r>
      <w:r w:rsidR="6289ACE2">
        <w:rPr>
          <w:rFonts w:cs="Calibri"/>
        </w:rPr>
        <w:t xml:space="preserve">in relation to these terms </w:t>
      </w:r>
      <w:r w:rsidR="08A0D51C" w:rsidRPr="00B836A6">
        <w:rPr>
          <w:rFonts w:cs="Calibri"/>
        </w:rPr>
        <w:t xml:space="preserve">could </w:t>
      </w:r>
      <w:r w:rsidR="06CBC105" w:rsidRPr="00B836A6">
        <w:rPr>
          <w:rFonts w:cs="Calibri"/>
        </w:rPr>
        <w:t>be presented to the consumer for selection.</w:t>
      </w:r>
      <w:r w:rsidR="00FA22C5">
        <w:rPr>
          <w:rStyle w:val="FootnoteReference"/>
          <w:rFonts w:cs="Calibri"/>
        </w:rPr>
        <w:footnoteReference w:id="28"/>
      </w:r>
    </w:p>
    <w:p w14:paraId="75F87DE6" w14:textId="20297108" w:rsidR="00861302" w:rsidRPr="00861302" w:rsidRDefault="4C3A4326" w:rsidP="00861302">
      <w:pPr>
        <w:rPr>
          <w:rFonts w:cs="Calibri"/>
        </w:rPr>
      </w:pPr>
      <w:r w:rsidRPr="6EDE0A44">
        <w:rPr>
          <w:rFonts w:cs="Calibri"/>
        </w:rPr>
        <w:t xml:space="preserve">The Statutory Review </w:t>
      </w:r>
      <w:r w:rsidR="00165981" w:rsidRPr="6EDE0A44">
        <w:rPr>
          <w:rFonts w:cs="Calibri"/>
        </w:rPr>
        <w:t xml:space="preserve">found that the consent process needs to be intuitive for consumers to engage with the CDR </w:t>
      </w:r>
      <w:r w:rsidR="00165981">
        <w:rPr>
          <w:rFonts w:cs="Calibri"/>
        </w:rPr>
        <w:t xml:space="preserve">but </w:t>
      </w:r>
      <w:r w:rsidRPr="6EDE0A44">
        <w:rPr>
          <w:rFonts w:cs="Calibri"/>
        </w:rPr>
        <w:t xml:space="preserve">did not </w:t>
      </w:r>
      <w:r w:rsidR="00165981">
        <w:rPr>
          <w:rFonts w:cs="Calibri"/>
        </w:rPr>
        <w:t xml:space="preserve">make any findings in relation to </w:t>
      </w:r>
      <w:r w:rsidR="76119AFD" w:rsidRPr="6EDE0A44">
        <w:rPr>
          <w:rFonts w:cs="Calibri"/>
        </w:rPr>
        <w:t>active selection of consent terms</w:t>
      </w:r>
      <w:r w:rsidRPr="6EDE0A44">
        <w:rPr>
          <w:rFonts w:cs="Calibri"/>
        </w:rPr>
        <w:t>.</w:t>
      </w:r>
      <w:r w:rsidR="00AC2777">
        <w:rPr>
          <w:rStyle w:val="FootnoteReference"/>
          <w:rFonts w:cs="Calibri"/>
        </w:rPr>
        <w:footnoteReference w:id="29"/>
      </w:r>
      <w:r w:rsidR="0098251D">
        <w:rPr>
          <w:rFonts w:cs="Calibri"/>
        </w:rPr>
        <w:t xml:space="preserve"> </w:t>
      </w:r>
    </w:p>
    <w:p w14:paraId="0518BDD0" w14:textId="374B2881" w:rsidR="00415A83" w:rsidRPr="00821309" w:rsidRDefault="00415A83" w:rsidP="0060195F">
      <w:pPr>
        <w:rPr>
          <w:rFonts w:cs="Calibri"/>
          <w:b/>
        </w:rPr>
      </w:pPr>
      <w:r>
        <w:rPr>
          <w:rFonts w:cs="Calibri"/>
          <w:b/>
          <w:bCs/>
        </w:rPr>
        <w:t>Consent Review Noting Paper</w:t>
      </w:r>
    </w:p>
    <w:p w14:paraId="31B4F458" w14:textId="2E4EA11D" w:rsidR="000235E9" w:rsidRPr="00B836A6" w:rsidRDefault="00621FB8" w:rsidP="0060195F">
      <w:pPr>
        <w:rPr>
          <w:rFonts w:cs="Calibri"/>
        </w:rPr>
      </w:pPr>
      <w:proofErr w:type="gramStart"/>
      <w:r>
        <w:rPr>
          <w:rFonts w:cs="Calibri"/>
        </w:rPr>
        <w:t>Similar to</w:t>
      </w:r>
      <w:proofErr w:type="gramEnd"/>
      <w:r>
        <w:rPr>
          <w:rFonts w:cs="Calibri"/>
        </w:rPr>
        <w:t xml:space="preserve"> the bundling discussion above, t</w:t>
      </w:r>
      <w:r w:rsidR="000235E9">
        <w:rPr>
          <w:rFonts w:cs="Calibri"/>
        </w:rPr>
        <w:t xml:space="preserve">he noting paper </w:t>
      </w:r>
      <w:r w:rsidR="00D058EB">
        <w:rPr>
          <w:rFonts w:cs="Calibri"/>
        </w:rPr>
        <w:t xml:space="preserve">considered that </w:t>
      </w:r>
      <w:r w:rsidR="0086568F">
        <w:rPr>
          <w:rFonts w:cs="Calibri"/>
        </w:rPr>
        <w:t xml:space="preserve">requirements </w:t>
      </w:r>
      <w:r w:rsidR="00A83BBD">
        <w:rPr>
          <w:rFonts w:cs="Calibri"/>
        </w:rPr>
        <w:t xml:space="preserve">for consumers </w:t>
      </w:r>
      <w:r w:rsidR="0086568F">
        <w:rPr>
          <w:rFonts w:cs="Calibri"/>
        </w:rPr>
        <w:t xml:space="preserve">to actively select </w:t>
      </w:r>
      <w:r w:rsidR="009B62A4">
        <w:rPr>
          <w:rFonts w:cs="Calibri"/>
        </w:rPr>
        <w:t xml:space="preserve">particular </w:t>
      </w:r>
      <w:r w:rsidR="00B52AF6">
        <w:rPr>
          <w:rFonts w:cs="Calibri"/>
        </w:rPr>
        <w:t>terms of their consent</w:t>
      </w:r>
      <w:r w:rsidR="0086568F">
        <w:rPr>
          <w:rFonts w:cs="Calibri"/>
        </w:rPr>
        <w:t xml:space="preserve">, without </w:t>
      </w:r>
      <w:r w:rsidR="00F43206">
        <w:rPr>
          <w:rFonts w:cs="Calibri"/>
        </w:rPr>
        <w:t>them</w:t>
      </w:r>
      <w:r w:rsidR="00A83BBD">
        <w:rPr>
          <w:rFonts w:cs="Calibri"/>
        </w:rPr>
        <w:t xml:space="preserve"> being pre-selected</w:t>
      </w:r>
      <w:r w:rsidR="00F43206">
        <w:rPr>
          <w:rFonts w:cs="Calibri"/>
        </w:rPr>
        <w:t xml:space="preserve">, could be </w:t>
      </w:r>
      <w:r w:rsidR="004B1A0C">
        <w:rPr>
          <w:rFonts w:cs="Calibri"/>
        </w:rPr>
        <w:t>revised</w:t>
      </w:r>
      <w:r w:rsidR="00F43206">
        <w:rPr>
          <w:rFonts w:cs="Calibri"/>
        </w:rPr>
        <w:t xml:space="preserve"> to address concerns that </w:t>
      </w:r>
      <w:r w:rsidR="00F56659">
        <w:rPr>
          <w:rFonts w:cs="Calibri"/>
        </w:rPr>
        <w:t>the</w:t>
      </w:r>
      <w:r w:rsidR="004B1A0C">
        <w:rPr>
          <w:rFonts w:cs="Calibri"/>
        </w:rPr>
        <w:t>y</w:t>
      </w:r>
      <w:r w:rsidR="00F56659">
        <w:rPr>
          <w:rFonts w:cs="Calibri"/>
        </w:rPr>
        <w:t xml:space="preserve"> introduce a false choice </w:t>
      </w:r>
      <w:r w:rsidR="004B1A0C">
        <w:rPr>
          <w:rFonts w:cs="Calibri"/>
        </w:rPr>
        <w:t xml:space="preserve">where the options are required for the service to be provided. </w:t>
      </w:r>
      <w:r w:rsidR="00ED0A0A">
        <w:rPr>
          <w:rFonts w:cs="Calibri"/>
        </w:rPr>
        <w:t xml:space="preserve">The </w:t>
      </w:r>
      <w:r w:rsidR="005543C4">
        <w:rPr>
          <w:rFonts w:cs="Calibri"/>
        </w:rPr>
        <w:t xml:space="preserve">noting </w:t>
      </w:r>
      <w:r w:rsidR="00ED0A0A">
        <w:rPr>
          <w:rFonts w:cs="Calibri"/>
        </w:rPr>
        <w:t xml:space="preserve">paper considered </w:t>
      </w:r>
      <w:r w:rsidR="26DF0B15" w:rsidRPr="5B287445">
        <w:rPr>
          <w:rFonts w:cs="Calibri"/>
        </w:rPr>
        <w:t xml:space="preserve">whether </w:t>
      </w:r>
      <w:r w:rsidR="00EF56D2">
        <w:rPr>
          <w:rFonts w:cs="Calibri"/>
        </w:rPr>
        <w:t xml:space="preserve">these </w:t>
      </w:r>
      <w:r w:rsidR="009D4B7B">
        <w:rPr>
          <w:rFonts w:cs="Calibri"/>
        </w:rPr>
        <w:t>options</w:t>
      </w:r>
      <w:r w:rsidR="00F536EC">
        <w:rPr>
          <w:rFonts w:cs="Calibri"/>
        </w:rPr>
        <w:t xml:space="preserve"> </w:t>
      </w:r>
      <w:r w:rsidR="009D4B7B">
        <w:rPr>
          <w:rFonts w:cs="Calibri"/>
        </w:rPr>
        <w:t xml:space="preserve">could be </w:t>
      </w:r>
      <w:r w:rsidR="008C50E4" w:rsidRPr="0C88F1FE">
        <w:rPr>
          <w:rFonts w:cs="Calibri"/>
        </w:rPr>
        <w:t>pre</w:t>
      </w:r>
      <w:r w:rsidR="50298C81" w:rsidRPr="0C88F1FE">
        <w:rPr>
          <w:rFonts w:cs="Calibri"/>
        </w:rPr>
        <w:t>-</w:t>
      </w:r>
      <w:r w:rsidR="008C50E4" w:rsidRPr="0C88F1FE">
        <w:rPr>
          <w:rFonts w:cs="Calibri"/>
        </w:rPr>
        <w:t>selected</w:t>
      </w:r>
      <w:r w:rsidR="008C50E4">
        <w:rPr>
          <w:rFonts w:cs="Calibri"/>
        </w:rPr>
        <w:t xml:space="preserve"> or clearly indicated where they are </w:t>
      </w:r>
      <w:r w:rsidR="00EF56D2">
        <w:rPr>
          <w:rFonts w:cs="Calibri"/>
        </w:rPr>
        <w:t>essential to the provision of the service.</w:t>
      </w:r>
    </w:p>
    <w:p w14:paraId="45EDBAA5" w14:textId="2F4D6EB6" w:rsidR="007E4032" w:rsidRDefault="13C59D55" w:rsidP="00C13384">
      <w:pPr>
        <w:rPr>
          <w:rFonts w:eastAsia="Calibri" w:cs="Calibri"/>
        </w:rPr>
      </w:pPr>
      <w:r w:rsidRPr="1EEC6329">
        <w:rPr>
          <w:rFonts w:cs="Calibri"/>
        </w:rPr>
        <w:t xml:space="preserve">Feedback from stakeholders largely reflected the feedback received on the bunding proposal. </w:t>
      </w:r>
      <w:r w:rsidR="006930F8" w:rsidRPr="1EEC6329">
        <w:rPr>
          <w:rFonts w:cs="Calibri"/>
        </w:rPr>
        <w:t xml:space="preserve">The majority of submissions expressed </w:t>
      </w:r>
      <w:r w:rsidR="00550302" w:rsidRPr="1EEC6329">
        <w:rPr>
          <w:rFonts w:cs="Calibri"/>
        </w:rPr>
        <w:t>in-</w:t>
      </w:r>
      <w:proofErr w:type="gramStart"/>
      <w:r w:rsidR="00550302" w:rsidRPr="1EEC6329">
        <w:rPr>
          <w:rFonts w:cs="Calibri"/>
        </w:rPr>
        <w:t>principle</w:t>
      </w:r>
      <w:proofErr w:type="gramEnd"/>
      <w:r w:rsidR="00550302" w:rsidRPr="1EEC6329">
        <w:rPr>
          <w:rFonts w:cs="Calibri"/>
        </w:rPr>
        <w:t xml:space="preserve"> </w:t>
      </w:r>
      <w:r w:rsidR="006930F8" w:rsidRPr="1EEC6329">
        <w:rPr>
          <w:rFonts w:cs="Calibri"/>
        </w:rPr>
        <w:t xml:space="preserve">support for </w:t>
      </w:r>
      <w:r w:rsidR="4BB75C6E" w:rsidRPr="5B287445">
        <w:rPr>
          <w:rFonts w:cs="Calibri"/>
        </w:rPr>
        <w:t>allowing</w:t>
      </w:r>
      <w:r w:rsidR="044A6185" w:rsidRPr="5B287445">
        <w:rPr>
          <w:rFonts w:cs="Calibri"/>
        </w:rPr>
        <w:t xml:space="preserve"> </w:t>
      </w:r>
      <w:r w:rsidR="36E0A651" w:rsidRPr="1EEC6329">
        <w:rPr>
          <w:rFonts w:cs="Calibri"/>
        </w:rPr>
        <w:t xml:space="preserve">pre-selected options </w:t>
      </w:r>
      <w:r w:rsidR="3EA10B35" w:rsidRPr="5B287445">
        <w:rPr>
          <w:rFonts w:eastAsia="Calibri" w:cs="Calibri"/>
        </w:rPr>
        <w:t>noting</w:t>
      </w:r>
      <w:r w:rsidR="002B7615" w:rsidRPr="1EEC6329">
        <w:rPr>
          <w:rFonts w:eastAsia="Calibri" w:cs="Calibri"/>
        </w:rPr>
        <w:t xml:space="preserve"> that these changes would support a simple, clean and informed consent experience and reduce the cognitive load on consumers. </w:t>
      </w:r>
      <w:r w:rsidR="6336DD1E" w:rsidRPr="1EEC6329">
        <w:rPr>
          <w:rFonts w:eastAsia="Calibri" w:cs="Calibri"/>
        </w:rPr>
        <w:t>Some</w:t>
      </w:r>
      <w:r w:rsidR="006447B4" w:rsidRPr="1EEC6329">
        <w:rPr>
          <w:rFonts w:eastAsia="Calibri" w:cs="Calibri"/>
        </w:rPr>
        <w:t xml:space="preserve"> commented that consumers have become familiar with screen scraping</w:t>
      </w:r>
      <w:r w:rsidR="00D44438">
        <w:rPr>
          <w:rFonts w:eastAsia="Calibri" w:cs="Calibri"/>
        </w:rPr>
        <w:t>,</w:t>
      </w:r>
      <w:r w:rsidR="006447B4" w:rsidRPr="1EEC6329">
        <w:rPr>
          <w:rFonts w:eastAsia="Calibri" w:cs="Calibri"/>
        </w:rPr>
        <w:t xml:space="preserve"> which </w:t>
      </w:r>
      <w:r w:rsidR="00D44438">
        <w:rPr>
          <w:rFonts w:eastAsia="Calibri" w:cs="Calibri"/>
        </w:rPr>
        <w:t>they consider to be simpler than current CDR consent processes</w:t>
      </w:r>
      <w:r w:rsidR="006447B4" w:rsidRPr="1EEC6329">
        <w:rPr>
          <w:rFonts w:eastAsia="Calibri" w:cs="Calibri"/>
        </w:rPr>
        <w:t>.</w:t>
      </w:r>
      <w:r w:rsidR="6C29EE7C" w:rsidRPr="1EEC6329">
        <w:rPr>
          <w:rFonts w:eastAsia="Calibri" w:cs="Calibri"/>
        </w:rPr>
        <w:t xml:space="preserve"> Others</w:t>
      </w:r>
      <w:r w:rsidR="00F46269" w:rsidRPr="1EEC6329">
        <w:rPr>
          <w:rFonts w:eastAsia="Calibri" w:cs="Calibri"/>
        </w:rPr>
        <w:t xml:space="preserve"> </w:t>
      </w:r>
      <w:r w:rsidR="007057C7" w:rsidRPr="1EEC6329">
        <w:rPr>
          <w:rFonts w:eastAsia="Calibri" w:cs="Calibri"/>
        </w:rPr>
        <w:t xml:space="preserve">noted that ADRs must comply with the data minimisation principle </w:t>
      </w:r>
      <w:r w:rsidR="00F46269" w:rsidRPr="1EEC6329">
        <w:rPr>
          <w:rFonts w:eastAsia="Calibri" w:cs="Calibri"/>
        </w:rPr>
        <w:t xml:space="preserve">which </w:t>
      </w:r>
      <w:r w:rsidR="007057C7" w:rsidRPr="1EEC6329">
        <w:rPr>
          <w:rFonts w:eastAsia="Calibri" w:cs="Calibri"/>
        </w:rPr>
        <w:t>provides a layer of protection</w:t>
      </w:r>
      <w:r w:rsidR="004272A7" w:rsidRPr="1EEC6329">
        <w:rPr>
          <w:rFonts w:eastAsia="Calibri" w:cs="Calibri"/>
        </w:rPr>
        <w:t xml:space="preserve"> </w:t>
      </w:r>
      <w:r w:rsidR="002B4F84">
        <w:rPr>
          <w:rFonts w:eastAsia="Calibri" w:cs="Calibri"/>
        </w:rPr>
        <w:t xml:space="preserve">by </w:t>
      </w:r>
      <w:r w:rsidR="007455EE">
        <w:rPr>
          <w:rFonts w:eastAsia="Calibri" w:cs="Calibri"/>
        </w:rPr>
        <w:lastRenderedPageBreak/>
        <w:t>limiting the CDR data that can be collected</w:t>
      </w:r>
      <w:r w:rsidR="00AF0083">
        <w:rPr>
          <w:rFonts w:eastAsia="Calibri" w:cs="Calibri"/>
        </w:rPr>
        <w:t>,</w:t>
      </w:r>
      <w:r w:rsidR="007455EE">
        <w:rPr>
          <w:rFonts w:eastAsia="Calibri" w:cs="Calibri"/>
        </w:rPr>
        <w:t xml:space="preserve"> and the uses of that data</w:t>
      </w:r>
      <w:r w:rsidR="00AF0083">
        <w:rPr>
          <w:rFonts w:eastAsia="Calibri" w:cs="Calibri"/>
        </w:rPr>
        <w:t>,</w:t>
      </w:r>
      <w:r w:rsidR="007455EE">
        <w:rPr>
          <w:rFonts w:eastAsia="Calibri" w:cs="Calibri"/>
        </w:rPr>
        <w:t xml:space="preserve"> to </w:t>
      </w:r>
      <w:r w:rsidR="003372CA">
        <w:rPr>
          <w:rFonts w:eastAsia="Calibri" w:cs="Calibri"/>
        </w:rPr>
        <w:t>what is reasonably need</w:t>
      </w:r>
      <w:r w:rsidR="00EC1DDA">
        <w:rPr>
          <w:rFonts w:eastAsia="Calibri" w:cs="Calibri"/>
        </w:rPr>
        <w:t>ed</w:t>
      </w:r>
      <w:r w:rsidR="003372CA">
        <w:rPr>
          <w:rFonts w:eastAsia="Calibri" w:cs="Calibri"/>
        </w:rPr>
        <w:t xml:space="preserve"> to </w:t>
      </w:r>
      <w:r w:rsidR="00AF0083">
        <w:rPr>
          <w:rFonts w:eastAsia="Calibri" w:cs="Calibri"/>
        </w:rPr>
        <w:t>provide the requested goods or services.</w:t>
      </w:r>
      <w:r w:rsidR="00D70989">
        <w:rPr>
          <w:rStyle w:val="FootnoteReference"/>
          <w:rFonts w:eastAsia="Calibri" w:cs="Calibri"/>
        </w:rPr>
        <w:footnoteReference w:id="30"/>
      </w:r>
    </w:p>
    <w:p w14:paraId="7E3F6379" w14:textId="637151F5" w:rsidR="00646039" w:rsidRDefault="1C89003C" w:rsidP="00C13384">
      <w:pPr>
        <w:rPr>
          <w:rFonts w:eastAsia="Calibri" w:cs="Calibri"/>
        </w:rPr>
      </w:pPr>
      <w:r w:rsidRPr="4B2D6899">
        <w:rPr>
          <w:rFonts w:cs="Calibri"/>
        </w:rPr>
        <w:t xml:space="preserve">However, </w:t>
      </w:r>
      <w:r w:rsidR="2704A3E0" w:rsidRPr="4B2D6899">
        <w:rPr>
          <w:rFonts w:cs="Calibri"/>
        </w:rPr>
        <w:t xml:space="preserve">some submissions raised concerns around lack of choice for consumers and </w:t>
      </w:r>
      <w:r w:rsidR="7B5CB7CC" w:rsidRPr="4B2D6899">
        <w:rPr>
          <w:rFonts w:cs="Calibri"/>
        </w:rPr>
        <w:t xml:space="preserve">considered </w:t>
      </w:r>
      <w:r w:rsidR="2704A3E0" w:rsidRPr="4B2D6899">
        <w:rPr>
          <w:rFonts w:cs="Calibri"/>
        </w:rPr>
        <w:t>that</w:t>
      </w:r>
      <w:r w:rsidR="00286D4B">
        <w:rPr>
          <w:rFonts w:cs="Calibri"/>
        </w:rPr>
        <w:t xml:space="preserve"> requiring active selection introduces</w:t>
      </w:r>
      <w:r w:rsidR="2704A3E0" w:rsidRPr="4B2D6899">
        <w:rPr>
          <w:rFonts w:cs="Calibri"/>
        </w:rPr>
        <w:t xml:space="preserve"> </w:t>
      </w:r>
      <w:r w:rsidR="6B0D73D5" w:rsidRPr="4B2D6899">
        <w:rPr>
          <w:rFonts w:cs="Calibri"/>
        </w:rPr>
        <w:t>‘</w:t>
      </w:r>
      <w:r w:rsidR="2704A3E0" w:rsidRPr="4B2D6899">
        <w:rPr>
          <w:rFonts w:cs="Calibri"/>
        </w:rPr>
        <w:t>positive friction</w:t>
      </w:r>
      <w:r w:rsidR="6B0D73D5" w:rsidRPr="4B2D6899">
        <w:rPr>
          <w:rFonts w:cs="Calibri"/>
        </w:rPr>
        <w:t>’</w:t>
      </w:r>
      <w:r w:rsidR="00286D4B">
        <w:rPr>
          <w:rFonts w:cs="Calibri"/>
        </w:rPr>
        <w:t xml:space="preserve"> and</w:t>
      </w:r>
      <w:r w:rsidR="2704A3E0" w:rsidRPr="4B2D6899">
        <w:rPr>
          <w:rFonts w:cs="Calibri"/>
        </w:rPr>
        <w:t xml:space="preserve"> ensures that consumers meaningfully engage with the consent process. They also considered there were risks that, despite being required to comply with the </w:t>
      </w:r>
      <w:r w:rsidR="34E2BEA9" w:rsidRPr="4B2D6899">
        <w:rPr>
          <w:rFonts w:cs="Calibri"/>
        </w:rPr>
        <w:t>d</w:t>
      </w:r>
      <w:r w:rsidR="2704A3E0" w:rsidRPr="4B2D6899">
        <w:rPr>
          <w:rFonts w:cs="Calibri"/>
        </w:rPr>
        <w:t xml:space="preserve">ata </w:t>
      </w:r>
      <w:r w:rsidR="34E2BEA9" w:rsidRPr="4B2D6899">
        <w:rPr>
          <w:rFonts w:cs="Calibri"/>
        </w:rPr>
        <w:t>m</w:t>
      </w:r>
      <w:r w:rsidR="2704A3E0" w:rsidRPr="4B2D6899">
        <w:rPr>
          <w:rFonts w:cs="Calibri"/>
        </w:rPr>
        <w:t xml:space="preserve">inimisation </w:t>
      </w:r>
      <w:r w:rsidR="479C0DD4" w:rsidRPr="4B2D6899">
        <w:rPr>
          <w:rFonts w:cs="Calibri"/>
        </w:rPr>
        <w:t>p</w:t>
      </w:r>
      <w:r w:rsidR="2704A3E0" w:rsidRPr="4B2D6899">
        <w:rPr>
          <w:rFonts w:cs="Calibri"/>
        </w:rPr>
        <w:t xml:space="preserve">rinciple, ADRs would collect more data than necessary if consumers do not understand </w:t>
      </w:r>
      <w:r w:rsidR="27366B92" w:rsidRPr="4B2D6899">
        <w:rPr>
          <w:rFonts w:cs="Calibri"/>
        </w:rPr>
        <w:t xml:space="preserve">or engage </w:t>
      </w:r>
      <w:r w:rsidR="6B97FBCD" w:rsidRPr="4B2D6899">
        <w:rPr>
          <w:rFonts w:cs="Calibri"/>
        </w:rPr>
        <w:t xml:space="preserve">with </w:t>
      </w:r>
      <w:r w:rsidR="2704A3E0" w:rsidRPr="4B2D6899">
        <w:rPr>
          <w:rFonts w:cs="Calibri"/>
        </w:rPr>
        <w:t>what is essential and what is not.</w:t>
      </w:r>
      <w:r w:rsidR="3AC486F5" w:rsidRPr="4B2D6899">
        <w:rPr>
          <w:rFonts w:eastAsia="Calibri" w:cs="Calibri"/>
        </w:rPr>
        <w:t xml:space="preserve"> </w:t>
      </w:r>
      <w:r w:rsidR="6647AE96" w:rsidRPr="4B2D6899">
        <w:rPr>
          <w:rFonts w:eastAsia="Calibri" w:cs="Calibri"/>
        </w:rPr>
        <w:t>S</w:t>
      </w:r>
      <w:r w:rsidR="17E0BDF6" w:rsidRPr="4B2D6899">
        <w:rPr>
          <w:rFonts w:eastAsia="Calibri" w:cs="Calibri"/>
        </w:rPr>
        <w:t xml:space="preserve">ome </w:t>
      </w:r>
      <w:r w:rsidR="2891B7F7" w:rsidRPr="4B2D6899">
        <w:rPr>
          <w:rFonts w:eastAsia="Calibri" w:cs="Calibri"/>
        </w:rPr>
        <w:t xml:space="preserve">stakeholders </w:t>
      </w:r>
      <w:r w:rsidR="0A7BD754" w:rsidRPr="4B2D6899">
        <w:rPr>
          <w:rFonts w:eastAsia="Calibri" w:cs="Calibri"/>
        </w:rPr>
        <w:t xml:space="preserve">suggested </w:t>
      </w:r>
      <w:r w:rsidR="1208B19E" w:rsidRPr="4B2D6899">
        <w:rPr>
          <w:rFonts w:eastAsia="Calibri" w:cs="Calibri"/>
        </w:rPr>
        <w:t xml:space="preserve">specific </w:t>
      </w:r>
      <w:r w:rsidR="7A174519" w:rsidRPr="4B2D6899">
        <w:rPr>
          <w:rFonts w:eastAsia="Calibri" w:cs="Calibri"/>
        </w:rPr>
        <w:t xml:space="preserve">alternative </w:t>
      </w:r>
      <w:r w:rsidR="0A7BD754" w:rsidRPr="4B2D6899">
        <w:rPr>
          <w:rFonts w:eastAsia="Calibri" w:cs="Calibri"/>
        </w:rPr>
        <w:t xml:space="preserve">approaches that </w:t>
      </w:r>
      <w:r w:rsidR="6647AE96" w:rsidRPr="4B2D6899">
        <w:rPr>
          <w:rFonts w:eastAsia="Calibri" w:cs="Calibri"/>
        </w:rPr>
        <w:t>c</w:t>
      </w:r>
      <w:r w:rsidR="0A7BD754" w:rsidRPr="4B2D6899">
        <w:rPr>
          <w:rFonts w:eastAsia="Calibri" w:cs="Calibri"/>
        </w:rPr>
        <w:t>ould be taken</w:t>
      </w:r>
      <w:r w:rsidR="5A35BF56" w:rsidRPr="4B2D6899">
        <w:rPr>
          <w:rFonts w:eastAsia="Calibri" w:cs="Calibri"/>
        </w:rPr>
        <w:t>, including</w:t>
      </w:r>
      <w:r w:rsidR="759ECA01" w:rsidRPr="4B2D6899">
        <w:rPr>
          <w:rFonts w:eastAsia="Calibri" w:cs="Calibri"/>
        </w:rPr>
        <w:t xml:space="preserve"> </w:t>
      </w:r>
      <w:r w:rsidR="2F62CDB7" w:rsidRPr="4B2D6899">
        <w:rPr>
          <w:rFonts w:eastAsia="Calibri" w:cs="Calibri"/>
        </w:rPr>
        <w:t xml:space="preserve">the ability </w:t>
      </w:r>
      <w:r w:rsidR="04C496CE" w:rsidRPr="4B2D6899">
        <w:rPr>
          <w:rFonts w:eastAsia="Calibri" w:cs="Calibri"/>
        </w:rPr>
        <w:t xml:space="preserve">for consumers </w:t>
      </w:r>
      <w:r w:rsidR="2F62CDB7" w:rsidRPr="4B2D6899">
        <w:rPr>
          <w:rFonts w:eastAsia="Calibri" w:cs="Calibri"/>
        </w:rPr>
        <w:t xml:space="preserve">to de-select </w:t>
      </w:r>
      <w:r w:rsidR="675E4BB0" w:rsidRPr="4B2D6899">
        <w:rPr>
          <w:rFonts w:eastAsia="Calibri" w:cs="Calibri"/>
        </w:rPr>
        <w:t>required options</w:t>
      </w:r>
      <w:r w:rsidR="04C496CE" w:rsidRPr="4B2D6899">
        <w:rPr>
          <w:rFonts w:eastAsia="Calibri" w:cs="Calibri"/>
        </w:rPr>
        <w:t>,</w:t>
      </w:r>
      <w:r w:rsidR="675E4BB0" w:rsidRPr="4B2D6899">
        <w:rPr>
          <w:rFonts w:eastAsia="Calibri" w:cs="Calibri"/>
        </w:rPr>
        <w:t xml:space="preserve"> and </w:t>
      </w:r>
      <w:r w:rsidR="04C496CE" w:rsidRPr="4B2D6899">
        <w:rPr>
          <w:rFonts w:eastAsia="Calibri" w:cs="Calibri"/>
        </w:rPr>
        <w:t xml:space="preserve">ADRs providing </w:t>
      </w:r>
      <w:r w:rsidR="675E4BB0" w:rsidRPr="4B2D6899">
        <w:rPr>
          <w:rFonts w:eastAsia="Calibri" w:cs="Calibri"/>
        </w:rPr>
        <w:t xml:space="preserve">additional information </w:t>
      </w:r>
      <w:r w:rsidR="04C496CE" w:rsidRPr="4B2D6899">
        <w:rPr>
          <w:rFonts w:eastAsia="Calibri" w:cs="Calibri"/>
        </w:rPr>
        <w:t xml:space="preserve">in the consent flow </w:t>
      </w:r>
      <w:r w:rsidR="6DE03A73" w:rsidRPr="4B2D6899">
        <w:rPr>
          <w:rFonts w:eastAsia="Calibri" w:cs="Calibri"/>
        </w:rPr>
        <w:t xml:space="preserve">about </w:t>
      </w:r>
      <w:r w:rsidR="00B56B94">
        <w:rPr>
          <w:rFonts w:eastAsia="Calibri" w:cs="Calibri"/>
        </w:rPr>
        <w:t xml:space="preserve">why the options are </w:t>
      </w:r>
      <w:r w:rsidR="24DB435B" w:rsidRPr="4B2D6899">
        <w:rPr>
          <w:rFonts w:eastAsia="Calibri" w:cs="Calibri"/>
        </w:rPr>
        <w:t>required</w:t>
      </w:r>
      <w:r w:rsidR="3E29A403" w:rsidRPr="4B2D6899">
        <w:rPr>
          <w:rFonts w:eastAsia="Calibri" w:cs="Calibri"/>
        </w:rPr>
        <w:t>.</w:t>
      </w:r>
    </w:p>
    <w:p w14:paraId="05103828" w14:textId="70D93D1C" w:rsidR="008401B7" w:rsidRDefault="26ADAC85" w:rsidP="00DC5D8A">
      <w:pPr>
        <w:keepNext/>
        <w:ind w:left="340" w:hanging="340"/>
        <w:rPr>
          <w:rFonts w:cs="Calibri"/>
          <w:b/>
          <w:bCs/>
        </w:rPr>
      </w:pPr>
      <w:r w:rsidRPr="09F11397">
        <w:rPr>
          <w:rFonts w:cs="Calibri"/>
          <w:b/>
          <w:bCs/>
        </w:rPr>
        <w:t xml:space="preserve">Consumer </w:t>
      </w:r>
      <w:r w:rsidR="00DB2403">
        <w:rPr>
          <w:rFonts w:cs="Calibri"/>
          <w:b/>
          <w:bCs/>
        </w:rPr>
        <w:t>r</w:t>
      </w:r>
      <w:r w:rsidRPr="09F11397">
        <w:rPr>
          <w:rFonts w:cs="Calibri"/>
          <w:b/>
          <w:bCs/>
        </w:rPr>
        <w:t>esearch</w:t>
      </w:r>
    </w:p>
    <w:p w14:paraId="5F7C55BB" w14:textId="085FAD13" w:rsidR="009E737C" w:rsidRPr="009E737C" w:rsidRDefault="4BB1FBEA" w:rsidP="008401B7">
      <w:pPr>
        <w:rPr>
          <w:rFonts w:eastAsia="Calibri" w:cs="Calibri"/>
        </w:rPr>
      </w:pPr>
      <w:r w:rsidRPr="1CDE0024">
        <w:rPr>
          <w:rFonts w:eastAsia="Calibri" w:cs="Calibri"/>
        </w:rPr>
        <w:t xml:space="preserve">The </w:t>
      </w:r>
      <w:r w:rsidRPr="1CDE0024">
        <w:rPr>
          <w:rFonts w:cs="Calibri"/>
        </w:rPr>
        <w:t>requirement</w:t>
      </w:r>
      <w:r w:rsidRPr="1CDE0024">
        <w:rPr>
          <w:rFonts w:eastAsia="Calibri" w:cs="Calibri"/>
        </w:rPr>
        <w:t xml:space="preserve"> to actively select consent terms aimed to support engagement, comprehension, and informed consent. CX research conducted in </w:t>
      </w:r>
      <w:r w:rsidR="784BC684">
        <w:t>2020</w:t>
      </w:r>
      <w:r w:rsidRPr="1CDE0024">
        <w:rPr>
          <w:rFonts w:eastAsia="Calibri" w:cs="Calibri"/>
        </w:rPr>
        <w:t xml:space="preserve"> and </w:t>
      </w:r>
      <w:r w:rsidR="6CE3358F" w:rsidRPr="45B65906">
        <w:rPr>
          <w:rFonts w:eastAsia="Calibri" w:cs="Calibri"/>
        </w:rPr>
        <w:t>2022</w:t>
      </w:r>
      <w:r w:rsidRPr="1CDE0024">
        <w:rPr>
          <w:rFonts w:eastAsia="Calibri" w:cs="Calibri"/>
        </w:rPr>
        <w:t xml:space="preserve"> </w:t>
      </w:r>
      <w:r w:rsidR="05E9E1D0" w:rsidRPr="1CDE0024">
        <w:rPr>
          <w:rFonts w:eastAsia="Calibri" w:cs="Calibri"/>
        </w:rPr>
        <w:t xml:space="preserve">found that </w:t>
      </w:r>
      <w:r w:rsidR="05E9E1D0" w:rsidRPr="3D39EA28">
        <w:rPr>
          <w:rFonts w:eastAsia="Calibri" w:cs="Calibri"/>
        </w:rPr>
        <w:t xml:space="preserve">omitting </w:t>
      </w:r>
      <w:r w:rsidR="430D8AF0" w:rsidRPr="3D39EA28">
        <w:rPr>
          <w:rFonts w:eastAsia="Calibri" w:cs="Calibri"/>
        </w:rPr>
        <w:t xml:space="preserve">the actively select requirement, and instead clearly </w:t>
      </w:r>
      <w:r w:rsidR="2E8E470F" w:rsidRPr="3D39EA28">
        <w:rPr>
          <w:rFonts w:eastAsia="Calibri" w:cs="Calibri"/>
        </w:rPr>
        <w:t xml:space="preserve">indicating </w:t>
      </w:r>
      <w:r w:rsidR="430D8AF0" w:rsidRPr="3D39EA28">
        <w:rPr>
          <w:rFonts w:eastAsia="Calibri" w:cs="Calibri"/>
        </w:rPr>
        <w:t xml:space="preserve">the </w:t>
      </w:r>
      <w:r w:rsidR="0F99438E" w:rsidRPr="30D55201">
        <w:rPr>
          <w:rFonts w:eastAsia="Calibri" w:cs="Calibri"/>
        </w:rPr>
        <w:t xml:space="preserve">particular terms of </w:t>
      </w:r>
      <w:r w:rsidR="398D1A67" w:rsidRPr="30D55201">
        <w:rPr>
          <w:rFonts w:eastAsia="Calibri" w:cs="Calibri"/>
        </w:rPr>
        <w:t xml:space="preserve">the </w:t>
      </w:r>
      <w:r w:rsidR="0F99438E" w:rsidRPr="30D55201">
        <w:rPr>
          <w:rFonts w:eastAsia="Calibri" w:cs="Calibri"/>
        </w:rPr>
        <w:t>consent</w:t>
      </w:r>
      <w:r w:rsidR="065CF2CC" w:rsidRPr="30D55201">
        <w:rPr>
          <w:rFonts w:eastAsia="Calibri" w:cs="Calibri"/>
        </w:rPr>
        <w:t>,</w:t>
      </w:r>
      <w:r w:rsidRPr="1CDE0024">
        <w:rPr>
          <w:rFonts w:eastAsia="Calibri" w:cs="Calibri"/>
        </w:rPr>
        <w:t xml:space="preserve"> did not meaningfully reduce engagement, comprehension, or informed consent.</w:t>
      </w:r>
      <w:r w:rsidR="006247C5">
        <w:rPr>
          <w:rStyle w:val="FootnoteReference"/>
          <w:rFonts w:eastAsia="Calibri" w:cs="Calibri"/>
        </w:rPr>
        <w:footnoteReference w:id="31"/>
      </w:r>
      <w:r w:rsidR="0A8B89A6" w:rsidRPr="04AA6B35">
        <w:rPr>
          <w:rFonts w:eastAsia="Calibri" w:cs="Calibri"/>
        </w:rPr>
        <w:t xml:space="preserve"> </w:t>
      </w:r>
      <w:r w:rsidR="004A709B">
        <w:rPr>
          <w:rStyle w:val="FootnoteReference"/>
          <w:rFonts w:eastAsia="Calibri" w:cs="Calibri"/>
        </w:rPr>
        <w:footnoteReference w:id="32"/>
      </w:r>
    </w:p>
    <w:p w14:paraId="04423550" w14:textId="06DD724D" w:rsidR="009E737C" w:rsidRPr="009E737C" w:rsidRDefault="7ED8F984" w:rsidP="6EDE0A44">
      <w:pPr>
        <w:rPr>
          <w:rFonts w:eastAsia="Calibri" w:cs="Calibri"/>
        </w:rPr>
      </w:pPr>
      <w:r w:rsidRPr="6EDE0A44">
        <w:rPr>
          <w:rFonts w:eastAsia="Calibri" w:cs="Calibri"/>
        </w:rPr>
        <w:t>A f</w:t>
      </w:r>
      <w:r w:rsidR="5E144A86" w:rsidRPr="6EDE0A44">
        <w:rPr>
          <w:rFonts w:eastAsia="Calibri" w:cs="Calibri"/>
        </w:rPr>
        <w:t>ew participants in the 2022</w:t>
      </w:r>
      <w:r w:rsidR="00885D59">
        <w:rPr>
          <w:rFonts w:eastAsia="Calibri" w:cs="Calibri"/>
        </w:rPr>
        <w:t xml:space="preserve"> CX</w:t>
      </w:r>
      <w:r w:rsidR="5E144A86" w:rsidRPr="6EDE0A44">
        <w:rPr>
          <w:rFonts w:eastAsia="Calibri" w:cs="Calibri"/>
        </w:rPr>
        <w:t xml:space="preserve"> research </w:t>
      </w:r>
      <w:r w:rsidR="69C9A718" w:rsidRPr="6EDE0A44">
        <w:rPr>
          <w:rFonts w:eastAsia="Calibri" w:cs="Calibri"/>
        </w:rPr>
        <w:t xml:space="preserve">expressed </w:t>
      </w:r>
      <w:r w:rsidR="5E144A86" w:rsidRPr="6EDE0A44">
        <w:rPr>
          <w:rFonts w:eastAsia="Calibri" w:cs="Calibri"/>
        </w:rPr>
        <w:t xml:space="preserve">a desire for control over datasets </w:t>
      </w:r>
      <w:r w:rsidR="3C877DBE" w:rsidRPr="6EDE0A44">
        <w:rPr>
          <w:rFonts w:eastAsia="Calibri" w:cs="Calibri"/>
        </w:rPr>
        <w:t xml:space="preserve">without being </w:t>
      </w:r>
      <w:r w:rsidR="5E144A86" w:rsidRPr="6EDE0A44">
        <w:rPr>
          <w:rFonts w:eastAsia="Calibri" w:cs="Calibri"/>
        </w:rPr>
        <w:t xml:space="preserve">prompted, </w:t>
      </w:r>
      <w:r w:rsidR="5297343B" w:rsidRPr="6EDE0A44">
        <w:rPr>
          <w:rFonts w:eastAsia="Calibri" w:cs="Calibri"/>
        </w:rPr>
        <w:t xml:space="preserve">while </w:t>
      </w:r>
      <w:r w:rsidR="5E144A86" w:rsidRPr="6EDE0A44">
        <w:rPr>
          <w:rFonts w:eastAsia="Calibri" w:cs="Calibri"/>
        </w:rPr>
        <w:t xml:space="preserve">some saw active selection of required data as a false choice and unnecessary step. </w:t>
      </w:r>
      <w:r w:rsidR="4F41FB69" w:rsidRPr="6EDE0A44">
        <w:rPr>
          <w:rFonts w:eastAsia="Calibri" w:cs="Calibri"/>
        </w:rPr>
        <w:t>S</w:t>
      </w:r>
      <w:r w:rsidR="5E144A86" w:rsidRPr="6EDE0A44">
        <w:rPr>
          <w:rFonts w:eastAsia="Calibri" w:cs="Calibri"/>
        </w:rPr>
        <w:t xml:space="preserve">ome </w:t>
      </w:r>
      <w:r w:rsidR="3AB9257B" w:rsidRPr="6EDE0A44">
        <w:rPr>
          <w:rFonts w:eastAsia="Calibri" w:cs="Calibri"/>
        </w:rPr>
        <w:t xml:space="preserve">other </w:t>
      </w:r>
      <w:r w:rsidR="5E144A86" w:rsidRPr="6EDE0A44">
        <w:rPr>
          <w:rFonts w:eastAsia="Calibri" w:cs="Calibri"/>
        </w:rPr>
        <w:t xml:space="preserve">participants saw active selection as a marker of control when prompted, </w:t>
      </w:r>
      <w:r w:rsidR="400383B1" w:rsidRPr="6EDE0A44">
        <w:rPr>
          <w:rFonts w:eastAsia="Calibri" w:cs="Calibri"/>
        </w:rPr>
        <w:t xml:space="preserve">but </w:t>
      </w:r>
      <w:r w:rsidR="5E144A86" w:rsidRPr="6EDE0A44">
        <w:rPr>
          <w:rFonts w:eastAsia="Calibri" w:cs="Calibri"/>
        </w:rPr>
        <w:t xml:space="preserve">also understood </w:t>
      </w:r>
      <w:r w:rsidR="77E54505" w:rsidRPr="6EDE0A44">
        <w:rPr>
          <w:rFonts w:eastAsia="Calibri" w:cs="Calibri"/>
        </w:rPr>
        <w:t xml:space="preserve">it </w:t>
      </w:r>
      <w:r w:rsidR="5E144A86" w:rsidRPr="6EDE0A44">
        <w:rPr>
          <w:rFonts w:eastAsia="Calibri" w:cs="Calibri"/>
        </w:rPr>
        <w:t>to be an illusion of control if they could not proceed without selecting the datasets. Most participants understood that the absence of checkboxes or toggles meant that the datasets were needed for the service.</w:t>
      </w:r>
    </w:p>
    <w:p w14:paraId="377AA317" w14:textId="599E7351" w:rsidR="009E737C" w:rsidRPr="009E737C" w:rsidRDefault="5E3DA74E" w:rsidP="008401B7">
      <w:pPr>
        <w:rPr>
          <w:rFonts w:eastAsia="Calibri" w:cs="Calibri"/>
        </w:rPr>
      </w:pPr>
      <w:r w:rsidRPr="6EDE0A44">
        <w:rPr>
          <w:rFonts w:eastAsia="Calibri" w:cs="Calibri"/>
        </w:rPr>
        <w:t>T</w:t>
      </w:r>
      <w:r w:rsidR="5E7D76E8" w:rsidRPr="6EDE0A44">
        <w:rPr>
          <w:rFonts w:eastAsia="Calibri" w:cs="Calibri"/>
        </w:rPr>
        <w:t xml:space="preserve">echnical limitations mean that some datasets must be selected for others to be accessed, such as Transaction Details, which cannot be accessed without the Account Balances and Details data cluster. </w:t>
      </w:r>
      <w:r w:rsidR="007C2557" w:rsidRPr="4608EF2E">
        <w:rPr>
          <w:rFonts w:eastAsia="Calibri" w:cs="Calibri"/>
        </w:rPr>
        <w:t xml:space="preserve">Allowing ADRs to clearly </w:t>
      </w:r>
      <w:r w:rsidR="00935067">
        <w:rPr>
          <w:rFonts w:eastAsia="Calibri" w:cs="Calibri"/>
        </w:rPr>
        <w:t>indicate</w:t>
      </w:r>
      <w:r w:rsidR="007C2557" w:rsidRPr="4608EF2E">
        <w:rPr>
          <w:rFonts w:eastAsia="Calibri" w:cs="Calibri"/>
        </w:rPr>
        <w:t xml:space="preserve"> </w:t>
      </w:r>
      <w:r w:rsidR="00B44B35">
        <w:rPr>
          <w:rFonts w:eastAsia="Calibri" w:cs="Calibri"/>
        </w:rPr>
        <w:t xml:space="preserve">the </w:t>
      </w:r>
      <w:r w:rsidR="4B7B7474" w:rsidRPr="6EDE0A44">
        <w:rPr>
          <w:rFonts w:eastAsia="Calibri" w:cs="Calibri"/>
        </w:rPr>
        <w:t xml:space="preserve">required datasets would </w:t>
      </w:r>
      <w:r w:rsidR="6BA91DF5" w:rsidRPr="6EDE0A44">
        <w:rPr>
          <w:rFonts w:eastAsia="Calibri" w:cs="Calibri"/>
        </w:rPr>
        <w:t xml:space="preserve">avoid </w:t>
      </w:r>
      <w:r w:rsidR="4B7B7474" w:rsidRPr="6EDE0A44">
        <w:rPr>
          <w:rFonts w:eastAsia="Calibri" w:cs="Calibri"/>
        </w:rPr>
        <w:t>the need for consumers to understand these technical dependencies and service requirements</w:t>
      </w:r>
      <w:r w:rsidR="54E28493" w:rsidRPr="30D55201">
        <w:rPr>
          <w:rFonts w:eastAsia="Calibri" w:cs="Calibri"/>
        </w:rPr>
        <w:t xml:space="preserve"> </w:t>
      </w:r>
      <w:r w:rsidR="007759A5" w:rsidRPr="4608EF2E">
        <w:rPr>
          <w:rFonts w:eastAsia="Calibri" w:cs="Calibri"/>
        </w:rPr>
        <w:t xml:space="preserve">to provide </w:t>
      </w:r>
      <w:r w:rsidR="003B16CB">
        <w:rPr>
          <w:rFonts w:eastAsia="Calibri" w:cs="Calibri"/>
        </w:rPr>
        <w:t>informed</w:t>
      </w:r>
      <w:r w:rsidR="007759A5" w:rsidRPr="4608EF2E">
        <w:rPr>
          <w:rFonts w:eastAsia="Calibri" w:cs="Calibri"/>
        </w:rPr>
        <w:t xml:space="preserve"> consent. </w:t>
      </w:r>
    </w:p>
    <w:p w14:paraId="423907D2" w14:textId="15D58047" w:rsidR="009E737C" w:rsidRPr="009E737C" w:rsidRDefault="1445B2D4" w:rsidP="008401B7">
      <w:r w:rsidRPr="09F11397">
        <w:rPr>
          <w:rFonts w:eastAsia="Calibri" w:cs="Calibri"/>
        </w:rPr>
        <w:t xml:space="preserve">In relation to actively selecting a consent’s duration, the </w:t>
      </w:r>
      <w:r w:rsidR="436E76A3" w:rsidRPr="30D55201">
        <w:rPr>
          <w:rFonts w:eastAsia="Calibri" w:cs="Calibri"/>
        </w:rPr>
        <w:t>2022</w:t>
      </w:r>
      <w:r w:rsidR="3DFE664A" w:rsidRPr="30D55201">
        <w:rPr>
          <w:rFonts w:eastAsia="Calibri" w:cs="Calibri"/>
        </w:rPr>
        <w:t xml:space="preserve"> </w:t>
      </w:r>
      <w:r w:rsidRPr="09F11397">
        <w:rPr>
          <w:rFonts w:eastAsia="Calibri" w:cs="Calibri"/>
        </w:rPr>
        <w:t xml:space="preserve">CX research showed that some consumers desired control while others expected the data recipient to determine the most appropriate option based on the service. </w:t>
      </w:r>
      <w:r w:rsidR="006F6A3A" w:rsidRPr="1B358509">
        <w:rPr>
          <w:rFonts w:eastAsia="Calibri" w:cs="Calibri"/>
        </w:rPr>
        <w:t>This</w:t>
      </w:r>
      <w:r w:rsidRPr="09F11397">
        <w:rPr>
          <w:rFonts w:eastAsia="Calibri" w:cs="Calibri"/>
        </w:rPr>
        <w:t xml:space="preserve"> is likely to be dependent on the use case itself, where some use cases may afford more flexibility as to the duration of the consent than others. The use case tested in</w:t>
      </w:r>
      <w:r w:rsidR="3DFE664A" w:rsidRPr="30D55201">
        <w:rPr>
          <w:rFonts w:eastAsia="Calibri" w:cs="Calibri"/>
        </w:rPr>
        <w:t xml:space="preserve"> </w:t>
      </w:r>
      <w:r w:rsidR="190A6CE3" w:rsidRPr="30D55201">
        <w:rPr>
          <w:rFonts w:eastAsia="Calibri" w:cs="Calibri"/>
        </w:rPr>
        <w:t>the 2022</w:t>
      </w:r>
      <w:r w:rsidRPr="09F11397">
        <w:rPr>
          <w:rFonts w:eastAsia="Calibri" w:cs="Calibri"/>
        </w:rPr>
        <w:t xml:space="preserve"> CX research, a Personal Finance Management app, likely influenced perceptions of how much control over the duration could be exercised.</w:t>
      </w:r>
    </w:p>
    <w:p w14:paraId="2BE6FE3D" w14:textId="56EE2B20" w:rsidR="136D2A3E" w:rsidRDefault="51FE51F7" w:rsidP="136D2A3E">
      <w:pPr>
        <w:rPr>
          <w:rFonts w:eastAsia="Calibri" w:cs="Calibri"/>
        </w:rPr>
      </w:pPr>
      <w:r w:rsidRPr="6EDE0A44">
        <w:rPr>
          <w:rFonts w:eastAsia="Calibri" w:cs="Calibri"/>
        </w:rPr>
        <w:t>Finally,</w:t>
      </w:r>
      <w:r w:rsidR="5D89233E" w:rsidRPr="30D55201">
        <w:rPr>
          <w:rFonts w:eastAsia="Calibri" w:cs="Calibri"/>
        </w:rPr>
        <w:t xml:space="preserve"> the 2022</w:t>
      </w:r>
      <w:r w:rsidRPr="6EDE0A44">
        <w:rPr>
          <w:rFonts w:eastAsia="Calibri" w:cs="Calibri"/>
        </w:rPr>
        <w:t xml:space="preserve"> CX research supported </w:t>
      </w:r>
      <w:r w:rsidR="7F071535" w:rsidRPr="6EDE0A44">
        <w:rPr>
          <w:rFonts w:eastAsia="Calibri" w:cs="Calibri"/>
        </w:rPr>
        <w:t xml:space="preserve">having </w:t>
      </w:r>
      <w:r w:rsidRPr="6EDE0A44">
        <w:rPr>
          <w:rFonts w:eastAsia="Calibri" w:cs="Calibri"/>
        </w:rPr>
        <w:t xml:space="preserve">the description of the required use(s) </w:t>
      </w:r>
      <w:r w:rsidR="23DDC774" w:rsidRPr="6EDE0A44">
        <w:rPr>
          <w:rFonts w:eastAsia="Calibri" w:cs="Calibri"/>
        </w:rPr>
        <w:t xml:space="preserve">as </w:t>
      </w:r>
      <w:r w:rsidRPr="6EDE0A44">
        <w:rPr>
          <w:rFonts w:eastAsia="Calibri" w:cs="Calibri"/>
        </w:rPr>
        <w:t xml:space="preserve">part of the overarching purpose description, provided these use(s) </w:t>
      </w:r>
      <w:r w:rsidR="00A76A62">
        <w:rPr>
          <w:rFonts w:eastAsia="Calibri" w:cs="Calibri"/>
        </w:rPr>
        <w:t>are</w:t>
      </w:r>
      <w:r w:rsidRPr="6EDE0A44">
        <w:rPr>
          <w:rFonts w:eastAsia="Calibri" w:cs="Calibri"/>
        </w:rPr>
        <w:t xml:space="preserve"> limited to what is essential to the provision of the good or service. If a use is seen as unnecessary or compl</w:t>
      </w:r>
      <w:r w:rsidR="00855299">
        <w:rPr>
          <w:rFonts w:eastAsia="Calibri" w:cs="Calibri"/>
        </w:rPr>
        <w:t>e</w:t>
      </w:r>
      <w:r w:rsidRPr="6EDE0A44">
        <w:rPr>
          <w:rFonts w:eastAsia="Calibri" w:cs="Calibri"/>
        </w:rPr>
        <w:t xml:space="preserve">mentary, </w:t>
      </w:r>
      <w:r w:rsidR="64218DD2" w:rsidRPr="30D55201">
        <w:rPr>
          <w:rFonts w:eastAsia="Calibri" w:cs="Calibri"/>
        </w:rPr>
        <w:t>th</w:t>
      </w:r>
      <w:r w:rsidR="4ED04955" w:rsidRPr="30D55201">
        <w:rPr>
          <w:rFonts w:eastAsia="Calibri" w:cs="Calibri"/>
        </w:rPr>
        <w:t>is</w:t>
      </w:r>
      <w:r w:rsidR="009652FF">
        <w:rPr>
          <w:rFonts w:eastAsia="Calibri" w:cs="Calibri"/>
        </w:rPr>
        <w:t xml:space="preserve"> CX</w:t>
      </w:r>
      <w:r w:rsidRPr="6EDE0A44">
        <w:rPr>
          <w:rFonts w:eastAsia="Calibri" w:cs="Calibri"/>
        </w:rPr>
        <w:t xml:space="preserve"> research supported it being presented as an opt-in add-on or secondary option with </w:t>
      </w:r>
      <w:r w:rsidR="7B832CD4" w:rsidRPr="6EDE0A44">
        <w:rPr>
          <w:rFonts w:eastAsia="Calibri" w:cs="Calibri"/>
        </w:rPr>
        <w:t>the ability to actively select</w:t>
      </w:r>
      <w:r w:rsidRPr="6EDE0A44">
        <w:rPr>
          <w:rFonts w:eastAsia="Calibri" w:cs="Calibri"/>
        </w:rPr>
        <w:t>.</w:t>
      </w:r>
    </w:p>
    <w:p w14:paraId="14739A66" w14:textId="77777777" w:rsidR="001F45DC" w:rsidRDefault="001F45DC">
      <w:pPr>
        <w:rPr>
          <w:rFonts w:eastAsia="Calibri" w:cs="Calibri"/>
          <w:b/>
          <w:bCs/>
          <w:i/>
          <w:iCs/>
          <w:color w:val="002760" w:themeColor="accent1"/>
          <w:sz w:val="24"/>
        </w:rPr>
      </w:pPr>
      <w:r>
        <w:rPr>
          <w:rFonts w:eastAsia="Calibri" w:cs="Calibri"/>
        </w:rPr>
        <w:br w:type="page"/>
      </w:r>
    </w:p>
    <w:p w14:paraId="316FEC6C" w14:textId="41DE9E81" w:rsidR="00021874" w:rsidRPr="006E457B" w:rsidRDefault="6B3A43D8" w:rsidP="09F11397">
      <w:pPr>
        <w:pStyle w:val="Heading4"/>
        <w:rPr>
          <w:rFonts w:eastAsia="Calibri" w:cs="Calibri"/>
          <w:i w:val="0"/>
          <w:iCs w:val="0"/>
        </w:rPr>
      </w:pPr>
      <w:r w:rsidRPr="09F11397">
        <w:rPr>
          <w:rFonts w:eastAsia="Calibri" w:cs="Calibri"/>
        </w:rPr>
        <w:lastRenderedPageBreak/>
        <w:t>Proposed approach</w:t>
      </w:r>
    </w:p>
    <w:p w14:paraId="61534C49" w14:textId="77777777" w:rsidR="006F3DCC" w:rsidRPr="005F045C" w:rsidRDefault="16611FFF" w:rsidP="006F3DCC">
      <w:pPr>
        <w:ind w:left="340" w:hanging="340"/>
        <w:rPr>
          <w:rFonts w:cs="Calibri"/>
          <w:b/>
          <w:bCs/>
        </w:rPr>
      </w:pPr>
      <w:r w:rsidRPr="09F11397">
        <w:rPr>
          <w:rFonts w:cs="Calibri"/>
          <w:b/>
          <w:bCs/>
        </w:rPr>
        <w:t>Options to seek consent to terms</w:t>
      </w:r>
    </w:p>
    <w:p w14:paraId="7F97D629" w14:textId="18BA30D7" w:rsidR="00FB6F53" w:rsidRPr="00DF4E61" w:rsidRDefault="00FB6F53" w:rsidP="0C88F1FE">
      <w:pPr>
        <w:rPr>
          <w:rFonts w:eastAsia="Calibri" w:cs="Calibri"/>
          <w:i/>
          <w:iCs/>
        </w:rPr>
      </w:pPr>
      <w:r w:rsidRPr="0C88F1FE">
        <w:rPr>
          <w:rFonts w:eastAsia="Calibri" w:cs="Calibri"/>
          <w:i/>
          <w:iCs/>
        </w:rPr>
        <w:t>Datasets</w:t>
      </w:r>
    </w:p>
    <w:p w14:paraId="5C3EBF3B" w14:textId="0C198D4D" w:rsidR="000572E5" w:rsidRDefault="0513ED4D" w:rsidP="42B6EC73">
      <w:pPr>
        <w:rPr>
          <w:rFonts w:eastAsia="Calibri" w:cs="Calibri"/>
        </w:rPr>
      </w:pPr>
      <w:r w:rsidRPr="52EFCD41">
        <w:rPr>
          <w:rFonts w:eastAsia="Calibri" w:cs="Calibri"/>
        </w:rPr>
        <w:t>We</w:t>
      </w:r>
      <w:r w:rsidR="579A6E39" w:rsidRPr="52EFCD41">
        <w:rPr>
          <w:rFonts w:eastAsia="Calibri" w:cs="Calibri"/>
        </w:rPr>
        <w:t xml:space="preserve"> propose</w:t>
      </w:r>
      <w:r w:rsidR="07481199" w:rsidRPr="52EFCD41">
        <w:rPr>
          <w:rFonts w:eastAsia="Calibri" w:cs="Calibri"/>
        </w:rPr>
        <w:t xml:space="preserve"> that, instead of requiring a consumer to actively select each dataset, ADRs be allowed to </w:t>
      </w:r>
      <w:r w:rsidR="000908C6" w:rsidRPr="52EFCD41">
        <w:rPr>
          <w:rFonts w:eastAsia="Calibri" w:cs="Calibri"/>
        </w:rPr>
        <w:t xml:space="preserve">clearly </w:t>
      </w:r>
      <w:r w:rsidR="00EB1E94">
        <w:rPr>
          <w:rFonts w:eastAsia="Calibri" w:cs="Calibri"/>
        </w:rPr>
        <w:t>indicate</w:t>
      </w:r>
      <w:r w:rsidR="000908C6" w:rsidRPr="52EFCD41">
        <w:rPr>
          <w:rFonts w:eastAsia="Calibri" w:cs="Calibri"/>
        </w:rPr>
        <w:t xml:space="preserve"> </w:t>
      </w:r>
      <w:r w:rsidR="07481199" w:rsidRPr="52EFCD41">
        <w:rPr>
          <w:rFonts w:eastAsia="Calibri" w:cs="Calibri"/>
        </w:rPr>
        <w:t xml:space="preserve">the datasets that are essential for </w:t>
      </w:r>
      <w:r w:rsidR="10A43DCA" w:rsidRPr="52EFCD41">
        <w:rPr>
          <w:rFonts w:eastAsia="Calibri" w:cs="Calibri"/>
        </w:rPr>
        <w:t xml:space="preserve">the </w:t>
      </w:r>
      <w:r w:rsidR="07481199" w:rsidRPr="52EFCD41">
        <w:rPr>
          <w:rFonts w:eastAsia="Calibri" w:cs="Calibri"/>
        </w:rPr>
        <w:t>service to function.</w:t>
      </w:r>
      <w:r w:rsidR="002F3909" w:rsidRPr="32ADD433">
        <w:rPr>
          <w:rFonts w:eastAsia="Calibri" w:cs="Calibri"/>
        </w:rPr>
        <w:t xml:space="preserve"> </w:t>
      </w:r>
      <w:r w:rsidR="00B82038">
        <w:rPr>
          <w:rFonts w:eastAsia="Calibri" w:cs="Calibri"/>
        </w:rPr>
        <w:t>C</w:t>
      </w:r>
      <w:r w:rsidR="006E13BE" w:rsidRPr="32ADD433">
        <w:rPr>
          <w:rFonts w:eastAsia="Calibri" w:cs="Calibri"/>
        </w:rPr>
        <w:t xml:space="preserve">lear </w:t>
      </w:r>
      <w:r w:rsidR="00EB1E94">
        <w:rPr>
          <w:rFonts w:eastAsia="Calibri" w:cs="Calibri"/>
        </w:rPr>
        <w:t>indication</w:t>
      </w:r>
      <w:r w:rsidR="006E13BE" w:rsidRPr="32ADD433">
        <w:rPr>
          <w:rFonts w:eastAsia="Calibri" w:cs="Calibri"/>
        </w:rPr>
        <w:t xml:space="preserve"> </w:t>
      </w:r>
      <w:r w:rsidR="49FB3425" w:rsidRPr="52EFCD41">
        <w:rPr>
          <w:rFonts w:eastAsia="Calibri" w:cs="Calibri"/>
        </w:rPr>
        <w:t xml:space="preserve">of datasets </w:t>
      </w:r>
      <w:r w:rsidR="07481199" w:rsidRPr="52EFCD41">
        <w:rPr>
          <w:rFonts w:eastAsia="Calibri" w:cs="Calibri"/>
        </w:rPr>
        <w:t xml:space="preserve">would only </w:t>
      </w:r>
      <w:r w:rsidR="49FB3425" w:rsidRPr="52EFCD41">
        <w:rPr>
          <w:rFonts w:eastAsia="Calibri" w:cs="Calibri"/>
        </w:rPr>
        <w:t xml:space="preserve">be permitted </w:t>
      </w:r>
      <w:r w:rsidR="07481199" w:rsidRPr="52EFCD41">
        <w:rPr>
          <w:rFonts w:eastAsia="Calibri" w:cs="Calibri"/>
        </w:rPr>
        <w:t xml:space="preserve">if the service could not be delivered without the specified data. </w:t>
      </w:r>
      <w:r w:rsidR="29BD1304" w:rsidRPr="52EFCD41">
        <w:rPr>
          <w:rFonts w:eastAsia="Calibri" w:cs="Calibri"/>
        </w:rPr>
        <w:t xml:space="preserve">ADRs would continue to be </w:t>
      </w:r>
      <w:r w:rsidR="000F742F" w:rsidRPr="4608EF2E">
        <w:rPr>
          <w:rFonts w:eastAsia="Calibri" w:cs="Calibri"/>
        </w:rPr>
        <w:t xml:space="preserve">required </w:t>
      </w:r>
      <w:r w:rsidR="29BD1304" w:rsidRPr="52EFCD41">
        <w:rPr>
          <w:rFonts w:eastAsia="Calibri" w:cs="Calibri"/>
        </w:rPr>
        <w:t xml:space="preserve">to explain to the consumer why the collection </w:t>
      </w:r>
      <w:r w:rsidR="765FEDE6" w:rsidRPr="52EFCD41">
        <w:rPr>
          <w:rFonts w:eastAsia="Calibri" w:cs="Calibri"/>
        </w:rPr>
        <w:t xml:space="preserve">and use </w:t>
      </w:r>
      <w:r w:rsidR="29BD1304" w:rsidRPr="52EFCD41">
        <w:rPr>
          <w:rFonts w:eastAsia="Calibri" w:cs="Calibri"/>
        </w:rPr>
        <w:t xml:space="preserve">of identified datasets is compliant with the data minimisation </w:t>
      </w:r>
      <w:r w:rsidR="16DD1504" w:rsidRPr="52EFCD41">
        <w:rPr>
          <w:rFonts w:eastAsia="Calibri" w:cs="Calibri"/>
        </w:rPr>
        <w:t>principle</w:t>
      </w:r>
      <w:r w:rsidR="29BD1304" w:rsidRPr="52EFCD41">
        <w:rPr>
          <w:rFonts w:eastAsia="Calibri" w:cs="Calibri"/>
        </w:rPr>
        <w:t>.</w:t>
      </w:r>
      <w:r w:rsidRPr="001958B5">
        <w:rPr>
          <w:rFonts w:eastAsia="Calibri" w:cs="Calibri"/>
          <w:vertAlign w:val="superscript"/>
        </w:rPr>
        <w:footnoteReference w:id="33"/>
      </w:r>
      <w:r w:rsidR="29BD1304" w:rsidRPr="52EFCD41">
        <w:rPr>
          <w:rFonts w:eastAsia="Calibri" w:cs="Calibri"/>
        </w:rPr>
        <w:t xml:space="preserve"> </w:t>
      </w:r>
      <w:r w:rsidR="00105968" w:rsidRPr="4EC8F5F4">
        <w:rPr>
          <w:rFonts w:eastAsia="Calibri" w:cs="Calibri"/>
        </w:rPr>
        <w:t xml:space="preserve">See </w:t>
      </w:r>
      <w:hyperlink r:id="rId30" w:history="1">
        <w:r w:rsidR="00105968" w:rsidRPr="00A951FE">
          <w:rPr>
            <w:rStyle w:val="Hyperlink"/>
            <w:rFonts w:eastAsia="Calibri" w:cs="Calibri"/>
          </w:rPr>
          <w:t>wireframe</w:t>
        </w:r>
        <w:r w:rsidR="00EE38E6" w:rsidRPr="00A951FE">
          <w:rPr>
            <w:rStyle w:val="Hyperlink"/>
            <w:rFonts w:eastAsia="Calibri" w:cs="Calibri"/>
          </w:rPr>
          <w:t xml:space="preserve"> 3.1 - clearly indicated datasets</w:t>
        </w:r>
      </w:hyperlink>
      <w:r w:rsidR="00A951FE">
        <w:rPr>
          <w:rFonts w:eastAsia="Calibri" w:cs="Calibri"/>
        </w:rPr>
        <w:t>.</w:t>
      </w:r>
    </w:p>
    <w:p w14:paraId="3FC764A1" w14:textId="5F1574B4" w:rsidR="6B76620B" w:rsidRDefault="51313A10">
      <w:pPr>
        <w:rPr>
          <w:rFonts w:eastAsia="Calibri" w:cs="Calibri"/>
        </w:rPr>
      </w:pPr>
      <w:r w:rsidRPr="4B2D6899">
        <w:rPr>
          <w:rFonts w:eastAsia="Calibri" w:cs="Calibri"/>
        </w:rPr>
        <w:t>Where an ADR requests</w:t>
      </w:r>
      <w:r w:rsidR="6850F2B8" w:rsidRPr="4B2D6899">
        <w:rPr>
          <w:rFonts w:eastAsia="Calibri" w:cs="Calibri"/>
        </w:rPr>
        <w:t xml:space="preserve"> access to data clusters that are not essential for a service to function, these must remain opt-in, </w:t>
      </w:r>
      <w:r w:rsidR="684966A9" w:rsidRPr="4B2D6899">
        <w:rPr>
          <w:rFonts w:eastAsia="Calibri" w:cs="Calibri"/>
        </w:rPr>
        <w:t xml:space="preserve">and therefore </w:t>
      </w:r>
      <w:r w:rsidR="6850F2B8" w:rsidRPr="4B2D6899">
        <w:rPr>
          <w:rFonts w:eastAsia="Calibri" w:cs="Calibri"/>
        </w:rPr>
        <w:t>requir</w:t>
      </w:r>
      <w:r w:rsidR="427BAF16" w:rsidRPr="4B2D6899">
        <w:rPr>
          <w:rFonts w:eastAsia="Calibri" w:cs="Calibri"/>
        </w:rPr>
        <w:t>e</w:t>
      </w:r>
      <w:r w:rsidR="6850F2B8" w:rsidRPr="4B2D6899">
        <w:rPr>
          <w:rFonts w:eastAsia="Calibri" w:cs="Calibri"/>
        </w:rPr>
        <w:t xml:space="preserve"> </w:t>
      </w:r>
      <w:r w:rsidR="684966A9" w:rsidRPr="4B2D6899">
        <w:rPr>
          <w:rFonts w:eastAsia="Calibri" w:cs="Calibri"/>
        </w:rPr>
        <w:t>active selection</w:t>
      </w:r>
      <w:r w:rsidR="1A6672DF" w:rsidRPr="4B2D6899">
        <w:rPr>
          <w:rFonts w:eastAsia="Calibri" w:cs="Calibri"/>
        </w:rPr>
        <w:t xml:space="preserve"> by the </w:t>
      </w:r>
      <w:r w:rsidR="6850F2B8" w:rsidRPr="4B2D6899">
        <w:rPr>
          <w:rFonts w:eastAsia="Calibri" w:cs="Calibri"/>
        </w:rPr>
        <w:t xml:space="preserve">consumer. </w:t>
      </w:r>
      <w:r w:rsidR="3B9B81E8" w:rsidRPr="4B2D6899">
        <w:rPr>
          <w:rFonts w:eastAsia="Calibri" w:cs="Calibri"/>
        </w:rPr>
        <w:t xml:space="preserve">An example may be a </w:t>
      </w:r>
      <w:r w:rsidR="203FDAC6" w:rsidRPr="4B2D6899">
        <w:rPr>
          <w:rFonts w:eastAsia="Calibri" w:cs="Calibri"/>
        </w:rPr>
        <w:t>P</w:t>
      </w:r>
      <w:r w:rsidR="3B9B81E8" w:rsidRPr="4B2D6899">
        <w:rPr>
          <w:rFonts w:eastAsia="Calibri" w:cs="Calibri"/>
        </w:rPr>
        <w:t xml:space="preserve">ersonal </w:t>
      </w:r>
      <w:r w:rsidR="2DF5D0E7" w:rsidRPr="4B2D6899">
        <w:rPr>
          <w:rFonts w:eastAsia="Calibri" w:cs="Calibri"/>
        </w:rPr>
        <w:t>F</w:t>
      </w:r>
      <w:r w:rsidR="36EE3E68" w:rsidRPr="4B2D6899">
        <w:rPr>
          <w:rFonts w:eastAsia="Calibri" w:cs="Calibri"/>
        </w:rPr>
        <w:t xml:space="preserve">inance </w:t>
      </w:r>
      <w:r w:rsidR="1C953FCE" w:rsidRPr="4B2D6899">
        <w:rPr>
          <w:rFonts w:eastAsia="Calibri" w:cs="Calibri"/>
        </w:rPr>
        <w:t>M</w:t>
      </w:r>
      <w:r w:rsidR="36EE3E68" w:rsidRPr="4B2D6899">
        <w:rPr>
          <w:rFonts w:eastAsia="Calibri" w:cs="Calibri"/>
        </w:rPr>
        <w:t>anagement</w:t>
      </w:r>
      <w:r w:rsidR="3B9B81E8" w:rsidRPr="4B2D6899">
        <w:rPr>
          <w:rFonts w:eastAsia="Calibri" w:cs="Calibri"/>
        </w:rPr>
        <w:t xml:space="preserve"> service, where access to the Transaction Details cluster is essential </w:t>
      </w:r>
      <w:r w:rsidR="7517ECDE" w:rsidRPr="4B2D6899">
        <w:rPr>
          <w:rFonts w:eastAsia="Calibri" w:cs="Calibri"/>
        </w:rPr>
        <w:t>for the service to function</w:t>
      </w:r>
      <w:r w:rsidR="00D4491B">
        <w:rPr>
          <w:rFonts w:eastAsia="Calibri" w:cs="Calibri"/>
        </w:rPr>
        <w:t xml:space="preserve">. </w:t>
      </w:r>
      <w:r w:rsidR="00667F47">
        <w:rPr>
          <w:rFonts w:eastAsia="Calibri" w:cs="Calibri"/>
        </w:rPr>
        <w:t>T</w:t>
      </w:r>
      <w:r w:rsidR="3F2FB330" w:rsidRPr="4B2D6899">
        <w:rPr>
          <w:rFonts w:eastAsia="Calibri" w:cs="Calibri"/>
        </w:rPr>
        <w:t xml:space="preserve">he ADR could allow </w:t>
      </w:r>
      <w:r w:rsidR="67041BFE" w:rsidRPr="4B2D6899">
        <w:rPr>
          <w:rFonts w:eastAsia="Calibri" w:cs="Calibri"/>
        </w:rPr>
        <w:t>the</w:t>
      </w:r>
      <w:r w:rsidR="7517ECDE" w:rsidRPr="4B2D6899">
        <w:rPr>
          <w:rFonts w:eastAsia="Calibri" w:cs="Calibri"/>
        </w:rPr>
        <w:t xml:space="preserve"> consumer </w:t>
      </w:r>
      <w:r w:rsidR="67041BFE" w:rsidRPr="4B2D6899">
        <w:rPr>
          <w:rFonts w:eastAsia="Calibri" w:cs="Calibri"/>
        </w:rPr>
        <w:t>to</w:t>
      </w:r>
      <w:r w:rsidR="7517ECDE" w:rsidRPr="4B2D6899">
        <w:rPr>
          <w:rFonts w:eastAsia="Calibri" w:cs="Calibri"/>
        </w:rPr>
        <w:t xml:space="preserve"> optionally choose to share the Direct Debits and Scheduled Payments cluster, which</w:t>
      </w:r>
      <w:r w:rsidR="198D34E1" w:rsidRPr="4B2D6899">
        <w:rPr>
          <w:rFonts w:eastAsia="Calibri" w:cs="Calibri"/>
        </w:rPr>
        <w:t>, while</w:t>
      </w:r>
      <w:r w:rsidR="7517ECDE" w:rsidRPr="4B2D6899">
        <w:rPr>
          <w:rFonts w:eastAsia="Calibri" w:cs="Calibri"/>
        </w:rPr>
        <w:t xml:space="preserve"> not essential for the service to function, would enhance the service if shared.</w:t>
      </w:r>
      <w:r w:rsidR="5F8F4D8B" w:rsidRPr="4B2D6899">
        <w:rPr>
          <w:rFonts w:eastAsia="Calibri" w:cs="Calibri"/>
        </w:rPr>
        <w:t xml:space="preserve"> See</w:t>
      </w:r>
      <w:r w:rsidR="36A7B0E2" w:rsidRPr="4B2D6899">
        <w:rPr>
          <w:rFonts w:eastAsia="Calibri" w:cs="Calibri"/>
        </w:rPr>
        <w:t xml:space="preserve"> </w:t>
      </w:r>
      <w:hyperlink r:id="rId31">
        <w:r w:rsidR="36A7B0E2" w:rsidRPr="4B2D6899">
          <w:rPr>
            <w:rStyle w:val="Hyperlink"/>
          </w:rPr>
          <w:t>wirefram</w:t>
        </w:r>
        <w:bookmarkStart w:id="21" w:name="_Hlt141195421"/>
        <w:r w:rsidR="36A7B0E2" w:rsidRPr="4B2D6899">
          <w:rPr>
            <w:rStyle w:val="Hyperlink"/>
          </w:rPr>
          <w:t>e</w:t>
        </w:r>
        <w:bookmarkEnd w:id="21"/>
        <w:r w:rsidR="36A7B0E2" w:rsidRPr="4B2D6899">
          <w:rPr>
            <w:rStyle w:val="Hyperlink"/>
          </w:rPr>
          <w:t xml:space="preserve"> 3.</w:t>
        </w:r>
        <w:r w:rsidR="1134860B" w:rsidRPr="4B2D6899">
          <w:rPr>
            <w:rStyle w:val="Hyperlink"/>
          </w:rPr>
          <w:t>2a - actively selected optional expansion to consent</w:t>
        </w:r>
      </w:hyperlink>
      <w:r w:rsidR="1134860B" w:rsidRPr="4B2D6899">
        <w:rPr>
          <w:rFonts w:eastAsia="Calibri" w:cs="Calibri"/>
        </w:rPr>
        <w:t xml:space="preserve"> </w:t>
      </w:r>
      <w:r w:rsidR="5F8F4D8B" w:rsidRPr="4B2D6899">
        <w:rPr>
          <w:rFonts w:eastAsia="Calibri" w:cs="Calibri"/>
        </w:rPr>
        <w:t xml:space="preserve">for a visual example. </w:t>
      </w:r>
    </w:p>
    <w:p w14:paraId="5BBDB951" w14:textId="7FD83068" w:rsidR="00FB6F53" w:rsidRPr="00C82A9A" w:rsidRDefault="00FB6F53">
      <w:pPr>
        <w:rPr>
          <w:rFonts w:eastAsia="Calibri" w:cs="Calibri"/>
          <w:i/>
          <w:iCs/>
        </w:rPr>
      </w:pPr>
      <w:r>
        <w:rPr>
          <w:rFonts w:eastAsia="Calibri" w:cs="Calibri"/>
          <w:i/>
          <w:iCs/>
        </w:rPr>
        <w:t>Consent duration</w:t>
      </w:r>
    </w:p>
    <w:p w14:paraId="18ED2DB0" w14:textId="774F4CDF" w:rsidR="6B76620B" w:rsidRDefault="4AB3BA1C">
      <w:pPr>
        <w:rPr>
          <w:rFonts w:eastAsia="Calibri" w:cs="Calibri"/>
        </w:rPr>
      </w:pPr>
      <w:r w:rsidRPr="1CDE0024">
        <w:rPr>
          <w:rFonts w:eastAsia="Calibri" w:cs="Calibri"/>
        </w:rPr>
        <w:t xml:space="preserve">In relation to a consent’s duration, </w:t>
      </w:r>
      <w:r w:rsidR="0BE44E0D" w:rsidRPr="1CDE0024">
        <w:rPr>
          <w:rFonts w:eastAsia="Calibri" w:cs="Calibri"/>
        </w:rPr>
        <w:t>we</w:t>
      </w:r>
      <w:r w:rsidRPr="1CDE0024">
        <w:rPr>
          <w:rFonts w:eastAsia="Calibri" w:cs="Calibri"/>
        </w:rPr>
        <w:t xml:space="preserve"> propose that ADRs be allowed to specify a duration where it is reasonably required for the requested service to function. While some goods and services may be delivered according to a range of durations, others may require specific or minimum durations to function properly. Where a specific duration is </w:t>
      </w:r>
      <w:r w:rsidR="004B7076" w:rsidRPr="1CDE0024">
        <w:rPr>
          <w:rFonts w:eastAsia="Calibri" w:cs="Calibri"/>
        </w:rPr>
        <w:t xml:space="preserve">reasonably required </w:t>
      </w:r>
      <w:r w:rsidRPr="1CDE0024">
        <w:rPr>
          <w:rFonts w:eastAsia="Calibri" w:cs="Calibri"/>
        </w:rPr>
        <w:t xml:space="preserve">for the provision of </w:t>
      </w:r>
      <w:r w:rsidR="00F2383D" w:rsidRPr="1CDE0024">
        <w:rPr>
          <w:rFonts w:eastAsia="Calibri" w:cs="Calibri"/>
        </w:rPr>
        <w:t xml:space="preserve">the </w:t>
      </w:r>
      <w:r w:rsidRPr="1CDE0024">
        <w:rPr>
          <w:rFonts w:eastAsia="Calibri" w:cs="Calibri"/>
        </w:rPr>
        <w:t xml:space="preserve">service, </w:t>
      </w:r>
      <w:r w:rsidR="001875AF" w:rsidRPr="1CDE0024">
        <w:rPr>
          <w:rFonts w:eastAsia="Calibri" w:cs="Calibri"/>
        </w:rPr>
        <w:t>we</w:t>
      </w:r>
      <w:r w:rsidRPr="1CDE0024">
        <w:rPr>
          <w:rFonts w:eastAsia="Calibri" w:cs="Calibri"/>
        </w:rPr>
        <w:t xml:space="preserve"> propose that ADRs be able to clearly indicate the duration without the ability for it to be altered by the consumer, and without the need for the consumer to actively select the specified duration.</w:t>
      </w:r>
      <w:r w:rsidR="31B27E3D" w:rsidRPr="1CDE0024">
        <w:rPr>
          <w:rFonts w:eastAsia="Calibri" w:cs="Calibri"/>
        </w:rPr>
        <w:t xml:space="preserve"> See </w:t>
      </w:r>
      <w:hyperlink r:id="rId32" w:history="1">
        <w:r w:rsidR="733D2434" w:rsidRPr="0047585D">
          <w:rPr>
            <w:rStyle w:val="Hyperlink"/>
          </w:rPr>
          <w:t>wireframe 3.</w:t>
        </w:r>
        <w:r w:rsidR="1F801C73" w:rsidRPr="0047585D">
          <w:rPr>
            <w:rStyle w:val="Hyperlink"/>
          </w:rPr>
          <w:t xml:space="preserve">3 - clearly </w:t>
        </w:r>
        <w:r w:rsidR="006F229F" w:rsidRPr="0047585D">
          <w:rPr>
            <w:rStyle w:val="Hyperlink"/>
          </w:rPr>
          <w:t>in</w:t>
        </w:r>
        <w:bookmarkStart w:id="22" w:name="_Hlt141195556"/>
        <w:r w:rsidR="006F229F" w:rsidRPr="0047585D">
          <w:rPr>
            <w:rStyle w:val="Hyperlink"/>
          </w:rPr>
          <w:t>d</w:t>
        </w:r>
        <w:bookmarkEnd w:id="22"/>
        <w:r w:rsidR="006F229F" w:rsidRPr="0047585D">
          <w:rPr>
            <w:rStyle w:val="Hyperlink"/>
          </w:rPr>
          <w:t>icated</w:t>
        </w:r>
        <w:r w:rsidR="009C0E5D" w:rsidRPr="0047585D">
          <w:rPr>
            <w:rStyle w:val="Hyperlink"/>
          </w:rPr>
          <w:t xml:space="preserve"> </w:t>
        </w:r>
        <w:bookmarkStart w:id="23" w:name="_Hlt141195333"/>
        <w:r w:rsidR="1F801C73" w:rsidRPr="0047585D">
          <w:rPr>
            <w:rStyle w:val="Hyperlink"/>
          </w:rPr>
          <w:t>d</w:t>
        </w:r>
        <w:bookmarkEnd w:id="23"/>
        <w:r w:rsidR="1F801C73" w:rsidRPr="0047585D">
          <w:rPr>
            <w:rStyle w:val="Hyperlink"/>
          </w:rPr>
          <w:t>uration</w:t>
        </w:r>
      </w:hyperlink>
      <w:r w:rsidR="31B27E3D" w:rsidRPr="1CDE0024">
        <w:rPr>
          <w:rFonts w:eastAsia="Calibri" w:cs="Calibri"/>
        </w:rPr>
        <w:t xml:space="preserve"> for </w:t>
      </w:r>
      <w:r w:rsidR="31B27E3D" w:rsidRPr="0FC1EC4D">
        <w:rPr>
          <w:rFonts w:eastAsia="Calibri" w:cs="Calibri"/>
        </w:rPr>
        <w:t>a</w:t>
      </w:r>
      <w:r w:rsidR="31B27E3D" w:rsidRPr="1CDE0024">
        <w:rPr>
          <w:rFonts w:eastAsia="Calibri" w:cs="Calibri"/>
        </w:rPr>
        <w:t xml:space="preserve"> visual example.</w:t>
      </w:r>
      <w:r w:rsidRPr="1CDE0024">
        <w:rPr>
          <w:rFonts w:eastAsia="Calibri" w:cs="Calibri"/>
        </w:rPr>
        <w:t xml:space="preserve"> If an ADR’s offering affords greater flexibility, the ADR may pre-select a reasonable duration alongside alternative durations that a consumer can choose instead.</w:t>
      </w:r>
      <w:r w:rsidR="03D79374" w:rsidRPr="1CDE0024">
        <w:rPr>
          <w:rFonts w:eastAsia="Calibri" w:cs="Calibri"/>
        </w:rPr>
        <w:t xml:space="preserve"> </w:t>
      </w:r>
      <w:r w:rsidR="423B0D44" w:rsidRPr="1CDE0024">
        <w:rPr>
          <w:rFonts w:eastAsia="Calibri" w:cs="Calibri"/>
        </w:rPr>
        <w:t xml:space="preserve">See </w:t>
      </w:r>
      <w:hyperlink r:id="rId33" w:history="1">
        <w:r w:rsidR="2BA6B206" w:rsidRPr="00092519">
          <w:rPr>
            <w:rStyle w:val="Hyperlink"/>
          </w:rPr>
          <w:t>wireframe 3.</w:t>
        </w:r>
        <w:r w:rsidR="706AC7C4" w:rsidRPr="00092519">
          <w:rPr>
            <w:rStyle w:val="Hyperlink"/>
          </w:rPr>
          <w:t>4 - pre-selected an</w:t>
        </w:r>
        <w:r w:rsidR="2BA6B206" w:rsidRPr="00092519">
          <w:rPr>
            <w:rStyle w:val="Hyperlink"/>
          </w:rPr>
          <w:t>d editable duration</w:t>
        </w:r>
      </w:hyperlink>
      <w:r w:rsidR="2BA6B206" w:rsidRPr="1CDE0024">
        <w:rPr>
          <w:rFonts w:eastAsia="Calibri" w:cs="Calibri"/>
        </w:rPr>
        <w:t xml:space="preserve"> </w:t>
      </w:r>
      <w:r w:rsidR="52B6F4D0" w:rsidRPr="1CDE0024">
        <w:rPr>
          <w:rFonts w:eastAsia="Calibri" w:cs="Calibri"/>
        </w:rPr>
        <w:t xml:space="preserve">for a visual example of </w:t>
      </w:r>
      <w:r w:rsidR="238E2048" w:rsidRPr="1CDE0024">
        <w:rPr>
          <w:rFonts w:eastAsia="Calibri" w:cs="Calibri"/>
        </w:rPr>
        <w:t xml:space="preserve">how </w:t>
      </w:r>
      <w:r w:rsidR="52B6F4D0" w:rsidRPr="1CDE0024">
        <w:rPr>
          <w:rFonts w:eastAsia="Calibri" w:cs="Calibri"/>
        </w:rPr>
        <w:t xml:space="preserve">a pre-selected duration with </w:t>
      </w:r>
      <w:r w:rsidR="41B16C8F" w:rsidRPr="1CDE0024">
        <w:rPr>
          <w:rFonts w:eastAsia="Calibri" w:cs="Calibri"/>
        </w:rPr>
        <w:t>consumer control</w:t>
      </w:r>
      <w:r w:rsidR="7A7AA333" w:rsidRPr="1CDE0024">
        <w:rPr>
          <w:rFonts w:eastAsia="Calibri" w:cs="Calibri"/>
        </w:rPr>
        <w:t xml:space="preserve"> to edit could be presented.</w:t>
      </w:r>
    </w:p>
    <w:p w14:paraId="4AFABA6B" w14:textId="0C907659" w:rsidR="00D43AB3" w:rsidRPr="00C251B5" w:rsidRDefault="00197FBB" w:rsidP="00D43AB3">
      <w:pPr>
        <w:rPr>
          <w:rFonts w:eastAsia="Calibri" w:cs="Calibri"/>
          <w:i/>
          <w:iCs/>
        </w:rPr>
      </w:pPr>
      <w:r>
        <w:rPr>
          <w:rFonts w:eastAsia="Calibri" w:cs="Calibri"/>
          <w:i/>
          <w:iCs/>
        </w:rPr>
        <w:t xml:space="preserve">Consent </w:t>
      </w:r>
      <w:r w:rsidR="00B826CC">
        <w:rPr>
          <w:rFonts w:eastAsia="Calibri" w:cs="Calibri"/>
          <w:i/>
          <w:iCs/>
        </w:rPr>
        <w:t>p</w:t>
      </w:r>
      <w:r>
        <w:rPr>
          <w:rFonts w:eastAsia="Calibri" w:cs="Calibri"/>
          <w:i/>
          <w:iCs/>
        </w:rPr>
        <w:t>urpose</w:t>
      </w:r>
    </w:p>
    <w:p w14:paraId="64B7C6E0" w14:textId="50221EAB" w:rsidR="21445345" w:rsidRDefault="21445345">
      <w:r w:rsidRPr="22388F06">
        <w:rPr>
          <w:rFonts w:eastAsia="Calibri" w:cs="Calibri"/>
        </w:rPr>
        <w:t xml:space="preserve">Rather than require each specific </w:t>
      </w:r>
      <w:r w:rsidR="1FEB230D" w:rsidRPr="5B287445">
        <w:rPr>
          <w:rFonts w:eastAsia="Calibri" w:cs="Calibri"/>
        </w:rPr>
        <w:t>use</w:t>
      </w:r>
      <w:r w:rsidR="00965ACF">
        <w:rPr>
          <w:rFonts w:eastAsia="Calibri" w:cs="Calibri"/>
        </w:rPr>
        <w:t xml:space="preserve"> of collected data</w:t>
      </w:r>
      <w:r w:rsidRPr="22388F06">
        <w:rPr>
          <w:rFonts w:eastAsia="Calibri" w:cs="Calibri"/>
        </w:rPr>
        <w:t xml:space="preserve"> to be actively selected</w:t>
      </w:r>
      <w:r w:rsidR="00965ACF">
        <w:rPr>
          <w:rFonts w:eastAsia="Calibri" w:cs="Calibri"/>
        </w:rPr>
        <w:t xml:space="preserve"> by the consumer</w:t>
      </w:r>
      <w:r w:rsidRPr="22388F06">
        <w:rPr>
          <w:rFonts w:eastAsia="Calibri" w:cs="Calibri"/>
        </w:rPr>
        <w:t xml:space="preserve">, </w:t>
      </w:r>
      <w:r w:rsidR="00965ACF" w:rsidRPr="4EC8F5F4">
        <w:rPr>
          <w:rFonts w:eastAsia="Calibri" w:cs="Calibri"/>
        </w:rPr>
        <w:t>we</w:t>
      </w:r>
      <w:r w:rsidRPr="22388F06">
        <w:rPr>
          <w:rFonts w:eastAsia="Calibri" w:cs="Calibri"/>
        </w:rPr>
        <w:t xml:space="preserve"> also </w:t>
      </w:r>
      <w:r w:rsidRPr="4EC8F5F4">
        <w:rPr>
          <w:rFonts w:eastAsia="Calibri" w:cs="Calibri"/>
        </w:rPr>
        <w:t>propose</w:t>
      </w:r>
      <w:r w:rsidRPr="22388F06">
        <w:rPr>
          <w:rFonts w:eastAsia="Calibri" w:cs="Calibri"/>
        </w:rPr>
        <w:t xml:space="preserve"> that ADRs be </w:t>
      </w:r>
      <w:r w:rsidR="003F1620" w:rsidRPr="4EC8F5F4">
        <w:rPr>
          <w:rFonts w:eastAsia="Calibri" w:cs="Calibri"/>
        </w:rPr>
        <w:t>permitted</w:t>
      </w:r>
      <w:r w:rsidRPr="4EC8F5F4">
        <w:rPr>
          <w:rFonts w:eastAsia="Calibri" w:cs="Calibri"/>
        </w:rPr>
        <w:t xml:space="preserve"> </w:t>
      </w:r>
      <w:r w:rsidRPr="22388F06">
        <w:rPr>
          <w:rFonts w:eastAsia="Calibri" w:cs="Calibri"/>
        </w:rPr>
        <w:t>to describe the use</w:t>
      </w:r>
      <w:r w:rsidRPr="22388F06" w:rsidDel="005664A7">
        <w:rPr>
          <w:rFonts w:eastAsia="Calibri" w:cs="Calibri"/>
        </w:rPr>
        <w:t>s</w:t>
      </w:r>
      <w:r w:rsidRPr="22388F06">
        <w:rPr>
          <w:rFonts w:eastAsia="Calibri" w:cs="Calibri"/>
        </w:rPr>
        <w:t xml:space="preserve"> </w:t>
      </w:r>
      <w:r w:rsidR="005664A7">
        <w:rPr>
          <w:rFonts w:eastAsia="Calibri" w:cs="Calibri"/>
        </w:rPr>
        <w:t xml:space="preserve">of CDR data </w:t>
      </w:r>
      <w:r w:rsidRPr="22388F06">
        <w:rPr>
          <w:rFonts w:eastAsia="Calibri" w:cs="Calibri"/>
        </w:rPr>
        <w:t xml:space="preserve">as part of the overarching purpose of the consent. </w:t>
      </w:r>
      <w:r w:rsidR="005E000B">
        <w:rPr>
          <w:rFonts w:eastAsia="Calibri" w:cs="Calibri"/>
        </w:rPr>
        <w:t>Consistent with the objects of consent</w:t>
      </w:r>
      <w:r w:rsidR="007A1733">
        <w:rPr>
          <w:rFonts w:eastAsia="Calibri" w:cs="Calibri"/>
        </w:rPr>
        <w:t xml:space="preserve"> and the data minimisation principle</w:t>
      </w:r>
      <w:r w:rsidR="005E000B">
        <w:rPr>
          <w:rFonts w:eastAsia="Calibri" w:cs="Calibri"/>
        </w:rPr>
        <w:t xml:space="preserve">, </w:t>
      </w:r>
      <w:r w:rsidR="005E000B" w:rsidRPr="4EC8F5F4">
        <w:rPr>
          <w:rFonts w:eastAsia="Calibri" w:cs="Calibri"/>
        </w:rPr>
        <w:t>t</w:t>
      </w:r>
      <w:r w:rsidRPr="4EC8F5F4">
        <w:rPr>
          <w:rFonts w:eastAsia="Calibri" w:cs="Calibri"/>
        </w:rPr>
        <w:t>his</w:t>
      </w:r>
      <w:r w:rsidRPr="22388F06">
        <w:rPr>
          <w:rFonts w:eastAsia="Calibri" w:cs="Calibri"/>
        </w:rPr>
        <w:t xml:space="preserve"> must be done in a way that is specific and unambiguous and would only </w:t>
      </w:r>
      <w:r w:rsidR="00137DD3" w:rsidRPr="4EC8F5F4">
        <w:rPr>
          <w:rFonts w:eastAsia="Calibri" w:cs="Calibri"/>
        </w:rPr>
        <w:t>allow</w:t>
      </w:r>
      <w:r w:rsidR="00137DD3">
        <w:rPr>
          <w:rFonts w:eastAsia="Calibri" w:cs="Calibri"/>
        </w:rPr>
        <w:t xml:space="preserve"> the </w:t>
      </w:r>
      <w:r w:rsidR="004A3F81">
        <w:rPr>
          <w:rFonts w:eastAsia="Calibri" w:cs="Calibri"/>
        </w:rPr>
        <w:t xml:space="preserve">collection and use of CDR data that </w:t>
      </w:r>
      <w:r w:rsidR="00253A85">
        <w:rPr>
          <w:rFonts w:eastAsia="Calibri" w:cs="Calibri"/>
        </w:rPr>
        <w:t xml:space="preserve">it </w:t>
      </w:r>
      <w:r w:rsidR="004A3F81">
        <w:rPr>
          <w:rFonts w:eastAsia="Calibri" w:cs="Calibri"/>
        </w:rPr>
        <w:t xml:space="preserve">is </w:t>
      </w:r>
      <w:r w:rsidR="00253A85">
        <w:rPr>
          <w:rFonts w:eastAsia="Calibri" w:cs="Calibri"/>
        </w:rPr>
        <w:t>reasonably needed for</w:t>
      </w:r>
      <w:r w:rsidRPr="22388F06">
        <w:rPr>
          <w:rFonts w:eastAsia="Calibri" w:cs="Calibri"/>
        </w:rPr>
        <w:t xml:space="preserve"> the provision of the good or service. An ADR may choose to elaborate on how the data will be used in addition to the overarching purpose, which may include a description of how each data cluster will be used, if there is differentiation, or a more detailed explanation of the uses to which all data will be put.</w:t>
      </w:r>
    </w:p>
    <w:p w14:paraId="4D6D485F" w14:textId="788C15A7" w:rsidR="00637E28" w:rsidRDefault="577756CF" w:rsidP="45483ECF">
      <w:pPr>
        <w:rPr>
          <w:rFonts w:eastAsia="Calibri" w:cs="Calibri"/>
        </w:rPr>
      </w:pPr>
      <w:r w:rsidRPr="734AE715">
        <w:rPr>
          <w:rFonts w:eastAsia="Calibri" w:cs="Calibri"/>
        </w:rPr>
        <w:t xml:space="preserve">An ADR </w:t>
      </w:r>
      <w:r w:rsidR="638E5063" w:rsidRPr="734AE715">
        <w:rPr>
          <w:rFonts w:eastAsia="Calibri" w:cs="Calibri"/>
        </w:rPr>
        <w:t>may</w:t>
      </w:r>
      <w:r w:rsidRPr="734AE715">
        <w:rPr>
          <w:rFonts w:eastAsia="Calibri" w:cs="Calibri"/>
        </w:rPr>
        <w:t xml:space="preserve"> </w:t>
      </w:r>
      <w:r w:rsidR="3FCBEA68" w:rsidRPr="734AE715">
        <w:rPr>
          <w:rFonts w:eastAsia="Calibri" w:cs="Calibri"/>
        </w:rPr>
        <w:t>also</w:t>
      </w:r>
      <w:r w:rsidR="2E066DC2" w:rsidRPr="734AE715">
        <w:rPr>
          <w:rFonts w:eastAsia="Calibri" w:cs="Calibri"/>
        </w:rPr>
        <w:t xml:space="preserve"> </w:t>
      </w:r>
      <w:r w:rsidR="2CAF7E98" w:rsidRPr="734AE715">
        <w:rPr>
          <w:rFonts w:eastAsia="Calibri" w:cs="Calibri"/>
        </w:rPr>
        <w:t xml:space="preserve">describe optional </w:t>
      </w:r>
      <w:r w:rsidR="2D501E09" w:rsidRPr="734AE715">
        <w:rPr>
          <w:rFonts w:eastAsia="Calibri" w:cs="Calibri"/>
        </w:rPr>
        <w:t xml:space="preserve">features </w:t>
      </w:r>
      <w:r w:rsidR="77BD5789" w:rsidRPr="734AE715">
        <w:rPr>
          <w:rFonts w:eastAsia="Calibri" w:cs="Calibri"/>
        </w:rPr>
        <w:t>that the consumer may select when providing a consent</w:t>
      </w:r>
      <w:r w:rsidR="0F47D653" w:rsidRPr="734AE715">
        <w:rPr>
          <w:rFonts w:eastAsia="Calibri" w:cs="Calibri"/>
        </w:rPr>
        <w:t xml:space="preserve">, </w:t>
      </w:r>
      <w:r w:rsidR="45BF55F9" w:rsidRPr="734AE715">
        <w:rPr>
          <w:rFonts w:eastAsia="Calibri" w:cs="Calibri"/>
        </w:rPr>
        <w:t xml:space="preserve">which </w:t>
      </w:r>
      <w:r w:rsidR="23C9227D" w:rsidRPr="734AE715">
        <w:rPr>
          <w:rFonts w:eastAsia="Calibri" w:cs="Calibri"/>
        </w:rPr>
        <w:t xml:space="preserve">the ADR </w:t>
      </w:r>
      <w:r w:rsidR="6FF3F63A" w:rsidRPr="734AE715">
        <w:rPr>
          <w:rFonts w:eastAsia="Calibri" w:cs="Calibri"/>
        </w:rPr>
        <w:t xml:space="preserve">may </w:t>
      </w:r>
      <w:r w:rsidR="6DC947BF" w:rsidRPr="734AE715">
        <w:rPr>
          <w:rFonts w:eastAsia="Calibri" w:cs="Calibri"/>
        </w:rPr>
        <w:t xml:space="preserve">allow the consumer to </w:t>
      </w:r>
      <w:r w:rsidR="50DB255D" w:rsidRPr="734AE715">
        <w:rPr>
          <w:rFonts w:eastAsia="Calibri" w:cs="Calibri"/>
        </w:rPr>
        <w:t xml:space="preserve">separately </w:t>
      </w:r>
      <w:r w:rsidR="18A58A64" w:rsidRPr="734AE715">
        <w:rPr>
          <w:rFonts w:eastAsia="Calibri" w:cs="Calibri"/>
        </w:rPr>
        <w:t>withdraw or manage.</w:t>
      </w:r>
      <w:r w:rsidR="343B659B" w:rsidRPr="734AE715">
        <w:rPr>
          <w:rFonts w:eastAsia="Calibri" w:cs="Calibri"/>
        </w:rPr>
        <w:t xml:space="preserve"> </w:t>
      </w:r>
      <w:r w:rsidR="00B67EF7">
        <w:rPr>
          <w:rFonts w:eastAsia="Calibri" w:cs="Calibri"/>
        </w:rPr>
        <w:t>As these are option</w:t>
      </w:r>
      <w:r w:rsidR="00556505">
        <w:rPr>
          <w:rFonts w:eastAsia="Calibri" w:cs="Calibri"/>
        </w:rPr>
        <w:t xml:space="preserve">al features, they would need to be </w:t>
      </w:r>
      <w:r w:rsidR="00E16DE3">
        <w:rPr>
          <w:rFonts w:eastAsia="Calibri" w:cs="Calibri"/>
        </w:rPr>
        <w:t>actively selected by the consumer</w:t>
      </w:r>
      <w:r w:rsidR="006953D7">
        <w:rPr>
          <w:rFonts w:eastAsia="Calibri" w:cs="Calibri"/>
        </w:rPr>
        <w:t>.</w:t>
      </w:r>
      <w:r w:rsidR="00B67EF7" w:rsidRPr="734AE715">
        <w:rPr>
          <w:rFonts w:eastAsia="Calibri" w:cs="Calibri"/>
        </w:rPr>
        <w:t xml:space="preserve"> </w:t>
      </w:r>
      <w:r w:rsidR="211B0AA9" w:rsidRPr="5B287445">
        <w:rPr>
          <w:rFonts w:eastAsia="Calibri" w:cs="Calibri"/>
        </w:rPr>
        <w:t>See</w:t>
      </w:r>
      <w:r w:rsidR="7B5E0759" w:rsidRPr="5B287445">
        <w:rPr>
          <w:rFonts w:eastAsia="Calibri" w:cs="Calibri"/>
        </w:rPr>
        <w:t xml:space="preserve"> </w:t>
      </w:r>
      <w:hyperlink r:id="rId34">
        <w:r w:rsidR="78501B38" w:rsidRPr="5B287445">
          <w:rPr>
            <w:rStyle w:val="Hyperlink"/>
            <w:rFonts w:cs="Calibri"/>
          </w:rPr>
          <w:t>wireframes 3.2a-c – actively selected option</w:t>
        </w:r>
        <w:bookmarkStart w:id="24" w:name="_Hlt141195755"/>
        <w:r w:rsidR="78501B38" w:rsidRPr="5B287445">
          <w:rPr>
            <w:rStyle w:val="Hyperlink"/>
            <w:rFonts w:cs="Calibri"/>
          </w:rPr>
          <w:t>a</w:t>
        </w:r>
        <w:bookmarkEnd w:id="24"/>
        <w:r w:rsidR="78501B38" w:rsidRPr="5B287445">
          <w:rPr>
            <w:rStyle w:val="Hyperlink"/>
            <w:rFonts w:cs="Calibri"/>
          </w:rPr>
          <w:t>l expansion to consent</w:t>
        </w:r>
      </w:hyperlink>
      <w:r w:rsidR="7B5E0759" w:rsidRPr="5B287445">
        <w:rPr>
          <w:rFonts w:eastAsia="Calibri" w:cs="Calibri"/>
        </w:rPr>
        <w:t xml:space="preserve"> </w:t>
      </w:r>
      <w:r w:rsidR="343B659B" w:rsidRPr="734AE715">
        <w:rPr>
          <w:rFonts w:eastAsia="Calibri" w:cs="Calibri"/>
        </w:rPr>
        <w:t>for visual example</w:t>
      </w:r>
      <w:r w:rsidR="6DA5242C" w:rsidRPr="734AE715">
        <w:rPr>
          <w:rFonts w:eastAsia="Calibri" w:cs="Calibri"/>
        </w:rPr>
        <w:t xml:space="preserve">s </w:t>
      </w:r>
      <w:r w:rsidR="343B659B" w:rsidRPr="734AE715">
        <w:rPr>
          <w:rFonts w:eastAsia="Calibri" w:cs="Calibri"/>
        </w:rPr>
        <w:t xml:space="preserve">of how </w:t>
      </w:r>
      <w:r w:rsidR="2EBD7328" w:rsidRPr="734AE715">
        <w:rPr>
          <w:rFonts w:eastAsia="Calibri" w:cs="Calibri"/>
        </w:rPr>
        <w:t>different expansions to the consent could be presented.</w:t>
      </w:r>
    </w:p>
    <w:p w14:paraId="19CFD9C9" w14:textId="27FADFB4" w:rsidR="00A83BBD" w:rsidRDefault="7ACEAC52" w:rsidP="0060195F">
      <w:pPr>
        <w:rPr>
          <w:rStyle w:val="notion-enable-hover"/>
          <w:rFonts w:cs="Calibri"/>
          <w:b/>
          <w:bCs/>
        </w:rPr>
      </w:pPr>
      <w:r w:rsidRPr="09F11397">
        <w:rPr>
          <w:rStyle w:val="notion-enable-hover"/>
          <w:rFonts w:cs="Calibri"/>
          <w:b/>
          <w:bCs/>
        </w:rPr>
        <w:lastRenderedPageBreak/>
        <w:t>Amending consents</w:t>
      </w:r>
    </w:p>
    <w:p w14:paraId="5C7C18F4" w14:textId="361933A6" w:rsidR="00A63EB4" w:rsidRDefault="4FE775A6" w:rsidP="6EDE0A44">
      <w:pPr>
        <w:rPr>
          <w:rFonts w:eastAsia="Calibri" w:cs="Calibri"/>
        </w:rPr>
      </w:pPr>
      <w:r w:rsidRPr="6EDE0A44">
        <w:rPr>
          <w:rFonts w:eastAsia="Calibri" w:cs="Calibri"/>
        </w:rPr>
        <w:t xml:space="preserve">Currently, the </w:t>
      </w:r>
      <w:r w:rsidR="40F6EF42" w:rsidRPr="6EDE0A44">
        <w:rPr>
          <w:rFonts w:eastAsia="Calibri" w:cs="Calibri"/>
        </w:rPr>
        <w:t>CDR R</w:t>
      </w:r>
      <w:r w:rsidRPr="6EDE0A44">
        <w:rPr>
          <w:rFonts w:eastAsia="Calibri" w:cs="Calibri"/>
        </w:rPr>
        <w:t>ules allow ADRs to pre-select certain options when inviting</w:t>
      </w:r>
      <w:r w:rsidR="005F3124" w:rsidRPr="32ADD433">
        <w:rPr>
          <w:rFonts w:eastAsia="Calibri" w:cs="Calibri"/>
        </w:rPr>
        <w:t xml:space="preserve"> or allowing</w:t>
      </w:r>
      <w:r w:rsidRPr="6EDE0A44">
        <w:rPr>
          <w:rFonts w:eastAsia="Calibri" w:cs="Calibri"/>
        </w:rPr>
        <w:t xml:space="preserve"> a consumer to amend an existing consent. This includes the </w:t>
      </w:r>
      <w:r w:rsidR="00A41470" w:rsidRPr="32ADD433">
        <w:rPr>
          <w:rFonts w:eastAsia="Calibri" w:cs="Calibri"/>
        </w:rPr>
        <w:t>pre</w:t>
      </w:r>
      <w:r w:rsidR="00A6412E">
        <w:rPr>
          <w:rFonts w:eastAsia="Calibri" w:cs="Calibri"/>
        </w:rPr>
        <w:t>-</w:t>
      </w:r>
      <w:r w:rsidR="00A41470" w:rsidRPr="32ADD433">
        <w:rPr>
          <w:rFonts w:eastAsia="Calibri" w:cs="Calibri"/>
        </w:rPr>
        <w:t xml:space="preserve">selection of </w:t>
      </w:r>
      <w:r w:rsidRPr="6EDE0A44">
        <w:rPr>
          <w:rFonts w:eastAsia="Calibri" w:cs="Calibri"/>
        </w:rPr>
        <w:t xml:space="preserve">datasets the consumer has already given the ADR consent to access, the duration that </w:t>
      </w:r>
      <w:r w:rsidR="4E7B649D" w:rsidRPr="6EDE0A44">
        <w:rPr>
          <w:rFonts w:eastAsia="Calibri" w:cs="Calibri"/>
        </w:rPr>
        <w:t xml:space="preserve">applies </w:t>
      </w:r>
      <w:r w:rsidRPr="6EDE0A44">
        <w:rPr>
          <w:rFonts w:eastAsia="Calibri" w:cs="Calibri"/>
        </w:rPr>
        <w:t xml:space="preserve">to the consent, and the person </w:t>
      </w:r>
      <w:r w:rsidR="4E1E34EF" w:rsidRPr="6EDE0A44">
        <w:rPr>
          <w:rFonts w:eastAsia="Calibri" w:cs="Calibri"/>
        </w:rPr>
        <w:t>selected for a</w:t>
      </w:r>
      <w:r w:rsidRPr="6EDE0A44">
        <w:rPr>
          <w:rFonts w:eastAsia="Calibri" w:cs="Calibri"/>
        </w:rPr>
        <w:t xml:space="preserve"> disclosure consent.</w:t>
      </w:r>
      <w:r w:rsidR="003D0121">
        <w:rPr>
          <w:rStyle w:val="FootnoteReference"/>
          <w:rFonts w:eastAsia="Calibri" w:cs="Calibri"/>
        </w:rPr>
        <w:footnoteReference w:id="34"/>
      </w:r>
      <w:r w:rsidRPr="6EDE0A44">
        <w:rPr>
          <w:rFonts w:eastAsia="Calibri" w:cs="Calibri"/>
        </w:rPr>
        <w:t xml:space="preserve"> </w:t>
      </w:r>
      <w:r w:rsidR="2C514CEB" w:rsidRPr="6EDE0A44">
        <w:rPr>
          <w:rFonts w:eastAsia="Calibri" w:cs="Calibri"/>
        </w:rPr>
        <w:t>New datasets or terms cannot be pre</w:t>
      </w:r>
      <w:r w:rsidR="5613C546" w:rsidRPr="6EDE0A44">
        <w:rPr>
          <w:rFonts w:eastAsia="Calibri" w:cs="Calibri"/>
        </w:rPr>
        <w:t>-</w:t>
      </w:r>
      <w:r w:rsidR="2C514CEB" w:rsidRPr="6EDE0A44">
        <w:rPr>
          <w:rFonts w:eastAsia="Calibri" w:cs="Calibri"/>
        </w:rPr>
        <w:t xml:space="preserve">selected; they must be actively selected by the consumer. </w:t>
      </w:r>
    </w:p>
    <w:p w14:paraId="669E1518" w14:textId="334BB4AF" w:rsidR="00A63EB4" w:rsidRDefault="2C514CEB" w:rsidP="09F11397">
      <w:pPr>
        <w:rPr>
          <w:rFonts w:eastAsia="Calibri" w:cs="Calibri"/>
        </w:rPr>
      </w:pPr>
      <w:r w:rsidRPr="6EDE0A44">
        <w:rPr>
          <w:rFonts w:eastAsia="Calibri" w:cs="Calibri"/>
        </w:rPr>
        <w:t xml:space="preserve">This approach highlights to the consumer what was previously </w:t>
      </w:r>
      <w:proofErr w:type="gramStart"/>
      <w:r w:rsidRPr="6EDE0A44">
        <w:rPr>
          <w:rFonts w:eastAsia="Calibri" w:cs="Calibri"/>
        </w:rPr>
        <w:t>agreed</w:t>
      </w:r>
      <w:proofErr w:type="gramEnd"/>
      <w:r w:rsidRPr="6EDE0A44">
        <w:rPr>
          <w:rFonts w:eastAsia="Calibri" w:cs="Calibri"/>
        </w:rPr>
        <w:t xml:space="preserve"> and any new terms being proposed. </w:t>
      </w:r>
      <w:r w:rsidR="3FF51BE7" w:rsidRPr="6EDE0A44">
        <w:rPr>
          <w:rFonts w:eastAsia="Calibri" w:cs="Calibri"/>
        </w:rPr>
        <w:t xml:space="preserve">However, this approach may be impacted by </w:t>
      </w:r>
      <w:r w:rsidRPr="6EDE0A44">
        <w:rPr>
          <w:rFonts w:eastAsia="Calibri" w:cs="Calibri"/>
        </w:rPr>
        <w:t xml:space="preserve">the bundling and pre-selection proposals. </w:t>
      </w:r>
      <w:r w:rsidR="4FE775A6" w:rsidRPr="6EDE0A44">
        <w:rPr>
          <w:rFonts w:eastAsia="Calibri" w:cs="Calibri"/>
        </w:rPr>
        <w:t xml:space="preserve">This is </w:t>
      </w:r>
      <w:r w:rsidR="2F44594D" w:rsidRPr="6EDE0A44">
        <w:rPr>
          <w:rFonts w:eastAsia="Calibri" w:cs="Calibri"/>
        </w:rPr>
        <w:t>because</w:t>
      </w:r>
      <w:r w:rsidR="2A8088B3" w:rsidRPr="6EDE0A44">
        <w:rPr>
          <w:rFonts w:eastAsia="Calibri" w:cs="Calibri"/>
        </w:rPr>
        <w:t xml:space="preserve"> any</w:t>
      </w:r>
      <w:r w:rsidR="4FE775A6" w:rsidRPr="6EDE0A44">
        <w:rPr>
          <w:rFonts w:eastAsia="Calibri" w:cs="Calibri"/>
        </w:rPr>
        <w:t xml:space="preserve"> pre-selected options in an amending consent request would no longer </w:t>
      </w:r>
      <w:r w:rsidR="3BB7A7E1" w:rsidRPr="6EDE0A44">
        <w:rPr>
          <w:rFonts w:eastAsia="Calibri" w:cs="Calibri"/>
        </w:rPr>
        <w:t xml:space="preserve">clearly </w:t>
      </w:r>
      <w:r w:rsidR="62C3142E" w:rsidRPr="6EDE0A44">
        <w:rPr>
          <w:rFonts w:eastAsia="Calibri" w:cs="Calibri"/>
        </w:rPr>
        <w:t xml:space="preserve">differentiate options the consumer </w:t>
      </w:r>
      <w:r w:rsidR="4FE775A6" w:rsidRPr="6EDE0A44">
        <w:rPr>
          <w:rFonts w:eastAsia="Calibri" w:cs="Calibri"/>
        </w:rPr>
        <w:t xml:space="preserve">had previously </w:t>
      </w:r>
      <w:r w:rsidR="1575F2E8" w:rsidRPr="6EDE0A44">
        <w:rPr>
          <w:rFonts w:eastAsia="Calibri" w:cs="Calibri"/>
        </w:rPr>
        <w:t xml:space="preserve">consented to </w:t>
      </w:r>
      <w:r w:rsidR="2D890637" w:rsidRPr="6EDE0A44">
        <w:rPr>
          <w:rFonts w:eastAsia="Calibri" w:cs="Calibri"/>
        </w:rPr>
        <w:t>from newly proposed options</w:t>
      </w:r>
      <w:r w:rsidR="2F44594D" w:rsidRPr="6EDE0A44">
        <w:rPr>
          <w:rFonts w:eastAsia="Calibri" w:cs="Calibri"/>
        </w:rPr>
        <w:t xml:space="preserve">. </w:t>
      </w:r>
    </w:p>
    <w:p w14:paraId="07536EFD" w14:textId="7A5F6354" w:rsidR="09F11397" w:rsidRDefault="4C079AF3" w:rsidP="09F11397">
      <w:pPr>
        <w:rPr>
          <w:rFonts w:eastAsia="Calibri" w:cs="Calibri"/>
        </w:rPr>
      </w:pPr>
      <w:r w:rsidRPr="09F11397">
        <w:rPr>
          <w:rFonts w:eastAsia="Calibri" w:cs="Calibri"/>
        </w:rPr>
        <w:t xml:space="preserve">To address this issue, </w:t>
      </w:r>
      <w:r w:rsidR="005C3852">
        <w:rPr>
          <w:rFonts w:eastAsia="Calibri" w:cs="Calibri"/>
        </w:rPr>
        <w:t>we</w:t>
      </w:r>
      <w:r w:rsidRPr="09F11397">
        <w:rPr>
          <w:rFonts w:eastAsia="Calibri" w:cs="Calibri"/>
        </w:rPr>
        <w:t xml:space="preserve"> propose that ADRs be required to indicate any new or amended terms in the amending consent request, but that ADRs still be allowed to pre-select or clearly indicate any additional datasets that are required for the </w:t>
      </w:r>
      <w:r w:rsidR="2EBB6AD9" w:rsidRPr="30D55201">
        <w:rPr>
          <w:rFonts w:eastAsia="Calibri" w:cs="Calibri"/>
        </w:rPr>
        <w:t xml:space="preserve">amended </w:t>
      </w:r>
      <w:r w:rsidRPr="09F11397">
        <w:rPr>
          <w:rFonts w:eastAsia="Calibri" w:cs="Calibri"/>
        </w:rPr>
        <w:t xml:space="preserve">service. Equivalent requirements for data holders already exist in the </w:t>
      </w:r>
      <w:r w:rsidR="007B1E47">
        <w:t>CX standards for amending authorisations</w:t>
      </w:r>
      <w:r w:rsidRPr="09F11397">
        <w:rPr>
          <w:rFonts w:eastAsia="Calibri" w:cs="Calibri"/>
        </w:rPr>
        <w:t>, where amended attributes must be indicated in the authorisation flow.</w:t>
      </w:r>
      <w:r w:rsidR="007B1E47">
        <w:rPr>
          <w:rStyle w:val="FootnoteReference"/>
          <w:rFonts w:eastAsia="Calibri" w:cs="Calibri"/>
        </w:rPr>
        <w:footnoteReference w:id="35"/>
      </w:r>
      <w:r w:rsidR="0006022C">
        <w:rPr>
          <w:rFonts w:eastAsia="Calibri" w:cs="Calibri"/>
        </w:rPr>
        <w:br/>
      </w:r>
    </w:p>
    <w:tbl>
      <w:tblPr>
        <w:tblStyle w:val="TableGrid1"/>
        <w:tblW w:w="0" w:type="auto"/>
        <w:tblCellMar>
          <w:top w:w="85" w:type="dxa"/>
          <w:bottom w:w="85" w:type="dxa"/>
        </w:tblCellMar>
        <w:tblLook w:val="0600" w:firstRow="0" w:lastRow="0" w:firstColumn="0" w:lastColumn="0" w:noHBand="1" w:noVBand="1"/>
      </w:tblPr>
      <w:tblGrid>
        <w:gridCol w:w="9016"/>
      </w:tblGrid>
      <w:tr w:rsidR="00964990" w14:paraId="44AA0B49" w14:textId="77777777" w:rsidTr="6EDE0A44">
        <w:tc>
          <w:tcPr>
            <w:tcW w:w="9016" w:type="dxa"/>
          </w:tcPr>
          <w:p w14:paraId="30F188A1" w14:textId="5C98F8CC" w:rsidR="00964990" w:rsidRPr="00B836A6" w:rsidRDefault="2EA8C5C8" w:rsidP="001B0330">
            <w:pPr>
              <w:rPr>
                <w:rFonts w:cs="Calibri"/>
                <w:b/>
                <w:bCs/>
              </w:rPr>
            </w:pPr>
            <w:r w:rsidRPr="4B2D6899">
              <w:rPr>
                <w:rFonts w:cs="Calibri"/>
                <w:b/>
                <w:bCs/>
              </w:rPr>
              <w:t>Consultation questions</w:t>
            </w:r>
          </w:p>
          <w:p w14:paraId="3C113A7E" w14:textId="489CF836" w:rsidR="00094E2B" w:rsidRDefault="1941F1F9" w:rsidP="00094E2B">
            <w:pPr>
              <w:pStyle w:val="ListParagraph"/>
            </w:pPr>
            <w:r>
              <w:t xml:space="preserve">Do you support the ability for ADRs to </w:t>
            </w:r>
            <w:r w:rsidR="06FE36EF">
              <w:t xml:space="preserve">pre-select </w:t>
            </w:r>
            <w:r w:rsidR="00224C83">
              <w:t xml:space="preserve">or clearly </w:t>
            </w:r>
            <w:r w:rsidR="00BE69E5">
              <w:t>indicate</w:t>
            </w:r>
            <w:r w:rsidR="00224C83">
              <w:t xml:space="preserve"> </w:t>
            </w:r>
            <w:r w:rsidR="6BECB0D7">
              <w:t>dataset</w:t>
            </w:r>
            <w:r w:rsidR="00117C0D">
              <w:t>s</w:t>
            </w:r>
            <w:r w:rsidR="6BECB0D7">
              <w:t>, specified uses and</w:t>
            </w:r>
            <w:r w:rsidR="1C3B98BB">
              <w:t xml:space="preserve"> consent</w:t>
            </w:r>
            <w:r w:rsidR="6BECB0D7">
              <w:t xml:space="preserve"> durations </w:t>
            </w:r>
            <w:r w:rsidR="06FE36EF">
              <w:t xml:space="preserve">where </w:t>
            </w:r>
            <w:r w:rsidR="46B4996E">
              <w:t xml:space="preserve">their selection is </w:t>
            </w:r>
            <w:r w:rsidR="06FE36EF">
              <w:t>essential for the service?</w:t>
            </w:r>
            <w:r w:rsidR="00E95CE7">
              <w:t xml:space="preserve"> </w:t>
            </w:r>
            <w:r w:rsidR="003D06EE">
              <w:t xml:space="preserve">Do you consider the proposal strikes the right balance to </w:t>
            </w:r>
            <w:r w:rsidR="000A415D">
              <w:t xml:space="preserve">reduce cognitive load while maintaining </w:t>
            </w:r>
            <w:r w:rsidR="003D06EE">
              <w:t>informed consumer consent?</w:t>
            </w:r>
          </w:p>
          <w:p w14:paraId="7D87252C" w14:textId="7FCAB1CB" w:rsidR="00964990" w:rsidRPr="00964990" w:rsidRDefault="00613ABF" w:rsidP="00736DBC">
            <w:pPr>
              <w:pStyle w:val="ListParagraph"/>
            </w:pPr>
            <w:r>
              <w:t xml:space="preserve">Are there specific </w:t>
            </w:r>
            <w:r w:rsidR="008F7E3C">
              <w:t xml:space="preserve">design patterns or </w:t>
            </w:r>
            <w:r>
              <w:t xml:space="preserve">approaches </w:t>
            </w:r>
            <w:r w:rsidR="00765C56">
              <w:t xml:space="preserve">that you support </w:t>
            </w:r>
            <w:r w:rsidR="00C84720">
              <w:t xml:space="preserve">to </w:t>
            </w:r>
            <w:r w:rsidR="00B56845">
              <w:t>ensur</w:t>
            </w:r>
            <w:r w:rsidR="00765C56">
              <w:t>e</w:t>
            </w:r>
            <w:r w:rsidR="00B56845">
              <w:t xml:space="preserve"> that </w:t>
            </w:r>
            <w:r w:rsidR="0063153A">
              <w:t>the data</w:t>
            </w:r>
            <w:r w:rsidR="00485D20">
              <w:t xml:space="preserve"> </w:t>
            </w:r>
            <w:r w:rsidR="00C91BDA">
              <w:t xml:space="preserve">types </w:t>
            </w:r>
            <w:r w:rsidR="00765C56">
              <w:t xml:space="preserve">and </w:t>
            </w:r>
            <w:r w:rsidR="00485D20">
              <w:t xml:space="preserve">consent </w:t>
            </w:r>
            <w:r w:rsidR="0063153A">
              <w:t>duration</w:t>
            </w:r>
            <w:r w:rsidR="0031117B">
              <w:t xml:space="preserve"> </w:t>
            </w:r>
            <w:r w:rsidR="00765C56">
              <w:t>are</w:t>
            </w:r>
            <w:r w:rsidR="00843953">
              <w:t xml:space="preserve"> </w:t>
            </w:r>
            <w:r w:rsidR="00FB0404">
              <w:t>clear</w:t>
            </w:r>
            <w:r w:rsidR="00F32459">
              <w:t xml:space="preserve"> to the consumer</w:t>
            </w:r>
            <w:r w:rsidR="00765C56">
              <w:t xml:space="preserve"> in the consent</w:t>
            </w:r>
            <w:r w:rsidR="00F32459">
              <w:t>?</w:t>
            </w:r>
          </w:p>
        </w:tc>
      </w:tr>
    </w:tbl>
    <w:p w14:paraId="194054C6" w14:textId="09A213BF" w:rsidR="00032D54" w:rsidRPr="00284667" w:rsidRDefault="7035C8C8" w:rsidP="00284667">
      <w:pPr>
        <w:pStyle w:val="Heading2"/>
        <w:rPr>
          <w:bCs w:val="0"/>
        </w:rPr>
      </w:pPr>
      <w:bookmarkStart w:id="25" w:name="_Toc142317579"/>
      <w:bookmarkStart w:id="26" w:name="_Toc143705085"/>
      <w:r w:rsidRPr="00284667">
        <w:rPr>
          <w:bCs w:val="0"/>
        </w:rPr>
        <w:t xml:space="preserve">Withdrawal </w:t>
      </w:r>
      <w:r w:rsidR="1971037B" w:rsidRPr="00284667">
        <w:rPr>
          <w:bCs w:val="0"/>
        </w:rPr>
        <w:t xml:space="preserve">of consent </w:t>
      </w:r>
      <w:r w:rsidRPr="00284667">
        <w:rPr>
          <w:bCs w:val="0"/>
        </w:rPr>
        <w:t>information</w:t>
      </w:r>
      <w:bookmarkEnd w:id="25"/>
      <w:bookmarkEnd w:id="26"/>
    </w:p>
    <w:p w14:paraId="477650AB" w14:textId="55DE3C0D" w:rsidR="000972CD" w:rsidRPr="005448F5" w:rsidRDefault="002817EF" w:rsidP="00FC44C5">
      <w:pPr>
        <w:spacing w:line="257" w:lineRule="auto"/>
        <w:rPr>
          <w:rFonts w:eastAsia="Calibri" w:cs="Calibri"/>
        </w:rPr>
      </w:pPr>
      <w:r w:rsidRPr="32ADD433">
        <w:rPr>
          <w:rFonts w:eastAsia="Calibri" w:cs="Calibri"/>
        </w:rPr>
        <w:t>When seeking consumer consent,</w:t>
      </w:r>
      <w:r w:rsidR="5CB28394" w:rsidRPr="1EEC6329">
        <w:rPr>
          <w:rFonts w:eastAsia="Calibri" w:cs="Calibri"/>
        </w:rPr>
        <w:t xml:space="preserve"> </w:t>
      </w:r>
      <w:r w:rsidR="001B2359" w:rsidRPr="32ADD433">
        <w:rPr>
          <w:rFonts w:eastAsia="Calibri" w:cs="Calibri"/>
        </w:rPr>
        <w:t>ADRs</w:t>
      </w:r>
      <w:r w:rsidR="5CB28394" w:rsidRPr="1EEC6329">
        <w:rPr>
          <w:rFonts w:eastAsia="Calibri" w:cs="Calibri"/>
        </w:rPr>
        <w:t xml:space="preserve"> are required to provide </w:t>
      </w:r>
      <w:r w:rsidR="00AB0D4C" w:rsidRPr="32ADD433">
        <w:rPr>
          <w:rFonts w:eastAsia="Calibri" w:cs="Calibri"/>
        </w:rPr>
        <w:t xml:space="preserve">consumers with </w:t>
      </w:r>
      <w:r w:rsidR="5CB28394" w:rsidRPr="1EEC6329">
        <w:rPr>
          <w:rFonts w:eastAsia="Calibri" w:cs="Calibri"/>
        </w:rPr>
        <w:t xml:space="preserve">information about </w:t>
      </w:r>
      <w:r w:rsidR="00F014D9" w:rsidRPr="32ADD433">
        <w:rPr>
          <w:rFonts w:eastAsia="Calibri" w:cs="Calibri"/>
        </w:rPr>
        <w:t xml:space="preserve">withdrawal of </w:t>
      </w:r>
      <w:r w:rsidR="5CB28394" w:rsidRPr="1EEC6329">
        <w:rPr>
          <w:rFonts w:eastAsia="Calibri" w:cs="Calibri"/>
        </w:rPr>
        <w:t xml:space="preserve">consent, including a statement that </w:t>
      </w:r>
      <w:r w:rsidR="62A72307" w:rsidRPr="1EEC6329">
        <w:rPr>
          <w:rFonts w:eastAsia="Calibri" w:cs="Calibri"/>
        </w:rPr>
        <w:t>c</w:t>
      </w:r>
      <w:r w:rsidR="5CB28394" w:rsidRPr="1EEC6329">
        <w:rPr>
          <w:rFonts w:eastAsia="Calibri" w:cs="Calibri"/>
        </w:rPr>
        <w:t>onsent can be withdrawn</w:t>
      </w:r>
      <w:r w:rsidR="4188AE1C" w:rsidRPr="1EEC6329">
        <w:rPr>
          <w:rFonts w:eastAsia="Calibri" w:cs="Calibri"/>
        </w:rPr>
        <w:t xml:space="preserve"> at any time</w:t>
      </w:r>
      <w:r w:rsidR="5CB28394" w:rsidRPr="1EEC6329">
        <w:rPr>
          <w:rFonts w:eastAsia="Calibri" w:cs="Calibri"/>
        </w:rPr>
        <w:t xml:space="preserve">, instructions for how to withdraw consent, and a statement indicating the consequences of withdrawing </w:t>
      </w:r>
      <w:r w:rsidR="5CB28394" w:rsidRPr="00280388">
        <w:rPr>
          <w:rFonts w:eastAsia="Calibri" w:cs="Calibri"/>
        </w:rPr>
        <w:t>consent.</w:t>
      </w:r>
      <w:r w:rsidR="008736DA" w:rsidRPr="00280388">
        <w:rPr>
          <w:rStyle w:val="FootnoteReference"/>
          <w:rFonts w:eastAsia="Calibri" w:cs="Calibri"/>
        </w:rPr>
        <w:footnoteReference w:id="36"/>
      </w:r>
      <w:r w:rsidR="00FC5257" w:rsidRPr="32ADD433">
        <w:rPr>
          <w:rFonts w:eastAsia="Calibri" w:cs="Calibri"/>
        </w:rPr>
        <w:t xml:space="preserve"> </w:t>
      </w:r>
      <w:r w:rsidR="00596B5E" w:rsidRPr="32ADD433">
        <w:rPr>
          <w:rFonts w:eastAsia="Calibri" w:cs="Calibri"/>
        </w:rPr>
        <w:t>ADRs are also required</w:t>
      </w:r>
      <w:r w:rsidR="000972CD" w:rsidRPr="32ADD433">
        <w:rPr>
          <w:rFonts w:eastAsia="Calibri" w:cs="Calibri"/>
        </w:rPr>
        <w:t>, as part of the withdrawal process,</w:t>
      </w:r>
      <w:r w:rsidR="00596B5E" w:rsidRPr="32ADD433">
        <w:rPr>
          <w:rFonts w:eastAsia="Calibri" w:cs="Calibri"/>
        </w:rPr>
        <w:t xml:space="preserve"> to </w:t>
      </w:r>
      <w:r w:rsidR="000972CD" w:rsidRPr="32ADD433">
        <w:rPr>
          <w:rFonts w:eastAsia="Calibri" w:cs="Calibri"/>
        </w:rPr>
        <w:t>advise the consumer to review the consequences of withdrawal before they stop sharing their data.</w:t>
      </w:r>
      <w:r w:rsidR="000972CD" w:rsidRPr="00280388">
        <w:rPr>
          <w:rStyle w:val="FootnoteReference"/>
          <w:rFonts w:eastAsia="Calibri" w:cs="Calibri"/>
        </w:rPr>
        <w:footnoteReference w:id="37"/>
      </w:r>
      <w:r w:rsidR="0050789B" w:rsidRPr="32ADD433">
        <w:rPr>
          <w:rFonts w:eastAsia="Calibri" w:cs="Calibri"/>
        </w:rPr>
        <w:t xml:space="preserve"> </w:t>
      </w:r>
    </w:p>
    <w:p w14:paraId="00189612" w14:textId="10DC54EA" w:rsidR="00032D54" w:rsidRPr="00B836A6" w:rsidRDefault="00180619" w:rsidP="00FC44C5">
      <w:pPr>
        <w:spacing w:line="257" w:lineRule="auto"/>
        <w:rPr>
          <w:rFonts w:eastAsia="Calibri" w:cs="Calibri"/>
        </w:rPr>
      </w:pPr>
      <w:r w:rsidRPr="32ADD433">
        <w:rPr>
          <w:rFonts w:eastAsia="Calibri" w:cs="Calibri"/>
        </w:rPr>
        <w:t>ADRs are not required to include information</w:t>
      </w:r>
      <w:r w:rsidR="00533D6F" w:rsidRPr="32ADD433">
        <w:rPr>
          <w:rFonts w:eastAsia="Calibri" w:cs="Calibri"/>
        </w:rPr>
        <w:t xml:space="preserve"> about withdrawal of consent</w:t>
      </w:r>
      <w:r w:rsidRPr="32ADD433">
        <w:rPr>
          <w:rFonts w:eastAsia="Calibri" w:cs="Calibri"/>
        </w:rPr>
        <w:t xml:space="preserve"> in the CDR receipt</w:t>
      </w:r>
      <w:r w:rsidR="00D0117A" w:rsidRPr="32ADD433">
        <w:rPr>
          <w:rFonts w:eastAsia="Calibri" w:cs="Calibri"/>
        </w:rPr>
        <w:t xml:space="preserve"> or</w:t>
      </w:r>
      <w:r w:rsidR="00533D6F" w:rsidRPr="32ADD433">
        <w:rPr>
          <w:rFonts w:eastAsia="Calibri" w:cs="Calibri"/>
        </w:rPr>
        <w:t xml:space="preserve"> </w:t>
      </w:r>
      <w:r w:rsidR="001F7883" w:rsidRPr="32ADD433">
        <w:rPr>
          <w:rFonts w:eastAsia="Calibri" w:cs="Calibri"/>
        </w:rPr>
        <w:t>90</w:t>
      </w:r>
      <w:r w:rsidR="487F6DDE" w:rsidRPr="32ADD433">
        <w:rPr>
          <w:rFonts w:eastAsia="Calibri" w:cs="Calibri"/>
        </w:rPr>
        <w:t>-</w:t>
      </w:r>
      <w:r w:rsidR="00533D6F" w:rsidRPr="32ADD433">
        <w:rPr>
          <w:rFonts w:eastAsia="Calibri" w:cs="Calibri"/>
        </w:rPr>
        <w:t>day</w:t>
      </w:r>
      <w:r w:rsidR="00E502C6">
        <w:rPr>
          <w:rFonts w:eastAsia="Calibri" w:cs="Calibri"/>
        </w:rPr>
        <w:t xml:space="preserve"> </w:t>
      </w:r>
      <w:r w:rsidR="00533D6F" w:rsidRPr="32ADD433">
        <w:rPr>
          <w:rFonts w:eastAsia="Calibri" w:cs="Calibri"/>
        </w:rPr>
        <w:t>notification.</w:t>
      </w:r>
      <w:r w:rsidR="00C34CC4" w:rsidRPr="005448F5">
        <w:rPr>
          <w:rStyle w:val="FootnoteReference"/>
          <w:rFonts w:eastAsia="Calibri" w:cs="Calibri"/>
        </w:rPr>
        <w:footnoteReference w:id="38"/>
      </w:r>
      <w:r w:rsidR="00533D6F" w:rsidRPr="32ADD433">
        <w:rPr>
          <w:rFonts w:eastAsia="Calibri" w:cs="Calibri"/>
        </w:rPr>
        <w:t xml:space="preserve"> </w:t>
      </w:r>
    </w:p>
    <w:p w14:paraId="2B12E72B" w14:textId="77777777" w:rsidR="002F27A9" w:rsidRPr="00821309" w:rsidRDefault="002F27A9" w:rsidP="002F27A9">
      <w:pPr>
        <w:rPr>
          <w:rFonts w:cs="Calibri"/>
          <w:b/>
        </w:rPr>
      </w:pPr>
      <w:r>
        <w:rPr>
          <w:rFonts w:cs="Calibri"/>
          <w:b/>
          <w:bCs/>
        </w:rPr>
        <w:t>Consent Review Noting Paper</w:t>
      </w:r>
    </w:p>
    <w:p w14:paraId="6182DAB1" w14:textId="45348592" w:rsidR="00032D54" w:rsidRPr="00B836A6" w:rsidRDefault="372A3CD9" w:rsidP="779BE076">
      <w:r>
        <w:rPr>
          <w:rFonts w:eastAsia="Calibri" w:cs="Calibri"/>
        </w:rPr>
        <w:t>The not</w:t>
      </w:r>
      <w:r w:rsidRPr="1EEC6329">
        <w:rPr>
          <w:rFonts w:eastAsia="Calibri" w:cs="Calibri"/>
        </w:rPr>
        <w:t xml:space="preserve">ing </w:t>
      </w:r>
      <w:r>
        <w:rPr>
          <w:rFonts w:eastAsia="Calibri" w:cs="Calibri"/>
        </w:rPr>
        <w:t>p</w:t>
      </w:r>
      <w:r w:rsidRPr="1EEC6329">
        <w:rPr>
          <w:rFonts w:eastAsia="Calibri" w:cs="Calibri"/>
        </w:rPr>
        <w:t xml:space="preserve">aper considered whether the requirements for withdrawal </w:t>
      </w:r>
      <w:r w:rsidR="6B7FF7A3" w:rsidRPr="1EEC6329">
        <w:rPr>
          <w:rFonts w:eastAsia="Calibri" w:cs="Calibri"/>
        </w:rPr>
        <w:t xml:space="preserve">of consent </w:t>
      </w:r>
      <w:r w:rsidRPr="1EEC6329">
        <w:rPr>
          <w:rFonts w:eastAsia="Calibri" w:cs="Calibri"/>
        </w:rPr>
        <w:t>information to be presented during consent could be revised, removing the need for instructions and consequences to be presented.</w:t>
      </w:r>
      <w:r w:rsidR="00765B24" w:rsidRPr="32ADD433">
        <w:rPr>
          <w:rStyle w:val="FootnoteReference"/>
          <w:rFonts w:eastAsia="Calibri" w:cs="Calibri"/>
        </w:rPr>
        <w:t xml:space="preserve"> </w:t>
      </w:r>
      <w:r w:rsidR="673C3B73" w:rsidRPr="1EEC6329">
        <w:rPr>
          <w:rFonts w:eastAsia="Calibri" w:cs="Calibri"/>
        </w:rPr>
        <w:t xml:space="preserve">It posited that ADRs could consider communicating the consequences of cancelling the </w:t>
      </w:r>
      <w:r w:rsidR="673C3B73" w:rsidRPr="1EEC6329">
        <w:rPr>
          <w:rFonts w:eastAsia="Calibri" w:cs="Calibri"/>
        </w:rPr>
        <w:lastRenderedPageBreak/>
        <w:t xml:space="preserve">process </w:t>
      </w:r>
      <w:r w:rsidR="16CDA293" w:rsidRPr="1EEC6329">
        <w:rPr>
          <w:rFonts w:eastAsia="Calibri" w:cs="Calibri"/>
        </w:rPr>
        <w:t>if a consumer attempts to exit the flow</w:t>
      </w:r>
      <w:r w:rsidR="2ABCB66F" w:rsidRPr="1EEC6329">
        <w:rPr>
          <w:rFonts w:eastAsia="Calibri" w:cs="Calibri"/>
        </w:rPr>
        <w:t xml:space="preserve"> </w:t>
      </w:r>
      <w:r w:rsidR="673C3B73" w:rsidRPr="1EEC6329">
        <w:rPr>
          <w:rFonts w:eastAsia="Calibri" w:cs="Calibri"/>
        </w:rPr>
        <w:t>using best practice design patterns, being mindful that it should be done in a way that is non-coercive and does not constitute a dark pattern</w:t>
      </w:r>
      <w:r w:rsidR="20387E86" w:rsidRPr="779BE076">
        <w:rPr>
          <w:rFonts w:eastAsia="Calibri" w:cs="Calibri"/>
        </w:rPr>
        <w:t>.</w:t>
      </w:r>
      <w:r w:rsidR="006D3707">
        <w:rPr>
          <w:rStyle w:val="FootnoteReference"/>
          <w:rFonts w:eastAsia="Calibri" w:cs="Calibri"/>
        </w:rPr>
        <w:footnoteReference w:id="39"/>
      </w:r>
    </w:p>
    <w:p w14:paraId="5400F5D6" w14:textId="53A31704" w:rsidR="00032D54" w:rsidRPr="00B836A6" w:rsidRDefault="1118F093" w:rsidP="779BE076">
      <w:pPr>
        <w:rPr>
          <w:rFonts w:eastAsia="Calibri" w:cs="Calibri"/>
        </w:rPr>
      </w:pPr>
      <w:r w:rsidRPr="1EEC6329">
        <w:rPr>
          <w:rFonts w:eastAsia="Calibri" w:cs="Calibri"/>
        </w:rPr>
        <w:t xml:space="preserve">Feedback on the </w:t>
      </w:r>
      <w:r w:rsidR="7B98F1A9" w:rsidRPr="1EEC6329">
        <w:rPr>
          <w:rFonts w:eastAsia="Calibri" w:cs="Calibri"/>
        </w:rPr>
        <w:t>n</w:t>
      </w:r>
      <w:r w:rsidRPr="1EEC6329">
        <w:rPr>
          <w:rFonts w:eastAsia="Calibri" w:cs="Calibri"/>
        </w:rPr>
        <w:t xml:space="preserve">oting </w:t>
      </w:r>
      <w:r w:rsidR="03A0E5CC" w:rsidRPr="1EEC6329">
        <w:rPr>
          <w:rFonts w:eastAsia="Calibri" w:cs="Calibri"/>
        </w:rPr>
        <w:t>p</w:t>
      </w:r>
      <w:r w:rsidR="6B707FAE" w:rsidRPr="1EEC6329">
        <w:rPr>
          <w:rFonts w:eastAsia="Calibri" w:cs="Calibri"/>
        </w:rPr>
        <w:t>aper</w:t>
      </w:r>
      <w:r w:rsidRPr="1EEC6329">
        <w:rPr>
          <w:rFonts w:eastAsia="Calibri" w:cs="Calibri"/>
        </w:rPr>
        <w:t xml:space="preserve"> broadly supported the proposed approach of removing requirements for instructions and consequences to be shown during the consent flow. Many submissions noted the importance of a simple and intuitive withdrawal process, including that the process for withdrawing consent should be no more difficult than granting it.</w:t>
      </w:r>
    </w:p>
    <w:p w14:paraId="666D5AB3" w14:textId="79E80BA8" w:rsidR="00DA7D13" w:rsidRPr="00B836A6" w:rsidRDefault="00DA7D13" w:rsidP="00DA7D13">
      <w:pPr>
        <w:tabs>
          <w:tab w:val="left" w:pos="720"/>
        </w:tabs>
        <w:spacing w:line="257" w:lineRule="auto"/>
        <w:rPr>
          <w:rFonts w:eastAsia="Calibri" w:cs="Calibri"/>
          <w:b/>
          <w:bCs/>
        </w:rPr>
      </w:pPr>
      <w:r w:rsidRPr="7FEB76C8">
        <w:rPr>
          <w:rFonts w:eastAsia="Calibri" w:cs="Calibri"/>
          <w:b/>
          <w:bCs/>
        </w:rPr>
        <w:t xml:space="preserve">Consumer </w:t>
      </w:r>
      <w:r w:rsidR="00DB2403">
        <w:rPr>
          <w:rFonts w:eastAsia="Calibri" w:cs="Calibri"/>
          <w:b/>
          <w:bCs/>
        </w:rPr>
        <w:t>r</w:t>
      </w:r>
      <w:r w:rsidRPr="7FEB76C8">
        <w:rPr>
          <w:rFonts w:eastAsia="Calibri" w:cs="Calibri"/>
          <w:b/>
          <w:bCs/>
        </w:rPr>
        <w:t>esearch</w:t>
      </w:r>
    </w:p>
    <w:p w14:paraId="0C3D7C18" w14:textId="489960AB" w:rsidR="00DA7D13" w:rsidRPr="00B836A6" w:rsidRDefault="3E9FB32B" w:rsidP="779BE076">
      <w:pPr>
        <w:rPr>
          <w:rFonts w:eastAsia="Calibri" w:cs="Calibri"/>
        </w:rPr>
      </w:pPr>
      <w:r w:rsidRPr="779BE076">
        <w:rPr>
          <w:rFonts w:eastAsia="Calibri" w:cs="Calibri"/>
        </w:rPr>
        <w:t xml:space="preserve">The </w:t>
      </w:r>
      <w:r w:rsidR="231C7E81" w:rsidRPr="779BE076">
        <w:rPr>
          <w:rFonts w:eastAsia="Calibri" w:cs="Calibri"/>
        </w:rPr>
        <w:t xml:space="preserve">CX </w:t>
      </w:r>
      <w:r w:rsidRPr="779BE076">
        <w:rPr>
          <w:rFonts w:eastAsia="Calibri" w:cs="Calibri"/>
        </w:rPr>
        <w:t xml:space="preserve">research </w:t>
      </w:r>
      <w:r w:rsidR="17D5A696" w:rsidRPr="779BE076">
        <w:rPr>
          <w:rFonts w:eastAsia="Calibri" w:cs="Calibri"/>
        </w:rPr>
        <w:t xml:space="preserve">conducted in 2022 </w:t>
      </w:r>
      <w:r w:rsidRPr="779BE076">
        <w:rPr>
          <w:rFonts w:eastAsia="Calibri" w:cs="Calibri"/>
        </w:rPr>
        <w:t>highlighted the importance of knowing that consent can be withdrawn at any time. Many consumer participants responded to this information positively at various stages in the consent flow, with some stating that this gave them confidence to proceed. By contrast, the absence of instructions for how to withdraw consent, and the consequences for withdrawing consent, did not negatively impact consumer participants’ trust or informed consent.</w:t>
      </w:r>
    </w:p>
    <w:p w14:paraId="1BDB8CB0" w14:textId="63363817" w:rsidR="00DA7D13" w:rsidRPr="00B836A6" w:rsidRDefault="3C06059A" w:rsidP="6373A64A">
      <w:r w:rsidRPr="6EDE0A44">
        <w:rPr>
          <w:rFonts w:eastAsia="Calibri" w:cs="Calibri"/>
        </w:rPr>
        <w:t xml:space="preserve">The presence of withdrawal </w:t>
      </w:r>
      <w:r w:rsidR="32213A69" w:rsidRPr="6EDE0A44">
        <w:rPr>
          <w:rFonts w:eastAsia="Calibri" w:cs="Calibri"/>
        </w:rPr>
        <w:t xml:space="preserve">of consent </w:t>
      </w:r>
      <w:r w:rsidRPr="6EDE0A44">
        <w:rPr>
          <w:rFonts w:eastAsia="Calibri" w:cs="Calibri"/>
        </w:rPr>
        <w:t>instructions in the CDR receipt and CDR policy matched expectations.</w:t>
      </w:r>
      <w:r w:rsidR="00686759">
        <w:rPr>
          <w:rFonts w:eastAsia="Calibri" w:cs="Calibri"/>
        </w:rPr>
        <w:t xml:space="preserve"> </w:t>
      </w:r>
      <w:r w:rsidR="00B832B4" w:rsidRPr="00B832B4">
        <w:rPr>
          <w:rFonts w:eastAsia="Calibri" w:cs="Calibri"/>
        </w:rPr>
        <w:t xml:space="preserve">When </w:t>
      </w:r>
      <w:r w:rsidR="00CB52A7">
        <w:rPr>
          <w:rFonts w:eastAsia="Calibri" w:cs="Calibri"/>
        </w:rPr>
        <w:t xml:space="preserve">information </w:t>
      </w:r>
      <w:r w:rsidR="00B832B4" w:rsidRPr="00B832B4">
        <w:rPr>
          <w:rFonts w:eastAsia="Calibri" w:cs="Calibri"/>
        </w:rPr>
        <w:t xml:space="preserve">participants were asked about the </w:t>
      </w:r>
      <w:proofErr w:type="gramStart"/>
      <w:r w:rsidR="00B832B4" w:rsidRPr="00B832B4">
        <w:rPr>
          <w:rFonts w:eastAsia="Calibri" w:cs="Calibri"/>
        </w:rPr>
        <w:t>information</w:t>
      </w:r>
      <w:proofErr w:type="gramEnd"/>
      <w:r w:rsidR="00B832B4" w:rsidRPr="00B832B4">
        <w:rPr>
          <w:rFonts w:eastAsia="Calibri" w:cs="Calibri"/>
        </w:rPr>
        <w:t xml:space="preserve"> they consider would</w:t>
      </w:r>
      <w:r w:rsidR="009F79B6">
        <w:rPr>
          <w:rFonts w:eastAsia="Calibri" w:cs="Calibri"/>
        </w:rPr>
        <w:t xml:space="preserve"> be</w:t>
      </w:r>
      <w:r w:rsidR="00B832B4" w:rsidRPr="00B832B4">
        <w:rPr>
          <w:rFonts w:eastAsia="Calibri" w:cs="Calibri"/>
        </w:rPr>
        <w:t xml:space="preserve"> important to be provided within a CDR receipt, they most </w:t>
      </w:r>
      <w:r w:rsidR="005B2EA9">
        <w:rPr>
          <w:rFonts w:eastAsia="Calibri" w:cs="Calibri"/>
        </w:rPr>
        <w:t>frequently</w:t>
      </w:r>
      <w:r w:rsidR="00B832B4" w:rsidRPr="00B832B4">
        <w:rPr>
          <w:rFonts w:eastAsia="Calibri" w:cs="Calibri"/>
        </w:rPr>
        <w:t xml:space="preserve"> cited consent management information and withdrawal instructions.</w:t>
      </w:r>
    </w:p>
    <w:p w14:paraId="43E3FEA4" w14:textId="77777777" w:rsidR="00032D54" w:rsidRPr="00B836A6" w:rsidRDefault="00032D54" w:rsidP="00032D54">
      <w:pPr>
        <w:pStyle w:val="Heading4"/>
        <w:rPr>
          <w:rFonts w:eastAsia="Calibri" w:cs="Calibri"/>
          <w:i w:val="0"/>
          <w:iCs w:val="0"/>
        </w:rPr>
      </w:pPr>
      <w:r w:rsidRPr="00B836A6">
        <w:rPr>
          <w:rFonts w:eastAsia="Calibri" w:cs="Calibri"/>
        </w:rPr>
        <w:t>Proposed approach</w:t>
      </w:r>
    </w:p>
    <w:p w14:paraId="3423785D" w14:textId="70C55BF5" w:rsidR="00032D54" w:rsidRDefault="00B800CE" w:rsidP="4A578A6B">
      <w:pPr>
        <w:rPr>
          <w:rFonts w:eastAsia="Calibri" w:cs="Calibri"/>
        </w:rPr>
      </w:pPr>
      <w:r>
        <w:rPr>
          <w:rFonts w:eastAsia="Calibri" w:cs="Calibri"/>
        </w:rPr>
        <w:t>Consistent with the proposals in the noting paper, w</w:t>
      </w:r>
      <w:r w:rsidR="137CE34D" w:rsidRPr="1EEC6329">
        <w:rPr>
          <w:rFonts w:eastAsia="Calibri" w:cs="Calibri"/>
        </w:rPr>
        <w:t xml:space="preserve">e </w:t>
      </w:r>
      <w:r w:rsidR="2B5B0ED3" w:rsidRPr="1EEC6329">
        <w:rPr>
          <w:rFonts w:eastAsia="Calibri" w:cs="Calibri"/>
        </w:rPr>
        <w:t>propose to remove the requirement to include instructions for how to withdraw consent in the consent flow itself, and instead require that these details be included in the CDR receipt</w:t>
      </w:r>
      <w:r w:rsidR="00CE460F" w:rsidRPr="00CE460F">
        <w:rPr>
          <w:rFonts w:eastAsia="Calibri" w:cs="Calibri"/>
        </w:rPr>
        <w:t xml:space="preserve"> </w:t>
      </w:r>
      <w:r w:rsidR="00CE460F">
        <w:rPr>
          <w:rFonts w:eastAsia="Calibri" w:cs="Calibri"/>
        </w:rPr>
        <w:t xml:space="preserve">and </w:t>
      </w:r>
      <w:r w:rsidR="00441BCC">
        <w:rPr>
          <w:rFonts w:eastAsia="Calibri" w:cs="Calibri"/>
        </w:rPr>
        <w:t xml:space="preserve">in </w:t>
      </w:r>
      <w:r w:rsidR="00CE460F">
        <w:rPr>
          <w:rFonts w:eastAsia="Calibri" w:cs="Calibri"/>
        </w:rPr>
        <w:t>the 90</w:t>
      </w:r>
      <w:r w:rsidR="10B7221B">
        <w:rPr>
          <w:rFonts w:eastAsia="Calibri" w:cs="Calibri"/>
        </w:rPr>
        <w:t>-</w:t>
      </w:r>
      <w:r w:rsidR="00CE460F">
        <w:rPr>
          <w:rFonts w:eastAsia="Calibri" w:cs="Calibri"/>
        </w:rPr>
        <w:t>day notification</w:t>
      </w:r>
      <w:r w:rsidR="2B5B0ED3" w:rsidRPr="1EEC6329">
        <w:rPr>
          <w:rFonts w:eastAsia="Calibri" w:cs="Calibri"/>
        </w:rPr>
        <w:t>.</w:t>
      </w:r>
      <w:r w:rsidR="00567818">
        <w:rPr>
          <w:rFonts w:eastAsia="Calibri" w:cs="Calibri"/>
        </w:rPr>
        <w:t xml:space="preserve"> The ADR would still be required to provide </w:t>
      </w:r>
      <w:r w:rsidR="00C03176">
        <w:rPr>
          <w:rFonts w:eastAsia="Calibri" w:cs="Calibri"/>
        </w:rPr>
        <w:t xml:space="preserve">information </w:t>
      </w:r>
      <w:r w:rsidR="0007270A">
        <w:rPr>
          <w:rFonts w:eastAsia="Calibri" w:cs="Calibri"/>
        </w:rPr>
        <w:t>within t</w:t>
      </w:r>
      <w:r w:rsidR="00170A72">
        <w:rPr>
          <w:rFonts w:eastAsia="Calibri" w:cs="Calibri"/>
        </w:rPr>
        <w:t xml:space="preserve">he </w:t>
      </w:r>
      <w:r w:rsidR="0007270A">
        <w:rPr>
          <w:rFonts w:eastAsia="Calibri" w:cs="Calibri"/>
        </w:rPr>
        <w:t xml:space="preserve">consent that the consumer </w:t>
      </w:r>
      <w:r w:rsidR="0017459C">
        <w:rPr>
          <w:rFonts w:eastAsia="Calibri" w:cs="Calibri"/>
        </w:rPr>
        <w:t>can withdraw their consent at any time.</w:t>
      </w:r>
      <w:r w:rsidR="009F216D">
        <w:rPr>
          <w:rFonts w:eastAsia="Calibri" w:cs="Calibri"/>
        </w:rPr>
        <w:t xml:space="preserve"> </w:t>
      </w:r>
      <w:r w:rsidR="003C3726">
        <w:rPr>
          <w:rFonts w:eastAsia="Calibri" w:cs="Calibri"/>
        </w:rPr>
        <w:t xml:space="preserve">See also the </w:t>
      </w:r>
      <w:r w:rsidR="009A7900" w:rsidRPr="20057625">
        <w:rPr>
          <w:rFonts w:eastAsia="Calibri" w:cs="Calibri"/>
        </w:rPr>
        <w:t>Notifications</w:t>
      </w:r>
      <w:r w:rsidR="00300B4A">
        <w:rPr>
          <w:rFonts w:eastAsia="Calibri" w:cs="Calibri"/>
        </w:rPr>
        <w:t xml:space="preserve"> </w:t>
      </w:r>
      <w:r w:rsidR="009F216D">
        <w:rPr>
          <w:rFonts w:eastAsia="Calibri" w:cs="Calibri"/>
        </w:rPr>
        <w:t>section of this paper.</w:t>
      </w:r>
    </w:p>
    <w:p w14:paraId="1781EE20" w14:textId="0BB4E411" w:rsidR="001F45DC" w:rsidRPr="001F45DC" w:rsidRDefault="2B5B0ED3" w:rsidP="00032D54">
      <w:r w:rsidRPr="4A578A6B">
        <w:rPr>
          <w:rFonts w:eastAsia="Calibri" w:cs="Calibri"/>
        </w:rPr>
        <w:t>It is also proposed that ADRs no longer be required to state the consequences of withdrawing the consent before a consumer considers giving their consent. This would not negate the existing requirement for an ADR to state the consequences of withdrawing a consent as part of the actual withdrawal process.</w:t>
      </w:r>
      <w:r w:rsidR="0054725D">
        <w:rPr>
          <w:rFonts w:eastAsia="Calibri" w:cs="Calibri"/>
        </w:rPr>
        <w:t xml:space="preserve"> Consumers would still be prompted to consider the consequences of withdrawal as part of the withdrawal process.</w:t>
      </w:r>
      <w:r w:rsidR="007B7E95">
        <w:rPr>
          <w:rFonts w:eastAsia="Calibri" w:cs="Calibri"/>
        </w:rPr>
        <w:br/>
      </w:r>
    </w:p>
    <w:tbl>
      <w:tblPr>
        <w:tblStyle w:val="TableGrid1"/>
        <w:tblW w:w="0" w:type="auto"/>
        <w:tblCellMar>
          <w:top w:w="85" w:type="dxa"/>
          <w:bottom w:w="85" w:type="dxa"/>
        </w:tblCellMar>
        <w:tblLook w:val="0600" w:firstRow="0" w:lastRow="0" w:firstColumn="0" w:lastColumn="0" w:noHBand="1" w:noVBand="1"/>
      </w:tblPr>
      <w:tblGrid>
        <w:gridCol w:w="9016"/>
      </w:tblGrid>
      <w:tr w:rsidR="00DF402B" w14:paraId="5DBDF7FC" w14:textId="77777777" w:rsidTr="6EDE0A44">
        <w:tc>
          <w:tcPr>
            <w:tcW w:w="9016" w:type="dxa"/>
          </w:tcPr>
          <w:p w14:paraId="4FE51167" w14:textId="77777777" w:rsidR="00DF402B" w:rsidRPr="00B836A6" w:rsidRDefault="0C5E439C" w:rsidP="001B0330">
            <w:pPr>
              <w:rPr>
                <w:rFonts w:cs="Calibri"/>
                <w:b/>
                <w:bCs/>
              </w:rPr>
            </w:pPr>
            <w:r w:rsidRPr="779BE076">
              <w:rPr>
                <w:rFonts w:cs="Calibri"/>
                <w:b/>
                <w:bCs/>
              </w:rPr>
              <w:t>Consultation questions</w:t>
            </w:r>
          </w:p>
          <w:p w14:paraId="0CF57836" w14:textId="6BA2F8E9" w:rsidR="00DF402B" w:rsidRDefault="63DDF913" w:rsidP="001B0330">
            <w:pPr>
              <w:pStyle w:val="ListParagraph"/>
            </w:pPr>
            <w:r w:rsidRPr="6EDE0A44">
              <w:rPr>
                <w:rFonts w:eastAsia="Calibri" w:cs="Calibri"/>
              </w:rPr>
              <w:t>Do you support the proposal to remove withdrawal</w:t>
            </w:r>
            <w:r w:rsidR="51CF0BD8" w:rsidRPr="6EDE0A44">
              <w:rPr>
                <w:rFonts w:eastAsia="Calibri" w:cs="Calibri"/>
              </w:rPr>
              <w:t xml:space="preserve"> of consent</w:t>
            </w:r>
            <w:r w:rsidRPr="6EDE0A44">
              <w:rPr>
                <w:rFonts w:eastAsia="Calibri" w:cs="Calibri"/>
              </w:rPr>
              <w:t xml:space="preserve"> instructions from the consent flow</w:t>
            </w:r>
            <w:r w:rsidR="4F522972" w:rsidRPr="6EDE0A44">
              <w:rPr>
                <w:rFonts w:eastAsia="Calibri" w:cs="Calibri"/>
              </w:rPr>
              <w:t xml:space="preserve"> and instead provide them in the CDR receipt</w:t>
            </w:r>
            <w:r w:rsidRPr="6EDE0A44">
              <w:rPr>
                <w:rFonts w:eastAsia="Calibri" w:cs="Calibri"/>
              </w:rPr>
              <w:t>?</w:t>
            </w:r>
            <w:r>
              <w:t xml:space="preserve"> </w:t>
            </w:r>
          </w:p>
          <w:p w14:paraId="2DA63EA4" w14:textId="73BCCDDF" w:rsidR="00554365" w:rsidRPr="00964990" w:rsidRDefault="00554365" w:rsidP="001B0330">
            <w:pPr>
              <w:pStyle w:val="ListParagraph"/>
            </w:pPr>
            <w:r>
              <w:t xml:space="preserve">Do you support the proposal to remove information about the consequences of withdrawing consent from the </w:t>
            </w:r>
            <w:r w:rsidR="005C5378">
              <w:t>consent flow?</w:t>
            </w:r>
          </w:p>
        </w:tc>
      </w:tr>
    </w:tbl>
    <w:p w14:paraId="14D0A85D" w14:textId="77777777" w:rsidR="00B64B52" w:rsidRPr="00B836A6" w:rsidRDefault="04A80914" w:rsidP="00415A90">
      <w:pPr>
        <w:pStyle w:val="Heading2"/>
        <w:keepNext/>
      </w:pPr>
      <w:bookmarkStart w:id="27" w:name="_Toc142317580"/>
      <w:bookmarkStart w:id="28" w:name="_Toc143705086"/>
      <w:r>
        <w:t>Supporting parties</w:t>
      </w:r>
      <w:bookmarkEnd w:id="27"/>
      <w:bookmarkEnd w:id="28"/>
    </w:p>
    <w:p w14:paraId="34542377" w14:textId="456E0000" w:rsidR="00094626" w:rsidRPr="00200DAA" w:rsidRDefault="00B162B4" w:rsidP="00FC44C5">
      <w:pPr>
        <w:spacing w:line="257" w:lineRule="auto"/>
        <w:rPr>
          <w:rFonts w:eastAsia="Calibri" w:cs="Calibri"/>
        </w:rPr>
      </w:pPr>
      <w:r w:rsidRPr="32ADD433">
        <w:rPr>
          <w:rFonts w:eastAsia="Calibri" w:cs="Calibri"/>
        </w:rPr>
        <w:t xml:space="preserve">The </w:t>
      </w:r>
      <w:r w:rsidR="28AD1FDE" w:rsidRPr="6EDE0A44">
        <w:rPr>
          <w:rFonts w:eastAsia="Calibri" w:cs="Calibri"/>
        </w:rPr>
        <w:t>CDR Rule</w:t>
      </w:r>
      <w:r w:rsidRPr="32ADD433">
        <w:rPr>
          <w:rFonts w:eastAsia="Calibri" w:cs="Calibri"/>
        </w:rPr>
        <w:t xml:space="preserve">s </w:t>
      </w:r>
      <w:r w:rsidR="003E4189" w:rsidRPr="32ADD433">
        <w:rPr>
          <w:rFonts w:eastAsia="Calibri" w:cs="Calibri"/>
        </w:rPr>
        <w:t>have varying requirements</w:t>
      </w:r>
      <w:r w:rsidR="13D586BF" w:rsidRPr="6EDE0A44">
        <w:rPr>
          <w:rFonts w:eastAsia="Calibri" w:cs="Calibri"/>
        </w:rPr>
        <w:t xml:space="preserve"> </w:t>
      </w:r>
      <w:r w:rsidR="51B76680" w:rsidRPr="6EDE0A44">
        <w:rPr>
          <w:rFonts w:eastAsia="Calibri" w:cs="Calibri"/>
        </w:rPr>
        <w:t xml:space="preserve">on </w:t>
      </w:r>
      <w:r w:rsidR="113EB600" w:rsidRPr="6EDE0A44">
        <w:rPr>
          <w:rFonts w:eastAsia="Calibri" w:cs="Calibri"/>
        </w:rPr>
        <w:t xml:space="preserve">how </w:t>
      </w:r>
      <w:r w:rsidR="28AD1FDE" w:rsidRPr="6EDE0A44">
        <w:rPr>
          <w:rFonts w:eastAsia="Calibri" w:cs="Calibri"/>
        </w:rPr>
        <w:t xml:space="preserve">the names </w:t>
      </w:r>
      <w:r w:rsidR="5FEF744A" w:rsidRPr="6EDE0A44">
        <w:rPr>
          <w:rFonts w:eastAsia="Calibri" w:cs="Calibri"/>
        </w:rPr>
        <w:t xml:space="preserve">and details </w:t>
      </w:r>
      <w:r w:rsidR="28AD1FDE" w:rsidRPr="6EDE0A44">
        <w:rPr>
          <w:rFonts w:eastAsia="Calibri" w:cs="Calibri"/>
        </w:rPr>
        <w:t xml:space="preserve">of </w:t>
      </w:r>
      <w:r w:rsidR="00D3499A" w:rsidRPr="32ADD433">
        <w:rPr>
          <w:rFonts w:eastAsia="Calibri" w:cs="Calibri"/>
        </w:rPr>
        <w:t xml:space="preserve">any </w:t>
      </w:r>
      <w:r w:rsidR="28AD1FDE" w:rsidRPr="6EDE0A44">
        <w:rPr>
          <w:rFonts w:eastAsia="Calibri" w:cs="Calibri"/>
        </w:rPr>
        <w:t xml:space="preserve">sponsors, </w:t>
      </w:r>
      <w:proofErr w:type="gramStart"/>
      <w:r w:rsidR="28AD1FDE" w:rsidRPr="6EDE0A44">
        <w:rPr>
          <w:rFonts w:eastAsia="Calibri" w:cs="Calibri"/>
        </w:rPr>
        <w:t>principals</w:t>
      </w:r>
      <w:proofErr w:type="gramEnd"/>
      <w:r w:rsidR="28AD1FDE" w:rsidRPr="6EDE0A44">
        <w:rPr>
          <w:rFonts w:eastAsia="Calibri" w:cs="Calibri"/>
        </w:rPr>
        <w:t xml:space="preserve"> </w:t>
      </w:r>
      <w:r w:rsidR="003E4189" w:rsidRPr="32ADD433">
        <w:rPr>
          <w:rFonts w:eastAsia="Calibri" w:cs="Calibri"/>
        </w:rPr>
        <w:t xml:space="preserve">and </w:t>
      </w:r>
      <w:r w:rsidR="28AD1FDE" w:rsidRPr="6EDE0A44">
        <w:rPr>
          <w:rFonts w:eastAsia="Calibri" w:cs="Calibri"/>
        </w:rPr>
        <w:t>O</w:t>
      </w:r>
      <w:r w:rsidR="143CC8F4" w:rsidRPr="6EDE0A44">
        <w:rPr>
          <w:rFonts w:eastAsia="Calibri" w:cs="Calibri"/>
        </w:rPr>
        <w:t xml:space="preserve">utsourced </w:t>
      </w:r>
      <w:r w:rsidR="28AD1FDE" w:rsidRPr="6EDE0A44">
        <w:rPr>
          <w:rFonts w:eastAsia="Calibri" w:cs="Calibri"/>
        </w:rPr>
        <w:t>S</w:t>
      </w:r>
      <w:r w:rsidR="55BD6991" w:rsidRPr="6EDE0A44">
        <w:rPr>
          <w:rFonts w:eastAsia="Calibri" w:cs="Calibri"/>
        </w:rPr>
        <w:t xml:space="preserve">ervice </w:t>
      </w:r>
      <w:r w:rsidR="28AD1FDE" w:rsidRPr="6EDE0A44">
        <w:rPr>
          <w:rFonts w:eastAsia="Calibri" w:cs="Calibri"/>
        </w:rPr>
        <w:t>P</w:t>
      </w:r>
      <w:r w:rsidR="661C3E70" w:rsidRPr="6EDE0A44">
        <w:rPr>
          <w:rFonts w:eastAsia="Calibri" w:cs="Calibri"/>
        </w:rPr>
        <w:t>roviders (OSPs)</w:t>
      </w:r>
      <w:r w:rsidR="005F0FF7" w:rsidRPr="32ADD433">
        <w:rPr>
          <w:rFonts w:eastAsia="Calibri" w:cs="Calibri"/>
        </w:rPr>
        <w:t xml:space="preserve"> </w:t>
      </w:r>
      <w:r w:rsidR="002C7E52" w:rsidRPr="32ADD433">
        <w:rPr>
          <w:rFonts w:eastAsia="Calibri" w:cs="Calibri"/>
        </w:rPr>
        <w:t xml:space="preserve">are displayed </w:t>
      </w:r>
      <w:r w:rsidR="005F0FF7" w:rsidRPr="32ADD433">
        <w:rPr>
          <w:rFonts w:eastAsia="Calibri" w:cs="Calibri"/>
        </w:rPr>
        <w:t>as part of the consent flow</w:t>
      </w:r>
      <w:r w:rsidR="28AD1FDE" w:rsidRPr="6EDE0A44">
        <w:rPr>
          <w:rFonts w:eastAsia="Calibri" w:cs="Calibri"/>
        </w:rPr>
        <w:t>.</w:t>
      </w:r>
      <w:r w:rsidR="2DA87926" w:rsidRPr="6EDE0A44">
        <w:rPr>
          <w:rFonts w:eastAsia="Calibri" w:cs="Calibri"/>
        </w:rPr>
        <w:t xml:space="preserve"> </w:t>
      </w:r>
      <w:r w:rsidR="00DF1274" w:rsidRPr="32ADD433">
        <w:rPr>
          <w:rFonts w:eastAsia="Calibri" w:cs="Calibri"/>
        </w:rPr>
        <w:t>T</w:t>
      </w:r>
      <w:r w:rsidR="2DA87926" w:rsidRPr="6EDE0A44">
        <w:rPr>
          <w:rFonts w:eastAsia="Calibri" w:cs="Calibri"/>
        </w:rPr>
        <w:t xml:space="preserve">he CDR Rules require names and accreditation details of </w:t>
      </w:r>
      <w:r w:rsidR="00D72F93" w:rsidRPr="32ADD433">
        <w:rPr>
          <w:rFonts w:eastAsia="Calibri" w:cs="Calibri"/>
        </w:rPr>
        <w:t xml:space="preserve">any </w:t>
      </w:r>
      <w:r w:rsidR="2DA87926" w:rsidRPr="00200DAA">
        <w:rPr>
          <w:rFonts w:eastAsia="Calibri" w:cs="Calibri"/>
        </w:rPr>
        <w:t>sponsors and principals to be displayed to a consumer when requesting a consen</w:t>
      </w:r>
      <w:r w:rsidR="00937D05">
        <w:rPr>
          <w:rFonts w:eastAsia="Calibri" w:cs="Calibri"/>
        </w:rPr>
        <w:t>t.</w:t>
      </w:r>
      <w:r w:rsidR="001960EF" w:rsidRPr="00200DAA">
        <w:rPr>
          <w:rFonts w:eastAsia="Calibri" w:cs="Calibri"/>
        </w:rPr>
        <w:t xml:space="preserve"> </w:t>
      </w:r>
      <w:r w:rsidR="00937D05">
        <w:rPr>
          <w:rFonts w:eastAsia="Calibri" w:cs="Calibri"/>
        </w:rPr>
        <w:t>H</w:t>
      </w:r>
      <w:r w:rsidR="4FB3CD78" w:rsidRPr="00200DAA">
        <w:rPr>
          <w:rFonts w:eastAsia="Calibri" w:cs="Calibri"/>
        </w:rPr>
        <w:t>owever</w:t>
      </w:r>
      <w:r w:rsidR="00937D05">
        <w:rPr>
          <w:rFonts w:eastAsia="Calibri" w:cs="Calibri"/>
        </w:rPr>
        <w:t>,</w:t>
      </w:r>
      <w:r w:rsidR="4FB3CD78" w:rsidRPr="00200DAA">
        <w:rPr>
          <w:rFonts w:eastAsia="Calibri" w:cs="Calibri"/>
        </w:rPr>
        <w:t xml:space="preserve"> i</w:t>
      </w:r>
      <w:r w:rsidR="2DA87926" w:rsidRPr="00200DAA">
        <w:rPr>
          <w:rFonts w:eastAsia="Calibri" w:cs="Calibri"/>
        </w:rPr>
        <w:t xml:space="preserve">f an ADR </w:t>
      </w:r>
      <w:r w:rsidR="00380436" w:rsidRPr="00200DAA">
        <w:rPr>
          <w:rFonts w:eastAsia="Calibri" w:cs="Calibri"/>
        </w:rPr>
        <w:t xml:space="preserve">or CDR representative </w:t>
      </w:r>
      <w:r w:rsidR="2DA87926" w:rsidRPr="00200DAA">
        <w:rPr>
          <w:rFonts w:eastAsia="Calibri" w:cs="Calibri"/>
        </w:rPr>
        <w:t xml:space="preserve">uses </w:t>
      </w:r>
      <w:r w:rsidR="250FB39E" w:rsidRPr="00200DAA">
        <w:rPr>
          <w:rFonts w:eastAsia="Calibri" w:cs="Calibri"/>
        </w:rPr>
        <w:t>OSPs</w:t>
      </w:r>
      <w:r w:rsidR="2DA87926" w:rsidRPr="00200DAA">
        <w:rPr>
          <w:rFonts w:eastAsia="Calibri" w:cs="Calibri"/>
        </w:rPr>
        <w:t xml:space="preserve">, the ADR </w:t>
      </w:r>
      <w:r w:rsidR="001E46DD" w:rsidRPr="00200DAA">
        <w:rPr>
          <w:rFonts w:eastAsia="Calibri" w:cs="Calibri"/>
        </w:rPr>
        <w:lastRenderedPageBreak/>
        <w:t xml:space="preserve">or CDR representative </w:t>
      </w:r>
      <w:r w:rsidR="2DA87926" w:rsidRPr="00200DAA">
        <w:rPr>
          <w:rFonts w:eastAsia="Calibri" w:cs="Calibri"/>
        </w:rPr>
        <w:t xml:space="preserve">only needs to state this fact and refer </w:t>
      </w:r>
      <w:r w:rsidR="001960EF" w:rsidRPr="00200DAA">
        <w:rPr>
          <w:rFonts w:eastAsia="Calibri" w:cs="Calibri"/>
        </w:rPr>
        <w:t xml:space="preserve">the </w:t>
      </w:r>
      <w:r w:rsidR="2DA87926" w:rsidRPr="00200DAA">
        <w:rPr>
          <w:rFonts w:eastAsia="Calibri" w:cs="Calibri"/>
        </w:rPr>
        <w:t xml:space="preserve">consumer to the CDR </w:t>
      </w:r>
      <w:r w:rsidR="297A9179" w:rsidRPr="00200DAA">
        <w:rPr>
          <w:rFonts w:eastAsia="Calibri" w:cs="Calibri"/>
        </w:rPr>
        <w:t>p</w:t>
      </w:r>
      <w:r w:rsidR="49540CB5" w:rsidRPr="00200DAA">
        <w:rPr>
          <w:rFonts w:eastAsia="Calibri" w:cs="Calibri"/>
        </w:rPr>
        <w:t>olicy</w:t>
      </w:r>
      <w:r w:rsidR="2DA87926" w:rsidRPr="00200DAA">
        <w:rPr>
          <w:rFonts w:eastAsia="Calibri" w:cs="Calibri"/>
        </w:rPr>
        <w:t xml:space="preserve"> for more information</w:t>
      </w:r>
      <w:r w:rsidR="001363DD" w:rsidRPr="00200DAA">
        <w:rPr>
          <w:rFonts w:eastAsia="Calibri" w:cs="Calibri"/>
        </w:rPr>
        <w:t>, with the CDR policy containing the full list of supporting parties</w:t>
      </w:r>
      <w:r w:rsidR="2DA87926" w:rsidRPr="00200DAA">
        <w:rPr>
          <w:rFonts w:eastAsia="Calibri" w:cs="Calibri"/>
        </w:rPr>
        <w:t>.</w:t>
      </w:r>
      <w:r w:rsidR="00772869" w:rsidRPr="00200DAA">
        <w:rPr>
          <w:rStyle w:val="FootnoteReference"/>
          <w:rFonts w:eastAsia="Calibri" w:cs="Calibri"/>
        </w:rPr>
        <w:footnoteReference w:id="40"/>
      </w:r>
      <w:r w:rsidR="2DA87926" w:rsidRPr="00200DAA">
        <w:rPr>
          <w:rFonts w:eastAsia="Calibri" w:cs="Calibri"/>
        </w:rPr>
        <w:t xml:space="preserve"> </w:t>
      </w:r>
      <w:r w:rsidR="00BE1791" w:rsidRPr="00200DAA">
        <w:rPr>
          <w:rFonts w:eastAsia="Calibri" w:cs="Calibri"/>
        </w:rPr>
        <w:t xml:space="preserve">CDR representatives are </w:t>
      </w:r>
      <w:r w:rsidR="00FB62F4" w:rsidRPr="00200DAA">
        <w:rPr>
          <w:rFonts w:eastAsia="Calibri" w:cs="Calibri"/>
        </w:rPr>
        <w:t xml:space="preserve">also </w:t>
      </w:r>
      <w:r w:rsidR="00BE1791" w:rsidRPr="00200DAA">
        <w:rPr>
          <w:rFonts w:eastAsia="Calibri" w:cs="Calibri"/>
        </w:rPr>
        <w:t>required to identify where they are located</w:t>
      </w:r>
      <w:r w:rsidR="00546428" w:rsidRPr="00200DAA">
        <w:rPr>
          <w:rFonts w:eastAsia="Calibri" w:cs="Calibri"/>
        </w:rPr>
        <w:t xml:space="preserve"> (if outside Australia)</w:t>
      </w:r>
      <w:r w:rsidR="00BE1791" w:rsidRPr="00200DAA">
        <w:rPr>
          <w:rFonts w:eastAsia="Calibri" w:cs="Calibri"/>
        </w:rPr>
        <w:t xml:space="preserve"> but this information is not provided</w:t>
      </w:r>
      <w:r w:rsidR="00094626" w:rsidRPr="00200DAA">
        <w:rPr>
          <w:rFonts w:eastAsia="Calibri" w:cs="Calibri"/>
        </w:rPr>
        <w:t xml:space="preserve"> for supporting parties.</w:t>
      </w:r>
      <w:r w:rsidR="006B0D4A" w:rsidRPr="00200DAA">
        <w:rPr>
          <w:rStyle w:val="FootnoteReference"/>
          <w:rFonts w:eastAsia="Calibri" w:cs="Calibri"/>
        </w:rPr>
        <w:footnoteReference w:id="41"/>
      </w:r>
      <w:r w:rsidR="00094626" w:rsidRPr="00200DAA">
        <w:rPr>
          <w:rFonts w:eastAsia="Calibri" w:cs="Calibri"/>
        </w:rPr>
        <w:t xml:space="preserve"> </w:t>
      </w:r>
    </w:p>
    <w:p w14:paraId="3CD69C9C" w14:textId="42327BA9" w:rsidR="00B64B52" w:rsidRPr="00B836A6" w:rsidRDefault="2DA87926" w:rsidP="00FC44C5">
      <w:pPr>
        <w:spacing w:line="257" w:lineRule="auto"/>
        <w:rPr>
          <w:rFonts w:eastAsia="Calibri" w:cs="Calibri"/>
        </w:rPr>
      </w:pPr>
      <w:r w:rsidRPr="00200DAA">
        <w:rPr>
          <w:rFonts w:eastAsia="Calibri" w:cs="Calibri"/>
        </w:rPr>
        <w:t>This inconsistency results in divergent implementations in terms of design and levels of transparency. The CX Guidelines have</w:t>
      </w:r>
      <w:r w:rsidRPr="6EDE0A44">
        <w:rPr>
          <w:rFonts w:eastAsia="Calibri" w:cs="Calibri"/>
        </w:rPr>
        <w:t xml:space="preserve"> suggested that, where used, </w:t>
      </w:r>
      <w:r w:rsidR="00C47F21" w:rsidRPr="32ADD433">
        <w:rPr>
          <w:rFonts w:eastAsia="Calibri" w:cs="Calibri"/>
        </w:rPr>
        <w:t xml:space="preserve">a consistent approach is </w:t>
      </w:r>
      <w:r w:rsidRPr="6EDE0A44">
        <w:rPr>
          <w:rFonts w:eastAsia="Calibri" w:cs="Calibri"/>
        </w:rPr>
        <w:t>adopt</w:t>
      </w:r>
      <w:r w:rsidR="00C47F21" w:rsidRPr="32ADD433">
        <w:rPr>
          <w:rFonts w:eastAsia="Calibri" w:cs="Calibri"/>
        </w:rPr>
        <w:t>ed</w:t>
      </w:r>
      <w:r w:rsidRPr="6EDE0A44">
        <w:rPr>
          <w:rFonts w:eastAsia="Calibri" w:cs="Calibri"/>
        </w:rPr>
        <w:t xml:space="preserve"> for sponsors, principals and OSPs.</w:t>
      </w:r>
      <w:r w:rsidR="009D27BC" w:rsidRPr="779BE076">
        <w:rPr>
          <w:rStyle w:val="FootnoteReference"/>
          <w:rFonts w:eastAsia="Calibri" w:cs="Calibri"/>
        </w:rPr>
        <w:footnoteReference w:id="42"/>
      </w:r>
      <w:r w:rsidRPr="6EDE0A44">
        <w:rPr>
          <w:rFonts w:eastAsia="Calibri" w:cs="Calibri"/>
        </w:rPr>
        <w:t xml:space="preserve"> </w:t>
      </w:r>
    </w:p>
    <w:p w14:paraId="7F1B6D1D" w14:textId="1BFA7743" w:rsidR="00B64B52" w:rsidRPr="00B836A6" w:rsidRDefault="7FEA4B01" w:rsidP="00415A90">
      <w:pPr>
        <w:keepNext/>
        <w:spacing w:line="257" w:lineRule="auto"/>
        <w:rPr>
          <w:rFonts w:eastAsia="Calibri" w:cs="Calibri"/>
          <w:b/>
          <w:bCs/>
        </w:rPr>
      </w:pPr>
      <w:r w:rsidRPr="3D1FA3D7">
        <w:rPr>
          <w:rFonts w:eastAsia="Calibri" w:cs="Calibri"/>
          <w:b/>
          <w:bCs/>
        </w:rPr>
        <w:t>Consent Review Noting Paper</w:t>
      </w:r>
    </w:p>
    <w:p w14:paraId="4E51C4A0" w14:textId="6F5222F6" w:rsidR="00B64B52" w:rsidRPr="00B836A6" w:rsidRDefault="0CF62C4B" w:rsidP="6EDE0A44">
      <w:pPr>
        <w:spacing w:line="257" w:lineRule="auto"/>
        <w:rPr>
          <w:rFonts w:eastAsia="Calibri" w:cs="Calibri"/>
        </w:rPr>
      </w:pPr>
      <w:r w:rsidRPr="3197084D">
        <w:rPr>
          <w:rFonts w:eastAsia="Calibri" w:cs="Calibri"/>
        </w:rPr>
        <w:t xml:space="preserve">Feedback to </w:t>
      </w:r>
      <w:r w:rsidR="640CD37B" w:rsidRPr="3197084D">
        <w:rPr>
          <w:rFonts w:eastAsia="Calibri" w:cs="Calibri"/>
        </w:rPr>
        <w:t>the noting paper</w:t>
      </w:r>
      <w:r w:rsidR="1DE59B6D" w:rsidRPr="3197084D">
        <w:rPr>
          <w:rStyle w:val="FootnoteReference"/>
          <w:rFonts w:eastAsia="Calibri" w:cs="Calibri"/>
        </w:rPr>
        <w:t xml:space="preserve"> </w:t>
      </w:r>
      <w:r w:rsidRPr="3197084D">
        <w:rPr>
          <w:rFonts w:eastAsia="Calibri" w:cs="Calibri"/>
        </w:rPr>
        <w:t>indicated broad support for the consistent display of information relating to sponsors, principals and OSPs</w:t>
      </w:r>
      <w:r w:rsidR="2B7CC10A" w:rsidRPr="3197084D">
        <w:rPr>
          <w:rFonts w:eastAsia="Calibri" w:cs="Calibri"/>
        </w:rPr>
        <w:t>, although som</w:t>
      </w:r>
      <w:r w:rsidR="20B3DF4B" w:rsidRPr="6EDE0A44">
        <w:rPr>
          <w:rFonts w:eastAsia="Calibri" w:cs="Calibri"/>
        </w:rPr>
        <w:t xml:space="preserve">e </w:t>
      </w:r>
      <w:r w:rsidR="6C916E33" w:rsidRPr="6EDE0A44">
        <w:rPr>
          <w:rFonts w:eastAsia="Calibri" w:cs="Calibri"/>
        </w:rPr>
        <w:t xml:space="preserve">stakeholders </w:t>
      </w:r>
      <w:r w:rsidR="27D390A1" w:rsidRPr="6EDE0A44">
        <w:rPr>
          <w:rFonts w:eastAsia="Calibri" w:cs="Calibri"/>
        </w:rPr>
        <w:t>suggested</w:t>
      </w:r>
      <w:r w:rsidR="20B3DF4B" w:rsidRPr="6EDE0A44">
        <w:rPr>
          <w:rFonts w:eastAsia="Calibri" w:cs="Calibri"/>
        </w:rPr>
        <w:t xml:space="preserve"> that </w:t>
      </w:r>
      <w:r w:rsidR="2DC93F81" w:rsidRPr="6EDE0A44">
        <w:rPr>
          <w:rFonts w:eastAsia="Calibri" w:cs="Calibri"/>
        </w:rPr>
        <w:t xml:space="preserve">requiring this to be presented upfront </w:t>
      </w:r>
      <w:r w:rsidR="20B3DF4B" w:rsidRPr="6EDE0A44">
        <w:rPr>
          <w:rFonts w:eastAsia="Calibri" w:cs="Calibri"/>
        </w:rPr>
        <w:t>may negatively impact comprehension and cognitive load</w:t>
      </w:r>
      <w:r w:rsidR="00701D6F" w:rsidRPr="32ADD433">
        <w:rPr>
          <w:rFonts w:eastAsia="Calibri" w:cs="Calibri"/>
        </w:rPr>
        <w:t xml:space="preserve">, particularly where there were </w:t>
      </w:r>
      <w:proofErr w:type="gramStart"/>
      <w:r w:rsidR="00701D6F" w:rsidRPr="32ADD433">
        <w:rPr>
          <w:rFonts w:eastAsia="Calibri" w:cs="Calibri"/>
        </w:rPr>
        <w:t>a large number of</w:t>
      </w:r>
      <w:proofErr w:type="gramEnd"/>
      <w:r w:rsidR="00701D6F" w:rsidRPr="32ADD433">
        <w:rPr>
          <w:rFonts w:eastAsia="Calibri" w:cs="Calibri"/>
        </w:rPr>
        <w:t xml:space="preserve"> supporting parties</w:t>
      </w:r>
      <w:r w:rsidR="20B3DF4B" w:rsidRPr="6EDE0A44">
        <w:rPr>
          <w:rFonts w:eastAsia="Calibri" w:cs="Calibri"/>
        </w:rPr>
        <w:t xml:space="preserve">. </w:t>
      </w:r>
      <w:r w:rsidR="6D72A159" w:rsidRPr="6EDE0A44">
        <w:rPr>
          <w:rFonts w:eastAsia="Calibri" w:cs="Calibri"/>
        </w:rPr>
        <w:t xml:space="preserve">It was </w:t>
      </w:r>
      <w:r w:rsidR="20B3DF4B" w:rsidRPr="6EDE0A44">
        <w:rPr>
          <w:rFonts w:eastAsia="Calibri" w:cs="Calibri"/>
        </w:rPr>
        <w:t>suggested that design patterns could be used to help reduce cognitive load, while not reducing access to additional information about the supporting parties.</w:t>
      </w:r>
    </w:p>
    <w:p w14:paraId="23D7AE56" w14:textId="44BF03C0" w:rsidR="00B64B52" w:rsidRPr="00B836A6" w:rsidRDefault="20B3DF4B" w:rsidP="6EDE0A44">
      <w:pPr>
        <w:rPr>
          <w:rFonts w:eastAsia="Calibri" w:cs="Calibri"/>
        </w:rPr>
      </w:pPr>
      <w:r w:rsidRPr="6EDE0A44">
        <w:rPr>
          <w:rFonts w:eastAsia="Calibri" w:cs="Calibri"/>
        </w:rPr>
        <w:t xml:space="preserve">One </w:t>
      </w:r>
      <w:r w:rsidR="6F0604DE" w:rsidRPr="6EDE0A44">
        <w:rPr>
          <w:rFonts w:eastAsia="Calibri" w:cs="Calibri"/>
        </w:rPr>
        <w:t xml:space="preserve">stakeholder </w:t>
      </w:r>
      <w:r w:rsidRPr="6EDE0A44">
        <w:rPr>
          <w:rFonts w:eastAsia="Calibri" w:cs="Calibri"/>
        </w:rPr>
        <w:t>highlighted that not all supporting parties access data, even though they may be involved in the delivery of the good or service</w:t>
      </w:r>
      <w:r w:rsidR="097281B1" w:rsidRPr="6EDE0A44">
        <w:rPr>
          <w:rFonts w:eastAsia="Calibri" w:cs="Calibri"/>
        </w:rPr>
        <w:t>. They suggested that requiring</w:t>
      </w:r>
      <w:r w:rsidRPr="6EDE0A44">
        <w:rPr>
          <w:rFonts w:eastAsia="Calibri" w:cs="Calibri"/>
        </w:rPr>
        <w:t xml:space="preserve"> a consistent approach </w:t>
      </w:r>
      <w:r w:rsidR="1268625F" w:rsidRPr="6EDE0A44">
        <w:rPr>
          <w:rFonts w:eastAsia="Calibri" w:cs="Calibri"/>
        </w:rPr>
        <w:t xml:space="preserve">for </w:t>
      </w:r>
      <w:r w:rsidRPr="6EDE0A44">
        <w:rPr>
          <w:rFonts w:eastAsia="Calibri" w:cs="Calibri"/>
        </w:rPr>
        <w:t>all supporting parties may result in unnecessary conflation and cognitive load.</w:t>
      </w:r>
    </w:p>
    <w:p w14:paraId="4C0B92C1" w14:textId="537BC217" w:rsidR="00DA7D13" w:rsidRPr="00B836A6" w:rsidRDefault="00DA7D13" w:rsidP="00DA7D13">
      <w:pPr>
        <w:spacing w:line="257" w:lineRule="auto"/>
        <w:rPr>
          <w:rFonts w:eastAsia="Calibri" w:cs="Calibri"/>
          <w:b/>
          <w:bCs/>
        </w:rPr>
      </w:pPr>
      <w:r w:rsidRPr="3D1FA3D7">
        <w:rPr>
          <w:rFonts w:eastAsia="Calibri" w:cs="Calibri"/>
          <w:b/>
          <w:bCs/>
        </w:rPr>
        <w:t xml:space="preserve">Consumer </w:t>
      </w:r>
      <w:r w:rsidR="000668AB">
        <w:rPr>
          <w:rFonts w:eastAsia="Calibri" w:cs="Calibri"/>
          <w:b/>
          <w:bCs/>
        </w:rPr>
        <w:t>r</w:t>
      </w:r>
      <w:r w:rsidRPr="3D1FA3D7">
        <w:rPr>
          <w:rFonts w:eastAsia="Calibri" w:cs="Calibri"/>
          <w:b/>
          <w:bCs/>
        </w:rPr>
        <w:t>esearch</w:t>
      </w:r>
    </w:p>
    <w:p w14:paraId="1239BCC5" w14:textId="0F5B5BE8" w:rsidR="00DA7D13" w:rsidRPr="00F174B6" w:rsidRDefault="3C06059A" w:rsidP="00DA7D13">
      <w:pPr>
        <w:spacing w:line="257" w:lineRule="auto"/>
        <w:rPr>
          <w:rFonts w:eastAsia="Calibri" w:cs="Calibri"/>
        </w:rPr>
      </w:pPr>
      <w:r w:rsidRPr="00F174B6">
        <w:rPr>
          <w:rFonts w:eastAsia="Calibri" w:cs="Calibri"/>
        </w:rPr>
        <w:t>CX research</w:t>
      </w:r>
      <w:r w:rsidR="7A3FCE21" w:rsidRPr="00F174B6">
        <w:rPr>
          <w:rFonts w:eastAsia="Calibri" w:cs="Calibri"/>
        </w:rPr>
        <w:t xml:space="preserve"> </w:t>
      </w:r>
      <w:r w:rsidR="4ABE73D6" w:rsidRPr="00F174B6">
        <w:rPr>
          <w:rFonts w:eastAsia="Calibri" w:cs="Calibri"/>
        </w:rPr>
        <w:t>conducted in 2020 and 2022</w:t>
      </w:r>
      <w:r w:rsidR="4E33D727" w:rsidRPr="00F174B6">
        <w:rPr>
          <w:rFonts w:eastAsia="Calibri" w:cs="Calibri"/>
        </w:rPr>
        <w:t xml:space="preserve"> </w:t>
      </w:r>
      <w:r w:rsidRPr="00F174B6">
        <w:rPr>
          <w:rFonts w:eastAsia="Calibri" w:cs="Calibri"/>
        </w:rPr>
        <w:t xml:space="preserve">has found that consumers expect transparency when it comes to who may </w:t>
      </w:r>
      <w:r w:rsidR="3747AA7F" w:rsidRPr="00F174B6">
        <w:rPr>
          <w:rFonts w:eastAsia="Calibri" w:cs="Calibri"/>
        </w:rPr>
        <w:t xml:space="preserve">be </w:t>
      </w:r>
      <w:r w:rsidRPr="00F174B6">
        <w:rPr>
          <w:rFonts w:eastAsia="Calibri" w:cs="Calibri"/>
        </w:rPr>
        <w:t>access</w:t>
      </w:r>
      <w:r w:rsidR="4034F54B" w:rsidRPr="00F174B6">
        <w:rPr>
          <w:rFonts w:eastAsia="Calibri" w:cs="Calibri"/>
        </w:rPr>
        <w:t>ing</w:t>
      </w:r>
      <w:r w:rsidRPr="00F174B6">
        <w:rPr>
          <w:rFonts w:eastAsia="Calibri" w:cs="Calibri"/>
        </w:rPr>
        <w:t xml:space="preserve"> their data.</w:t>
      </w:r>
      <w:r w:rsidRPr="00F174B6">
        <w:rPr>
          <w:rStyle w:val="FootnoteReference"/>
          <w:rFonts w:eastAsia="Calibri" w:cs="Calibri"/>
        </w:rPr>
        <w:t xml:space="preserve"> </w:t>
      </w:r>
      <w:r w:rsidR="009E1348" w:rsidRPr="00F174B6">
        <w:rPr>
          <w:rStyle w:val="FootnoteReference"/>
          <w:rFonts w:eastAsia="Calibri" w:cs="Calibri"/>
        </w:rPr>
        <w:footnoteReference w:id="43"/>
      </w:r>
      <w:r w:rsidR="008104AA">
        <w:rPr>
          <w:rStyle w:val="FootnoteReference"/>
          <w:rFonts w:eastAsia="Calibri" w:cs="Calibri"/>
        </w:rPr>
        <w:t xml:space="preserve"> </w:t>
      </w:r>
      <w:r w:rsidR="002F08DE" w:rsidRPr="00F174B6">
        <w:rPr>
          <w:rStyle w:val="FootnoteReference"/>
          <w:rFonts w:eastAsia="Calibri" w:cs="Calibri"/>
        </w:rPr>
        <w:footnoteReference w:id="44"/>
      </w:r>
      <w:r w:rsidRPr="00F174B6">
        <w:rPr>
          <w:rFonts w:eastAsia="Calibri" w:cs="Calibri"/>
        </w:rPr>
        <w:t xml:space="preserve"> Consumer participants consistently stated a preference for this level of detail to at least be accessible to support trustworthiness and informed consent.</w:t>
      </w:r>
    </w:p>
    <w:p w14:paraId="4F3B4291" w14:textId="5022D1D5" w:rsidR="00D06F09" w:rsidRDefault="0EBF36B3" w:rsidP="622D3A2E">
      <w:pPr>
        <w:spacing w:line="257" w:lineRule="auto"/>
        <w:rPr>
          <w:rFonts w:eastAsia="Calibri" w:cs="Calibri"/>
        </w:rPr>
      </w:pPr>
      <w:r w:rsidRPr="779BE076">
        <w:rPr>
          <w:rFonts w:eastAsia="Calibri" w:cs="Calibri"/>
        </w:rPr>
        <w:t xml:space="preserve">Consumer </w:t>
      </w:r>
      <w:r w:rsidR="1B4236B0" w:rsidRPr="779BE076">
        <w:rPr>
          <w:rFonts w:eastAsia="Calibri" w:cs="Calibri"/>
        </w:rPr>
        <w:t>participants indicated the importance of knowing whether third parties access their data, including whether such third parties are ‘legitimate’ or ‘Australian-</w:t>
      </w:r>
      <w:r w:rsidR="12547252" w:rsidRPr="779BE076">
        <w:rPr>
          <w:rFonts w:eastAsia="Calibri" w:cs="Calibri"/>
        </w:rPr>
        <w:t xml:space="preserve">based’. </w:t>
      </w:r>
      <w:r w:rsidR="2E40400D" w:rsidRPr="779BE076">
        <w:rPr>
          <w:rFonts w:eastAsia="Calibri" w:cs="Calibri"/>
        </w:rPr>
        <w:t>Transparency o</w:t>
      </w:r>
      <w:r w:rsidR="30D090B9" w:rsidRPr="779BE076">
        <w:rPr>
          <w:rFonts w:eastAsia="Calibri" w:cs="Calibri"/>
        </w:rPr>
        <w:t>ver</w:t>
      </w:r>
      <w:r w:rsidR="2E40400D" w:rsidRPr="779BE076">
        <w:rPr>
          <w:rFonts w:eastAsia="Calibri" w:cs="Calibri"/>
        </w:rPr>
        <w:t xml:space="preserve"> these arrangements</w:t>
      </w:r>
      <w:r w:rsidR="250E6D09" w:rsidRPr="779BE076">
        <w:rPr>
          <w:rFonts w:eastAsia="Calibri" w:cs="Calibri"/>
        </w:rPr>
        <w:t xml:space="preserve"> was seen as key</w:t>
      </w:r>
      <w:r w:rsidR="537F67C5" w:rsidRPr="779BE076">
        <w:rPr>
          <w:rFonts w:eastAsia="Calibri" w:cs="Calibri"/>
        </w:rPr>
        <w:t xml:space="preserve">, including </w:t>
      </w:r>
      <w:r w:rsidR="00F16CD0" w:rsidRPr="32ADD433">
        <w:rPr>
          <w:rFonts w:eastAsia="Calibri" w:cs="Calibri"/>
        </w:rPr>
        <w:t>which</w:t>
      </w:r>
      <w:r w:rsidR="537F67C5" w:rsidRPr="779BE076">
        <w:rPr>
          <w:rFonts w:eastAsia="Calibri" w:cs="Calibri"/>
        </w:rPr>
        <w:t xml:space="preserve"> </w:t>
      </w:r>
      <w:r w:rsidR="2ECB4737" w:rsidRPr="779BE076">
        <w:rPr>
          <w:rFonts w:eastAsia="Calibri" w:cs="Calibri"/>
        </w:rPr>
        <w:t>OSP</w:t>
      </w:r>
      <w:r w:rsidR="00F16CD0" w:rsidRPr="32ADD433">
        <w:rPr>
          <w:rFonts w:eastAsia="Calibri" w:cs="Calibri"/>
        </w:rPr>
        <w:t xml:space="preserve">s </w:t>
      </w:r>
      <w:r w:rsidR="00EE0357" w:rsidRPr="32ADD433">
        <w:rPr>
          <w:rFonts w:eastAsia="Calibri" w:cs="Calibri"/>
        </w:rPr>
        <w:t>are involved in providing the service</w:t>
      </w:r>
      <w:r w:rsidR="537F67C5" w:rsidRPr="779BE076">
        <w:rPr>
          <w:rFonts w:eastAsia="Calibri" w:cs="Calibri"/>
        </w:rPr>
        <w:t xml:space="preserve">, why they are involved, how their data would be accessed and handled, and </w:t>
      </w:r>
      <w:r w:rsidR="21ACCD35" w:rsidRPr="779BE076">
        <w:rPr>
          <w:rFonts w:eastAsia="Calibri" w:cs="Calibri"/>
        </w:rPr>
        <w:t>what benefit, if any, the OSP would get from their data.</w:t>
      </w:r>
      <w:r w:rsidR="37C309C3" w:rsidRPr="739B665A">
        <w:rPr>
          <w:rStyle w:val="FootnoteReference"/>
          <w:rFonts w:eastAsia="Calibri" w:cs="Calibri"/>
        </w:rPr>
        <w:footnoteReference w:id="45"/>
      </w:r>
    </w:p>
    <w:p w14:paraId="2447D5B6" w14:textId="77777777" w:rsidR="00B64B52" w:rsidRPr="00B836A6" w:rsidRDefault="00B64B52" w:rsidP="00B64B52">
      <w:pPr>
        <w:pStyle w:val="Heading4"/>
        <w:rPr>
          <w:rFonts w:eastAsia="Calibri" w:cs="Calibri"/>
          <w:i w:val="0"/>
          <w:iCs w:val="0"/>
        </w:rPr>
      </w:pPr>
      <w:r w:rsidRPr="00B836A6">
        <w:rPr>
          <w:rFonts w:eastAsia="Calibri" w:cs="Calibri"/>
        </w:rPr>
        <w:t>Proposed approach</w:t>
      </w:r>
    </w:p>
    <w:p w14:paraId="3B884D71" w14:textId="06F3B2A8" w:rsidR="005D747E" w:rsidRPr="00415A90" w:rsidRDefault="005D747E" w:rsidP="7B651BF0">
      <w:pPr>
        <w:spacing w:line="257" w:lineRule="auto"/>
        <w:rPr>
          <w:rFonts w:eastAsia="Calibri" w:cs="Calibri"/>
          <w:i/>
          <w:iCs/>
        </w:rPr>
      </w:pPr>
      <w:r>
        <w:rPr>
          <w:rFonts w:eastAsia="Calibri" w:cs="Calibri"/>
          <w:i/>
          <w:iCs/>
        </w:rPr>
        <w:t>Information about supporting parties at</w:t>
      </w:r>
      <w:r w:rsidR="009D330D">
        <w:rPr>
          <w:rFonts w:eastAsia="Calibri" w:cs="Calibri"/>
          <w:i/>
          <w:iCs/>
        </w:rPr>
        <w:t xml:space="preserve"> the time of consent</w:t>
      </w:r>
    </w:p>
    <w:p w14:paraId="1FD45947" w14:textId="131FA3A0" w:rsidR="00B64B52" w:rsidRDefault="799F6568" w:rsidP="7B651BF0">
      <w:pPr>
        <w:spacing w:line="257" w:lineRule="auto"/>
        <w:rPr>
          <w:rFonts w:eastAsia="Calibri" w:cs="Calibri"/>
        </w:rPr>
      </w:pPr>
      <w:r w:rsidRPr="6EDE0A44">
        <w:rPr>
          <w:rFonts w:eastAsia="Calibri" w:cs="Calibri"/>
        </w:rPr>
        <w:t>Based on</w:t>
      </w:r>
      <w:r w:rsidR="5BC52EC6" w:rsidRPr="30D55201">
        <w:rPr>
          <w:rFonts w:eastAsia="Calibri" w:cs="Calibri"/>
        </w:rPr>
        <w:t xml:space="preserve"> CX</w:t>
      </w:r>
      <w:r w:rsidRPr="6EDE0A44">
        <w:rPr>
          <w:rFonts w:eastAsia="Calibri" w:cs="Calibri"/>
        </w:rPr>
        <w:t xml:space="preserve"> research and </w:t>
      </w:r>
      <w:r w:rsidR="52439F1F" w:rsidRPr="6EDE0A44">
        <w:rPr>
          <w:rFonts w:eastAsia="Calibri" w:cs="Calibri"/>
        </w:rPr>
        <w:t xml:space="preserve">stakeholder </w:t>
      </w:r>
      <w:r w:rsidRPr="6EDE0A44">
        <w:rPr>
          <w:rFonts w:eastAsia="Calibri" w:cs="Calibri"/>
        </w:rPr>
        <w:t xml:space="preserve">feedback, </w:t>
      </w:r>
      <w:r w:rsidR="6B5725CD" w:rsidRPr="6EDE0A44">
        <w:rPr>
          <w:rFonts w:eastAsia="Calibri" w:cs="Calibri"/>
        </w:rPr>
        <w:t>we</w:t>
      </w:r>
      <w:r w:rsidRPr="6EDE0A44">
        <w:rPr>
          <w:rFonts w:eastAsia="Calibri" w:cs="Calibri"/>
        </w:rPr>
        <w:t xml:space="preserve"> propose that</w:t>
      </w:r>
      <w:r w:rsidR="00E63DDA">
        <w:rPr>
          <w:rFonts w:eastAsia="Calibri" w:cs="Calibri"/>
        </w:rPr>
        <w:t xml:space="preserve"> </w:t>
      </w:r>
      <w:r w:rsidR="00A40C31">
        <w:rPr>
          <w:rFonts w:eastAsia="Calibri" w:cs="Calibri"/>
        </w:rPr>
        <w:t xml:space="preserve">consent </w:t>
      </w:r>
      <w:r w:rsidR="00012D90">
        <w:rPr>
          <w:rFonts w:eastAsia="Calibri" w:cs="Calibri"/>
        </w:rPr>
        <w:t xml:space="preserve">information </w:t>
      </w:r>
      <w:r w:rsidRPr="6EDE0A44">
        <w:rPr>
          <w:rFonts w:eastAsia="Calibri" w:cs="Calibri"/>
        </w:rPr>
        <w:t xml:space="preserve">requirements relating to OSPs, sponsors, and principals be aligned to support consistency and transparency. </w:t>
      </w:r>
    </w:p>
    <w:p w14:paraId="3F053219" w14:textId="71BDCD8E" w:rsidR="00B64B52" w:rsidRDefault="001122FE" w:rsidP="00FC44C5">
      <w:pPr>
        <w:spacing w:line="257" w:lineRule="auto"/>
        <w:rPr>
          <w:rFonts w:eastAsia="Calibri" w:cs="Calibri"/>
        </w:rPr>
      </w:pPr>
      <w:r w:rsidRPr="2383B6FC">
        <w:rPr>
          <w:rFonts w:eastAsia="Calibri" w:cs="Calibri"/>
        </w:rPr>
        <w:lastRenderedPageBreak/>
        <w:t xml:space="preserve">We propose </w:t>
      </w:r>
      <w:r w:rsidR="002A7F83">
        <w:rPr>
          <w:rFonts w:eastAsia="Calibri" w:cs="Calibri"/>
        </w:rPr>
        <w:t>to clarify the existing notification requirements</w:t>
      </w:r>
      <w:r w:rsidR="001904D3">
        <w:rPr>
          <w:rFonts w:eastAsia="Calibri" w:cs="Calibri"/>
        </w:rPr>
        <w:t xml:space="preserve"> so </w:t>
      </w:r>
      <w:r w:rsidRPr="2383B6FC">
        <w:rPr>
          <w:rFonts w:eastAsia="Calibri" w:cs="Calibri"/>
        </w:rPr>
        <w:t>that</w:t>
      </w:r>
      <w:r w:rsidR="3B3CA47E" w:rsidRPr="2383B6FC">
        <w:rPr>
          <w:rFonts w:eastAsia="Calibri" w:cs="Calibri"/>
        </w:rPr>
        <w:t xml:space="preserve"> consumers </w:t>
      </w:r>
      <w:r w:rsidR="00E94456">
        <w:rPr>
          <w:rFonts w:eastAsia="Calibri" w:cs="Calibri"/>
        </w:rPr>
        <w:t xml:space="preserve">are required to </w:t>
      </w:r>
      <w:r w:rsidR="3B3CA47E" w:rsidRPr="2383B6FC">
        <w:rPr>
          <w:rFonts w:eastAsia="Calibri" w:cs="Calibri"/>
        </w:rPr>
        <w:t xml:space="preserve">be </w:t>
      </w:r>
      <w:r w:rsidR="1A4308D9" w:rsidRPr="2383B6FC">
        <w:rPr>
          <w:rFonts w:eastAsia="Calibri" w:cs="Calibri"/>
        </w:rPr>
        <w:t xml:space="preserve">notified </w:t>
      </w:r>
      <w:r w:rsidR="58F64C75" w:rsidRPr="2383B6FC">
        <w:rPr>
          <w:rFonts w:eastAsia="Calibri" w:cs="Calibri"/>
        </w:rPr>
        <w:t>as part of the consent flow</w:t>
      </w:r>
      <w:r w:rsidR="460B6028" w:rsidRPr="2383B6FC">
        <w:rPr>
          <w:rFonts w:eastAsia="Calibri" w:cs="Calibri"/>
        </w:rPr>
        <w:t xml:space="preserve"> </w:t>
      </w:r>
      <w:r w:rsidR="3B3CA47E" w:rsidRPr="2383B6FC">
        <w:rPr>
          <w:rFonts w:eastAsia="Calibri" w:cs="Calibri"/>
        </w:rPr>
        <w:t xml:space="preserve">about </w:t>
      </w:r>
      <w:r w:rsidR="460E1C1F" w:rsidRPr="2383B6FC">
        <w:rPr>
          <w:rFonts w:eastAsia="Calibri" w:cs="Calibri"/>
        </w:rPr>
        <w:t xml:space="preserve">which </w:t>
      </w:r>
      <w:r w:rsidR="3B3CA47E" w:rsidRPr="2383B6FC">
        <w:rPr>
          <w:rFonts w:eastAsia="Calibri" w:cs="Calibri"/>
        </w:rPr>
        <w:t xml:space="preserve">supporting parties may access the consumer’s CDR data based on the </w:t>
      </w:r>
      <w:r w:rsidR="491EB8A9" w:rsidRPr="2383B6FC">
        <w:rPr>
          <w:rFonts w:eastAsia="Calibri" w:cs="Calibri"/>
        </w:rPr>
        <w:t xml:space="preserve">relevant </w:t>
      </w:r>
      <w:r w:rsidR="3B3CA47E" w:rsidRPr="2383B6FC">
        <w:rPr>
          <w:rFonts w:eastAsia="Calibri" w:cs="Calibri"/>
        </w:rPr>
        <w:t xml:space="preserve">supporting parties at the time of consent. </w:t>
      </w:r>
      <w:r w:rsidR="00400731">
        <w:rPr>
          <w:rFonts w:eastAsia="Calibri" w:cs="Calibri"/>
        </w:rPr>
        <w:t xml:space="preserve">In addition to </w:t>
      </w:r>
      <w:r w:rsidR="3B3CA47E" w:rsidRPr="2383B6FC">
        <w:rPr>
          <w:rFonts w:eastAsia="Calibri" w:cs="Calibri"/>
        </w:rPr>
        <w:t>principals in CDR representative arrangements</w:t>
      </w:r>
      <w:r w:rsidR="00315089">
        <w:rPr>
          <w:rFonts w:eastAsia="Calibri" w:cs="Calibri"/>
        </w:rPr>
        <w:t xml:space="preserve"> and </w:t>
      </w:r>
      <w:r w:rsidR="3B3CA47E" w:rsidRPr="2383B6FC">
        <w:rPr>
          <w:rFonts w:eastAsia="Calibri" w:cs="Calibri"/>
        </w:rPr>
        <w:t xml:space="preserve">sponsors in a sponsor-affiliate arrangement, </w:t>
      </w:r>
      <w:r w:rsidR="00400731">
        <w:rPr>
          <w:rFonts w:eastAsia="Calibri" w:cs="Calibri"/>
        </w:rPr>
        <w:t xml:space="preserve">this would </w:t>
      </w:r>
      <w:r w:rsidR="004C55D9">
        <w:rPr>
          <w:rFonts w:eastAsia="Calibri" w:cs="Calibri"/>
        </w:rPr>
        <w:t>introduce a requirement to identify</w:t>
      </w:r>
      <w:r w:rsidR="00400731">
        <w:rPr>
          <w:rFonts w:eastAsia="Calibri" w:cs="Calibri"/>
        </w:rPr>
        <w:t xml:space="preserve"> </w:t>
      </w:r>
      <w:r w:rsidR="00315089">
        <w:rPr>
          <w:rFonts w:eastAsia="Calibri" w:cs="Calibri"/>
        </w:rPr>
        <w:t xml:space="preserve">any </w:t>
      </w:r>
      <w:r w:rsidR="00CA4F98">
        <w:rPr>
          <w:rFonts w:eastAsia="Calibri" w:cs="Calibri"/>
        </w:rPr>
        <w:t xml:space="preserve">direct or indirect </w:t>
      </w:r>
      <w:r w:rsidR="00400731">
        <w:rPr>
          <w:rFonts w:eastAsia="Calibri" w:cs="Calibri"/>
        </w:rPr>
        <w:t xml:space="preserve">OSPs </w:t>
      </w:r>
      <w:r w:rsidR="3B3CA47E" w:rsidRPr="2383B6FC">
        <w:rPr>
          <w:rFonts w:eastAsia="Calibri" w:cs="Calibri"/>
        </w:rPr>
        <w:t xml:space="preserve">who may access the </w:t>
      </w:r>
      <w:r w:rsidR="003C2E4F" w:rsidRPr="2383B6FC">
        <w:rPr>
          <w:rFonts w:eastAsia="Calibri" w:cs="Calibri"/>
        </w:rPr>
        <w:t xml:space="preserve">consumer’s CDR </w:t>
      </w:r>
      <w:r w:rsidR="3B3CA47E" w:rsidRPr="2383B6FC">
        <w:rPr>
          <w:rFonts w:eastAsia="Calibri" w:cs="Calibri"/>
        </w:rPr>
        <w:t xml:space="preserve">data. If a supporting party will not access the </w:t>
      </w:r>
      <w:r w:rsidR="002507FA" w:rsidRPr="2383B6FC">
        <w:rPr>
          <w:rFonts w:eastAsia="Calibri" w:cs="Calibri"/>
        </w:rPr>
        <w:t xml:space="preserve">consumer’s CDR </w:t>
      </w:r>
      <w:r w:rsidR="3B3CA47E" w:rsidRPr="2383B6FC">
        <w:rPr>
          <w:rFonts w:eastAsia="Calibri" w:cs="Calibri"/>
        </w:rPr>
        <w:t>data, they need not be listed.</w:t>
      </w:r>
    </w:p>
    <w:p w14:paraId="64E11159" w14:textId="5A7F134E" w:rsidR="00B64B52" w:rsidRDefault="00EC3CB5" w:rsidP="00FC44C5">
      <w:pPr>
        <w:spacing w:line="257" w:lineRule="auto"/>
        <w:rPr>
          <w:rFonts w:eastAsia="Calibri" w:cs="Calibri"/>
        </w:rPr>
      </w:pPr>
      <w:r>
        <w:rPr>
          <w:rFonts w:eastAsia="Calibri" w:cs="Calibri"/>
        </w:rPr>
        <w:t>Under the proposed notifications</w:t>
      </w:r>
      <w:r w:rsidR="00246E7C">
        <w:rPr>
          <w:rFonts w:eastAsia="Calibri" w:cs="Calibri"/>
        </w:rPr>
        <w:t>,</w:t>
      </w:r>
      <w:r w:rsidR="003A5417">
        <w:rPr>
          <w:rFonts w:eastAsia="Calibri" w:cs="Calibri"/>
        </w:rPr>
        <w:t xml:space="preserve"> </w:t>
      </w:r>
      <w:r w:rsidR="78731599" w:rsidRPr="7B651BF0">
        <w:rPr>
          <w:rFonts w:eastAsia="Calibri" w:cs="Calibri"/>
        </w:rPr>
        <w:t xml:space="preserve">the consumer </w:t>
      </w:r>
      <w:r w:rsidR="00E03DDC">
        <w:rPr>
          <w:rFonts w:eastAsia="Calibri" w:cs="Calibri"/>
        </w:rPr>
        <w:t xml:space="preserve">would </w:t>
      </w:r>
      <w:r w:rsidR="78731599" w:rsidRPr="7B651BF0">
        <w:rPr>
          <w:rFonts w:eastAsia="Calibri" w:cs="Calibri"/>
        </w:rPr>
        <w:t>be provided with the following information</w:t>
      </w:r>
      <w:r w:rsidR="00FC533A">
        <w:rPr>
          <w:rFonts w:eastAsia="Calibri" w:cs="Calibri"/>
        </w:rPr>
        <w:t xml:space="preserve"> about supporting parties</w:t>
      </w:r>
      <w:r w:rsidR="78731599" w:rsidRPr="7B651BF0">
        <w:rPr>
          <w:rFonts w:eastAsia="Calibri" w:cs="Calibri"/>
        </w:rPr>
        <w:t>:</w:t>
      </w:r>
    </w:p>
    <w:p w14:paraId="382F3A51" w14:textId="2005E03C" w:rsidR="00B64B52" w:rsidRDefault="42E54363" w:rsidP="00AA14CB">
      <w:pPr>
        <w:pStyle w:val="Bulletpoint"/>
      </w:pPr>
      <w:r>
        <w:t xml:space="preserve">The name of the supporting </w:t>
      </w:r>
      <w:proofErr w:type="gramStart"/>
      <w:r>
        <w:t>party</w:t>
      </w:r>
      <w:r w:rsidR="004855E9">
        <w:t>;</w:t>
      </w:r>
      <w:proofErr w:type="gramEnd"/>
    </w:p>
    <w:p w14:paraId="09EA2882" w14:textId="5275F3BB" w:rsidR="00B64B52" w:rsidRDefault="00860825" w:rsidP="00AA14CB">
      <w:pPr>
        <w:pStyle w:val="Bulletpoint"/>
      </w:pPr>
      <w:r>
        <w:t xml:space="preserve">If applicable, </w:t>
      </w:r>
      <w:r w:rsidR="000D26EF">
        <w:t>the supporting party’s</w:t>
      </w:r>
      <w:r w:rsidR="78731599" w:rsidRPr="7B651BF0">
        <w:t xml:space="preserve"> accreditation </w:t>
      </w:r>
      <w:proofErr w:type="gramStart"/>
      <w:r w:rsidR="78731599" w:rsidRPr="7B651BF0">
        <w:t>number</w:t>
      </w:r>
      <w:r w:rsidR="004855E9">
        <w:t>;</w:t>
      </w:r>
      <w:proofErr w:type="gramEnd"/>
    </w:p>
    <w:p w14:paraId="5F357657" w14:textId="6DD87BD4" w:rsidR="00B64B52" w:rsidRDefault="78731599" w:rsidP="00AA14CB">
      <w:pPr>
        <w:pStyle w:val="Bulletpoint"/>
      </w:pPr>
      <w:r w:rsidRPr="7B651BF0">
        <w:t xml:space="preserve">If applicable, a link to the supporting party’s CDR </w:t>
      </w:r>
      <w:proofErr w:type="gramStart"/>
      <w:r w:rsidRPr="7B651BF0">
        <w:t>policy</w:t>
      </w:r>
      <w:r w:rsidR="00DC406E">
        <w:t>;</w:t>
      </w:r>
      <w:proofErr w:type="gramEnd"/>
    </w:p>
    <w:p w14:paraId="3938F0FE" w14:textId="6BCCB458" w:rsidR="00B64B52" w:rsidRDefault="78731599" w:rsidP="00AA14CB">
      <w:pPr>
        <w:pStyle w:val="Bulletpoint"/>
      </w:pPr>
      <w:r w:rsidRPr="7B651BF0">
        <w:t>The country in which the supporting party is located</w:t>
      </w:r>
      <w:r w:rsidR="00DC406E">
        <w:t>; and</w:t>
      </w:r>
    </w:p>
    <w:p w14:paraId="601E0EDB" w14:textId="3F3EA4F2" w:rsidR="00B64B52" w:rsidRDefault="47072612" w:rsidP="00AA14CB">
      <w:pPr>
        <w:pStyle w:val="Bulletpoint"/>
      </w:pPr>
      <w:r>
        <w:t xml:space="preserve">Concise information on why the supporting party will access the </w:t>
      </w:r>
      <w:r w:rsidR="00455047">
        <w:t xml:space="preserve">consumer’s CDR </w:t>
      </w:r>
      <w:r>
        <w:t xml:space="preserve">data, which may include to collect it from the </w:t>
      </w:r>
      <w:r w:rsidR="72BA30A3">
        <w:t xml:space="preserve">data holder </w:t>
      </w:r>
      <w:r>
        <w:t>or to receive it from an ADR for the purposes of analysing or transforming the data</w:t>
      </w:r>
      <w:r w:rsidR="5CAAE798">
        <w:t>.</w:t>
      </w:r>
    </w:p>
    <w:p w14:paraId="7E9E231F" w14:textId="04B557A0" w:rsidR="00B64B52" w:rsidRDefault="530D0A44" w:rsidP="50277555">
      <w:pPr>
        <w:spacing w:line="257" w:lineRule="auto"/>
        <w:rPr>
          <w:rFonts w:eastAsia="Calibri" w:cs="Calibri"/>
        </w:rPr>
      </w:pPr>
      <w:r w:rsidRPr="779BE076">
        <w:rPr>
          <w:rFonts w:eastAsia="Calibri" w:cs="Calibri"/>
        </w:rPr>
        <w:t xml:space="preserve">This information would be consistent with information provided in the ADR’s CDR </w:t>
      </w:r>
      <w:r w:rsidR="7404E479" w:rsidRPr="779BE076">
        <w:rPr>
          <w:rFonts w:eastAsia="Calibri" w:cs="Calibri"/>
        </w:rPr>
        <w:t>p</w:t>
      </w:r>
      <w:r w:rsidR="719F0F07" w:rsidRPr="779BE076">
        <w:rPr>
          <w:rFonts w:eastAsia="Calibri" w:cs="Calibri"/>
        </w:rPr>
        <w:t>olicy</w:t>
      </w:r>
      <w:r w:rsidRPr="779BE076">
        <w:rPr>
          <w:rFonts w:eastAsia="Calibri" w:cs="Calibri"/>
        </w:rPr>
        <w:t>, such that an ADR could rely upon this existing content for the purposes of making it accessible in the consent flow itself.</w:t>
      </w:r>
      <w:r w:rsidR="00077EBF">
        <w:rPr>
          <w:rStyle w:val="FootnoteReference"/>
          <w:rFonts w:eastAsia="Calibri" w:cs="Calibri"/>
        </w:rPr>
        <w:footnoteReference w:id="46"/>
      </w:r>
      <w:r w:rsidRPr="779BE076">
        <w:rPr>
          <w:rFonts w:eastAsia="Calibri" w:cs="Calibri"/>
        </w:rPr>
        <w:t xml:space="preserve"> Flexibility would exist for ADRs to present this information using an appropriate design that maintains accessibility to the information while limiting cognitive load.</w:t>
      </w:r>
      <w:r w:rsidR="0C085174" w:rsidRPr="779BE076">
        <w:rPr>
          <w:rFonts w:eastAsia="Calibri" w:cs="Calibri"/>
        </w:rPr>
        <w:t xml:space="preserve"> See </w:t>
      </w:r>
      <w:hyperlink r:id="rId35" w:history="1">
        <w:r w:rsidR="00CC24A5" w:rsidRPr="00FF6F5B">
          <w:rPr>
            <w:rStyle w:val="Hyperlink"/>
          </w:rPr>
          <w:t>wireframe 5.1 – supporting parties</w:t>
        </w:r>
      </w:hyperlink>
      <w:r w:rsidR="0C085174" w:rsidRPr="779BE076">
        <w:rPr>
          <w:rFonts w:eastAsia="Calibri" w:cs="Calibri"/>
        </w:rPr>
        <w:t xml:space="preserve"> for a visual example of how this could be achieved.</w:t>
      </w:r>
      <w:r w:rsidR="3E52CE44" w:rsidRPr="779BE076">
        <w:rPr>
          <w:rFonts w:eastAsia="Calibri" w:cs="Calibri"/>
        </w:rPr>
        <w:t xml:space="preserve"> The CX guidelines on OSPs, sponsorship and CD</w:t>
      </w:r>
      <w:r w:rsidR="0E6D2989" w:rsidRPr="779BE076">
        <w:rPr>
          <w:rFonts w:eastAsia="Calibri" w:cs="Calibri"/>
        </w:rPr>
        <w:t>R representative arrangements already recommend this approach, which ADRs have successfully implemented.</w:t>
      </w:r>
      <w:r w:rsidR="0054006F" w:rsidRPr="779BE076">
        <w:rPr>
          <w:rStyle w:val="FootnoteReference"/>
          <w:rFonts w:eastAsia="Calibri" w:cs="Calibri"/>
        </w:rPr>
        <w:footnoteReference w:id="47"/>
      </w:r>
    </w:p>
    <w:p w14:paraId="733D5B74" w14:textId="0915BAEA" w:rsidR="004E7C55" w:rsidRPr="00DC68EF" w:rsidRDefault="004E7C55" w:rsidP="00415A90">
      <w:pPr>
        <w:keepNext/>
        <w:rPr>
          <w:rFonts w:eastAsia="Calibri" w:cs="Calibri"/>
          <w:i/>
          <w:iCs/>
        </w:rPr>
      </w:pPr>
      <w:r w:rsidRPr="00DC68EF">
        <w:rPr>
          <w:rFonts w:eastAsia="Calibri" w:cs="Calibri"/>
          <w:i/>
          <w:iCs/>
        </w:rPr>
        <w:t xml:space="preserve">Notifications where </w:t>
      </w:r>
      <w:r w:rsidR="00DC68EF" w:rsidRPr="00DC68EF">
        <w:rPr>
          <w:rFonts w:eastAsia="Calibri" w:cs="Calibri"/>
          <w:i/>
          <w:iCs/>
        </w:rPr>
        <w:t>supporting parties change or are added</w:t>
      </w:r>
    </w:p>
    <w:p w14:paraId="16712583" w14:textId="0BEEDB0F" w:rsidR="00EE7280" w:rsidRDefault="00005769" w:rsidP="00DF402B">
      <w:pPr>
        <w:rPr>
          <w:rFonts w:eastAsia="Calibri" w:cs="Calibri"/>
        </w:rPr>
      </w:pPr>
      <w:r w:rsidRPr="32ADD433">
        <w:rPr>
          <w:rFonts w:eastAsia="Calibri" w:cs="Calibri"/>
        </w:rPr>
        <w:t>W</w:t>
      </w:r>
      <w:r w:rsidR="00466579" w:rsidRPr="32ADD433">
        <w:rPr>
          <w:rFonts w:eastAsia="Calibri" w:cs="Calibri"/>
        </w:rPr>
        <w:t xml:space="preserve">hen </w:t>
      </w:r>
      <w:r w:rsidR="67961BF9" w:rsidRPr="6EDE0A44">
        <w:rPr>
          <w:rFonts w:eastAsia="Calibri" w:cs="Calibri"/>
        </w:rPr>
        <w:t xml:space="preserve">supporting parties </w:t>
      </w:r>
      <w:r w:rsidR="785EFA4A" w:rsidRPr="6EDE0A44">
        <w:rPr>
          <w:rFonts w:eastAsia="Calibri" w:cs="Calibri"/>
        </w:rPr>
        <w:t>change</w:t>
      </w:r>
      <w:r w:rsidR="7637D405" w:rsidRPr="6EDE0A44">
        <w:rPr>
          <w:rFonts w:eastAsia="Calibri" w:cs="Calibri"/>
        </w:rPr>
        <w:t>, the ADR must up</w:t>
      </w:r>
      <w:r w:rsidR="6B859E56" w:rsidRPr="6EDE0A44">
        <w:rPr>
          <w:rFonts w:eastAsia="Calibri" w:cs="Calibri"/>
        </w:rPr>
        <w:t>date</w:t>
      </w:r>
      <w:r w:rsidR="3B4A6149" w:rsidRPr="6EDE0A44">
        <w:rPr>
          <w:rFonts w:eastAsia="Calibri" w:cs="Calibri"/>
        </w:rPr>
        <w:t xml:space="preserve"> </w:t>
      </w:r>
      <w:r w:rsidR="7637D405" w:rsidRPr="6EDE0A44">
        <w:rPr>
          <w:rFonts w:eastAsia="Calibri" w:cs="Calibri"/>
        </w:rPr>
        <w:t xml:space="preserve">the </w:t>
      </w:r>
      <w:r w:rsidR="3B4A6149" w:rsidRPr="6EDE0A44">
        <w:rPr>
          <w:rFonts w:eastAsia="Calibri" w:cs="Calibri"/>
        </w:rPr>
        <w:t xml:space="preserve">list </w:t>
      </w:r>
      <w:r w:rsidR="53F1F1BC" w:rsidRPr="6EDE0A44">
        <w:rPr>
          <w:rFonts w:eastAsia="Calibri" w:cs="Calibri"/>
        </w:rPr>
        <w:t xml:space="preserve">of </w:t>
      </w:r>
      <w:r w:rsidR="2001A8EA" w:rsidRPr="6EDE0A44">
        <w:rPr>
          <w:rFonts w:eastAsia="Calibri" w:cs="Calibri"/>
        </w:rPr>
        <w:t>supporting parties in its CDR Policy</w:t>
      </w:r>
      <w:r w:rsidR="008F043B" w:rsidRPr="32ADD433">
        <w:rPr>
          <w:rFonts w:eastAsia="Calibri" w:cs="Calibri"/>
        </w:rPr>
        <w:t xml:space="preserve">, however </w:t>
      </w:r>
      <w:r w:rsidR="00CE2343" w:rsidRPr="32ADD433">
        <w:rPr>
          <w:rFonts w:eastAsia="Calibri" w:cs="Calibri"/>
        </w:rPr>
        <w:t xml:space="preserve">there is no requirement that </w:t>
      </w:r>
      <w:r w:rsidR="008F043B" w:rsidRPr="32ADD433">
        <w:rPr>
          <w:rFonts w:eastAsia="Calibri" w:cs="Calibri"/>
        </w:rPr>
        <w:t xml:space="preserve">consumers </w:t>
      </w:r>
      <w:r w:rsidR="00CE2343" w:rsidRPr="32ADD433">
        <w:rPr>
          <w:rFonts w:eastAsia="Calibri" w:cs="Calibri"/>
        </w:rPr>
        <w:t xml:space="preserve">be </w:t>
      </w:r>
      <w:r w:rsidR="008F043B" w:rsidRPr="32ADD433">
        <w:rPr>
          <w:rFonts w:eastAsia="Calibri" w:cs="Calibri"/>
        </w:rPr>
        <w:t>made aware when this change occurs</w:t>
      </w:r>
      <w:r w:rsidR="1280C7B4" w:rsidRPr="6EDE0A44">
        <w:rPr>
          <w:rFonts w:eastAsia="Calibri" w:cs="Calibri"/>
        </w:rPr>
        <w:t>.</w:t>
      </w:r>
      <w:r w:rsidR="00F031A6">
        <w:rPr>
          <w:rStyle w:val="FootnoteReference"/>
          <w:rFonts w:eastAsia="Calibri" w:cs="Calibri"/>
        </w:rPr>
        <w:footnoteReference w:id="48"/>
      </w:r>
    </w:p>
    <w:p w14:paraId="223D9A88" w14:textId="423938FA" w:rsidR="00985DCE" w:rsidRDefault="001B2C80" w:rsidP="00DF402B">
      <w:pPr>
        <w:rPr>
          <w:rFonts w:eastAsia="Calibri" w:cs="Calibri"/>
        </w:rPr>
      </w:pPr>
      <w:r>
        <w:rPr>
          <w:rFonts w:eastAsia="Calibri" w:cs="Calibri"/>
        </w:rPr>
        <w:t xml:space="preserve">To ensure consumers </w:t>
      </w:r>
      <w:r w:rsidR="0085259B">
        <w:rPr>
          <w:rFonts w:eastAsia="Calibri" w:cs="Calibri"/>
        </w:rPr>
        <w:t xml:space="preserve">are prompted to </w:t>
      </w:r>
      <w:r>
        <w:rPr>
          <w:rFonts w:eastAsia="Calibri" w:cs="Calibri"/>
        </w:rPr>
        <w:t>consider that</w:t>
      </w:r>
      <w:r w:rsidR="0085259B">
        <w:rPr>
          <w:rFonts w:eastAsia="Calibri" w:cs="Calibri"/>
        </w:rPr>
        <w:t xml:space="preserve"> supporting parties may change over the course of a consent, w</w:t>
      </w:r>
      <w:r w:rsidR="4E9BEDA5" w:rsidRPr="6EDE0A44">
        <w:rPr>
          <w:rFonts w:eastAsia="Calibri" w:cs="Calibri"/>
        </w:rPr>
        <w:t>e consider i</w:t>
      </w:r>
      <w:r w:rsidR="799F6568" w:rsidRPr="6EDE0A44">
        <w:rPr>
          <w:rFonts w:eastAsia="Calibri" w:cs="Calibri"/>
        </w:rPr>
        <w:t xml:space="preserve">t may be appropriate for </w:t>
      </w:r>
      <w:r w:rsidR="551FCC7C" w:rsidRPr="6EDE0A44">
        <w:rPr>
          <w:rFonts w:eastAsia="Calibri" w:cs="Calibri"/>
        </w:rPr>
        <w:t xml:space="preserve">the </w:t>
      </w:r>
      <w:r w:rsidR="799F6568" w:rsidRPr="6EDE0A44">
        <w:rPr>
          <w:rFonts w:eastAsia="Calibri" w:cs="Calibri"/>
        </w:rPr>
        <w:t xml:space="preserve">ADR to </w:t>
      </w:r>
      <w:r w:rsidR="551FCC7C" w:rsidRPr="6EDE0A44">
        <w:rPr>
          <w:rFonts w:eastAsia="Calibri" w:cs="Calibri"/>
        </w:rPr>
        <w:t xml:space="preserve">note in the consent </w:t>
      </w:r>
      <w:r w:rsidR="00DA1614">
        <w:rPr>
          <w:rFonts w:eastAsia="Calibri" w:cs="Calibri"/>
        </w:rPr>
        <w:t>flow</w:t>
      </w:r>
      <w:r w:rsidR="00B67238">
        <w:rPr>
          <w:rFonts w:eastAsia="Calibri" w:cs="Calibri"/>
        </w:rPr>
        <w:t>, when identifying the supporting parties,</w:t>
      </w:r>
      <w:r w:rsidR="00DA1614">
        <w:rPr>
          <w:rFonts w:eastAsia="Calibri" w:cs="Calibri"/>
        </w:rPr>
        <w:t xml:space="preserve"> </w:t>
      </w:r>
      <w:r w:rsidR="551FCC7C" w:rsidRPr="6EDE0A44">
        <w:rPr>
          <w:rFonts w:eastAsia="Calibri" w:cs="Calibri"/>
        </w:rPr>
        <w:t xml:space="preserve">that </w:t>
      </w:r>
      <w:r w:rsidR="29EC7796" w:rsidRPr="6EDE0A44">
        <w:rPr>
          <w:rFonts w:eastAsia="Calibri" w:cs="Calibri"/>
        </w:rPr>
        <w:t>the supporting parties may change over time</w:t>
      </w:r>
      <w:r w:rsidR="00B67238">
        <w:rPr>
          <w:rFonts w:eastAsia="Calibri" w:cs="Calibri"/>
        </w:rPr>
        <w:t xml:space="preserve">. </w:t>
      </w:r>
    </w:p>
    <w:p w14:paraId="0EE2E2A2" w14:textId="4657B5DF" w:rsidR="007B7E95" w:rsidRPr="007B7E95" w:rsidRDefault="00B67238">
      <w:pPr>
        <w:rPr>
          <w:rFonts w:eastAsia="Calibri" w:cs="Calibri"/>
        </w:rPr>
      </w:pPr>
      <w:r>
        <w:rPr>
          <w:rFonts w:eastAsia="Calibri" w:cs="Calibri"/>
        </w:rPr>
        <w:t xml:space="preserve">It may also be appropriate to </w:t>
      </w:r>
      <w:r w:rsidR="799F6568" w:rsidRPr="6EDE0A44">
        <w:rPr>
          <w:rFonts w:eastAsia="Calibri" w:cs="Calibri"/>
        </w:rPr>
        <w:t xml:space="preserve">notify </w:t>
      </w:r>
      <w:r w:rsidR="551FCC7C" w:rsidRPr="6EDE0A44">
        <w:rPr>
          <w:rFonts w:eastAsia="Calibri" w:cs="Calibri"/>
        </w:rPr>
        <w:t xml:space="preserve">the </w:t>
      </w:r>
      <w:r w:rsidR="799F6568" w:rsidRPr="6EDE0A44">
        <w:rPr>
          <w:rFonts w:eastAsia="Calibri" w:cs="Calibri"/>
        </w:rPr>
        <w:t xml:space="preserve">consumer </w:t>
      </w:r>
      <w:r w:rsidR="00703A26">
        <w:rPr>
          <w:rFonts w:eastAsia="Calibri" w:cs="Calibri"/>
        </w:rPr>
        <w:t>when</w:t>
      </w:r>
      <w:r w:rsidR="799F6568" w:rsidRPr="6EDE0A44">
        <w:rPr>
          <w:rFonts w:eastAsia="Calibri" w:cs="Calibri"/>
        </w:rPr>
        <w:t xml:space="preserve"> the list of supporting parties who </w:t>
      </w:r>
      <w:r w:rsidR="4E9BEDA5" w:rsidRPr="6EDE0A44">
        <w:rPr>
          <w:rFonts w:eastAsia="Calibri" w:cs="Calibri"/>
        </w:rPr>
        <w:t xml:space="preserve">may </w:t>
      </w:r>
      <w:r w:rsidR="799F6568" w:rsidRPr="6EDE0A44">
        <w:rPr>
          <w:rFonts w:eastAsia="Calibri" w:cs="Calibri"/>
        </w:rPr>
        <w:t xml:space="preserve">access </w:t>
      </w:r>
      <w:r w:rsidR="4E9BEDA5" w:rsidRPr="6EDE0A44">
        <w:rPr>
          <w:rFonts w:eastAsia="Calibri" w:cs="Calibri"/>
        </w:rPr>
        <w:t xml:space="preserve">the consumer’s </w:t>
      </w:r>
      <w:r w:rsidR="799F6568" w:rsidRPr="6EDE0A44">
        <w:rPr>
          <w:rFonts w:eastAsia="Calibri" w:cs="Calibri"/>
        </w:rPr>
        <w:t>CDR data changes</w:t>
      </w:r>
      <w:r w:rsidR="00B8418F">
        <w:rPr>
          <w:rFonts w:eastAsia="Calibri" w:cs="Calibri"/>
        </w:rPr>
        <w:t xml:space="preserve"> – including </w:t>
      </w:r>
      <w:r w:rsidR="005F78D3">
        <w:rPr>
          <w:rFonts w:eastAsia="Calibri" w:cs="Calibri"/>
        </w:rPr>
        <w:t xml:space="preserve">in situations </w:t>
      </w:r>
      <w:r w:rsidR="00B8418F">
        <w:rPr>
          <w:rFonts w:eastAsia="Calibri" w:cs="Calibri"/>
        </w:rPr>
        <w:t xml:space="preserve">where </w:t>
      </w:r>
      <w:r w:rsidR="005F78D3">
        <w:rPr>
          <w:rFonts w:eastAsia="Calibri" w:cs="Calibri"/>
        </w:rPr>
        <w:t xml:space="preserve">the ADR </w:t>
      </w:r>
      <w:r w:rsidR="00B778E5">
        <w:rPr>
          <w:rFonts w:eastAsia="Calibri" w:cs="Calibri"/>
        </w:rPr>
        <w:t xml:space="preserve">did </w:t>
      </w:r>
      <w:r w:rsidR="00BA4144">
        <w:rPr>
          <w:rFonts w:eastAsia="Calibri" w:cs="Calibri"/>
        </w:rPr>
        <w:t xml:space="preserve">not </w:t>
      </w:r>
      <w:r w:rsidR="008F0BE3">
        <w:rPr>
          <w:rFonts w:eastAsia="Calibri" w:cs="Calibri"/>
        </w:rPr>
        <w:t xml:space="preserve">state that </w:t>
      </w:r>
      <w:r w:rsidR="0008338E">
        <w:rPr>
          <w:rFonts w:eastAsia="Calibri" w:cs="Calibri"/>
        </w:rPr>
        <w:t xml:space="preserve">the </w:t>
      </w:r>
      <w:r w:rsidR="00E146F2">
        <w:rPr>
          <w:rFonts w:eastAsia="Calibri" w:cs="Calibri"/>
        </w:rPr>
        <w:t xml:space="preserve">consumer’s CDR data may be </w:t>
      </w:r>
      <w:r w:rsidR="00BA4144">
        <w:rPr>
          <w:rFonts w:eastAsia="Calibri" w:cs="Calibri"/>
        </w:rPr>
        <w:t xml:space="preserve">disclosed to </w:t>
      </w:r>
      <w:r w:rsidR="008F0BE3">
        <w:rPr>
          <w:rFonts w:eastAsia="Calibri" w:cs="Calibri"/>
        </w:rPr>
        <w:t xml:space="preserve">an OSP </w:t>
      </w:r>
      <w:r w:rsidR="00BA4144">
        <w:rPr>
          <w:rFonts w:eastAsia="Calibri" w:cs="Calibri"/>
        </w:rPr>
        <w:t>as part of the consent</w:t>
      </w:r>
      <w:r w:rsidR="007A3FEB">
        <w:rPr>
          <w:rFonts w:eastAsia="Calibri" w:cs="Calibri"/>
        </w:rPr>
        <w:t xml:space="preserve"> flow</w:t>
      </w:r>
      <w:r w:rsidR="1822514E" w:rsidRPr="6EDE0A44">
        <w:rPr>
          <w:rFonts w:eastAsia="Calibri" w:cs="Calibri"/>
        </w:rPr>
        <w:t>.</w:t>
      </w:r>
      <w:r w:rsidR="00C82CCB">
        <w:rPr>
          <w:rStyle w:val="FootnoteReference"/>
          <w:rFonts w:eastAsia="Calibri" w:cs="Calibri"/>
        </w:rPr>
        <w:footnoteReference w:id="49"/>
      </w:r>
      <w:r w:rsidR="1822514E" w:rsidRPr="6EDE0A44">
        <w:rPr>
          <w:rFonts w:eastAsia="Calibri" w:cs="Calibri"/>
        </w:rPr>
        <w:t xml:space="preserve"> This could prompt</w:t>
      </w:r>
      <w:r w:rsidR="799F6568" w:rsidRPr="6EDE0A44">
        <w:rPr>
          <w:rFonts w:eastAsia="Calibri" w:cs="Calibri"/>
        </w:rPr>
        <w:t xml:space="preserve"> the consumer to review the ADR’s CDR policy. </w:t>
      </w:r>
      <w:r w:rsidR="1822514E" w:rsidRPr="6EDE0A44">
        <w:rPr>
          <w:rFonts w:eastAsia="Calibri" w:cs="Calibri"/>
        </w:rPr>
        <w:t>We welcome f</w:t>
      </w:r>
      <w:r w:rsidR="3CEE7474" w:rsidRPr="6EDE0A44">
        <w:rPr>
          <w:rFonts w:eastAsia="Calibri" w:cs="Calibri"/>
        </w:rPr>
        <w:t xml:space="preserve">eedback </w:t>
      </w:r>
      <w:r w:rsidR="1822514E" w:rsidRPr="6EDE0A44">
        <w:rPr>
          <w:rFonts w:eastAsia="Calibri" w:cs="Calibri"/>
        </w:rPr>
        <w:t xml:space="preserve">on </w:t>
      </w:r>
      <w:r w:rsidR="00B55193">
        <w:rPr>
          <w:rFonts w:eastAsia="Calibri" w:cs="Calibri"/>
        </w:rPr>
        <w:t>what</w:t>
      </w:r>
      <w:r w:rsidR="00B55193" w:rsidRPr="6EDE0A44">
        <w:rPr>
          <w:rFonts w:eastAsia="Calibri" w:cs="Calibri"/>
        </w:rPr>
        <w:t xml:space="preserve"> </w:t>
      </w:r>
      <w:r w:rsidR="40D344FF" w:rsidRPr="6EDE0A44">
        <w:rPr>
          <w:rFonts w:eastAsia="Calibri" w:cs="Calibri"/>
        </w:rPr>
        <w:t xml:space="preserve">information or notifications should be provided where </w:t>
      </w:r>
      <w:r w:rsidR="33E955DF" w:rsidRPr="6EDE0A44">
        <w:rPr>
          <w:rFonts w:eastAsia="Calibri" w:cs="Calibri"/>
        </w:rPr>
        <w:t xml:space="preserve">supporting parties </w:t>
      </w:r>
      <w:r w:rsidR="109DE12E" w:rsidRPr="6EDE0A44">
        <w:rPr>
          <w:rFonts w:eastAsia="Calibri" w:cs="Calibri"/>
        </w:rPr>
        <w:t>change.</w:t>
      </w:r>
      <w:r w:rsidR="007B7E95">
        <w:br w:type="page"/>
      </w:r>
    </w:p>
    <w:tbl>
      <w:tblPr>
        <w:tblStyle w:val="TableGrid1"/>
        <w:tblW w:w="0" w:type="auto"/>
        <w:tblCellMar>
          <w:top w:w="85" w:type="dxa"/>
          <w:bottom w:w="85" w:type="dxa"/>
        </w:tblCellMar>
        <w:tblLook w:val="0600" w:firstRow="0" w:lastRow="0" w:firstColumn="0" w:lastColumn="0" w:noHBand="1" w:noVBand="1"/>
      </w:tblPr>
      <w:tblGrid>
        <w:gridCol w:w="9016"/>
      </w:tblGrid>
      <w:tr w:rsidR="00DF402B" w14:paraId="2E949047" w14:textId="77777777" w:rsidTr="734AE715">
        <w:tc>
          <w:tcPr>
            <w:tcW w:w="9016" w:type="dxa"/>
          </w:tcPr>
          <w:p w14:paraId="7230F0DE" w14:textId="359E2449" w:rsidR="00DF402B" w:rsidRPr="00B836A6" w:rsidRDefault="00DF402B" w:rsidP="001B0330">
            <w:pPr>
              <w:rPr>
                <w:rFonts w:cs="Calibri"/>
                <w:b/>
                <w:bCs/>
              </w:rPr>
            </w:pPr>
            <w:r w:rsidRPr="00B836A6">
              <w:rPr>
                <w:rFonts w:cs="Calibri"/>
                <w:b/>
                <w:bCs/>
              </w:rPr>
              <w:lastRenderedPageBreak/>
              <w:t>Consultation questions</w:t>
            </w:r>
          </w:p>
          <w:p w14:paraId="3F9A5151" w14:textId="6D064A4E" w:rsidR="00DF402B" w:rsidRPr="00964990" w:rsidRDefault="46641A76" w:rsidP="7ADBC58A">
            <w:pPr>
              <w:pStyle w:val="ListParagraph"/>
            </w:pPr>
            <w:r>
              <w:t xml:space="preserve">Do you agree with the proposal to align the consent </w:t>
            </w:r>
            <w:r w:rsidR="00F70BB4">
              <w:t xml:space="preserve">information </w:t>
            </w:r>
            <w:r>
              <w:t>requirements for OSPs, sponsors, and principals?</w:t>
            </w:r>
          </w:p>
          <w:p w14:paraId="3B0FFBD7" w14:textId="1B42FB24" w:rsidR="00DF402B" w:rsidRPr="00964990" w:rsidRDefault="00A6737A" w:rsidP="00FC44C5">
            <w:pPr>
              <w:pStyle w:val="ListParagraph"/>
              <w:rPr>
                <w:rFonts w:eastAsia="Calibri" w:cs="Calibri"/>
              </w:rPr>
            </w:pPr>
            <w:r>
              <w:t xml:space="preserve">Do you consider </w:t>
            </w:r>
            <w:r w:rsidR="46641A76">
              <w:t xml:space="preserve">ADRs </w:t>
            </w:r>
            <w:r>
              <w:t xml:space="preserve">should </w:t>
            </w:r>
            <w:r w:rsidR="46641A76">
              <w:t xml:space="preserve">notify consumers if the list of supporting parties </w:t>
            </w:r>
            <w:r>
              <w:t xml:space="preserve">that may </w:t>
            </w:r>
            <w:r w:rsidR="00505017">
              <w:t xml:space="preserve">access </w:t>
            </w:r>
            <w:r w:rsidR="001D0391">
              <w:t>a consumer’s CDR data</w:t>
            </w:r>
            <w:r w:rsidR="00505017">
              <w:t xml:space="preserve"> </w:t>
            </w:r>
            <w:r w:rsidR="46641A76">
              <w:t>changes?</w:t>
            </w:r>
            <w:r w:rsidR="00330BF1">
              <w:t xml:space="preserve"> If so, how should this notification be made?</w:t>
            </w:r>
          </w:p>
          <w:p w14:paraId="5A95596D" w14:textId="439C5903" w:rsidR="00DF402B" w:rsidRPr="00964990" w:rsidRDefault="0F4C4CB5" w:rsidP="00D530C9">
            <w:pPr>
              <w:pStyle w:val="ListParagraph"/>
              <w:rPr>
                <w:rFonts w:eastAsia="Calibri" w:cs="Calibri"/>
              </w:rPr>
            </w:pPr>
            <w:r w:rsidRPr="734AE715">
              <w:rPr>
                <w:rFonts w:eastAsia="Calibri" w:cs="Calibri"/>
              </w:rPr>
              <w:t>Are there any further issues that should be considered in relation to supporting parties?</w:t>
            </w:r>
          </w:p>
        </w:tc>
      </w:tr>
    </w:tbl>
    <w:p w14:paraId="4EEF4B38" w14:textId="046768A5" w:rsidR="00595192" w:rsidRPr="00B836A6" w:rsidRDefault="14CB5239" w:rsidP="00372080">
      <w:pPr>
        <w:pStyle w:val="Heading2"/>
        <w:spacing w:after="240"/>
        <w:rPr>
          <w:rFonts w:eastAsia="Calibri" w:cs="Calibri"/>
        </w:rPr>
      </w:pPr>
      <w:bookmarkStart w:id="29" w:name="_Ref139984923"/>
      <w:bookmarkStart w:id="30" w:name="_Toc142317581"/>
      <w:bookmarkStart w:id="31" w:name="_Toc143705087"/>
      <w:r w:rsidRPr="20057625">
        <w:rPr>
          <w:rFonts w:eastAsia="Calibri" w:cs="Calibri"/>
        </w:rPr>
        <w:t>Notifications</w:t>
      </w:r>
      <w:bookmarkEnd w:id="29"/>
      <w:bookmarkEnd w:id="30"/>
      <w:bookmarkEnd w:id="31"/>
    </w:p>
    <w:p w14:paraId="6F3E91C5" w14:textId="4EE6BE0C" w:rsidR="00D205F0" w:rsidRPr="00B836A6" w:rsidRDefault="05821A61" w:rsidP="008633BC">
      <w:pPr>
        <w:spacing w:line="259" w:lineRule="auto"/>
        <w:rPr>
          <w:rFonts w:eastAsia="Calibri" w:cs="Calibri"/>
        </w:rPr>
      </w:pPr>
      <w:r w:rsidRPr="008633BC">
        <w:rPr>
          <w:rFonts w:eastAsia="Calibri" w:cs="Calibri"/>
        </w:rPr>
        <w:t xml:space="preserve">The </w:t>
      </w:r>
      <w:r w:rsidR="093F2C14" w:rsidRPr="779BE076">
        <w:rPr>
          <w:rFonts w:eastAsia="Calibri" w:cs="Calibri"/>
        </w:rPr>
        <w:t>CDR R</w:t>
      </w:r>
      <w:r w:rsidRPr="008633BC">
        <w:rPr>
          <w:rFonts w:eastAsia="Calibri" w:cs="Calibri"/>
        </w:rPr>
        <w:t xml:space="preserve">ules require </w:t>
      </w:r>
      <w:r w:rsidR="008C0FFC" w:rsidRPr="32ADD433">
        <w:rPr>
          <w:rFonts w:eastAsia="Calibri" w:cs="Calibri"/>
        </w:rPr>
        <w:t>ADRs</w:t>
      </w:r>
      <w:r w:rsidRPr="008633BC">
        <w:rPr>
          <w:rFonts w:eastAsia="Calibri" w:cs="Calibri"/>
        </w:rPr>
        <w:t xml:space="preserve"> to provide notifications and related artefacts </w:t>
      </w:r>
      <w:r w:rsidR="008C0FFC" w:rsidRPr="32ADD433">
        <w:rPr>
          <w:rFonts w:eastAsia="Calibri" w:cs="Calibri"/>
        </w:rPr>
        <w:t xml:space="preserve">to consumers </w:t>
      </w:r>
      <w:r w:rsidRPr="008633BC">
        <w:rPr>
          <w:rFonts w:eastAsia="Calibri" w:cs="Calibri"/>
        </w:rPr>
        <w:t>for a range of purposes. This includes provid</w:t>
      </w:r>
      <w:r w:rsidR="00AB7A0A" w:rsidRPr="32ADD433">
        <w:rPr>
          <w:rFonts w:eastAsia="Calibri" w:cs="Calibri"/>
        </w:rPr>
        <w:t>ing</w:t>
      </w:r>
      <w:r w:rsidRPr="008633BC">
        <w:rPr>
          <w:rFonts w:eastAsia="Calibri" w:cs="Calibri"/>
        </w:rPr>
        <w:t xml:space="preserve"> a CDR receipt to a consumer after a consent has been given, amended, or withdrawn,</w:t>
      </w:r>
      <w:r w:rsidR="00317282">
        <w:rPr>
          <w:rStyle w:val="FootnoteReference"/>
          <w:rFonts w:eastAsia="Calibri" w:cs="Calibri"/>
        </w:rPr>
        <w:footnoteReference w:id="50"/>
      </w:r>
      <w:r w:rsidRPr="008633BC">
        <w:rPr>
          <w:rFonts w:eastAsia="Calibri" w:cs="Calibri"/>
        </w:rPr>
        <w:t xml:space="preserve"> and </w:t>
      </w:r>
      <w:r w:rsidR="00AB7A0A" w:rsidRPr="32ADD433">
        <w:rPr>
          <w:rFonts w:eastAsia="Calibri" w:cs="Calibri"/>
        </w:rPr>
        <w:t>providing</w:t>
      </w:r>
      <w:r w:rsidRPr="008633BC">
        <w:rPr>
          <w:rFonts w:eastAsia="Calibri" w:cs="Calibri"/>
        </w:rPr>
        <w:t xml:space="preserve"> ongoing notification</w:t>
      </w:r>
      <w:r w:rsidR="00A53461">
        <w:rPr>
          <w:rFonts w:eastAsia="Calibri" w:cs="Calibri"/>
        </w:rPr>
        <w:t>s</w:t>
      </w:r>
      <w:r w:rsidRPr="008633BC">
        <w:rPr>
          <w:rFonts w:eastAsia="Calibri" w:cs="Calibri"/>
        </w:rPr>
        <w:t xml:space="preserve">, referred to as 90-day </w:t>
      </w:r>
      <w:r w:rsidR="33A728E4" w:rsidRPr="008633BC">
        <w:rPr>
          <w:rFonts w:eastAsia="Calibri" w:cs="Calibri"/>
        </w:rPr>
        <w:t>notification</w:t>
      </w:r>
      <w:r w:rsidR="00A53461">
        <w:rPr>
          <w:rFonts w:eastAsia="Calibri" w:cs="Calibri"/>
        </w:rPr>
        <w:t>s</w:t>
      </w:r>
      <w:r w:rsidRPr="008633BC">
        <w:rPr>
          <w:rFonts w:eastAsia="Calibri" w:cs="Calibri"/>
        </w:rPr>
        <w:t xml:space="preserve">, to </w:t>
      </w:r>
      <w:r w:rsidR="009E2CCE" w:rsidRPr="32ADD433">
        <w:rPr>
          <w:rFonts w:eastAsia="Calibri" w:cs="Calibri"/>
        </w:rPr>
        <w:t xml:space="preserve">regularly </w:t>
      </w:r>
      <w:r w:rsidRPr="008633BC">
        <w:rPr>
          <w:rFonts w:eastAsia="Calibri" w:cs="Calibri"/>
        </w:rPr>
        <w:t xml:space="preserve">alert the consumer to the fact that a consent is </w:t>
      </w:r>
      <w:r w:rsidR="3D807748" w:rsidRPr="4B563B6E">
        <w:rPr>
          <w:rFonts w:eastAsia="Calibri" w:cs="Calibri"/>
        </w:rPr>
        <w:t xml:space="preserve">still </w:t>
      </w:r>
      <w:r w:rsidRPr="008633BC">
        <w:rPr>
          <w:rFonts w:eastAsia="Calibri" w:cs="Calibri"/>
        </w:rPr>
        <w:t>active.</w:t>
      </w:r>
      <w:r w:rsidR="00E32A6B">
        <w:rPr>
          <w:rStyle w:val="FootnoteReference"/>
          <w:rFonts w:eastAsia="Calibri" w:cs="Calibri"/>
        </w:rPr>
        <w:footnoteReference w:id="51"/>
      </w:r>
    </w:p>
    <w:p w14:paraId="67EF39CF" w14:textId="4860AE22" w:rsidR="00D205F0" w:rsidRPr="00CB5E06" w:rsidRDefault="0DA14D68" w:rsidP="008633BC">
      <w:pPr>
        <w:spacing w:line="259" w:lineRule="auto"/>
        <w:rPr>
          <w:rFonts w:eastAsia="Calibri" w:cs="Calibri"/>
        </w:rPr>
      </w:pPr>
      <w:r w:rsidRPr="008633BC">
        <w:rPr>
          <w:rFonts w:eastAsia="Calibri" w:cs="Calibri"/>
        </w:rPr>
        <w:t xml:space="preserve">CDR receipts and 90-day notifications play a critical role in consent management. The CDR receipt provides a record of what was agreed to and reduces the need for a consumer to recall the terms of a consent after the fact, which helps maintain informed consent. The 90-day notification also supports informed </w:t>
      </w:r>
      <w:r w:rsidRPr="00CB5E06">
        <w:rPr>
          <w:rFonts w:eastAsia="Calibri" w:cs="Calibri"/>
        </w:rPr>
        <w:t>consent by notifying a consumer who has been idle for 90</w:t>
      </w:r>
      <w:r w:rsidR="3028B086" w:rsidRPr="00CB5E06">
        <w:rPr>
          <w:rFonts w:eastAsia="Calibri" w:cs="Calibri"/>
        </w:rPr>
        <w:t>-</w:t>
      </w:r>
      <w:r w:rsidRPr="00CB5E06">
        <w:rPr>
          <w:rFonts w:eastAsia="Calibri" w:cs="Calibri"/>
        </w:rPr>
        <w:t>days that the ADR is continuing to collect and/or use their CDR data.</w:t>
      </w:r>
    </w:p>
    <w:p w14:paraId="3A901B67" w14:textId="0187E73A" w:rsidR="00D205F0" w:rsidRPr="00B836A6" w:rsidRDefault="2E933020" w:rsidP="008633BC">
      <w:pPr>
        <w:spacing w:line="259" w:lineRule="auto"/>
        <w:rPr>
          <w:rFonts w:eastAsia="Calibri" w:cs="Calibri"/>
        </w:rPr>
      </w:pPr>
      <w:r w:rsidRPr="6EDE0A44">
        <w:rPr>
          <w:rFonts w:eastAsia="Calibri" w:cs="Calibri"/>
        </w:rPr>
        <w:t>However, the</w:t>
      </w:r>
      <w:r w:rsidR="00FF4377" w:rsidRPr="32ADD433">
        <w:rPr>
          <w:rFonts w:eastAsia="Calibri" w:cs="Calibri"/>
        </w:rPr>
        <w:t xml:space="preserve"> scope of the CDR receipt requirements in the </w:t>
      </w:r>
      <w:r w:rsidR="001C354C">
        <w:rPr>
          <w:rFonts w:eastAsia="Calibri" w:cs="Calibri"/>
        </w:rPr>
        <w:t>CDR R</w:t>
      </w:r>
      <w:r w:rsidR="00FF4377" w:rsidRPr="32ADD433">
        <w:rPr>
          <w:rFonts w:eastAsia="Calibri" w:cs="Calibri"/>
        </w:rPr>
        <w:t xml:space="preserve">ules are quite broad, encompassing </w:t>
      </w:r>
      <w:r w:rsidR="00D04B66" w:rsidRPr="32ADD433">
        <w:rPr>
          <w:rFonts w:eastAsia="Calibri" w:cs="Calibri"/>
        </w:rPr>
        <w:t xml:space="preserve">specific </w:t>
      </w:r>
      <w:r w:rsidR="006623B7" w:rsidRPr="32ADD433">
        <w:rPr>
          <w:rFonts w:eastAsia="Calibri" w:cs="Calibri"/>
        </w:rPr>
        <w:t>details about the consent as well as ‘</w:t>
      </w:r>
      <w:r w:rsidR="00D04B66" w:rsidRPr="32ADD433">
        <w:rPr>
          <w:rFonts w:eastAsia="Calibri" w:cs="Calibri"/>
        </w:rPr>
        <w:t xml:space="preserve">any </w:t>
      </w:r>
      <w:r w:rsidR="006623B7" w:rsidRPr="32ADD433">
        <w:rPr>
          <w:rFonts w:eastAsia="Calibri" w:cs="Calibri"/>
        </w:rPr>
        <w:t xml:space="preserve">other </w:t>
      </w:r>
      <w:r w:rsidR="00D04B66" w:rsidRPr="32ADD433">
        <w:rPr>
          <w:rFonts w:eastAsia="Calibri" w:cs="Calibri"/>
        </w:rPr>
        <w:t>information</w:t>
      </w:r>
      <w:r w:rsidR="006623B7" w:rsidRPr="32ADD433">
        <w:rPr>
          <w:rFonts w:eastAsia="Calibri" w:cs="Calibri"/>
        </w:rPr>
        <w:t>’</w:t>
      </w:r>
      <w:r w:rsidR="00D04B66" w:rsidRPr="32ADD433">
        <w:rPr>
          <w:rFonts w:eastAsia="Calibri" w:cs="Calibri"/>
        </w:rPr>
        <w:t xml:space="preserve"> provided to the consumer at the time of consent.</w:t>
      </w:r>
      <w:r w:rsidR="0096390E">
        <w:rPr>
          <w:rStyle w:val="FootnoteReference"/>
          <w:rFonts w:eastAsia="Calibri" w:cs="Calibri"/>
        </w:rPr>
        <w:footnoteReference w:id="52"/>
      </w:r>
      <w:r w:rsidR="00D04B66" w:rsidRPr="32ADD433">
        <w:rPr>
          <w:rFonts w:eastAsia="Calibri" w:cs="Calibri"/>
        </w:rPr>
        <w:t xml:space="preserve"> </w:t>
      </w:r>
      <w:r w:rsidR="006623B7" w:rsidRPr="32ADD433">
        <w:rPr>
          <w:rFonts w:eastAsia="Calibri" w:cs="Calibri"/>
        </w:rPr>
        <w:t>The</w:t>
      </w:r>
      <w:r w:rsidRPr="6EDE0A44">
        <w:rPr>
          <w:rFonts w:eastAsia="Calibri" w:cs="Calibri"/>
        </w:rPr>
        <w:t xml:space="preserve"> broad scope of the</w:t>
      </w:r>
      <w:r w:rsidR="6BFAC83D" w:rsidRPr="6EDE0A44">
        <w:rPr>
          <w:rFonts w:eastAsia="Calibri" w:cs="Calibri"/>
        </w:rPr>
        <w:t xml:space="preserve"> current</w:t>
      </w:r>
      <w:r w:rsidRPr="6EDE0A44">
        <w:rPr>
          <w:rFonts w:eastAsia="Calibri" w:cs="Calibri"/>
        </w:rPr>
        <w:t xml:space="preserve"> CDR </w:t>
      </w:r>
      <w:r w:rsidR="46B139D0" w:rsidRPr="6EDE0A44">
        <w:rPr>
          <w:rFonts w:eastAsia="Calibri" w:cs="Calibri"/>
        </w:rPr>
        <w:t>Rules on r</w:t>
      </w:r>
      <w:r w:rsidRPr="6EDE0A44">
        <w:rPr>
          <w:rFonts w:eastAsia="Calibri" w:cs="Calibri"/>
        </w:rPr>
        <w:t xml:space="preserve">eceipts may result in extensive and extraneous information being provided to a consumer. </w:t>
      </w:r>
      <w:proofErr w:type="gramStart"/>
      <w:r w:rsidRPr="6EDE0A44">
        <w:rPr>
          <w:rFonts w:eastAsia="Calibri" w:cs="Calibri"/>
        </w:rPr>
        <w:t>This risks</w:t>
      </w:r>
      <w:proofErr w:type="gramEnd"/>
      <w:r w:rsidRPr="6EDE0A44">
        <w:rPr>
          <w:rFonts w:eastAsia="Calibri" w:cs="Calibri"/>
        </w:rPr>
        <w:t xml:space="preserve"> increasing cognitive load while simultaneously reducing the utility of the CDR receipt.</w:t>
      </w:r>
    </w:p>
    <w:p w14:paraId="547549C4" w14:textId="013A7013" w:rsidR="00D205F0" w:rsidRPr="00B836A6" w:rsidRDefault="00621374" w:rsidP="4B563B6E">
      <w:pPr>
        <w:spacing w:line="259" w:lineRule="auto"/>
        <w:rPr>
          <w:rFonts w:eastAsia="Calibri" w:cs="Calibri"/>
        </w:rPr>
      </w:pPr>
      <w:r>
        <w:rPr>
          <w:rFonts w:eastAsia="Calibri" w:cs="Calibri"/>
        </w:rPr>
        <w:t xml:space="preserve">Certain </w:t>
      </w:r>
      <w:r w:rsidR="05821A61" w:rsidRPr="008633BC">
        <w:rPr>
          <w:rFonts w:eastAsia="Calibri" w:cs="Calibri"/>
        </w:rPr>
        <w:t>90-day notification</w:t>
      </w:r>
      <w:r w:rsidR="00743F11">
        <w:rPr>
          <w:rFonts w:eastAsia="Calibri" w:cs="Calibri"/>
        </w:rPr>
        <w:t xml:space="preserve"> requirements</w:t>
      </w:r>
      <w:r w:rsidR="05821A61" w:rsidRPr="008633BC">
        <w:rPr>
          <w:rFonts w:eastAsia="Calibri" w:cs="Calibri"/>
        </w:rPr>
        <w:t xml:space="preserve"> may </w:t>
      </w:r>
      <w:r w:rsidRPr="32ADD433">
        <w:rPr>
          <w:rFonts w:eastAsia="Calibri" w:cs="Calibri"/>
        </w:rPr>
        <w:t>unnecessari</w:t>
      </w:r>
      <w:r>
        <w:rPr>
          <w:rFonts w:eastAsia="Calibri" w:cs="Calibri"/>
        </w:rPr>
        <w:t>ly increase</w:t>
      </w:r>
      <w:r w:rsidR="00857D6F" w:rsidRPr="32ADD433">
        <w:rPr>
          <w:rFonts w:eastAsia="Calibri" w:cs="Calibri"/>
        </w:rPr>
        <w:t xml:space="preserve"> </w:t>
      </w:r>
      <w:r w:rsidR="05821A61" w:rsidRPr="008633BC">
        <w:rPr>
          <w:rFonts w:eastAsia="Calibri" w:cs="Calibri"/>
        </w:rPr>
        <w:t xml:space="preserve">cognitive load and reduce </w:t>
      </w:r>
      <w:r>
        <w:rPr>
          <w:rFonts w:eastAsia="Calibri" w:cs="Calibri"/>
        </w:rPr>
        <w:t xml:space="preserve">their </w:t>
      </w:r>
      <w:r w:rsidR="05821A61" w:rsidRPr="008633BC">
        <w:rPr>
          <w:rFonts w:eastAsia="Calibri" w:cs="Calibri"/>
        </w:rPr>
        <w:t>utility for different reasons</w:t>
      </w:r>
      <w:r w:rsidR="00656D7B" w:rsidRPr="32ADD433">
        <w:rPr>
          <w:rFonts w:eastAsia="Calibri" w:cs="Calibri"/>
        </w:rPr>
        <w:t xml:space="preserve">. </w:t>
      </w:r>
      <w:r w:rsidR="7D4083A4" w:rsidRPr="11831045">
        <w:rPr>
          <w:rFonts w:eastAsia="Calibri" w:cs="Calibri"/>
        </w:rPr>
        <w:t>Since</w:t>
      </w:r>
      <w:r w:rsidR="00656D7B" w:rsidRPr="32ADD433">
        <w:rPr>
          <w:rFonts w:eastAsia="Calibri" w:cs="Calibri"/>
        </w:rPr>
        <w:t xml:space="preserve"> </w:t>
      </w:r>
      <w:r w:rsidR="00A904F0" w:rsidRPr="32ADD433">
        <w:rPr>
          <w:rFonts w:eastAsia="Calibri" w:cs="Calibri"/>
        </w:rPr>
        <w:t>these notifications are unable to be consolidated</w:t>
      </w:r>
      <w:r w:rsidR="339BB50A" w:rsidRPr="11831045">
        <w:rPr>
          <w:rFonts w:eastAsia="Calibri" w:cs="Calibri"/>
        </w:rPr>
        <w:t>,</w:t>
      </w:r>
      <w:r w:rsidR="00BF5053" w:rsidRPr="32ADD433">
        <w:rPr>
          <w:rFonts w:eastAsia="Calibri" w:cs="Calibri"/>
        </w:rPr>
        <w:t xml:space="preserve"> </w:t>
      </w:r>
      <w:r w:rsidR="05821A61" w:rsidRPr="008633BC">
        <w:rPr>
          <w:rFonts w:eastAsia="Calibri" w:cs="Calibri"/>
        </w:rPr>
        <w:t>a consumer who has provided multiple consents to the same ADR in a short timeframe</w:t>
      </w:r>
      <w:r w:rsidR="07CDEDB5" w:rsidRPr="4B563B6E">
        <w:rPr>
          <w:rFonts w:eastAsia="Calibri" w:cs="Calibri"/>
        </w:rPr>
        <w:t>, such as consents to collect</w:t>
      </w:r>
      <w:r w:rsidR="0FD08A9A" w:rsidRPr="4B563B6E">
        <w:rPr>
          <w:rFonts w:eastAsia="Calibri" w:cs="Calibri"/>
        </w:rPr>
        <w:t xml:space="preserve"> and use</w:t>
      </w:r>
      <w:r w:rsidR="07CDEDB5" w:rsidRPr="4B563B6E">
        <w:rPr>
          <w:rFonts w:eastAsia="Calibri" w:cs="Calibri"/>
        </w:rPr>
        <w:t xml:space="preserve"> data from multiple data holders,</w:t>
      </w:r>
      <w:r w:rsidR="05821A61" w:rsidRPr="008633BC">
        <w:rPr>
          <w:rFonts w:eastAsia="Calibri" w:cs="Calibri"/>
        </w:rPr>
        <w:t xml:space="preserve"> may receive multiple 90</w:t>
      </w:r>
      <w:r w:rsidR="51208811" w:rsidRPr="008633BC">
        <w:rPr>
          <w:rFonts w:eastAsia="Calibri" w:cs="Calibri"/>
        </w:rPr>
        <w:t>-</w:t>
      </w:r>
      <w:r w:rsidR="05821A61" w:rsidRPr="008633BC">
        <w:rPr>
          <w:rFonts w:eastAsia="Calibri" w:cs="Calibri"/>
        </w:rPr>
        <w:t xml:space="preserve">day notifications in quick succession, which </w:t>
      </w:r>
      <w:r w:rsidR="00ED77B8" w:rsidRPr="32ADD433">
        <w:rPr>
          <w:rFonts w:eastAsia="Calibri" w:cs="Calibri"/>
        </w:rPr>
        <w:t xml:space="preserve">may </w:t>
      </w:r>
      <w:r w:rsidR="05821A61" w:rsidRPr="008633BC">
        <w:rPr>
          <w:rFonts w:eastAsia="Calibri" w:cs="Calibri"/>
        </w:rPr>
        <w:t>repeat every 90</w:t>
      </w:r>
      <w:r w:rsidR="00742F0F">
        <w:rPr>
          <w:rFonts w:eastAsia="Calibri" w:cs="Calibri"/>
        </w:rPr>
        <w:t xml:space="preserve"> </w:t>
      </w:r>
      <w:r w:rsidR="6FFC1D51" w:rsidRPr="008633BC">
        <w:rPr>
          <w:rFonts w:eastAsia="Calibri" w:cs="Calibri"/>
        </w:rPr>
        <w:t>day</w:t>
      </w:r>
      <w:r w:rsidR="05821A61" w:rsidRPr="008633BC">
        <w:rPr>
          <w:rFonts w:eastAsia="Calibri" w:cs="Calibri"/>
        </w:rPr>
        <w:t xml:space="preserve">s. Further, the utility of the current notification is limited in that it only applies to collection and use consents and because the notification is informative but not actionable. </w:t>
      </w:r>
    </w:p>
    <w:p w14:paraId="42A8B7AB" w14:textId="2B17A20F" w:rsidR="00D205F0" w:rsidRPr="00A80209" w:rsidRDefault="0DA14D68" w:rsidP="09F11397">
      <w:pPr>
        <w:rPr>
          <w:sz w:val="20"/>
          <w:szCs w:val="20"/>
        </w:rPr>
      </w:pPr>
      <w:r w:rsidRPr="00A80209">
        <w:rPr>
          <w:rFonts w:eastAsia="Calibri" w:cs="Calibri"/>
          <w:b/>
          <w:bCs/>
        </w:rPr>
        <w:t>Consent Review Noting Paper</w:t>
      </w:r>
    </w:p>
    <w:p w14:paraId="39F94619" w14:textId="0D974B9D" w:rsidR="00D205F0" w:rsidRPr="00B836A6" w:rsidRDefault="48447326" w:rsidP="008633BC">
      <w:pPr>
        <w:spacing w:line="259" w:lineRule="auto"/>
        <w:rPr>
          <w:rFonts w:eastAsia="Calibri" w:cs="Calibri"/>
        </w:rPr>
      </w:pPr>
      <w:r w:rsidRPr="6EDE0A44">
        <w:rPr>
          <w:rFonts w:eastAsia="Calibri" w:cs="Calibri"/>
        </w:rPr>
        <w:t xml:space="preserve">To address </w:t>
      </w:r>
      <w:r w:rsidR="2E933020" w:rsidRPr="6EDE0A44">
        <w:rPr>
          <w:rFonts w:eastAsia="Calibri" w:cs="Calibri"/>
        </w:rPr>
        <w:t xml:space="preserve">these </w:t>
      </w:r>
      <w:r w:rsidR="3F594734" w:rsidRPr="6EDE0A44">
        <w:rPr>
          <w:rFonts w:eastAsia="Calibri" w:cs="Calibri"/>
        </w:rPr>
        <w:t>i</w:t>
      </w:r>
      <w:r w:rsidR="2E933020" w:rsidRPr="6EDE0A44">
        <w:rPr>
          <w:rFonts w:eastAsia="Calibri" w:cs="Calibri"/>
        </w:rPr>
        <w:t>ssues, the noting paper suggested several ways to improve CDR receipts and 90</w:t>
      </w:r>
      <w:r w:rsidR="3BB26080" w:rsidRPr="6EDE0A44">
        <w:rPr>
          <w:rFonts w:eastAsia="Calibri" w:cs="Calibri"/>
        </w:rPr>
        <w:t>-</w:t>
      </w:r>
      <w:r w:rsidR="2E933020" w:rsidRPr="6EDE0A44">
        <w:rPr>
          <w:rFonts w:eastAsia="Calibri" w:cs="Calibri"/>
        </w:rPr>
        <w:t>day notifications. This included that the broad scope of the CDR</w:t>
      </w:r>
      <w:r w:rsidR="46B139D0" w:rsidRPr="6EDE0A44">
        <w:rPr>
          <w:rFonts w:eastAsia="Calibri" w:cs="Calibri"/>
        </w:rPr>
        <w:t xml:space="preserve"> Rules on</w:t>
      </w:r>
      <w:r w:rsidR="2E933020" w:rsidRPr="6EDE0A44">
        <w:rPr>
          <w:rFonts w:eastAsia="Calibri" w:cs="Calibri"/>
        </w:rPr>
        <w:t xml:space="preserve"> receipts be refined to avoid extensive and extraneous information being provided. The paper also suggested that 90-day notifications could be consolidated to apply to all current consents with an ADR, tailored according to a consumer’s notification preferences, and made more useful and actionable.</w:t>
      </w:r>
    </w:p>
    <w:p w14:paraId="3D4BE2F4" w14:textId="78D57F9F" w:rsidR="00D205F0" w:rsidRPr="00B836A6" w:rsidRDefault="6C046D8C" w:rsidP="008633BC">
      <w:pPr>
        <w:spacing w:line="259" w:lineRule="auto"/>
        <w:rPr>
          <w:rFonts w:eastAsia="Calibri" w:cs="Calibri"/>
        </w:rPr>
      </w:pPr>
      <w:r w:rsidRPr="6EDE0A44">
        <w:rPr>
          <w:rFonts w:eastAsia="Calibri" w:cs="Calibri"/>
        </w:rPr>
        <w:lastRenderedPageBreak/>
        <w:t>F</w:t>
      </w:r>
      <w:r w:rsidR="2E933020" w:rsidRPr="6EDE0A44">
        <w:rPr>
          <w:rFonts w:eastAsia="Calibri" w:cs="Calibri"/>
        </w:rPr>
        <w:t>eedback to the noting paper indicated broad support in relation to both areas. For CDR receipts, stakeholders supported more explicit requirements to increase consistency. Stakeholders also supported the ability to consolidate 90-day notifications so a single notification can refer to multiple consents given at different times, but the feedback generally suggested that any such ability remain optional.</w:t>
      </w:r>
    </w:p>
    <w:p w14:paraId="258B6C39" w14:textId="02236F8F" w:rsidR="00D205F0" w:rsidRPr="00A80209" w:rsidRDefault="0DA14D68" w:rsidP="09F11397">
      <w:pPr>
        <w:rPr>
          <w:sz w:val="20"/>
          <w:szCs w:val="20"/>
        </w:rPr>
      </w:pPr>
      <w:r w:rsidRPr="00A80209">
        <w:rPr>
          <w:rFonts w:eastAsia="Calibri" w:cs="Calibri"/>
          <w:b/>
          <w:bCs/>
        </w:rPr>
        <w:t xml:space="preserve">Consumer </w:t>
      </w:r>
      <w:r w:rsidR="000668AB">
        <w:rPr>
          <w:rFonts w:eastAsia="Calibri" w:cs="Calibri"/>
          <w:b/>
          <w:bCs/>
        </w:rPr>
        <w:t>r</w:t>
      </w:r>
      <w:r w:rsidRPr="00A80209">
        <w:rPr>
          <w:rFonts w:eastAsia="Calibri" w:cs="Calibri"/>
          <w:b/>
          <w:bCs/>
        </w:rPr>
        <w:t>esearch</w:t>
      </w:r>
    </w:p>
    <w:p w14:paraId="2D81B907" w14:textId="1229E5FC" w:rsidR="00D205F0" w:rsidRPr="00B836A6" w:rsidRDefault="0DA14D68" w:rsidP="09F11397">
      <w:pPr>
        <w:rPr>
          <w:rFonts w:eastAsia="Calibri" w:cs="Calibri"/>
        </w:rPr>
      </w:pPr>
      <w:r w:rsidRPr="09F11397">
        <w:rPr>
          <w:rFonts w:eastAsia="Calibri" w:cs="Calibri"/>
        </w:rPr>
        <w:t xml:space="preserve">In general, CX research </w:t>
      </w:r>
      <w:r w:rsidR="292F24B3" w:rsidRPr="30D55201">
        <w:rPr>
          <w:rFonts w:eastAsia="Calibri" w:cs="Calibri"/>
        </w:rPr>
        <w:t xml:space="preserve">conducted in 2019 and 2022, as well as </w:t>
      </w:r>
      <w:r w:rsidRPr="09F11397">
        <w:rPr>
          <w:rFonts w:eastAsia="Calibri" w:cs="Calibri"/>
        </w:rPr>
        <w:t>analysis suggests that contextual notifications are useful and necessary.</w:t>
      </w:r>
      <w:r w:rsidR="007F709A">
        <w:rPr>
          <w:rStyle w:val="FootnoteReference"/>
          <w:rFonts w:eastAsia="Calibri" w:cs="Calibri"/>
        </w:rPr>
        <w:footnoteReference w:id="53"/>
      </w:r>
      <w:r w:rsidRPr="09F11397">
        <w:rPr>
          <w:rFonts w:eastAsia="Calibri" w:cs="Calibri"/>
        </w:rPr>
        <w:t xml:space="preserve"> However, the concept of ‘notification fatigue’ may arise as a result of notifications sent in high volume, and particularly where the content of the notification is not informative or actionable.</w:t>
      </w:r>
    </w:p>
    <w:p w14:paraId="1F5AFF93" w14:textId="14FD84C0" w:rsidR="00D205F0" w:rsidRPr="00B836A6" w:rsidRDefault="0DA14D68" w:rsidP="09F11397">
      <w:pPr>
        <w:rPr>
          <w:rFonts w:eastAsia="Calibri" w:cs="Calibri"/>
        </w:rPr>
      </w:pPr>
      <w:r w:rsidRPr="09F11397">
        <w:rPr>
          <w:rFonts w:eastAsia="Calibri" w:cs="Calibri"/>
        </w:rPr>
        <w:t xml:space="preserve">The CDR receipt has been shown by CX research </w:t>
      </w:r>
      <w:r w:rsidR="18795C51" w:rsidRPr="30D55201">
        <w:rPr>
          <w:rFonts w:eastAsia="Calibri" w:cs="Calibri"/>
        </w:rPr>
        <w:t xml:space="preserve">conducted in </w:t>
      </w:r>
      <w:r w:rsidR="20DAC2B6" w:rsidRPr="30D55201">
        <w:rPr>
          <w:rFonts w:eastAsia="Calibri" w:cs="Calibri"/>
        </w:rPr>
        <w:t xml:space="preserve">2020 and </w:t>
      </w:r>
      <w:r w:rsidR="18795C51" w:rsidRPr="30D55201">
        <w:rPr>
          <w:rFonts w:eastAsia="Calibri" w:cs="Calibri"/>
        </w:rPr>
        <w:t>2022</w:t>
      </w:r>
      <w:r w:rsidR="61152F55" w:rsidRPr="30D55201">
        <w:rPr>
          <w:rFonts w:eastAsia="Calibri" w:cs="Calibri"/>
        </w:rPr>
        <w:t xml:space="preserve"> </w:t>
      </w:r>
      <w:r w:rsidRPr="09F11397">
        <w:rPr>
          <w:rFonts w:eastAsia="Calibri" w:cs="Calibri"/>
        </w:rPr>
        <w:t>to provide a critical record of consents for later reference, but also to maintain informed consent and comprehension after a consent has been given.</w:t>
      </w:r>
      <w:r w:rsidR="00A042C7">
        <w:rPr>
          <w:rStyle w:val="FootnoteReference"/>
          <w:rFonts w:eastAsia="Calibri" w:cs="Calibri"/>
        </w:rPr>
        <w:footnoteReference w:id="54"/>
      </w:r>
      <w:r w:rsidRPr="09F11397">
        <w:rPr>
          <w:rFonts w:eastAsia="Calibri" w:cs="Calibri"/>
        </w:rPr>
        <w:t xml:space="preserve"> CX research has demonstrated that this artefact facilitates informed consent and consumer control by reducing the need for consumers to</w:t>
      </w:r>
      <w:r w:rsidR="00131017">
        <w:rPr>
          <w:rFonts w:eastAsia="Calibri" w:cs="Calibri"/>
        </w:rPr>
        <w:t xml:space="preserve"> </w:t>
      </w:r>
      <w:r w:rsidRPr="09F11397">
        <w:rPr>
          <w:rFonts w:eastAsia="Calibri" w:cs="Calibri"/>
        </w:rPr>
        <w:t>recall the terms of consents given during time-constrained processes.</w:t>
      </w:r>
    </w:p>
    <w:p w14:paraId="19D2574E" w14:textId="7C07CD69" w:rsidR="00D205F0" w:rsidRPr="00B836A6" w:rsidRDefault="0DA14D68" w:rsidP="00415A90">
      <w:pPr>
        <w:pStyle w:val="Heading4"/>
        <w:keepNext/>
        <w:rPr>
          <w:rFonts w:eastAsia="Calibri" w:cs="Calibri"/>
          <w:szCs w:val="24"/>
        </w:rPr>
      </w:pPr>
      <w:r w:rsidRPr="09F11397">
        <w:rPr>
          <w:rFonts w:eastAsia="Calibri" w:cs="Calibri"/>
          <w:szCs w:val="24"/>
        </w:rPr>
        <w:t>Proposed approach</w:t>
      </w:r>
    </w:p>
    <w:p w14:paraId="7B4DABBD" w14:textId="77777777" w:rsidR="00B05944" w:rsidRPr="00C312EC" w:rsidRDefault="00B05944" w:rsidP="00B05944">
      <w:pPr>
        <w:pStyle w:val="Heading3"/>
        <w:rPr>
          <w:rFonts w:eastAsia="Calibri" w:cs="Calibri"/>
          <w:sz w:val="22"/>
          <w:szCs w:val="20"/>
        </w:rPr>
      </w:pPr>
      <w:bookmarkStart w:id="32" w:name="_Toc142317582"/>
      <w:bookmarkStart w:id="33" w:name="_Toc143705088"/>
      <w:bookmarkStart w:id="34" w:name="_Toc129269982"/>
      <w:bookmarkStart w:id="35" w:name="_Toc129273973"/>
      <w:bookmarkStart w:id="36" w:name="_Toc129275333"/>
      <w:bookmarkStart w:id="37" w:name="_Toc129276345"/>
      <w:bookmarkStart w:id="38" w:name="_Toc129339688"/>
      <w:bookmarkStart w:id="39" w:name="_Toc129341743"/>
      <w:bookmarkStart w:id="40" w:name="_Toc129879621"/>
      <w:bookmarkStart w:id="41" w:name="_Toc130301628"/>
      <w:bookmarkStart w:id="42" w:name="_Toc130910888"/>
      <w:bookmarkStart w:id="43" w:name="_Toc129269981"/>
      <w:bookmarkStart w:id="44" w:name="_Toc129273972"/>
      <w:bookmarkStart w:id="45" w:name="_Toc129275332"/>
      <w:bookmarkStart w:id="46" w:name="_Toc129276344"/>
      <w:bookmarkStart w:id="47" w:name="_Toc129339687"/>
      <w:bookmarkStart w:id="48" w:name="_Toc129341742"/>
      <w:bookmarkStart w:id="49" w:name="_Toc129879620"/>
      <w:bookmarkStart w:id="50" w:name="_Toc130301627"/>
      <w:bookmarkStart w:id="51" w:name="_Toc130910887"/>
      <w:r w:rsidRPr="00C312EC">
        <w:rPr>
          <w:rFonts w:eastAsia="Calibri" w:cs="Calibri"/>
          <w:sz w:val="22"/>
          <w:szCs w:val="20"/>
        </w:rPr>
        <w:t>CDR receipts</w:t>
      </w:r>
      <w:bookmarkEnd w:id="32"/>
      <w:bookmarkEnd w:id="33"/>
      <w:r w:rsidRPr="00C312EC">
        <w:rPr>
          <w:rFonts w:eastAsia="Calibri" w:cs="Calibri"/>
          <w:sz w:val="22"/>
          <w:szCs w:val="20"/>
        </w:rPr>
        <w:t xml:space="preserve"> </w:t>
      </w:r>
      <w:bookmarkEnd w:id="34"/>
      <w:bookmarkEnd w:id="35"/>
      <w:bookmarkEnd w:id="36"/>
      <w:bookmarkEnd w:id="37"/>
      <w:bookmarkEnd w:id="38"/>
      <w:bookmarkEnd w:id="39"/>
      <w:bookmarkEnd w:id="40"/>
      <w:bookmarkEnd w:id="41"/>
      <w:bookmarkEnd w:id="42"/>
    </w:p>
    <w:p w14:paraId="6DC25BAE" w14:textId="22ACBB74" w:rsidR="00B05944" w:rsidRPr="00527CBF" w:rsidRDefault="00B05944" w:rsidP="00B05944">
      <w:pPr>
        <w:rPr>
          <w:rFonts w:eastAsiaTheme="minorEastAsia"/>
        </w:rPr>
      </w:pPr>
      <w:r w:rsidRPr="32ADD433">
        <w:rPr>
          <w:rFonts w:eastAsiaTheme="minorEastAsia"/>
        </w:rPr>
        <w:t xml:space="preserve">Consistent with the proposal put forward in the noting paper, we propose to clarify the information requirements for CDR receipts to reduce ambiguity, increase consistency, and facilitate compliance. Specifically, we propose that </w:t>
      </w:r>
      <w:r w:rsidR="006C74C9" w:rsidRPr="32ADD433">
        <w:rPr>
          <w:rFonts w:eastAsiaTheme="minorEastAsia"/>
        </w:rPr>
        <w:t xml:space="preserve">revised </w:t>
      </w:r>
      <w:r w:rsidR="007C0A04" w:rsidRPr="32ADD433">
        <w:rPr>
          <w:rFonts w:eastAsiaTheme="minorEastAsia"/>
        </w:rPr>
        <w:t xml:space="preserve">CDR receipt </w:t>
      </w:r>
      <w:r w:rsidR="006C74C9" w:rsidRPr="32ADD433">
        <w:rPr>
          <w:rFonts w:eastAsiaTheme="minorEastAsia"/>
        </w:rPr>
        <w:t xml:space="preserve">information </w:t>
      </w:r>
      <w:r w:rsidR="007C0A04" w:rsidRPr="32ADD433">
        <w:rPr>
          <w:rFonts w:eastAsiaTheme="minorEastAsia"/>
        </w:rPr>
        <w:t>requirements</w:t>
      </w:r>
      <w:r w:rsidR="006C74C9" w:rsidRPr="32ADD433">
        <w:rPr>
          <w:rFonts w:eastAsiaTheme="minorEastAsia"/>
        </w:rPr>
        <w:t xml:space="preserve"> be:</w:t>
      </w:r>
    </w:p>
    <w:p w14:paraId="1538CB03" w14:textId="7E4E7131" w:rsidR="003E5F47" w:rsidRDefault="00B05944" w:rsidP="00B05944">
      <w:pPr>
        <w:pStyle w:val="Bulletpoint"/>
      </w:pPr>
      <w:r w:rsidRPr="5AB5665C">
        <w:t>The purpose of the consent(s</w:t>
      </w:r>
      <w:proofErr w:type="gramStart"/>
      <w:r>
        <w:t>)</w:t>
      </w:r>
      <w:r w:rsidR="0D0510BC">
        <w:t>;</w:t>
      </w:r>
      <w:proofErr w:type="gramEnd"/>
    </w:p>
    <w:p w14:paraId="550B8CB4" w14:textId="695796DA" w:rsidR="00B05944" w:rsidRPr="00B836A6" w:rsidRDefault="00B05944" w:rsidP="00B05944">
      <w:pPr>
        <w:pStyle w:val="Bulletpoint"/>
      </w:pPr>
      <w:r w:rsidRPr="09F11397">
        <w:t xml:space="preserve">What data the consumer gave consent for the ADR to collect, use, or </w:t>
      </w:r>
      <w:proofErr w:type="gramStart"/>
      <w:r w:rsidRPr="09F11397">
        <w:t>disclose</w:t>
      </w:r>
      <w:r w:rsidR="4656CEA0">
        <w:t>;</w:t>
      </w:r>
      <w:proofErr w:type="gramEnd"/>
    </w:p>
    <w:p w14:paraId="6B5F6B50" w14:textId="4E43F450" w:rsidR="005E7A1A" w:rsidRPr="00B836A6" w:rsidRDefault="005E7A1A" w:rsidP="005E7A1A">
      <w:pPr>
        <w:pStyle w:val="Bulletpoint"/>
      </w:pPr>
      <w:r>
        <w:t xml:space="preserve">If any direct marketing or de-identification consents </w:t>
      </w:r>
      <w:proofErr w:type="gramStart"/>
      <w:r w:rsidR="00882C50">
        <w:t>apply</w:t>
      </w:r>
      <w:r>
        <w:t>;</w:t>
      </w:r>
      <w:proofErr w:type="gramEnd"/>
    </w:p>
    <w:p w14:paraId="3721AAA9" w14:textId="01D5598B" w:rsidR="00B05944" w:rsidRPr="00B836A6" w:rsidRDefault="00B05944" w:rsidP="00B05944">
      <w:pPr>
        <w:pStyle w:val="Bulletpoint"/>
      </w:pPr>
      <w:r w:rsidRPr="09F11397">
        <w:t xml:space="preserve">When each consent was given, along with its duration and/or date of </w:t>
      </w:r>
      <w:proofErr w:type="gramStart"/>
      <w:r w:rsidRPr="09F11397">
        <w:t>expiry</w:t>
      </w:r>
      <w:r w:rsidR="54FF21BA">
        <w:t>;</w:t>
      </w:r>
      <w:proofErr w:type="gramEnd"/>
    </w:p>
    <w:p w14:paraId="7266ECB7" w14:textId="0C578AC3" w:rsidR="00D0082C" w:rsidRDefault="006C74C9" w:rsidP="00D0082C">
      <w:pPr>
        <w:pStyle w:val="Bulletpoint"/>
        <w:rPr>
          <w:rFonts w:eastAsiaTheme="minorEastAsia"/>
        </w:rPr>
      </w:pPr>
      <w:r>
        <w:rPr>
          <w:rFonts w:eastAsiaTheme="minorEastAsia"/>
        </w:rPr>
        <w:t>T</w:t>
      </w:r>
      <w:r w:rsidRPr="3197084D">
        <w:rPr>
          <w:rFonts w:eastAsiaTheme="minorEastAsia"/>
        </w:rPr>
        <w:t xml:space="preserve">he name of the CDR participant from whom data was collected under a collection consent and the name of the recipient of data under any disclosure </w:t>
      </w:r>
      <w:proofErr w:type="gramStart"/>
      <w:r w:rsidRPr="3197084D">
        <w:rPr>
          <w:rFonts w:eastAsiaTheme="minorEastAsia"/>
        </w:rPr>
        <w:t>consents</w:t>
      </w:r>
      <w:r w:rsidR="62FC7F4B" w:rsidRPr="11831045">
        <w:rPr>
          <w:rFonts w:eastAsiaTheme="minorEastAsia"/>
        </w:rPr>
        <w:t>;</w:t>
      </w:r>
      <w:proofErr w:type="gramEnd"/>
    </w:p>
    <w:p w14:paraId="0B78A3BA" w14:textId="08256032" w:rsidR="002F3176" w:rsidRPr="00FB096E" w:rsidRDefault="00D0082C" w:rsidP="00D0082C">
      <w:pPr>
        <w:pStyle w:val="Bulletpoint"/>
      </w:pPr>
      <w:r>
        <w:t>F</w:t>
      </w:r>
      <w:r w:rsidR="002F3176" w:rsidRPr="00A00F6F">
        <w:t>or an insight disclosure consent</w:t>
      </w:r>
      <w:r w:rsidR="009A1C0C">
        <w:t xml:space="preserve"> </w:t>
      </w:r>
      <w:r w:rsidR="002F3176" w:rsidRPr="00A00F6F">
        <w:t>—</w:t>
      </w:r>
      <w:r w:rsidR="009A1C0C">
        <w:t xml:space="preserve"> </w:t>
      </w:r>
      <w:r w:rsidR="002F3176" w:rsidRPr="00A00F6F">
        <w:t xml:space="preserve">a description of the CDR </w:t>
      </w:r>
      <w:proofErr w:type="gramStart"/>
      <w:r w:rsidR="002F3176" w:rsidRPr="00A00F6F">
        <w:t>insight</w:t>
      </w:r>
      <w:r w:rsidR="61A29CE1">
        <w:t>;</w:t>
      </w:r>
      <w:proofErr w:type="gramEnd"/>
    </w:p>
    <w:p w14:paraId="180ABF8F" w14:textId="77777777" w:rsidR="00C47DA0" w:rsidRDefault="00B05944" w:rsidP="00C47DA0">
      <w:pPr>
        <w:pStyle w:val="Bulletpoint"/>
      </w:pPr>
      <w:r w:rsidRPr="09F11397">
        <w:t xml:space="preserve">The details of any supporting parties that may access the consumer’s CDR data at the time of the event that triggered the CDR receipt, be it consent, amendment, </w:t>
      </w:r>
      <w:r>
        <w:t xml:space="preserve">or </w:t>
      </w:r>
      <w:proofErr w:type="gramStart"/>
      <w:r w:rsidRPr="09F11397">
        <w:t>withdrawal</w:t>
      </w:r>
      <w:r w:rsidR="315D0892">
        <w:t>;</w:t>
      </w:r>
      <w:proofErr w:type="gramEnd"/>
      <w:r w:rsidR="6A319CC9">
        <w:t xml:space="preserve"> </w:t>
      </w:r>
    </w:p>
    <w:p w14:paraId="3B3B68FE" w14:textId="43701B7F" w:rsidR="00A5134B" w:rsidRPr="00B836A6" w:rsidRDefault="00A5134B" w:rsidP="00C47DA0">
      <w:pPr>
        <w:pStyle w:val="Bulletpoint"/>
      </w:pPr>
      <w:r w:rsidRPr="09F11397">
        <w:t xml:space="preserve">A link to the CDR policies of </w:t>
      </w:r>
      <w:r w:rsidR="0012073C">
        <w:t xml:space="preserve">any </w:t>
      </w:r>
      <w:r w:rsidRPr="09F11397">
        <w:t xml:space="preserve">ADRs involved in the </w:t>
      </w:r>
      <w:proofErr w:type="gramStart"/>
      <w:r w:rsidRPr="09F11397">
        <w:t>consent</w:t>
      </w:r>
      <w:r w:rsidR="00C47DA0">
        <w:t>;</w:t>
      </w:r>
      <w:proofErr w:type="gramEnd"/>
    </w:p>
    <w:p w14:paraId="4C500C15" w14:textId="52CA6387" w:rsidR="004C6121" w:rsidRDefault="00B05944" w:rsidP="00B05944">
      <w:pPr>
        <w:pStyle w:val="Bulletpoint"/>
      </w:pPr>
      <w:r w:rsidRPr="5052294D">
        <w:t xml:space="preserve">Instructions for dashboard access to review the most up to date </w:t>
      </w:r>
      <w:proofErr w:type="gramStart"/>
      <w:r w:rsidRPr="5052294D">
        <w:t>information</w:t>
      </w:r>
      <w:r w:rsidR="29B8A46A">
        <w:t>;</w:t>
      </w:r>
      <w:proofErr w:type="gramEnd"/>
      <w:r w:rsidRPr="5052294D">
        <w:t xml:space="preserve"> </w:t>
      </w:r>
    </w:p>
    <w:p w14:paraId="1AE375DF" w14:textId="2688E187" w:rsidR="00B05944" w:rsidRPr="00B836A6" w:rsidRDefault="007A01D9" w:rsidP="00B05944">
      <w:pPr>
        <w:pStyle w:val="Bulletpoint"/>
      </w:pPr>
      <w:r>
        <w:t>I</w:t>
      </w:r>
      <w:r w:rsidR="00B05944" w:rsidRPr="5052294D">
        <w:t xml:space="preserve">f the consent is ongoing, </w:t>
      </w:r>
      <w:r w:rsidR="00B05944">
        <w:t>the fact that the consent</w:t>
      </w:r>
      <w:r w:rsidR="0096296E">
        <w:t>(s)</w:t>
      </w:r>
      <w:r w:rsidR="00B05944">
        <w:t xml:space="preserve"> can be withdrawn, and </w:t>
      </w:r>
      <w:r w:rsidR="00B05944" w:rsidRPr="5052294D">
        <w:t>instructions for how to withdraw consent</w:t>
      </w:r>
      <w:r w:rsidR="0096296E">
        <w:t>(s</w:t>
      </w:r>
      <w:proofErr w:type="gramStart"/>
      <w:r w:rsidR="51C46B06">
        <w:t>)</w:t>
      </w:r>
      <w:r w:rsidR="0EEF41A0">
        <w:t>;</w:t>
      </w:r>
      <w:proofErr w:type="gramEnd"/>
    </w:p>
    <w:p w14:paraId="232DA363" w14:textId="6BEF5430" w:rsidR="00B05944" w:rsidRPr="00B836A6" w:rsidRDefault="00B05944" w:rsidP="00B05944">
      <w:pPr>
        <w:pStyle w:val="Bulletpoint"/>
      </w:pPr>
      <w:r w:rsidRPr="09F11397">
        <w:t>Information on redundant</w:t>
      </w:r>
      <w:r>
        <w:t xml:space="preserve"> data</w:t>
      </w:r>
      <w:r w:rsidRPr="09F11397">
        <w:t xml:space="preserve"> handling and, if the consent has expired or been withdrawn, when redundant data is expected to be deleted or de-identified</w:t>
      </w:r>
      <w:r w:rsidR="7044CD83">
        <w:t>; and</w:t>
      </w:r>
    </w:p>
    <w:p w14:paraId="6EAB96E9" w14:textId="77777777" w:rsidR="00D66DFB" w:rsidRPr="00B836A6" w:rsidRDefault="00B05944" w:rsidP="00D66DFB">
      <w:pPr>
        <w:pStyle w:val="Bulletpoint"/>
      </w:pPr>
      <w:r>
        <w:lastRenderedPageBreak/>
        <w:t xml:space="preserve">Information </w:t>
      </w:r>
      <w:r w:rsidR="00D66DFB">
        <w:t>on dispute resolution and making a complaint.</w:t>
      </w:r>
    </w:p>
    <w:p w14:paraId="5450212F" w14:textId="2252CFD8" w:rsidR="004117EE" w:rsidRDefault="00650EC6" w:rsidP="00B05944">
      <w:pPr>
        <w:rPr>
          <w:rFonts w:eastAsia="Calibri" w:cs="Calibri"/>
        </w:rPr>
      </w:pPr>
      <w:r>
        <w:rPr>
          <w:rFonts w:eastAsia="Calibri" w:cs="Calibri"/>
        </w:rPr>
        <w:t xml:space="preserve">This would replace the requirement </w:t>
      </w:r>
      <w:r w:rsidR="009F5A28">
        <w:rPr>
          <w:rFonts w:eastAsia="Calibri" w:cs="Calibri"/>
        </w:rPr>
        <w:t xml:space="preserve">that </w:t>
      </w:r>
      <w:r w:rsidR="004238DC">
        <w:rPr>
          <w:rFonts w:eastAsia="Calibri" w:cs="Calibri"/>
        </w:rPr>
        <w:t xml:space="preserve">the CDR receipt include </w:t>
      </w:r>
      <w:r w:rsidR="006054C0">
        <w:rPr>
          <w:rFonts w:eastAsia="Calibri" w:cs="Calibri"/>
        </w:rPr>
        <w:t>any othe</w:t>
      </w:r>
      <w:r w:rsidR="00867448">
        <w:rPr>
          <w:rFonts w:eastAsia="Calibri" w:cs="Calibri"/>
        </w:rPr>
        <w:t>r information provided to the consumer when obtaining the consent.</w:t>
      </w:r>
      <w:r w:rsidR="007B7E95">
        <w:rPr>
          <w:rFonts w:eastAsia="Calibri" w:cs="Calibri"/>
        </w:rPr>
        <w:br/>
      </w:r>
    </w:p>
    <w:tbl>
      <w:tblPr>
        <w:tblStyle w:val="TableGrid1"/>
        <w:tblW w:w="0" w:type="auto"/>
        <w:tblCellMar>
          <w:top w:w="85" w:type="dxa"/>
          <w:bottom w:w="85" w:type="dxa"/>
        </w:tblCellMar>
        <w:tblLook w:val="0600" w:firstRow="0" w:lastRow="0" w:firstColumn="0" w:lastColumn="0" w:noHBand="1" w:noVBand="1"/>
      </w:tblPr>
      <w:tblGrid>
        <w:gridCol w:w="9016"/>
      </w:tblGrid>
      <w:tr w:rsidR="00B05944" w14:paraId="712E0B4E" w14:textId="77777777">
        <w:tc>
          <w:tcPr>
            <w:tcW w:w="9016" w:type="dxa"/>
          </w:tcPr>
          <w:p w14:paraId="4873FEDD" w14:textId="77777777" w:rsidR="00B05944" w:rsidRPr="00B836A6" w:rsidRDefault="00B05944">
            <w:pPr>
              <w:rPr>
                <w:rFonts w:cs="Calibri"/>
                <w:b/>
                <w:bCs/>
              </w:rPr>
            </w:pPr>
            <w:r w:rsidRPr="00B836A6">
              <w:rPr>
                <w:rFonts w:cs="Calibri"/>
                <w:b/>
                <w:bCs/>
              </w:rPr>
              <w:t>Consultation questions</w:t>
            </w:r>
          </w:p>
          <w:p w14:paraId="250533A3" w14:textId="3BDDFF98" w:rsidR="00B05944" w:rsidRPr="00F76A95" w:rsidRDefault="00B05944">
            <w:pPr>
              <w:pStyle w:val="ListParagraph"/>
            </w:pPr>
            <w:r>
              <w:t xml:space="preserve">Do you support the proposal to clarify the </w:t>
            </w:r>
            <w:r w:rsidR="004C3046">
              <w:t>rules</w:t>
            </w:r>
            <w:r>
              <w:t xml:space="preserve"> on </w:t>
            </w:r>
            <w:r w:rsidR="004C3046">
              <w:t xml:space="preserve">CDR </w:t>
            </w:r>
            <w:r w:rsidR="00177606">
              <w:t>r</w:t>
            </w:r>
            <w:r>
              <w:t>eceipts by explicitly specifying the content of CDR receipts?</w:t>
            </w:r>
          </w:p>
          <w:p w14:paraId="539AB567" w14:textId="194D5AF3" w:rsidR="00B05944" w:rsidRPr="00964990" w:rsidRDefault="00B05944">
            <w:pPr>
              <w:pStyle w:val="ListParagraph"/>
            </w:pPr>
            <w:r w:rsidRPr="00F76A95">
              <w:t xml:space="preserve">Do you support the </w:t>
            </w:r>
            <w:r w:rsidR="00531B94">
              <w:t xml:space="preserve">proposed </w:t>
            </w:r>
            <w:r w:rsidR="00AF5A3C">
              <w:t xml:space="preserve">information </w:t>
            </w:r>
            <w:r w:rsidR="00531B94">
              <w:t xml:space="preserve">required </w:t>
            </w:r>
            <w:r w:rsidR="00AF5A3C">
              <w:t xml:space="preserve">to be contained in a </w:t>
            </w:r>
            <w:r w:rsidR="00531B94">
              <w:t>CDR receipt</w:t>
            </w:r>
            <w:r w:rsidR="00AF5A3C">
              <w:t>?</w:t>
            </w:r>
            <w:r w:rsidR="00531B94">
              <w:t xml:space="preserve"> </w:t>
            </w:r>
          </w:p>
        </w:tc>
      </w:tr>
    </w:tbl>
    <w:p w14:paraId="75AAD5D0" w14:textId="6520F438" w:rsidR="00D205F0" w:rsidRPr="00C312EC" w:rsidRDefault="0DA14D68" w:rsidP="008633BC">
      <w:pPr>
        <w:pStyle w:val="Heading3"/>
        <w:rPr>
          <w:rFonts w:eastAsia="Calibri" w:cs="Calibri"/>
          <w:sz w:val="22"/>
        </w:rPr>
      </w:pPr>
      <w:bookmarkStart w:id="52" w:name="_Ref139984844"/>
      <w:bookmarkStart w:id="53" w:name="_Toc142317583"/>
      <w:bookmarkStart w:id="54" w:name="_Toc143705089"/>
      <w:r w:rsidRPr="00C312EC">
        <w:rPr>
          <w:rFonts w:eastAsia="Calibri" w:cs="Calibri"/>
          <w:sz w:val="22"/>
        </w:rPr>
        <w:t>90-day notifications</w:t>
      </w:r>
      <w:bookmarkEnd w:id="43"/>
      <w:bookmarkEnd w:id="44"/>
      <w:bookmarkEnd w:id="45"/>
      <w:bookmarkEnd w:id="46"/>
      <w:bookmarkEnd w:id="47"/>
      <w:bookmarkEnd w:id="48"/>
      <w:bookmarkEnd w:id="49"/>
      <w:bookmarkEnd w:id="50"/>
      <w:bookmarkEnd w:id="51"/>
      <w:bookmarkEnd w:id="52"/>
      <w:bookmarkEnd w:id="53"/>
      <w:bookmarkEnd w:id="54"/>
    </w:p>
    <w:p w14:paraId="5F2B2BC4" w14:textId="344CD620" w:rsidR="00943A66" w:rsidRPr="00FB096E" w:rsidRDefault="00943A66" w:rsidP="09F11397">
      <w:pPr>
        <w:rPr>
          <w:rFonts w:eastAsia="Calibri" w:cs="Calibri"/>
          <w:i/>
          <w:iCs/>
        </w:rPr>
      </w:pPr>
      <w:r>
        <w:rPr>
          <w:rFonts w:eastAsia="Calibri" w:cs="Calibri"/>
          <w:i/>
          <w:iCs/>
        </w:rPr>
        <w:t>Consolidation of notifications</w:t>
      </w:r>
    </w:p>
    <w:p w14:paraId="3C97C1C8" w14:textId="3E988750" w:rsidR="009F02F9" w:rsidRDefault="037D8C27" w:rsidP="09F11397">
      <w:pPr>
        <w:rPr>
          <w:rFonts w:eastAsia="Calibri" w:cs="Calibri"/>
        </w:rPr>
      </w:pPr>
      <w:r w:rsidRPr="6EDE0A44">
        <w:rPr>
          <w:rFonts w:eastAsia="Calibri" w:cs="Calibri"/>
        </w:rPr>
        <w:t xml:space="preserve">Consistent with </w:t>
      </w:r>
      <w:r w:rsidR="2E933020" w:rsidRPr="6EDE0A44">
        <w:rPr>
          <w:rFonts w:eastAsia="Calibri" w:cs="Calibri"/>
        </w:rPr>
        <w:t>the</w:t>
      </w:r>
      <w:r w:rsidR="003F430D">
        <w:rPr>
          <w:rFonts w:eastAsia="Calibri" w:cs="Calibri"/>
        </w:rPr>
        <w:t xml:space="preserve"> proposal put forward in the</w:t>
      </w:r>
      <w:r w:rsidR="2E933020" w:rsidRPr="6EDE0A44">
        <w:rPr>
          <w:rFonts w:eastAsia="Calibri" w:cs="Calibri"/>
        </w:rPr>
        <w:t xml:space="preserve"> noting paper, </w:t>
      </w:r>
      <w:r w:rsidR="0CCCCC07" w:rsidRPr="6EDE0A44">
        <w:rPr>
          <w:rFonts w:eastAsia="Calibri" w:cs="Calibri"/>
        </w:rPr>
        <w:t xml:space="preserve">we </w:t>
      </w:r>
      <w:r w:rsidR="2E933020" w:rsidRPr="6EDE0A44">
        <w:rPr>
          <w:rFonts w:eastAsia="Calibri" w:cs="Calibri"/>
        </w:rPr>
        <w:t xml:space="preserve">propose that 90-day notification requirements be amended to allow ADRs to consolidate the delivery of </w:t>
      </w:r>
      <w:r w:rsidR="000D1695">
        <w:rPr>
          <w:rFonts w:eastAsia="Calibri" w:cs="Calibri"/>
        </w:rPr>
        <w:t xml:space="preserve">these </w:t>
      </w:r>
      <w:r w:rsidR="2E933020" w:rsidRPr="6EDE0A44">
        <w:rPr>
          <w:rFonts w:eastAsia="Calibri" w:cs="Calibri"/>
        </w:rPr>
        <w:t xml:space="preserve">notifications and tailor their delivery according to a consumer’s preferences. For example, this would allow, but not require, an ADR to </w:t>
      </w:r>
      <w:r w:rsidR="29F35B12" w:rsidRPr="6EDE0A44">
        <w:rPr>
          <w:rFonts w:eastAsia="Calibri" w:cs="Calibri"/>
        </w:rPr>
        <w:t xml:space="preserve">consolidate </w:t>
      </w:r>
      <w:r w:rsidR="2E933020" w:rsidRPr="6EDE0A44">
        <w:rPr>
          <w:rFonts w:eastAsia="Calibri" w:cs="Calibri"/>
        </w:rPr>
        <w:t>all active consent</w:t>
      </w:r>
      <w:r w:rsidR="17EAB672" w:rsidRPr="6EDE0A44">
        <w:rPr>
          <w:rFonts w:eastAsia="Calibri" w:cs="Calibri"/>
        </w:rPr>
        <w:t xml:space="preserve"> reminders</w:t>
      </w:r>
      <w:r w:rsidR="2E933020" w:rsidRPr="6EDE0A44">
        <w:rPr>
          <w:rFonts w:eastAsia="Calibri" w:cs="Calibri"/>
        </w:rPr>
        <w:t xml:space="preserve"> in a single notification</w:t>
      </w:r>
      <w:r w:rsidR="6C7DE097" w:rsidRPr="6EDE0A44">
        <w:rPr>
          <w:rFonts w:eastAsia="Calibri" w:cs="Calibri"/>
        </w:rPr>
        <w:t xml:space="preserve"> at least every 90</w:t>
      </w:r>
      <w:r w:rsidR="0065738E">
        <w:rPr>
          <w:rFonts w:eastAsia="Calibri" w:cs="Calibri"/>
        </w:rPr>
        <w:t xml:space="preserve"> </w:t>
      </w:r>
      <w:r w:rsidR="6C7DE097" w:rsidRPr="6EDE0A44">
        <w:rPr>
          <w:rFonts w:eastAsia="Calibri" w:cs="Calibri"/>
        </w:rPr>
        <w:t>days</w:t>
      </w:r>
      <w:r w:rsidR="2E933020" w:rsidRPr="6EDE0A44">
        <w:rPr>
          <w:rFonts w:eastAsia="Calibri" w:cs="Calibri"/>
        </w:rPr>
        <w:t xml:space="preserve">. </w:t>
      </w:r>
    </w:p>
    <w:p w14:paraId="53FC1832" w14:textId="5E614BC4" w:rsidR="00D205F0" w:rsidRDefault="2E933020" w:rsidP="09F11397">
      <w:pPr>
        <w:rPr>
          <w:rFonts w:eastAsia="Calibri" w:cs="Calibri"/>
        </w:rPr>
      </w:pPr>
      <w:r w:rsidRPr="6EDE0A44">
        <w:rPr>
          <w:rFonts w:eastAsia="Calibri" w:cs="Calibri"/>
        </w:rPr>
        <w:t xml:space="preserve">An ADR may also invite a consumer to tailor </w:t>
      </w:r>
      <w:r w:rsidR="1993973C" w:rsidRPr="6EDE0A44">
        <w:rPr>
          <w:rFonts w:eastAsia="Calibri" w:cs="Calibri"/>
        </w:rPr>
        <w:t xml:space="preserve">preferences for </w:t>
      </w:r>
      <w:r w:rsidR="72A13CDD" w:rsidRPr="6EDE0A44">
        <w:rPr>
          <w:rFonts w:eastAsia="Calibri" w:cs="Calibri"/>
        </w:rPr>
        <w:t>the</w:t>
      </w:r>
      <w:r w:rsidRPr="6EDE0A44">
        <w:rPr>
          <w:rFonts w:eastAsia="Calibri" w:cs="Calibri"/>
        </w:rPr>
        <w:t xml:space="preserve"> </w:t>
      </w:r>
      <w:r w:rsidR="3F96EA07" w:rsidRPr="6EDE0A44">
        <w:rPr>
          <w:rFonts w:eastAsia="Calibri" w:cs="Calibri"/>
        </w:rPr>
        <w:t xml:space="preserve">frequency and delivery </w:t>
      </w:r>
      <w:r w:rsidR="2DA490A7" w:rsidRPr="6EDE0A44">
        <w:rPr>
          <w:rFonts w:eastAsia="Calibri" w:cs="Calibri"/>
        </w:rPr>
        <w:t xml:space="preserve">of </w:t>
      </w:r>
      <w:r w:rsidR="009F02F9">
        <w:rPr>
          <w:rFonts w:eastAsia="Calibri" w:cs="Calibri"/>
        </w:rPr>
        <w:t xml:space="preserve">90-day </w:t>
      </w:r>
      <w:r w:rsidR="72A13CDD" w:rsidRPr="6EDE0A44">
        <w:rPr>
          <w:rFonts w:eastAsia="Calibri" w:cs="Calibri"/>
        </w:rPr>
        <w:t>notification</w:t>
      </w:r>
      <w:r w:rsidR="009F02F9">
        <w:rPr>
          <w:rFonts w:eastAsia="Calibri" w:cs="Calibri"/>
        </w:rPr>
        <w:t>s</w:t>
      </w:r>
      <w:r w:rsidR="00D0059B">
        <w:rPr>
          <w:rFonts w:eastAsia="Calibri" w:cs="Calibri"/>
        </w:rPr>
        <w:t>.</w:t>
      </w:r>
    </w:p>
    <w:p w14:paraId="1BA3EB2E" w14:textId="1111E548" w:rsidR="00943A66" w:rsidRPr="00FB096E" w:rsidRDefault="00943A66" w:rsidP="00174479">
      <w:pPr>
        <w:keepNext/>
        <w:rPr>
          <w:rFonts w:eastAsia="Calibri" w:cs="Calibri"/>
          <w:i/>
          <w:iCs/>
        </w:rPr>
      </w:pPr>
      <w:r>
        <w:rPr>
          <w:rFonts w:eastAsia="Calibri" w:cs="Calibri"/>
          <w:i/>
          <w:iCs/>
        </w:rPr>
        <w:t>Utility and actionability of notifications</w:t>
      </w:r>
    </w:p>
    <w:p w14:paraId="5ED2DE58" w14:textId="50CFEACC" w:rsidR="00083380" w:rsidRPr="00B836A6" w:rsidRDefault="00083380" w:rsidP="09F11397">
      <w:pPr>
        <w:rPr>
          <w:rFonts w:eastAsia="Calibri" w:cs="Calibri"/>
        </w:rPr>
      </w:pPr>
      <w:r>
        <w:rPr>
          <w:rFonts w:eastAsia="Calibri" w:cs="Calibri"/>
        </w:rPr>
        <w:t xml:space="preserve">We </w:t>
      </w:r>
      <w:r w:rsidRPr="5AB5665C">
        <w:rPr>
          <w:rFonts w:eastAsia="Calibri" w:cs="Calibri"/>
        </w:rPr>
        <w:t>propose that the 90-day notification requirements apply to all active consents, not just collection and use consents, such that they include disclosure</w:t>
      </w:r>
      <w:r w:rsidR="00476CF9">
        <w:rPr>
          <w:rFonts w:eastAsia="Calibri" w:cs="Calibri"/>
        </w:rPr>
        <w:t>, de-identification and direct marketing</w:t>
      </w:r>
      <w:r w:rsidRPr="5AB5665C">
        <w:rPr>
          <w:rFonts w:eastAsia="Calibri" w:cs="Calibri"/>
        </w:rPr>
        <w:t xml:space="preserve"> consents.</w:t>
      </w:r>
    </w:p>
    <w:p w14:paraId="16169D32" w14:textId="218A823E" w:rsidR="00D205F0" w:rsidRPr="00B836A6" w:rsidRDefault="0DA14D68" w:rsidP="09F11397">
      <w:r w:rsidRPr="09F11397">
        <w:rPr>
          <w:rFonts w:eastAsia="Calibri" w:cs="Calibri"/>
        </w:rPr>
        <w:t xml:space="preserve">To increase the utility of the 90-day notification, </w:t>
      </w:r>
      <w:r w:rsidR="00271EC0">
        <w:rPr>
          <w:rFonts w:eastAsia="Calibri" w:cs="Calibri"/>
        </w:rPr>
        <w:t>specific</w:t>
      </w:r>
      <w:r w:rsidR="00271EC0" w:rsidRPr="09F11397">
        <w:rPr>
          <w:rFonts w:eastAsia="Calibri" w:cs="Calibri"/>
        </w:rPr>
        <w:t xml:space="preserve"> </w:t>
      </w:r>
      <w:r w:rsidR="00271EC0">
        <w:rPr>
          <w:rFonts w:eastAsia="Calibri" w:cs="Calibri"/>
        </w:rPr>
        <w:t xml:space="preserve">information requirements are </w:t>
      </w:r>
      <w:r w:rsidRPr="09F11397">
        <w:rPr>
          <w:rFonts w:eastAsia="Calibri" w:cs="Calibri"/>
        </w:rPr>
        <w:t>proposed for inclusion in the 90</w:t>
      </w:r>
      <w:r w:rsidR="73266897" w:rsidRPr="09F11397">
        <w:rPr>
          <w:rFonts w:eastAsia="Calibri" w:cs="Calibri"/>
        </w:rPr>
        <w:t>-</w:t>
      </w:r>
      <w:r w:rsidRPr="09F11397">
        <w:rPr>
          <w:rFonts w:eastAsia="Calibri" w:cs="Calibri"/>
        </w:rPr>
        <w:t>day notification</w:t>
      </w:r>
      <w:r w:rsidR="000D2359">
        <w:rPr>
          <w:rFonts w:eastAsia="Calibri" w:cs="Calibri"/>
        </w:rPr>
        <w:t xml:space="preserve">. This information is a subset of the information </w:t>
      </w:r>
      <w:r w:rsidR="00173E3A">
        <w:rPr>
          <w:rFonts w:eastAsia="Calibri" w:cs="Calibri"/>
        </w:rPr>
        <w:t xml:space="preserve">contained in </w:t>
      </w:r>
      <w:r w:rsidR="000D2359">
        <w:rPr>
          <w:rFonts w:eastAsia="Calibri" w:cs="Calibri"/>
        </w:rPr>
        <w:t>the CDR receipt and includes</w:t>
      </w:r>
      <w:r w:rsidRPr="09F11397">
        <w:rPr>
          <w:rFonts w:eastAsia="Calibri" w:cs="Calibri"/>
        </w:rPr>
        <w:t>:</w:t>
      </w:r>
    </w:p>
    <w:p w14:paraId="3F870834" w14:textId="77777777" w:rsidR="00075FB3" w:rsidRDefault="00075FB3" w:rsidP="00ED5CB6">
      <w:pPr>
        <w:pStyle w:val="Bulletpoint"/>
      </w:pPr>
      <w:r>
        <w:t>T</w:t>
      </w:r>
      <w:r w:rsidRPr="3197084D">
        <w:t xml:space="preserve">he name of the CDR participant from whom data </w:t>
      </w:r>
      <w:r w:rsidRPr="0C88F1FE">
        <w:t xml:space="preserve">is being </w:t>
      </w:r>
      <w:r w:rsidRPr="3197084D">
        <w:t xml:space="preserve">collected under a collection consent and the name of the recipient of data under any disclosure </w:t>
      </w:r>
      <w:proofErr w:type="gramStart"/>
      <w:r w:rsidRPr="3197084D">
        <w:t>consents</w:t>
      </w:r>
      <w:r w:rsidRPr="0C88F1FE">
        <w:t>;</w:t>
      </w:r>
      <w:proofErr w:type="gramEnd"/>
    </w:p>
    <w:p w14:paraId="4D2F7990" w14:textId="368BE5A6" w:rsidR="00E422DE" w:rsidRDefault="00E422DE" w:rsidP="00ED5CB6">
      <w:pPr>
        <w:pStyle w:val="Bulletpoint"/>
      </w:pPr>
      <w:r w:rsidRPr="00E422DE">
        <w:t xml:space="preserve">When each consent was given, </w:t>
      </w:r>
      <w:r w:rsidR="00C2446D" w:rsidRPr="4608EF2E">
        <w:t xml:space="preserve">along with its duration </w:t>
      </w:r>
      <w:r w:rsidRPr="00E422DE">
        <w:t xml:space="preserve">and/or date of </w:t>
      </w:r>
      <w:proofErr w:type="gramStart"/>
      <w:r w:rsidRPr="00E422DE">
        <w:t>expiry</w:t>
      </w:r>
      <w:r w:rsidR="174C9889" w:rsidRPr="0C88F1FE">
        <w:t>;</w:t>
      </w:r>
      <w:proofErr w:type="gramEnd"/>
    </w:p>
    <w:p w14:paraId="1681865D" w14:textId="11F11C73" w:rsidR="00DA14A0" w:rsidRPr="00DA14A0" w:rsidRDefault="00666D0D" w:rsidP="00ED5CB6">
      <w:pPr>
        <w:pStyle w:val="Bulletpoint"/>
      </w:pPr>
      <w:r>
        <w:t>A</w:t>
      </w:r>
      <w:r w:rsidR="00DA14A0">
        <w:t xml:space="preserve">ny direct marketing or de-identification consents </w:t>
      </w:r>
      <w:r>
        <w:t xml:space="preserve">that </w:t>
      </w:r>
      <w:proofErr w:type="gramStart"/>
      <w:r w:rsidR="00DA14A0">
        <w:t>apply;</w:t>
      </w:r>
      <w:proofErr w:type="gramEnd"/>
    </w:p>
    <w:p w14:paraId="1AF4CEB4" w14:textId="48EAFD05" w:rsidR="00BC3055" w:rsidRPr="00E422DE" w:rsidRDefault="00BC3055" w:rsidP="00ED5CB6">
      <w:pPr>
        <w:pStyle w:val="Bulletpoint"/>
      </w:pPr>
      <w:r w:rsidRPr="00E422DE">
        <w:t xml:space="preserve">Instructions for </w:t>
      </w:r>
      <w:r w:rsidR="00DA51C0">
        <w:t>how to access</w:t>
      </w:r>
      <w:r w:rsidR="00A400B9">
        <w:t xml:space="preserve"> the</w:t>
      </w:r>
      <w:r w:rsidR="00DA51C0">
        <w:t xml:space="preserve"> </w:t>
      </w:r>
      <w:r w:rsidRPr="00E422DE">
        <w:t>dashboard to review the most up to date information</w:t>
      </w:r>
      <w:r w:rsidR="00A400B9">
        <w:t xml:space="preserve"> and manage consents</w:t>
      </w:r>
      <w:r w:rsidRPr="0C88F1FE">
        <w:t xml:space="preserve">; and </w:t>
      </w:r>
    </w:p>
    <w:p w14:paraId="2A73EDF6" w14:textId="1865899E" w:rsidR="00E422DE" w:rsidRPr="00E422DE" w:rsidRDefault="00EC77A9" w:rsidP="00ED5CB6">
      <w:pPr>
        <w:pStyle w:val="Bulletpoint"/>
      </w:pPr>
      <w:r w:rsidRPr="38EC608D">
        <w:t>I</w:t>
      </w:r>
      <w:r w:rsidR="00E422DE" w:rsidRPr="38EC608D">
        <w:t>nstructions for how to withdraw consent</w:t>
      </w:r>
      <w:r w:rsidR="0096296E" w:rsidRPr="38EC608D">
        <w:t>s</w:t>
      </w:r>
      <w:r w:rsidRPr="38EC608D">
        <w:t>, including</w:t>
      </w:r>
      <w:r w:rsidR="00F43BD4">
        <w:t xml:space="preserve"> </w:t>
      </w:r>
      <w:r w:rsidR="0072405F">
        <w:t xml:space="preserve">other than through the dashboard by </w:t>
      </w:r>
      <w:r w:rsidR="00E665C3">
        <w:t xml:space="preserve">using </w:t>
      </w:r>
      <w:r w:rsidR="00F30237">
        <w:t xml:space="preserve">a simple method of communication that the ADR has made available </w:t>
      </w:r>
      <w:r w:rsidR="003836D3">
        <w:t>for that purpose</w:t>
      </w:r>
      <w:r w:rsidR="0096296E" w:rsidRPr="38EC608D">
        <w:t>.</w:t>
      </w:r>
    </w:p>
    <w:p w14:paraId="32104809" w14:textId="77777777" w:rsidR="007B7E95" w:rsidRDefault="7C7E6EF6" w:rsidP="00DF402B">
      <w:pPr>
        <w:rPr>
          <w:rFonts w:eastAsia="Calibri" w:cs="Calibri"/>
        </w:rPr>
      </w:pPr>
      <w:r w:rsidRPr="4B563B6E">
        <w:rPr>
          <w:rFonts w:eastAsia="Calibri" w:cs="Calibri"/>
        </w:rPr>
        <w:t>The presentation of this information can remain flexible, such that an ADR could provide a simple and minimal push notification and only present the detailed content if or when a consumer engages with the push notification. Alternatively, an ADR could choose to deliver the entirety of this content in an email.</w:t>
      </w:r>
    </w:p>
    <w:p w14:paraId="150166C3" w14:textId="77777777" w:rsidR="007B7E95" w:rsidRDefault="007B7E95">
      <w:pPr>
        <w:rPr>
          <w:rFonts w:eastAsia="Calibri" w:cs="Calibri"/>
        </w:rPr>
      </w:pPr>
      <w:r>
        <w:rPr>
          <w:rFonts w:eastAsia="Calibri" w:cs="Calibri"/>
        </w:rPr>
        <w:br w:type="page"/>
      </w:r>
    </w:p>
    <w:p w14:paraId="7CE140E3" w14:textId="35A84F92" w:rsidR="00DF402B" w:rsidRDefault="00BD4192" w:rsidP="00DF402B">
      <w:pPr>
        <w:rPr>
          <w:rFonts w:eastAsia="Calibri" w:cs="Calibri"/>
        </w:rPr>
      </w:pPr>
      <w:r>
        <w:rPr>
          <w:rFonts w:eastAsia="Calibri" w:cs="Calibri"/>
        </w:rPr>
        <w:lastRenderedPageBreak/>
        <w:br/>
      </w:r>
    </w:p>
    <w:tbl>
      <w:tblPr>
        <w:tblStyle w:val="TableGrid1"/>
        <w:tblW w:w="0" w:type="auto"/>
        <w:tblCellMar>
          <w:top w:w="85" w:type="dxa"/>
          <w:bottom w:w="85" w:type="dxa"/>
        </w:tblCellMar>
        <w:tblLook w:val="0600" w:firstRow="0" w:lastRow="0" w:firstColumn="0" w:lastColumn="0" w:noHBand="1" w:noVBand="1"/>
      </w:tblPr>
      <w:tblGrid>
        <w:gridCol w:w="9016"/>
      </w:tblGrid>
      <w:tr w:rsidR="00DF402B" w14:paraId="4FB719FB" w14:textId="77777777" w:rsidTr="734AE715">
        <w:tc>
          <w:tcPr>
            <w:tcW w:w="9016" w:type="dxa"/>
          </w:tcPr>
          <w:p w14:paraId="68833B00" w14:textId="27D0EBC7" w:rsidR="00DF402B" w:rsidRPr="00B836A6" w:rsidRDefault="00DF402B" w:rsidP="001B0330">
            <w:pPr>
              <w:rPr>
                <w:rFonts w:cs="Calibri"/>
                <w:b/>
                <w:bCs/>
              </w:rPr>
            </w:pPr>
            <w:r w:rsidRPr="00B836A6">
              <w:rPr>
                <w:rFonts w:cs="Calibri"/>
                <w:b/>
                <w:bCs/>
              </w:rPr>
              <w:t>Consultation questions</w:t>
            </w:r>
          </w:p>
          <w:p w14:paraId="5E088521" w14:textId="77777777" w:rsidR="00DF402B" w:rsidRDefault="00DF402B" w:rsidP="00DF402B">
            <w:pPr>
              <w:pStyle w:val="ListParagraph"/>
            </w:pPr>
            <w:r w:rsidRPr="00286326">
              <w:t>Do you support the proposal to allow 90-day notifications to be consolidated?</w:t>
            </w:r>
          </w:p>
          <w:p w14:paraId="792EBC3A" w14:textId="0FBAB641" w:rsidR="77D2ACE0" w:rsidRDefault="267C9B87" w:rsidP="7AD4D51E">
            <w:pPr>
              <w:pStyle w:val="ListParagraph"/>
            </w:pPr>
            <w:r>
              <w:t xml:space="preserve">Do you support the proposal to allow consumers to tailor the </w:t>
            </w:r>
            <w:r w:rsidR="65BFA8F7">
              <w:t xml:space="preserve">frequency and </w:t>
            </w:r>
            <w:r w:rsidR="5EA417CF">
              <w:t>deliver</w:t>
            </w:r>
            <w:r w:rsidR="4A985496">
              <w:t>y</w:t>
            </w:r>
            <w:r w:rsidR="65BFA8F7">
              <w:t xml:space="preserve"> of</w:t>
            </w:r>
            <w:r>
              <w:t xml:space="preserve"> 90-day </w:t>
            </w:r>
            <w:r w:rsidR="0783BC71">
              <w:t>notifications?</w:t>
            </w:r>
          </w:p>
          <w:p w14:paraId="0D7B56A1" w14:textId="04B916A1" w:rsidR="00DF402B" w:rsidRPr="00964990" w:rsidRDefault="2918EBE3" w:rsidP="00204E7E">
            <w:pPr>
              <w:pStyle w:val="ListParagraph"/>
            </w:pPr>
            <w:r>
              <w:t>Do</w:t>
            </w:r>
            <w:r w:rsidR="228467D0">
              <w:t xml:space="preserve"> you</w:t>
            </w:r>
            <w:r w:rsidR="7E906798">
              <w:t xml:space="preserve"> support</w:t>
            </w:r>
            <w:r w:rsidR="61882068">
              <w:t xml:space="preserve"> the</w:t>
            </w:r>
            <w:r w:rsidR="2F3EC5A5">
              <w:t xml:space="preserve"> inclusion of </w:t>
            </w:r>
            <w:r w:rsidR="4F60297D">
              <w:t xml:space="preserve">additional </w:t>
            </w:r>
            <w:r w:rsidR="6F05DFF5">
              <w:t xml:space="preserve">information </w:t>
            </w:r>
            <w:r w:rsidR="140DFEA5">
              <w:t>within</w:t>
            </w:r>
            <w:r w:rsidR="2F3EC5A5">
              <w:t xml:space="preserve"> the 90-day notification</w:t>
            </w:r>
            <w:r w:rsidR="524935D8">
              <w:t xml:space="preserve">, including </w:t>
            </w:r>
            <w:r w:rsidR="1539499C">
              <w:t>specific details</w:t>
            </w:r>
            <w:r w:rsidR="6F05DFF5">
              <w:t xml:space="preserve"> about </w:t>
            </w:r>
            <w:r w:rsidR="420F35D2">
              <w:t>all active consents</w:t>
            </w:r>
            <w:r w:rsidR="2F3EC5A5">
              <w:t>?</w:t>
            </w:r>
            <w:r w:rsidR="18FDC769">
              <w:t xml:space="preserve"> </w:t>
            </w:r>
            <w:r w:rsidR="0BBCA958">
              <w:t>Are the proposed information requirements appropriate</w:t>
            </w:r>
            <w:r w:rsidR="18FDC769">
              <w:t>?</w:t>
            </w:r>
          </w:p>
        </w:tc>
      </w:tr>
    </w:tbl>
    <w:p w14:paraId="24965DB5" w14:textId="619C11E1" w:rsidR="009238C7" w:rsidRPr="00B836A6" w:rsidRDefault="1190D369" w:rsidP="009238C7">
      <w:pPr>
        <w:pStyle w:val="Heading2"/>
        <w:spacing w:after="240"/>
        <w:rPr>
          <w:rFonts w:eastAsia="Calibri" w:cs="Calibri"/>
        </w:rPr>
      </w:pPr>
      <w:bookmarkStart w:id="55" w:name="_Toc129341744"/>
      <w:bookmarkStart w:id="56" w:name="_Toc129341745"/>
      <w:bookmarkStart w:id="57" w:name="_Toc129341746"/>
      <w:bookmarkStart w:id="58" w:name="_Toc129341747"/>
      <w:bookmarkStart w:id="59" w:name="_Toc129341748"/>
      <w:bookmarkStart w:id="60" w:name="_Toc129341749"/>
      <w:bookmarkStart w:id="61" w:name="_Toc142317584"/>
      <w:bookmarkStart w:id="62" w:name="_Toc143705090"/>
      <w:bookmarkEnd w:id="55"/>
      <w:bookmarkEnd w:id="56"/>
      <w:bookmarkEnd w:id="57"/>
      <w:bookmarkEnd w:id="58"/>
      <w:bookmarkEnd w:id="59"/>
      <w:bookmarkEnd w:id="60"/>
      <w:r w:rsidRPr="20057625">
        <w:rPr>
          <w:rFonts w:eastAsia="Calibri" w:cs="Calibri"/>
        </w:rPr>
        <w:t xml:space="preserve">De-identification </w:t>
      </w:r>
      <w:r w:rsidR="049D0AB3" w:rsidRPr="20057625">
        <w:rPr>
          <w:rFonts w:eastAsia="Calibri" w:cs="Calibri"/>
        </w:rPr>
        <w:t xml:space="preserve">and </w:t>
      </w:r>
      <w:r w:rsidR="007F4959">
        <w:rPr>
          <w:rFonts w:eastAsia="Calibri" w:cs="Calibri"/>
        </w:rPr>
        <w:t>deletion by default</w:t>
      </w:r>
      <w:bookmarkEnd w:id="61"/>
      <w:bookmarkEnd w:id="62"/>
    </w:p>
    <w:p w14:paraId="7F54B524" w14:textId="77777777" w:rsidR="00351A83" w:rsidRDefault="00351A83" w:rsidP="005B7878">
      <w:pPr>
        <w:pStyle w:val="Bulletpoint"/>
        <w:numPr>
          <w:ilvl w:val="0"/>
          <w:numId w:val="0"/>
        </w:numPr>
      </w:pPr>
      <w:r>
        <w:t xml:space="preserve">An ADR may de-identify a CDR consumer’s CDR data if: </w:t>
      </w:r>
    </w:p>
    <w:p w14:paraId="0E8D5C71" w14:textId="69CF8BFE" w:rsidR="00351A83" w:rsidRDefault="00351A83" w:rsidP="00ED5CB6">
      <w:pPr>
        <w:pStyle w:val="Bulletpoint"/>
      </w:pPr>
      <w:r w:rsidRPr="00C44EE1">
        <w:rPr>
          <w:rFonts w:eastAsia="Calibri" w:cs="Calibri"/>
        </w:rPr>
        <w:t>the</w:t>
      </w:r>
      <w:r>
        <w:t xml:space="preserve"> CDR consumer gives a ‘de-identification consent’, which allows the ADR to de</w:t>
      </w:r>
      <w:r w:rsidR="00A23968">
        <w:t>-</w:t>
      </w:r>
      <w:r>
        <w:t>identify some or all of the CDR data for general research and/or to disclose to others (including by sale)</w:t>
      </w:r>
      <w:r w:rsidR="0017024A" w:rsidRPr="32ADD433">
        <w:rPr>
          <w:rStyle w:val="FootnoteReference"/>
          <w:rFonts w:cs="Calibri"/>
        </w:rPr>
        <w:t xml:space="preserve"> </w:t>
      </w:r>
      <w:r w:rsidR="0017024A" w:rsidRPr="00FB0E35">
        <w:rPr>
          <w:rStyle w:val="FootnoteReference"/>
          <w:rFonts w:cs="Calibri"/>
        </w:rPr>
        <w:footnoteReference w:id="55"/>
      </w:r>
    </w:p>
    <w:p w14:paraId="291D86FE" w14:textId="4A91C6F9" w:rsidR="00351A83" w:rsidRDefault="003F2DF0" w:rsidP="00ED5CB6">
      <w:pPr>
        <w:pStyle w:val="Bulletpoint"/>
      </w:pPr>
      <w:r w:rsidRPr="00C44EE1">
        <w:rPr>
          <w:rFonts w:eastAsia="Calibri" w:cs="Calibri"/>
        </w:rPr>
        <w:t>the</w:t>
      </w:r>
      <w:r w:rsidRPr="32ADD433">
        <w:rPr>
          <w:rFonts w:cs="Calibri"/>
        </w:rPr>
        <w:t xml:space="preserve"> ADR has a general policy of de-identifying redundant data</w:t>
      </w:r>
      <w:r>
        <w:t xml:space="preserve"> and </w:t>
      </w:r>
      <w:r w:rsidR="00351A83">
        <w:t>during the consent process the CDR consumer does not elect that their redundant data must be deleted, and the ADR considers it appropriate in the circumstances to de</w:t>
      </w:r>
      <w:r w:rsidR="00A23968">
        <w:t>-</w:t>
      </w:r>
      <w:r w:rsidR="00351A83">
        <w:t>identify rather than delete the redundant data.</w:t>
      </w:r>
      <w:r w:rsidR="0017024A" w:rsidRPr="009A4782">
        <w:rPr>
          <w:rFonts w:cs="Calibri"/>
          <w:vertAlign w:val="superscript"/>
        </w:rPr>
        <w:footnoteReference w:id="56"/>
      </w:r>
    </w:p>
    <w:p w14:paraId="6E192053" w14:textId="3CA5FC30" w:rsidR="00997499" w:rsidRDefault="00997499" w:rsidP="00F129EC">
      <w:r>
        <w:t xml:space="preserve">If a de-identification consent is sought, then the ADR </w:t>
      </w:r>
      <w:r w:rsidR="0005287E">
        <w:t xml:space="preserve">must </w:t>
      </w:r>
      <w:r>
        <w:t>state to the consumer that the data could be disclosed and sold to other persons</w:t>
      </w:r>
      <w:r w:rsidR="57C25157">
        <w:t>,</w:t>
      </w:r>
      <w:r>
        <w:t xml:space="preserve"> the classes of persons who might access that data</w:t>
      </w:r>
      <w:r w:rsidR="5C37E750">
        <w:t>,</w:t>
      </w:r>
      <w:r>
        <w:t xml:space="preserve"> why the data would be disclosed and, if the ADR intends to use it for general research purposes, the kind of research to be conducted.</w:t>
      </w:r>
      <w:r w:rsidR="0005287E">
        <w:rPr>
          <w:rStyle w:val="FootnoteReference"/>
        </w:rPr>
        <w:footnoteReference w:id="57"/>
      </w:r>
      <w:r>
        <w:t xml:space="preserve"> If an ADR intends to de-identify data when it becomes redundant, the ADR </w:t>
      </w:r>
      <w:r w:rsidR="00290C7B">
        <w:t xml:space="preserve">must </w:t>
      </w:r>
      <w:r>
        <w:t>state similar but fewer details to the consumer.</w:t>
      </w:r>
      <w:r w:rsidR="00290C7B">
        <w:rPr>
          <w:rStyle w:val="FootnoteReference"/>
        </w:rPr>
        <w:footnoteReference w:id="58"/>
      </w:r>
      <w:r>
        <w:t xml:space="preserve"> </w:t>
      </w:r>
    </w:p>
    <w:p w14:paraId="5E0CBBA6" w14:textId="6F2A2695" w:rsidR="00F129EC" w:rsidRPr="00A95F93" w:rsidRDefault="00F129EC" w:rsidP="00FB096E">
      <w:pPr>
        <w:rPr>
          <w:rFonts w:eastAsia="Courier New" w:cs="Calibri"/>
          <w:sz w:val="24"/>
          <w:szCs w:val="24"/>
          <w:lang w:eastAsia="en-AU"/>
        </w:rPr>
      </w:pPr>
      <w:r>
        <w:t xml:space="preserve">The CDR </w:t>
      </w:r>
      <w:r w:rsidR="00531CB2">
        <w:t>R</w:t>
      </w:r>
      <w:r>
        <w:t>ules set out the process for de-identification</w:t>
      </w:r>
      <w:r w:rsidR="00424A1B">
        <w:t xml:space="preserve">, including </w:t>
      </w:r>
      <w:r w:rsidR="00F77583">
        <w:t xml:space="preserve">that the ADR must </w:t>
      </w:r>
      <w:r w:rsidR="00424A1B">
        <w:t>consider whether it would be possible to de</w:t>
      </w:r>
      <w:r w:rsidR="617AF246">
        <w:t>-</w:t>
      </w:r>
      <w:r w:rsidR="00424A1B">
        <w:t>identify the relevant data to the extent that no person would be identifiable, or reasonably identifiable, from the data and any other information that would be held by any person following the de</w:t>
      </w:r>
      <w:r w:rsidR="00F77583">
        <w:t>-</w:t>
      </w:r>
      <w:r w:rsidR="00424A1B">
        <w:t>identification proces</w:t>
      </w:r>
      <w:r w:rsidR="00F77583">
        <w:t>s.</w:t>
      </w:r>
      <w:r w:rsidR="001D0808">
        <w:rPr>
          <w:rStyle w:val="FootnoteReference"/>
        </w:rPr>
        <w:footnoteReference w:id="59"/>
      </w:r>
    </w:p>
    <w:p w14:paraId="3C57DFCF" w14:textId="03F8874F" w:rsidR="00016C02" w:rsidRPr="000668AB" w:rsidRDefault="00016C02" w:rsidP="008A313E">
      <w:pPr>
        <w:rPr>
          <w:sz w:val="20"/>
          <w:szCs w:val="20"/>
        </w:rPr>
      </w:pPr>
      <w:r w:rsidRPr="000668AB">
        <w:rPr>
          <w:rFonts w:eastAsia="Calibri" w:cs="Calibri"/>
          <w:b/>
          <w:bCs/>
        </w:rPr>
        <w:t>Consent Review Noting Paper</w:t>
      </w:r>
    </w:p>
    <w:p w14:paraId="226F8BD5" w14:textId="5BEB355B" w:rsidR="009A4782" w:rsidRPr="009A4782" w:rsidRDefault="64233A7E" w:rsidP="007D7F73">
      <w:pPr>
        <w:pStyle w:val="Bulletpoint"/>
        <w:numPr>
          <w:ilvl w:val="0"/>
          <w:numId w:val="0"/>
        </w:numPr>
        <w:rPr>
          <w:rFonts w:eastAsia="Courier New" w:cs="Calibri"/>
          <w:sz w:val="24"/>
          <w:szCs w:val="24"/>
          <w:lang w:eastAsia="en-AU"/>
        </w:rPr>
      </w:pPr>
      <w:r w:rsidRPr="1E774463">
        <w:rPr>
          <w:rFonts w:eastAsia="Calibri" w:cs="Calibri"/>
        </w:rPr>
        <w:t xml:space="preserve">The </w:t>
      </w:r>
      <w:r w:rsidR="22A329E8" w:rsidRPr="41CFAED7">
        <w:rPr>
          <w:rFonts w:eastAsia="Calibri" w:cs="Calibri"/>
        </w:rPr>
        <w:t>n</w:t>
      </w:r>
      <w:r w:rsidR="01BD8C11" w:rsidRPr="41CFAED7">
        <w:rPr>
          <w:rFonts w:eastAsia="Calibri" w:cs="Calibri"/>
        </w:rPr>
        <w:t xml:space="preserve">oting </w:t>
      </w:r>
      <w:r w:rsidR="6EC3C6B2" w:rsidRPr="41CFAED7">
        <w:rPr>
          <w:rFonts w:eastAsia="Calibri" w:cs="Calibri"/>
        </w:rPr>
        <w:t>p</w:t>
      </w:r>
      <w:r w:rsidR="767FB06F" w:rsidRPr="41CFAED7">
        <w:rPr>
          <w:rFonts w:eastAsia="Calibri" w:cs="Calibri"/>
        </w:rPr>
        <w:t>aper</w:t>
      </w:r>
      <w:r w:rsidRPr="1E774463">
        <w:rPr>
          <w:rFonts w:eastAsia="Calibri" w:cs="Calibri"/>
        </w:rPr>
        <w:t xml:space="preserve"> </w:t>
      </w:r>
      <w:r w:rsidR="009225B9">
        <w:rPr>
          <w:rFonts w:eastAsia="Calibri" w:cs="Calibri"/>
        </w:rPr>
        <w:t xml:space="preserve">did not include a proposal, but instead </w:t>
      </w:r>
      <w:r w:rsidRPr="1E774463">
        <w:rPr>
          <w:rFonts w:eastAsia="Calibri" w:cs="Calibri"/>
        </w:rPr>
        <w:t xml:space="preserve">invited </w:t>
      </w:r>
      <w:r w:rsidR="00EB62DB">
        <w:rPr>
          <w:rFonts w:eastAsia="Calibri" w:cs="Calibri"/>
        </w:rPr>
        <w:t xml:space="preserve">general </w:t>
      </w:r>
      <w:r w:rsidRPr="1E774463">
        <w:rPr>
          <w:rFonts w:eastAsia="Calibri" w:cs="Calibri"/>
        </w:rPr>
        <w:t>feedback on the requirements and processes relating to de-identification and deletion of CDR data</w:t>
      </w:r>
      <w:r w:rsidR="00DB71F9">
        <w:rPr>
          <w:rFonts w:eastAsia="Calibri" w:cs="Calibri"/>
        </w:rPr>
        <w:t xml:space="preserve"> as they relate to </w:t>
      </w:r>
      <w:r w:rsidR="00467FB9">
        <w:rPr>
          <w:rFonts w:eastAsia="Calibri" w:cs="Calibri"/>
        </w:rPr>
        <w:t xml:space="preserve">consumer </w:t>
      </w:r>
      <w:r w:rsidR="00DB71F9">
        <w:rPr>
          <w:rFonts w:eastAsia="Calibri" w:cs="Calibri"/>
        </w:rPr>
        <w:t>consent</w:t>
      </w:r>
      <w:r w:rsidRPr="1E774463">
        <w:rPr>
          <w:rFonts w:eastAsia="Calibri" w:cs="Calibri"/>
        </w:rPr>
        <w:t>.</w:t>
      </w:r>
    </w:p>
    <w:p w14:paraId="68CB5B85" w14:textId="68A81648" w:rsidR="00705D71" w:rsidRDefault="00705D71" w:rsidP="009D7853">
      <w:pPr>
        <w:rPr>
          <w:rFonts w:cs="Calibri"/>
        </w:rPr>
      </w:pPr>
      <w:r w:rsidRPr="00705D71">
        <w:rPr>
          <w:rFonts w:cs="Calibri"/>
        </w:rPr>
        <w:t xml:space="preserve">Stakeholders noted the </w:t>
      </w:r>
      <w:r w:rsidR="00844BC1">
        <w:rPr>
          <w:rFonts w:cs="Calibri"/>
        </w:rPr>
        <w:t>CDR R</w:t>
      </w:r>
      <w:r w:rsidRPr="00705D71">
        <w:rPr>
          <w:rFonts w:cs="Calibri"/>
        </w:rPr>
        <w:t xml:space="preserve">ules </w:t>
      </w:r>
      <w:r w:rsidR="00F32FE0">
        <w:rPr>
          <w:rFonts w:cs="Calibri"/>
        </w:rPr>
        <w:t xml:space="preserve">relating to </w:t>
      </w:r>
      <w:r w:rsidR="00004B87">
        <w:rPr>
          <w:rFonts w:cs="Calibri"/>
        </w:rPr>
        <w:t xml:space="preserve">the </w:t>
      </w:r>
      <w:r w:rsidRPr="00705D71">
        <w:rPr>
          <w:rFonts w:cs="Calibri"/>
        </w:rPr>
        <w:t xml:space="preserve">de-identification </w:t>
      </w:r>
      <w:r w:rsidR="00004B87">
        <w:rPr>
          <w:rFonts w:cs="Calibri"/>
        </w:rPr>
        <w:t xml:space="preserve">of redundant data and de-identification consents </w:t>
      </w:r>
      <w:r w:rsidRPr="00705D71">
        <w:rPr>
          <w:rFonts w:cs="Calibri"/>
        </w:rPr>
        <w:t>are complex and overlapping. In addition to de-identifying redundant data</w:t>
      </w:r>
      <w:r w:rsidR="00004B87">
        <w:rPr>
          <w:rFonts w:cs="Calibri"/>
        </w:rPr>
        <w:t>,</w:t>
      </w:r>
      <w:r w:rsidRPr="00705D71">
        <w:rPr>
          <w:rFonts w:cs="Calibri"/>
        </w:rPr>
        <w:t xml:space="preserve"> consumers can separately provide a de-identification consent to an ADR. Potential interactions between these mechanisms can lead to unintuitive and seemingly contradictory outcomes for </w:t>
      </w:r>
      <w:r w:rsidRPr="00705D71">
        <w:rPr>
          <w:rFonts w:cs="Calibri"/>
        </w:rPr>
        <w:lastRenderedPageBreak/>
        <w:t>consumers</w:t>
      </w:r>
      <w:r w:rsidR="00AB01A9">
        <w:rPr>
          <w:rFonts w:cs="Calibri"/>
        </w:rPr>
        <w:t>. F</w:t>
      </w:r>
      <w:r w:rsidR="000815A9" w:rsidRPr="00705D71">
        <w:rPr>
          <w:rFonts w:cs="Calibri"/>
        </w:rPr>
        <w:t xml:space="preserve">or example, a consumer </w:t>
      </w:r>
      <w:r w:rsidR="0FAC8995" w:rsidRPr="0C88F1FE">
        <w:rPr>
          <w:rFonts w:cs="Calibri"/>
        </w:rPr>
        <w:t>could elect</w:t>
      </w:r>
      <w:r w:rsidR="000815A9" w:rsidRPr="00705D71">
        <w:rPr>
          <w:rFonts w:cs="Calibri"/>
        </w:rPr>
        <w:t xml:space="preserve"> to have their redundant data deleted while separately providing a de-identification consent</w:t>
      </w:r>
      <w:r w:rsidRPr="00705D71">
        <w:rPr>
          <w:rFonts w:cs="Calibri"/>
        </w:rPr>
        <w:t>.</w:t>
      </w:r>
    </w:p>
    <w:p w14:paraId="33117747" w14:textId="1FDD0AA4" w:rsidR="00686710" w:rsidRDefault="000815A9" w:rsidP="00DF540F">
      <w:pPr>
        <w:pStyle w:val="Bulletpoint"/>
        <w:numPr>
          <w:ilvl w:val="0"/>
          <w:numId w:val="0"/>
        </w:numPr>
        <w:rPr>
          <w:rFonts w:cs="Calibri"/>
        </w:rPr>
      </w:pPr>
      <w:r>
        <w:rPr>
          <w:rFonts w:cs="Calibri"/>
        </w:rPr>
        <w:t xml:space="preserve">Additionally, </w:t>
      </w:r>
      <w:r w:rsidR="00902535">
        <w:rPr>
          <w:rFonts w:cs="Calibri"/>
        </w:rPr>
        <w:t>s</w:t>
      </w:r>
      <w:r w:rsidR="004B6FB6">
        <w:rPr>
          <w:rFonts w:cs="Calibri"/>
        </w:rPr>
        <w:t xml:space="preserve">ome </w:t>
      </w:r>
      <w:r w:rsidR="00902535">
        <w:rPr>
          <w:rFonts w:cs="Calibri"/>
        </w:rPr>
        <w:t xml:space="preserve">stakeholders </w:t>
      </w:r>
      <w:r w:rsidR="004B6FB6">
        <w:rPr>
          <w:rFonts w:cs="Calibri"/>
        </w:rPr>
        <w:t xml:space="preserve">considered the </w:t>
      </w:r>
      <w:r w:rsidR="00902535">
        <w:rPr>
          <w:rFonts w:cs="Calibri"/>
        </w:rPr>
        <w:t>standard of</w:t>
      </w:r>
      <w:r w:rsidR="004B6FB6">
        <w:rPr>
          <w:rFonts w:cs="Calibri"/>
        </w:rPr>
        <w:t xml:space="preserve"> </w:t>
      </w:r>
      <w:r w:rsidR="004B6FB6" w:rsidRPr="00910182">
        <w:rPr>
          <w:rFonts w:cs="Calibri"/>
        </w:rPr>
        <w:t>de-identification</w:t>
      </w:r>
      <w:r w:rsidR="00931DD1">
        <w:rPr>
          <w:rFonts w:cs="Calibri"/>
        </w:rPr>
        <w:t xml:space="preserve"> </w:t>
      </w:r>
      <w:r w:rsidR="00F16F39">
        <w:rPr>
          <w:rFonts w:cs="Calibri"/>
        </w:rPr>
        <w:t>required by the CDR Rules</w:t>
      </w:r>
      <w:r w:rsidR="004B6FB6" w:rsidRPr="00910182">
        <w:rPr>
          <w:rFonts w:cs="Calibri"/>
        </w:rPr>
        <w:t xml:space="preserve"> </w:t>
      </w:r>
      <w:r w:rsidR="004D261A">
        <w:rPr>
          <w:rFonts w:cs="Calibri"/>
        </w:rPr>
        <w:t xml:space="preserve">is difficult to achieve in practice and </w:t>
      </w:r>
      <w:r w:rsidR="000F6DCD">
        <w:rPr>
          <w:rFonts w:cs="Calibri"/>
        </w:rPr>
        <w:t xml:space="preserve">precludes </w:t>
      </w:r>
      <w:r w:rsidR="00C774AF">
        <w:rPr>
          <w:rFonts w:cs="Calibri"/>
        </w:rPr>
        <w:t xml:space="preserve">data uses that are </w:t>
      </w:r>
      <w:r w:rsidR="008521BC">
        <w:rPr>
          <w:rFonts w:cs="Calibri"/>
        </w:rPr>
        <w:t xml:space="preserve">otherwise </w:t>
      </w:r>
      <w:r w:rsidR="00C774AF">
        <w:rPr>
          <w:rFonts w:cs="Calibri"/>
        </w:rPr>
        <w:t>routinely employed to consumer data,</w:t>
      </w:r>
      <w:r w:rsidR="004B6FB6">
        <w:rPr>
          <w:rFonts w:cs="Calibri"/>
        </w:rPr>
        <w:t xml:space="preserve"> </w:t>
      </w:r>
      <w:r w:rsidR="008521BC">
        <w:rPr>
          <w:rFonts w:cs="Calibri"/>
        </w:rPr>
        <w:t xml:space="preserve">including </w:t>
      </w:r>
      <w:r w:rsidR="004B6FB6">
        <w:rPr>
          <w:rFonts w:cs="Calibri"/>
        </w:rPr>
        <w:t xml:space="preserve">product </w:t>
      </w:r>
      <w:r w:rsidR="008521BC">
        <w:rPr>
          <w:rFonts w:cs="Calibri"/>
        </w:rPr>
        <w:t xml:space="preserve">development and </w:t>
      </w:r>
      <w:r w:rsidR="004B6FB6">
        <w:rPr>
          <w:rFonts w:cs="Calibri"/>
        </w:rPr>
        <w:t xml:space="preserve">maintenance. </w:t>
      </w:r>
    </w:p>
    <w:p w14:paraId="1B85394C" w14:textId="05FABFC7" w:rsidR="00A95F93" w:rsidRDefault="00CE1D0B" w:rsidP="00DF540F">
      <w:pPr>
        <w:pStyle w:val="Bulletpoint"/>
        <w:numPr>
          <w:ilvl w:val="0"/>
          <w:numId w:val="0"/>
        </w:numPr>
        <w:rPr>
          <w:rFonts w:cs="Calibri"/>
        </w:rPr>
      </w:pPr>
      <w:r>
        <w:rPr>
          <w:rFonts w:cs="Calibri"/>
        </w:rPr>
        <w:t>The majority of submissions</w:t>
      </w:r>
      <w:r w:rsidRPr="6EDE0A44">
        <w:rPr>
          <w:rFonts w:cs="Calibri"/>
        </w:rPr>
        <w:t xml:space="preserve"> </w:t>
      </w:r>
      <w:r w:rsidR="4D4DA87F" w:rsidRPr="6EDE0A44">
        <w:rPr>
          <w:rFonts w:cs="Calibri"/>
        </w:rPr>
        <w:t xml:space="preserve">supported adopting a consent-driven </w:t>
      </w:r>
      <w:r w:rsidR="20A4E861" w:rsidRPr="6EDE0A44">
        <w:rPr>
          <w:rFonts w:cs="Calibri"/>
        </w:rPr>
        <w:t>‘</w:t>
      </w:r>
      <w:r w:rsidR="2451F2ED" w:rsidRPr="6EDE0A44">
        <w:rPr>
          <w:rFonts w:cs="Calibri"/>
        </w:rPr>
        <w:t>deletion</w:t>
      </w:r>
      <w:r w:rsidR="20A4E861" w:rsidRPr="6EDE0A44">
        <w:rPr>
          <w:rFonts w:cs="Calibri"/>
        </w:rPr>
        <w:t xml:space="preserve"> by default’ approach </w:t>
      </w:r>
      <w:r w:rsidR="00E051CC">
        <w:rPr>
          <w:rFonts w:cs="Calibri"/>
        </w:rPr>
        <w:t>to redundant data</w:t>
      </w:r>
      <w:r w:rsidR="009C10ED">
        <w:rPr>
          <w:rFonts w:cs="Calibri"/>
        </w:rPr>
        <w:t xml:space="preserve"> handling</w:t>
      </w:r>
      <w:r w:rsidR="00E051CC">
        <w:rPr>
          <w:rFonts w:cs="Calibri"/>
        </w:rPr>
        <w:t xml:space="preserve"> </w:t>
      </w:r>
      <w:r w:rsidR="20A4E861" w:rsidRPr="6EDE0A44">
        <w:rPr>
          <w:rFonts w:cs="Calibri"/>
        </w:rPr>
        <w:t>where</w:t>
      </w:r>
      <w:r w:rsidR="2451F2ED" w:rsidRPr="6EDE0A44">
        <w:rPr>
          <w:rFonts w:cs="Calibri"/>
        </w:rPr>
        <w:t xml:space="preserve"> </w:t>
      </w:r>
      <w:r w:rsidR="0EF08E1B" w:rsidRPr="6EDE0A44">
        <w:rPr>
          <w:rFonts w:cs="Calibri"/>
        </w:rPr>
        <w:t>an ADR w</w:t>
      </w:r>
      <w:r w:rsidR="0963D6AC" w:rsidRPr="6EDE0A44">
        <w:rPr>
          <w:rFonts w:cs="Calibri"/>
        </w:rPr>
        <w:t>ill only de-</w:t>
      </w:r>
      <w:r w:rsidR="4B1664D2" w:rsidRPr="6EDE0A44">
        <w:rPr>
          <w:rFonts w:cs="Calibri"/>
        </w:rPr>
        <w:t xml:space="preserve">identify </w:t>
      </w:r>
      <w:r w:rsidR="4231BC24" w:rsidRPr="6EDE0A44">
        <w:rPr>
          <w:rFonts w:cs="Calibri"/>
        </w:rPr>
        <w:t>a consumers CDR data where the consumer has provided express consent</w:t>
      </w:r>
      <w:r w:rsidR="00096E34">
        <w:rPr>
          <w:rFonts w:cs="Calibri"/>
        </w:rPr>
        <w:t xml:space="preserve"> for the ADR to do so</w:t>
      </w:r>
      <w:r w:rsidR="31D2B930" w:rsidRPr="6EDE0A44">
        <w:rPr>
          <w:rFonts w:cs="Calibri"/>
        </w:rPr>
        <w:t xml:space="preserve">. </w:t>
      </w:r>
      <w:r w:rsidR="567DE04E" w:rsidRPr="6EDE0A44">
        <w:rPr>
          <w:rFonts w:cs="Calibri"/>
        </w:rPr>
        <w:t>These</w:t>
      </w:r>
      <w:r w:rsidR="60B70515" w:rsidRPr="6EDE0A44">
        <w:rPr>
          <w:rFonts w:cs="Calibri"/>
        </w:rPr>
        <w:t xml:space="preserve"> </w:t>
      </w:r>
      <w:r w:rsidR="567DE04E" w:rsidRPr="6EDE0A44">
        <w:rPr>
          <w:rFonts w:cs="Calibri"/>
        </w:rPr>
        <w:t>stakeholders</w:t>
      </w:r>
      <w:r w:rsidR="187BB8B9" w:rsidRPr="6EDE0A44">
        <w:rPr>
          <w:rFonts w:cs="Calibri"/>
        </w:rPr>
        <w:t xml:space="preserve"> </w:t>
      </w:r>
      <w:r w:rsidR="4B4B8403" w:rsidRPr="6EDE0A44">
        <w:rPr>
          <w:rFonts w:cs="Calibri"/>
        </w:rPr>
        <w:t>considered</w:t>
      </w:r>
      <w:r w:rsidR="187BB8B9" w:rsidRPr="6EDE0A44">
        <w:rPr>
          <w:rFonts w:cs="Calibri"/>
        </w:rPr>
        <w:t xml:space="preserve"> </w:t>
      </w:r>
      <w:r w:rsidR="719308D5" w:rsidRPr="6EDE0A44">
        <w:rPr>
          <w:rFonts w:cs="Calibri"/>
        </w:rPr>
        <w:t>this</w:t>
      </w:r>
      <w:r w:rsidR="797C4C7D" w:rsidRPr="6EDE0A44">
        <w:rPr>
          <w:rFonts w:cs="Calibri"/>
        </w:rPr>
        <w:t xml:space="preserve"> </w:t>
      </w:r>
      <w:r w:rsidR="187BB8B9" w:rsidRPr="6EDE0A44">
        <w:rPr>
          <w:rFonts w:cs="Calibri"/>
        </w:rPr>
        <w:t xml:space="preserve">approach </w:t>
      </w:r>
      <w:r w:rsidR="50029D14" w:rsidRPr="6EDE0A44">
        <w:rPr>
          <w:rFonts w:cs="Calibri"/>
        </w:rPr>
        <w:t>c</w:t>
      </w:r>
      <w:r w:rsidR="187BB8B9" w:rsidRPr="6EDE0A44">
        <w:rPr>
          <w:rFonts w:cs="Calibri"/>
        </w:rPr>
        <w:t xml:space="preserve">ould </w:t>
      </w:r>
      <w:r w:rsidR="00494066">
        <w:rPr>
          <w:rFonts w:cs="Calibri"/>
        </w:rPr>
        <w:t>simplify</w:t>
      </w:r>
      <w:r w:rsidR="00494066" w:rsidRPr="6EDE0A44">
        <w:rPr>
          <w:rFonts w:cs="Calibri"/>
        </w:rPr>
        <w:t xml:space="preserve"> </w:t>
      </w:r>
      <w:r w:rsidR="187BB8B9" w:rsidRPr="6EDE0A44">
        <w:rPr>
          <w:rFonts w:cs="Calibri"/>
        </w:rPr>
        <w:t xml:space="preserve">the consent process, generate greater consumer </w:t>
      </w:r>
      <w:proofErr w:type="gramStart"/>
      <w:r w:rsidR="187BB8B9" w:rsidRPr="6EDE0A44">
        <w:rPr>
          <w:rFonts w:cs="Calibri"/>
        </w:rPr>
        <w:t>trust</w:t>
      </w:r>
      <w:proofErr w:type="gramEnd"/>
      <w:r w:rsidR="187BB8B9" w:rsidRPr="6EDE0A44">
        <w:rPr>
          <w:rFonts w:cs="Calibri"/>
        </w:rPr>
        <w:t xml:space="preserve"> and reduce the risk </w:t>
      </w:r>
      <w:r w:rsidR="50029D14" w:rsidRPr="6EDE0A44">
        <w:rPr>
          <w:rFonts w:cs="Calibri"/>
        </w:rPr>
        <w:t>of</w:t>
      </w:r>
      <w:r w:rsidR="187BB8B9" w:rsidRPr="6EDE0A44">
        <w:rPr>
          <w:rFonts w:cs="Calibri"/>
        </w:rPr>
        <w:t xml:space="preserve"> consumer</w:t>
      </w:r>
      <w:r w:rsidR="50029D14" w:rsidRPr="6EDE0A44">
        <w:rPr>
          <w:rFonts w:cs="Calibri"/>
        </w:rPr>
        <w:t>s</w:t>
      </w:r>
      <w:r w:rsidR="187BB8B9" w:rsidRPr="6EDE0A44">
        <w:rPr>
          <w:rFonts w:cs="Calibri"/>
        </w:rPr>
        <w:t xml:space="preserve"> </w:t>
      </w:r>
      <w:r w:rsidR="5ED9B6D1" w:rsidRPr="6EDE0A44">
        <w:rPr>
          <w:rFonts w:cs="Calibri"/>
        </w:rPr>
        <w:t>not understanding when their data would be de</w:t>
      </w:r>
      <w:r w:rsidR="00661805">
        <w:rPr>
          <w:rFonts w:cs="Calibri"/>
        </w:rPr>
        <w:noBreakHyphen/>
      </w:r>
      <w:r w:rsidR="5ED9B6D1" w:rsidRPr="6EDE0A44">
        <w:rPr>
          <w:rFonts w:cs="Calibri"/>
        </w:rPr>
        <w:t>identified</w:t>
      </w:r>
      <w:r w:rsidR="187BB8B9" w:rsidRPr="6EDE0A44">
        <w:rPr>
          <w:rFonts w:cs="Calibri"/>
        </w:rPr>
        <w:t>.</w:t>
      </w:r>
    </w:p>
    <w:p w14:paraId="4B91BD3C" w14:textId="00D8F2C1" w:rsidR="00C93F1B" w:rsidRPr="00B836A6" w:rsidRDefault="2470D80B" w:rsidP="00EC19C9">
      <w:pPr>
        <w:pStyle w:val="Heading4"/>
        <w:rPr>
          <w:rFonts w:eastAsia="Calibri" w:cs="Calibri"/>
        </w:rPr>
      </w:pPr>
      <w:r w:rsidRPr="6EDE0A44">
        <w:rPr>
          <w:rFonts w:eastAsia="Calibri" w:cs="Calibri"/>
        </w:rPr>
        <w:t>Proposed approach</w:t>
      </w:r>
    </w:p>
    <w:p w14:paraId="7384774E" w14:textId="67BC7576" w:rsidR="00153876" w:rsidRDefault="0054421D" w:rsidP="00FB096E">
      <w:r>
        <w:rPr>
          <w:rFonts w:cs="Calibri"/>
        </w:rPr>
        <w:t xml:space="preserve">We propose </w:t>
      </w:r>
      <w:r w:rsidR="00187CCC">
        <w:rPr>
          <w:rFonts w:cs="Calibri"/>
        </w:rPr>
        <w:t>adopting a</w:t>
      </w:r>
      <w:r w:rsidR="000450A4" w:rsidRPr="00FB0E35">
        <w:rPr>
          <w:rFonts w:cs="Calibri"/>
        </w:rPr>
        <w:t xml:space="preserve"> ‘deletion by default’ approach to redundant data handling. This approach would require ADRs to delete redundant CDR data unless the consumer has provided a de</w:t>
      </w:r>
      <w:r w:rsidR="00F05A22">
        <w:rPr>
          <w:rFonts w:cs="Calibri"/>
        </w:rPr>
        <w:noBreakHyphen/>
      </w:r>
      <w:r w:rsidR="000450A4" w:rsidRPr="00FB0E35">
        <w:rPr>
          <w:rFonts w:cs="Calibri"/>
        </w:rPr>
        <w:t>identification consent in relation to that data. If a de-identification consent has been provided, data could be de-identified at any time, whether redundant or not.</w:t>
      </w:r>
      <w:r w:rsidR="001215E0">
        <w:rPr>
          <w:rFonts w:cs="Calibri"/>
        </w:rPr>
        <w:t xml:space="preserve"> </w:t>
      </w:r>
      <w:r w:rsidR="004235F2">
        <w:t>T</w:t>
      </w:r>
      <w:r w:rsidR="000450A4" w:rsidRPr="00FB0E35">
        <w:t xml:space="preserve">his approach </w:t>
      </w:r>
      <w:r w:rsidR="004235F2">
        <w:t xml:space="preserve">is intended to </w:t>
      </w:r>
      <w:r w:rsidR="000450A4" w:rsidRPr="00FB0E35">
        <w:t>address the complexity in the current CDR Rules by introducing a single consent mechanism by which a consumer can agree to have their CDR data de</w:t>
      </w:r>
      <w:r w:rsidR="00D4104B">
        <w:noBreakHyphen/>
      </w:r>
      <w:r w:rsidR="000450A4" w:rsidRPr="00FB0E35">
        <w:t>identified</w:t>
      </w:r>
      <w:r w:rsidR="00891E5E">
        <w:t xml:space="preserve">. </w:t>
      </w:r>
    </w:p>
    <w:p w14:paraId="3FED8AE0" w14:textId="01A28EBB" w:rsidR="00C13152" w:rsidRPr="00FB0E35" w:rsidRDefault="007F0259" w:rsidP="00A03219">
      <w:pPr>
        <w:pStyle w:val="Bulletpoint"/>
        <w:numPr>
          <w:ilvl w:val="0"/>
          <w:numId w:val="0"/>
        </w:numPr>
        <w:rPr>
          <w:rFonts w:cs="Calibri"/>
        </w:rPr>
      </w:pPr>
      <w:r>
        <w:rPr>
          <w:rFonts w:cs="Calibri"/>
        </w:rPr>
        <w:t xml:space="preserve">The CDR </w:t>
      </w:r>
      <w:r w:rsidR="00891E5E">
        <w:rPr>
          <w:rFonts w:cs="Calibri"/>
        </w:rPr>
        <w:t xml:space="preserve">Rules </w:t>
      </w:r>
      <w:r w:rsidR="00091C34">
        <w:rPr>
          <w:rFonts w:cs="Calibri"/>
        </w:rPr>
        <w:t>would</w:t>
      </w:r>
      <w:r w:rsidR="00891E5E">
        <w:rPr>
          <w:rFonts w:cs="Calibri"/>
        </w:rPr>
        <w:t xml:space="preserve"> ensure </w:t>
      </w:r>
      <w:r w:rsidR="00091C34">
        <w:rPr>
          <w:rFonts w:cs="Calibri"/>
        </w:rPr>
        <w:t xml:space="preserve">the </w:t>
      </w:r>
      <w:r w:rsidR="00891E5E">
        <w:rPr>
          <w:rFonts w:cs="Calibri"/>
        </w:rPr>
        <w:t xml:space="preserve">consumer </w:t>
      </w:r>
      <w:r w:rsidR="00091C34">
        <w:rPr>
          <w:rFonts w:cs="Calibri"/>
        </w:rPr>
        <w:t>is able to</w:t>
      </w:r>
      <w:r w:rsidR="00891E5E">
        <w:rPr>
          <w:rFonts w:cs="Calibri"/>
        </w:rPr>
        <w:t xml:space="preserve"> </w:t>
      </w:r>
      <w:r w:rsidR="001871A4">
        <w:rPr>
          <w:rFonts w:cs="Calibri"/>
        </w:rPr>
        <w:t xml:space="preserve">easily </w:t>
      </w:r>
      <w:r w:rsidR="00891E5E">
        <w:rPr>
          <w:rFonts w:cs="Calibri"/>
        </w:rPr>
        <w:t xml:space="preserve">able to withdraw </w:t>
      </w:r>
      <w:r w:rsidR="006B69B4">
        <w:rPr>
          <w:rFonts w:cs="Calibri"/>
        </w:rPr>
        <w:t>a de-identification consent at any time</w:t>
      </w:r>
      <w:r w:rsidR="003C64B8">
        <w:rPr>
          <w:rFonts w:cs="Calibri"/>
        </w:rPr>
        <w:t xml:space="preserve"> and</w:t>
      </w:r>
      <w:r w:rsidR="00710796">
        <w:rPr>
          <w:rFonts w:cs="Calibri"/>
        </w:rPr>
        <w:t xml:space="preserve"> </w:t>
      </w:r>
      <w:r w:rsidR="00B51979">
        <w:rPr>
          <w:rFonts w:cs="Calibri"/>
        </w:rPr>
        <w:t>th</w:t>
      </w:r>
      <w:r w:rsidR="00091C34">
        <w:rPr>
          <w:rFonts w:cs="Calibri"/>
        </w:rPr>
        <w:t>at ADR remind</w:t>
      </w:r>
      <w:r w:rsidR="00B51979">
        <w:rPr>
          <w:rFonts w:cs="Calibri"/>
        </w:rPr>
        <w:t xml:space="preserve"> </w:t>
      </w:r>
      <w:r w:rsidR="00091C34">
        <w:rPr>
          <w:rFonts w:cs="Calibri"/>
        </w:rPr>
        <w:t xml:space="preserve">the </w:t>
      </w:r>
      <w:r w:rsidR="00710796">
        <w:rPr>
          <w:rFonts w:cs="Calibri"/>
        </w:rPr>
        <w:t>consumer</w:t>
      </w:r>
      <w:r w:rsidR="00B51979">
        <w:rPr>
          <w:rFonts w:cs="Calibri"/>
        </w:rPr>
        <w:t>,</w:t>
      </w:r>
      <w:r w:rsidR="003C64B8">
        <w:rPr>
          <w:rFonts w:cs="Calibri"/>
        </w:rPr>
        <w:t xml:space="preserve"> </w:t>
      </w:r>
      <w:r w:rsidR="00710796">
        <w:rPr>
          <w:rFonts w:cs="Calibri"/>
        </w:rPr>
        <w:t>via the 90</w:t>
      </w:r>
      <w:r w:rsidR="056D608C" w:rsidRPr="11831045">
        <w:rPr>
          <w:rFonts w:cs="Calibri"/>
        </w:rPr>
        <w:t>-</w:t>
      </w:r>
      <w:r w:rsidR="00710796">
        <w:rPr>
          <w:rFonts w:cs="Calibri"/>
        </w:rPr>
        <w:t>day notification</w:t>
      </w:r>
      <w:r w:rsidR="00B51979">
        <w:rPr>
          <w:rFonts w:cs="Calibri"/>
        </w:rPr>
        <w:t>,</w:t>
      </w:r>
      <w:r w:rsidR="00710796">
        <w:rPr>
          <w:rFonts w:cs="Calibri"/>
        </w:rPr>
        <w:t xml:space="preserve"> </w:t>
      </w:r>
      <w:r w:rsidR="003C64B8">
        <w:rPr>
          <w:rFonts w:cs="Calibri"/>
        </w:rPr>
        <w:t xml:space="preserve">that a de-identification consent remains active </w:t>
      </w:r>
      <w:r w:rsidR="00283DCC">
        <w:rPr>
          <w:rFonts w:cs="Calibri"/>
        </w:rPr>
        <w:t xml:space="preserve">(see also </w:t>
      </w:r>
      <w:r w:rsidR="009A7900" w:rsidRPr="00C312EC">
        <w:rPr>
          <w:rFonts w:eastAsia="Calibri" w:cs="Calibri"/>
        </w:rPr>
        <w:t>90-day notifications</w:t>
      </w:r>
      <w:r w:rsidR="00283DCC">
        <w:rPr>
          <w:rFonts w:cs="Calibri"/>
        </w:rPr>
        <w:t xml:space="preserve"> section of this paper)</w:t>
      </w:r>
      <w:r w:rsidR="006B69B4">
        <w:rPr>
          <w:rFonts w:cs="Calibri"/>
        </w:rPr>
        <w:t>.</w:t>
      </w:r>
      <w:r w:rsidR="00440519">
        <w:rPr>
          <w:rFonts w:cs="Calibri"/>
        </w:rPr>
        <w:t xml:space="preserve"> </w:t>
      </w:r>
      <w:r w:rsidR="00BD6956">
        <w:rPr>
          <w:rFonts w:cs="Calibri"/>
        </w:rPr>
        <w:t>ADRs would continue to be unable to bundle d</w:t>
      </w:r>
      <w:r w:rsidR="00A03219">
        <w:rPr>
          <w:rFonts w:cs="Calibri"/>
        </w:rPr>
        <w:t xml:space="preserve">e-identification consents with other consents and would require </w:t>
      </w:r>
      <w:r w:rsidR="00785649">
        <w:rPr>
          <w:rFonts w:cs="Calibri"/>
        </w:rPr>
        <w:t>the consumer to make</w:t>
      </w:r>
      <w:r w:rsidR="00A03219">
        <w:rPr>
          <w:rFonts w:cs="Calibri"/>
        </w:rPr>
        <w:t xml:space="preserve"> </w:t>
      </w:r>
      <w:r w:rsidR="00BD6956">
        <w:rPr>
          <w:rFonts w:cs="Calibri"/>
        </w:rPr>
        <w:t xml:space="preserve">an </w:t>
      </w:r>
      <w:r w:rsidR="00A03219">
        <w:rPr>
          <w:rFonts w:cs="Calibri"/>
        </w:rPr>
        <w:t xml:space="preserve">active selection </w:t>
      </w:r>
      <w:r w:rsidR="006D4500">
        <w:rPr>
          <w:rFonts w:cs="Calibri"/>
        </w:rPr>
        <w:t xml:space="preserve">to allow de-identification </w:t>
      </w:r>
      <w:r w:rsidR="00A03219">
        <w:rPr>
          <w:rFonts w:cs="Calibri"/>
        </w:rPr>
        <w:t xml:space="preserve">(see also </w:t>
      </w:r>
      <w:r w:rsidR="004F7D94">
        <w:rPr>
          <w:rFonts w:cs="Calibri"/>
        </w:rPr>
        <w:t>b</w:t>
      </w:r>
      <w:r w:rsidR="002A5FDC">
        <w:rPr>
          <w:rFonts w:cs="Calibri"/>
        </w:rPr>
        <w:t>undling of consents</w:t>
      </w:r>
      <w:r w:rsidR="00153876">
        <w:rPr>
          <w:rFonts w:cs="Calibri"/>
        </w:rPr>
        <w:t xml:space="preserve"> section of this paper)</w:t>
      </w:r>
      <w:r w:rsidR="00431532">
        <w:rPr>
          <w:rFonts w:cs="Calibri"/>
        </w:rPr>
        <w:t>.</w:t>
      </w:r>
    </w:p>
    <w:p w14:paraId="0322B45A" w14:textId="77777777" w:rsidR="002A5FDC" w:rsidRPr="00FB0E35" w:rsidRDefault="002A5FDC" w:rsidP="00A03219">
      <w:pPr>
        <w:pStyle w:val="Bulletpoint"/>
        <w:numPr>
          <w:ilvl w:val="0"/>
          <w:numId w:val="0"/>
        </w:numPr>
        <w:rPr>
          <w:rFonts w:cs="Calibri"/>
        </w:rPr>
      </w:pPr>
    </w:p>
    <w:tbl>
      <w:tblPr>
        <w:tblStyle w:val="TableGrid1"/>
        <w:tblW w:w="0" w:type="auto"/>
        <w:tblCellMar>
          <w:top w:w="85" w:type="dxa"/>
          <w:bottom w:w="85" w:type="dxa"/>
        </w:tblCellMar>
        <w:tblLook w:val="0600" w:firstRow="0" w:lastRow="0" w:firstColumn="0" w:lastColumn="0" w:noHBand="1" w:noVBand="1"/>
      </w:tblPr>
      <w:tblGrid>
        <w:gridCol w:w="9016"/>
      </w:tblGrid>
      <w:tr w:rsidR="00C9367D" w14:paraId="315CB849" w14:textId="77777777">
        <w:tc>
          <w:tcPr>
            <w:tcW w:w="9016" w:type="dxa"/>
          </w:tcPr>
          <w:p w14:paraId="533D58A7" w14:textId="77777777" w:rsidR="00C9367D" w:rsidRPr="00B836A6" w:rsidRDefault="00C9367D" w:rsidP="00A82E90">
            <w:pPr>
              <w:keepNext/>
              <w:rPr>
                <w:rFonts w:cs="Calibri"/>
                <w:b/>
                <w:bCs/>
              </w:rPr>
            </w:pPr>
            <w:r w:rsidRPr="00B836A6">
              <w:rPr>
                <w:rFonts w:cs="Calibri"/>
                <w:b/>
                <w:bCs/>
              </w:rPr>
              <w:t>Consultation questions</w:t>
            </w:r>
          </w:p>
          <w:p w14:paraId="59CFE77C" w14:textId="77777777" w:rsidR="00EB47E4" w:rsidRPr="00EB47E4" w:rsidRDefault="00C9367D" w:rsidP="00EB47E4">
            <w:pPr>
              <w:pStyle w:val="ListParagraph"/>
              <w:rPr>
                <w:b/>
              </w:rPr>
            </w:pPr>
            <w:r w:rsidRPr="006A6F0C">
              <w:t xml:space="preserve">Do you support a ‘deletion by default’ approach to redundant data handling? </w:t>
            </w:r>
          </w:p>
          <w:p w14:paraId="4AA0AD3C" w14:textId="77272B9B" w:rsidR="00C9367D" w:rsidRPr="00EB47E4" w:rsidRDefault="00EB47E4" w:rsidP="00EB47E4">
            <w:pPr>
              <w:pStyle w:val="ListParagraph"/>
              <w:rPr>
                <w:b/>
              </w:rPr>
            </w:pPr>
            <w:r w:rsidRPr="006A6F0C">
              <w:t xml:space="preserve">Do you consider </w:t>
            </w:r>
            <w:r w:rsidR="00737D01">
              <w:t>this approach</w:t>
            </w:r>
            <w:r w:rsidR="00737D01" w:rsidRPr="006A6F0C">
              <w:t xml:space="preserve"> </w:t>
            </w:r>
            <w:r w:rsidRPr="006A6F0C">
              <w:t>will have a positive impact on consumer experience with the CDR, and on the privacy and security of a consumer’s CDR data?</w:t>
            </w:r>
          </w:p>
          <w:p w14:paraId="0ACF5B1B" w14:textId="4FE6C418" w:rsidR="00EB47E4" w:rsidRPr="00EB47E4" w:rsidRDefault="00EB47E4" w:rsidP="00EB47E4">
            <w:pPr>
              <w:pStyle w:val="ListParagraph"/>
              <w:rPr>
                <w:b/>
              </w:rPr>
            </w:pPr>
            <w:r w:rsidRPr="006A6F0C">
              <w:t>Do you consider this approach will have a negative impact on ADRs that seek to derive value from de-identified CDR data?</w:t>
            </w:r>
          </w:p>
          <w:p w14:paraId="64C33F35" w14:textId="3482536A" w:rsidR="00C9367D" w:rsidRPr="00C9367D" w:rsidRDefault="00C9367D" w:rsidP="00C9367D">
            <w:pPr>
              <w:pStyle w:val="ListParagraph"/>
              <w:rPr>
                <w:b/>
              </w:rPr>
            </w:pPr>
            <w:r w:rsidRPr="006A6F0C">
              <w:rPr>
                <w:bCs/>
              </w:rPr>
              <w:t>Do you consider the standard of de</w:t>
            </w:r>
            <w:r w:rsidR="3F02CBE1">
              <w:t>-</w:t>
            </w:r>
            <w:r w:rsidRPr="006A6F0C">
              <w:rPr>
                <w:bCs/>
              </w:rPr>
              <w:t xml:space="preserve">identification in the </w:t>
            </w:r>
            <w:r w:rsidR="008A41F4">
              <w:rPr>
                <w:bCs/>
              </w:rPr>
              <w:t>CDR R</w:t>
            </w:r>
            <w:r w:rsidRPr="006A6F0C">
              <w:rPr>
                <w:bCs/>
              </w:rPr>
              <w:t xml:space="preserve">ules is appropriate for the intended uses of data </w:t>
            </w:r>
            <w:r>
              <w:rPr>
                <w:bCs/>
              </w:rPr>
              <w:t xml:space="preserve">by </w:t>
            </w:r>
            <w:r w:rsidRPr="006A6F0C">
              <w:rPr>
                <w:bCs/>
              </w:rPr>
              <w:t>ADRs</w:t>
            </w:r>
            <w:r>
              <w:rPr>
                <w:bCs/>
              </w:rPr>
              <w:t>?</w:t>
            </w:r>
          </w:p>
        </w:tc>
      </w:tr>
    </w:tbl>
    <w:p w14:paraId="0FB4B872" w14:textId="64754E6B" w:rsidR="00AC730D" w:rsidRPr="00B836A6" w:rsidRDefault="603D443C" w:rsidP="00AC730D">
      <w:pPr>
        <w:pStyle w:val="Heading2"/>
        <w:spacing w:after="240"/>
        <w:rPr>
          <w:rFonts w:eastAsia="Calibri" w:cs="Calibri"/>
        </w:rPr>
      </w:pPr>
      <w:bookmarkStart w:id="63" w:name="_Toc142317585"/>
      <w:bookmarkStart w:id="64" w:name="_Toc143705091"/>
      <w:r w:rsidRPr="2383B6FC">
        <w:rPr>
          <w:rFonts w:eastAsia="Calibri" w:cs="Calibri"/>
        </w:rPr>
        <w:t>Dark patterns</w:t>
      </w:r>
      <w:bookmarkEnd w:id="63"/>
      <w:bookmarkEnd w:id="64"/>
    </w:p>
    <w:p w14:paraId="2068C397" w14:textId="2D91AD6B" w:rsidR="15F3C00C" w:rsidRDefault="15F3C00C">
      <w:r w:rsidRPr="63FF6F3A">
        <w:rPr>
          <w:rFonts w:eastAsia="Calibri" w:cs="Calibri"/>
        </w:rPr>
        <w:t xml:space="preserve">While the CDR </w:t>
      </w:r>
      <w:r w:rsidR="0017797D">
        <w:rPr>
          <w:rFonts w:eastAsia="Calibri" w:cs="Calibri"/>
        </w:rPr>
        <w:t>R</w:t>
      </w:r>
      <w:r w:rsidRPr="63FF6F3A">
        <w:rPr>
          <w:rFonts w:eastAsia="Calibri" w:cs="Calibri"/>
        </w:rPr>
        <w:t xml:space="preserve">ules and </w:t>
      </w:r>
      <w:r w:rsidR="00EE2518">
        <w:rPr>
          <w:rFonts w:eastAsia="Calibri" w:cs="Calibri"/>
        </w:rPr>
        <w:t>s</w:t>
      </w:r>
      <w:r w:rsidR="00F76A95" w:rsidRPr="63FF6F3A">
        <w:rPr>
          <w:rFonts w:eastAsia="Calibri" w:cs="Calibri"/>
        </w:rPr>
        <w:t xml:space="preserve">tandards </w:t>
      </w:r>
      <w:r w:rsidRPr="63FF6F3A">
        <w:rPr>
          <w:rFonts w:eastAsia="Calibri" w:cs="Calibri"/>
        </w:rPr>
        <w:t xml:space="preserve">extensively prescribe </w:t>
      </w:r>
      <w:r w:rsidRPr="00340883">
        <w:rPr>
          <w:rFonts w:eastAsia="Calibri" w:cs="Calibri"/>
        </w:rPr>
        <w:t xml:space="preserve">what </w:t>
      </w:r>
      <w:r w:rsidRPr="63FF6F3A">
        <w:rPr>
          <w:rFonts w:eastAsia="Calibri" w:cs="Calibri"/>
        </w:rPr>
        <w:t xml:space="preserve">must be done when seeking and withdrawing consents and authorisations, flexibility exists regarding </w:t>
      </w:r>
      <w:r w:rsidRPr="00340883">
        <w:rPr>
          <w:rFonts w:eastAsia="Calibri" w:cs="Calibri"/>
        </w:rPr>
        <w:t xml:space="preserve">how </w:t>
      </w:r>
      <w:r w:rsidRPr="63FF6F3A">
        <w:rPr>
          <w:rFonts w:eastAsia="Calibri" w:cs="Calibri"/>
        </w:rPr>
        <w:t xml:space="preserve">these requirements may be implemented. </w:t>
      </w:r>
      <w:r w:rsidR="00651988">
        <w:rPr>
          <w:rFonts w:eastAsia="Calibri" w:cs="Calibri"/>
        </w:rPr>
        <w:t xml:space="preserve">There are limited </w:t>
      </w:r>
      <w:r w:rsidR="078AF43A" w:rsidRPr="5B287445">
        <w:rPr>
          <w:rFonts w:eastAsia="Calibri" w:cs="Calibri"/>
        </w:rPr>
        <w:t>restrictions</w:t>
      </w:r>
      <w:r w:rsidRPr="63FF6F3A">
        <w:rPr>
          <w:rFonts w:eastAsia="Calibri" w:cs="Calibri"/>
        </w:rPr>
        <w:t xml:space="preserve"> related to consent design</w:t>
      </w:r>
      <w:r w:rsidR="485B9E7E" w:rsidRPr="41CFAED7">
        <w:rPr>
          <w:rFonts w:eastAsia="Calibri" w:cs="Calibri"/>
        </w:rPr>
        <w:t>.</w:t>
      </w:r>
      <w:r w:rsidRPr="63FF6F3A">
        <w:rPr>
          <w:rFonts w:eastAsia="Calibri" w:cs="Calibri"/>
        </w:rPr>
        <w:t xml:space="preserve"> For example:</w:t>
      </w:r>
    </w:p>
    <w:p w14:paraId="5F756F78" w14:textId="68A35000" w:rsidR="15F3C00C" w:rsidRDefault="199D4AED" w:rsidP="008C0D74">
      <w:pPr>
        <w:pStyle w:val="Bulletpoint"/>
      </w:pPr>
      <w:r w:rsidRPr="63FF6F3A">
        <w:t xml:space="preserve">For ADRs, </w:t>
      </w:r>
      <w:r w:rsidR="575D5EB0">
        <w:t xml:space="preserve">the </w:t>
      </w:r>
      <w:r w:rsidR="005D2CF6">
        <w:t>CDR Rules</w:t>
      </w:r>
      <w:r w:rsidR="575D5EB0">
        <w:t xml:space="preserve"> </w:t>
      </w:r>
      <w:r w:rsidR="6F5D3EF1">
        <w:t>specify</w:t>
      </w:r>
      <w:r w:rsidRPr="63FF6F3A">
        <w:t xml:space="preserve"> restrictions on ADRs seeking consent, </w:t>
      </w:r>
      <w:r w:rsidR="05A8614F">
        <w:t>including</w:t>
      </w:r>
      <w:r w:rsidRPr="63FF6F3A">
        <w:t xml:space="preserve"> the maximum duration of a consent, the data minimisation principle, the types of consent that may be requested, and the use of CDR data in relation to identifiable persons.</w:t>
      </w:r>
      <w:r w:rsidR="00ED50E7" w:rsidDel="006F6189">
        <w:rPr>
          <w:rStyle w:val="FootnoteReference"/>
        </w:rPr>
        <w:footnoteReference w:id="60"/>
      </w:r>
      <w:r w:rsidRPr="63FF6F3A">
        <w:t xml:space="preserve"> </w:t>
      </w:r>
    </w:p>
    <w:p w14:paraId="1C50CCD8" w14:textId="6B56A871" w:rsidR="15F3C00C" w:rsidRDefault="00B56E86" w:rsidP="008C0D74">
      <w:pPr>
        <w:pStyle w:val="Bulletpoint"/>
      </w:pPr>
      <w:r>
        <w:lastRenderedPageBreak/>
        <w:t>For</w:t>
      </w:r>
      <w:r w:rsidR="199D4AED" w:rsidRPr="63FF6F3A">
        <w:t xml:space="preserve"> </w:t>
      </w:r>
      <w:r w:rsidR="084DA944">
        <w:t>d</w:t>
      </w:r>
      <w:r w:rsidR="39B717AB">
        <w:t xml:space="preserve">ata </w:t>
      </w:r>
      <w:r w:rsidR="084DA944">
        <w:t>h</w:t>
      </w:r>
      <w:r w:rsidR="39B717AB">
        <w:t>olders</w:t>
      </w:r>
      <w:r w:rsidR="10A28BF2" w:rsidRPr="63FF6F3A">
        <w:t>,</w:t>
      </w:r>
      <w:r w:rsidR="199D4AED" w:rsidRPr="63FF6F3A">
        <w:t xml:space="preserve"> </w:t>
      </w:r>
      <w:r w:rsidR="6F5D3EF1">
        <w:t xml:space="preserve">the </w:t>
      </w:r>
      <w:r w:rsidR="005D2CF6">
        <w:t>CDR Rules</w:t>
      </w:r>
      <w:r w:rsidR="6F5D3EF1">
        <w:t xml:space="preserve"> pro</w:t>
      </w:r>
      <w:r w:rsidR="53D1C515">
        <w:t>hibit</w:t>
      </w:r>
      <w:r w:rsidR="39C3DD56">
        <w:t xml:space="preserve"> data holders</w:t>
      </w:r>
      <w:r w:rsidR="199D4AED" w:rsidRPr="63FF6F3A" w:rsidDel="00B27336">
        <w:t xml:space="preserve"> </w:t>
      </w:r>
      <w:r w:rsidR="199D4AED" w:rsidRPr="63FF6F3A">
        <w:t xml:space="preserve">from making the process of withdrawal more complicated than the process </w:t>
      </w:r>
      <w:r w:rsidR="70380A3F">
        <w:t>for</w:t>
      </w:r>
      <w:r w:rsidR="199D4AED" w:rsidRPr="63FF6F3A">
        <w:t xml:space="preserve"> giving an authorisation,</w:t>
      </w:r>
      <w:r w:rsidR="00955B66">
        <w:rPr>
          <w:rStyle w:val="FootnoteReference"/>
        </w:rPr>
        <w:footnoteReference w:id="61"/>
      </w:r>
      <w:r w:rsidR="199D4AED" w:rsidRPr="63FF6F3A">
        <w:t xml:space="preserve"> </w:t>
      </w:r>
      <w:r w:rsidR="70380A3F">
        <w:t xml:space="preserve">and </w:t>
      </w:r>
      <w:r w:rsidR="199D4AED" w:rsidRPr="63FF6F3A">
        <w:t xml:space="preserve">prohibit the inclusion in the authorisation flow of requirements, information, requests, or services beyond what is specified in the </w:t>
      </w:r>
      <w:r w:rsidR="00D21FA4">
        <w:t>CDR R</w:t>
      </w:r>
      <w:r w:rsidR="24838E28">
        <w:t xml:space="preserve">ules and </w:t>
      </w:r>
      <w:r w:rsidR="199D4AED" w:rsidRPr="63FF6F3A">
        <w:t>standards.</w:t>
      </w:r>
      <w:r w:rsidR="00ED50E7" w:rsidDel="006F6189">
        <w:rPr>
          <w:rStyle w:val="FootnoteReference"/>
        </w:rPr>
        <w:footnoteReference w:id="62"/>
      </w:r>
    </w:p>
    <w:p w14:paraId="52DE62A8" w14:textId="3B43FC10" w:rsidR="15F3C00C" w:rsidRDefault="15F3C00C">
      <w:r w:rsidRPr="63FF6F3A">
        <w:rPr>
          <w:rFonts w:eastAsia="Calibri" w:cs="Calibri"/>
        </w:rPr>
        <w:t xml:space="preserve">However, </w:t>
      </w:r>
      <w:r w:rsidR="00071649">
        <w:rPr>
          <w:rFonts w:eastAsia="Calibri" w:cs="Calibri"/>
        </w:rPr>
        <w:t xml:space="preserve">we note that </w:t>
      </w:r>
      <w:r w:rsidRPr="63FF6F3A">
        <w:rPr>
          <w:rFonts w:eastAsia="Calibri" w:cs="Calibri"/>
        </w:rPr>
        <w:t xml:space="preserve">it is still possible for otherwise compliant </w:t>
      </w:r>
      <w:r w:rsidR="005417BB">
        <w:rPr>
          <w:rFonts w:eastAsia="Calibri" w:cs="Calibri"/>
        </w:rPr>
        <w:t xml:space="preserve">CDR </w:t>
      </w:r>
      <w:r w:rsidRPr="63FF6F3A">
        <w:rPr>
          <w:rFonts w:eastAsia="Calibri" w:cs="Calibri"/>
        </w:rPr>
        <w:t>consent</w:t>
      </w:r>
      <w:r w:rsidR="005417BB">
        <w:rPr>
          <w:rFonts w:eastAsia="Calibri" w:cs="Calibri"/>
        </w:rPr>
        <w:t>s</w:t>
      </w:r>
      <w:r w:rsidRPr="63FF6F3A">
        <w:rPr>
          <w:rFonts w:eastAsia="Calibri" w:cs="Calibri"/>
        </w:rPr>
        <w:t xml:space="preserve"> </w:t>
      </w:r>
      <w:r w:rsidR="485B9E7E" w:rsidRPr="41CFAED7">
        <w:rPr>
          <w:rFonts w:eastAsia="Calibri" w:cs="Calibri"/>
        </w:rPr>
        <w:t>to</w:t>
      </w:r>
      <w:r w:rsidRPr="63FF6F3A" w:rsidDel="00CB35C1">
        <w:rPr>
          <w:rFonts w:eastAsia="Calibri" w:cs="Calibri"/>
        </w:rPr>
        <w:t xml:space="preserve"> </w:t>
      </w:r>
      <w:r w:rsidR="00CB35C1">
        <w:rPr>
          <w:rFonts w:eastAsia="Calibri" w:cs="Calibri"/>
        </w:rPr>
        <w:t>include</w:t>
      </w:r>
      <w:r w:rsidR="00CB35C1" w:rsidRPr="63FF6F3A">
        <w:rPr>
          <w:rFonts w:eastAsia="Calibri" w:cs="Calibri"/>
        </w:rPr>
        <w:t xml:space="preserve"> </w:t>
      </w:r>
      <w:r w:rsidRPr="63FF6F3A">
        <w:rPr>
          <w:rFonts w:eastAsia="Calibri" w:cs="Calibri"/>
        </w:rPr>
        <w:t>undesirable patterns and interfaces that may undermine informed consent and consumer control.</w:t>
      </w:r>
    </w:p>
    <w:p w14:paraId="1E3A39BD" w14:textId="21C189D1" w:rsidR="15F3C00C" w:rsidRDefault="006E4D46">
      <w:r>
        <w:rPr>
          <w:rFonts w:eastAsia="Calibri" w:cs="Calibri"/>
        </w:rPr>
        <w:t>Several</w:t>
      </w:r>
      <w:r w:rsidR="004068D2">
        <w:rPr>
          <w:rFonts w:eastAsia="Calibri" w:cs="Calibri"/>
        </w:rPr>
        <w:t xml:space="preserve"> proposals in t</w:t>
      </w:r>
      <w:r w:rsidR="004068D2" w:rsidRPr="63FF6F3A">
        <w:rPr>
          <w:rFonts w:eastAsia="Calibri" w:cs="Calibri"/>
        </w:rPr>
        <w:t xml:space="preserve">his </w:t>
      </w:r>
      <w:r w:rsidR="15F3C00C" w:rsidRPr="63FF6F3A">
        <w:rPr>
          <w:rFonts w:eastAsia="Calibri" w:cs="Calibri"/>
        </w:rPr>
        <w:t xml:space="preserve">design paper </w:t>
      </w:r>
      <w:r>
        <w:rPr>
          <w:rFonts w:eastAsia="Calibri" w:cs="Calibri"/>
        </w:rPr>
        <w:t xml:space="preserve">would </w:t>
      </w:r>
      <w:r w:rsidR="15F3C00C" w:rsidRPr="63FF6F3A">
        <w:rPr>
          <w:rFonts w:eastAsia="Calibri" w:cs="Calibri"/>
        </w:rPr>
        <w:t xml:space="preserve">remove prescription </w:t>
      </w:r>
      <w:r>
        <w:rPr>
          <w:rFonts w:eastAsia="Calibri" w:cs="Calibri"/>
        </w:rPr>
        <w:t>and</w:t>
      </w:r>
      <w:r w:rsidRPr="63FF6F3A">
        <w:rPr>
          <w:rFonts w:eastAsia="Calibri" w:cs="Calibri"/>
        </w:rPr>
        <w:t xml:space="preserve"> </w:t>
      </w:r>
      <w:r w:rsidR="15F3C00C" w:rsidRPr="63FF6F3A">
        <w:rPr>
          <w:rFonts w:eastAsia="Calibri" w:cs="Calibri"/>
        </w:rPr>
        <w:t xml:space="preserve">afford CDR participants greater implementation flexibility. While this is a desirable outcome, it </w:t>
      </w:r>
      <w:r>
        <w:rPr>
          <w:rFonts w:eastAsia="Calibri" w:cs="Calibri"/>
        </w:rPr>
        <w:t xml:space="preserve">may also </w:t>
      </w:r>
      <w:r w:rsidR="485B9E7E" w:rsidRPr="41CFAED7">
        <w:rPr>
          <w:rFonts w:eastAsia="Calibri" w:cs="Calibri"/>
        </w:rPr>
        <w:t>increase</w:t>
      </w:r>
      <w:r w:rsidR="15F3C00C" w:rsidRPr="63FF6F3A">
        <w:rPr>
          <w:rFonts w:eastAsia="Calibri" w:cs="Calibri"/>
        </w:rPr>
        <w:t xml:space="preserve"> the risk </w:t>
      </w:r>
      <w:r w:rsidR="00462BCE">
        <w:rPr>
          <w:rFonts w:eastAsia="Calibri" w:cs="Calibri"/>
        </w:rPr>
        <w:t>of</w:t>
      </w:r>
      <w:r w:rsidR="00462BCE" w:rsidRPr="63FF6F3A">
        <w:rPr>
          <w:rFonts w:eastAsia="Calibri" w:cs="Calibri"/>
        </w:rPr>
        <w:t xml:space="preserve"> </w:t>
      </w:r>
      <w:r w:rsidR="15F3C00C" w:rsidRPr="63FF6F3A">
        <w:rPr>
          <w:rFonts w:eastAsia="Calibri" w:cs="Calibri"/>
        </w:rPr>
        <w:t xml:space="preserve">implemented designs </w:t>
      </w:r>
      <w:r w:rsidR="00462BCE">
        <w:rPr>
          <w:rFonts w:eastAsia="Calibri" w:cs="Calibri"/>
        </w:rPr>
        <w:t>that</w:t>
      </w:r>
      <w:r w:rsidR="00462BCE" w:rsidRPr="63FF6F3A">
        <w:rPr>
          <w:rFonts w:eastAsia="Calibri" w:cs="Calibri"/>
        </w:rPr>
        <w:t xml:space="preserve"> </w:t>
      </w:r>
      <w:r w:rsidR="15F3C00C" w:rsidRPr="63FF6F3A">
        <w:rPr>
          <w:rFonts w:eastAsia="Calibri" w:cs="Calibri"/>
        </w:rPr>
        <w:t xml:space="preserve">undermine informed consent and consumer control. </w:t>
      </w:r>
      <w:r w:rsidR="002C18D6">
        <w:rPr>
          <w:rFonts w:eastAsia="Calibri" w:cs="Calibri"/>
        </w:rPr>
        <w:t>T</w:t>
      </w:r>
      <w:r w:rsidR="00CA72BD">
        <w:rPr>
          <w:rFonts w:eastAsia="Calibri" w:cs="Calibri"/>
        </w:rPr>
        <w:t xml:space="preserve">his risk </w:t>
      </w:r>
      <w:r w:rsidR="00F276B2">
        <w:rPr>
          <w:rFonts w:eastAsia="Calibri" w:cs="Calibri"/>
        </w:rPr>
        <w:t>could</w:t>
      </w:r>
      <w:r w:rsidR="00CA72BD">
        <w:rPr>
          <w:rFonts w:eastAsia="Calibri" w:cs="Calibri"/>
        </w:rPr>
        <w:t xml:space="preserve"> be mitigated by </w:t>
      </w:r>
      <w:r w:rsidR="15F3C00C" w:rsidRPr="63FF6F3A">
        <w:rPr>
          <w:rFonts w:eastAsia="Calibri" w:cs="Calibri"/>
        </w:rPr>
        <w:t xml:space="preserve">explicitly </w:t>
      </w:r>
      <w:r w:rsidR="00F276B2" w:rsidRPr="63FF6F3A">
        <w:rPr>
          <w:rFonts w:eastAsia="Calibri" w:cs="Calibri"/>
        </w:rPr>
        <w:t>prohibit</w:t>
      </w:r>
      <w:r w:rsidR="00F276B2">
        <w:rPr>
          <w:rFonts w:eastAsia="Calibri" w:cs="Calibri"/>
        </w:rPr>
        <w:t>ing</w:t>
      </w:r>
      <w:r w:rsidR="00F276B2" w:rsidRPr="63FF6F3A">
        <w:rPr>
          <w:rFonts w:eastAsia="Calibri" w:cs="Calibri"/>
        </w:rPr>
        <w:t xml:space="preserve"> </w:t>
      </w:r>
      <w:r w:rsidR="00F276B2">
        <w:rPr>
          <w:rFonts w:eastAsia="Calibri" w:cs="Calibri"/>
        </w:rPr>
        <w:t xml:space="preserve">undesirable </w:t>
      </w:r>
      <w:r w:rsidR="00B0459E">
        <w:rPr>
          <w:rFonts w:eastAsia="Calibri" w:cs="Calibri"/>
        </w:rPr>
        <w:t xml:space="preserve">design </w:t>
      </w:r>
      <w:r w:rsidR="75255CA5" w:rsidRPr="41CFAED7">
        <w:rPr>
          <w:rFonts w:eastAsia="Calibri" w:cs="Calibri"/>
        </w:rPr>
        <w:t>choices</w:t>
      </w:r>
      <w:r w:rsidR="15F3C00C" w:rsidRPr="63FF6F3A">
        <w:rPr>
          <w:rFonts w:eastAsia="Calibri" w:cs="Calibri"/>
        </w:rPr>
        <w:t>.</w:t>
      </w:r>
    </w:p>
    <w:p w14:paraId="279CB842" w14:textId="712AD163" w:rsidR="15F3C00C" w:rsidRDefault="199D4AED" w:rsidP="63FF6F3A">
      <w:pPr>
        <w:rPr>
          <w:vertAlign w:val="superscript"/>
        </w:rPr>
      </w:pPr>
      <w:r w:rsidRPr="63FF6F3A">
        <w:rPr>
          <w:rFonts w:eastAsia="Calibri" w:cs="Calibri"/>
        </w:rPr>
        <w:t>Design choices that undermine informed consent and control can be described as ‘dark patterns’</w:t>
      </w:r>
      <w:r w:rsidR="00022732">
        <w:rPr>
          <w:rFonts w:eastAsia="Calibri" w:cs="Calibri"/>
        </w:rPr>
        <w:t>,</w:t>
      </w:r>
      <w:r w:rsidR="2DCFFD2F" w:rsidRPr="63FF6F3A">
        <w:rPr>
          <w:rFonts w:eastAsia="Calibri" w:cs="Calibri"/>
        </w:rPr>
        <w:t xml:space="preserve"> which is</w:t>
      </w:r>
      <w:r w:rsidRPr="63FF6F3A">
        <w:rPr>
          <w:rFonts w:eastAsia="Calibri" w:cs="Calibri"/>
        </w:rPr>
        <w:t xml:space="preserve"> an emerging concept in privacy law and human-computer interaction. Dark patterns are described in the ACCC’s Digital Platform Services Inquiry as ‘[t]</w:t>
      </w:r>
      <w:proofErr w:type="gramStart"/>
      <w:r w:rsidRPr="63FF6F3A">
        <w:rPr>
          <w:rFonts w:eastAsia="Calibri" w:cs="Calibri"/>
        </w:rPr>
        <w:t>he</w:t>
      </w:r>
      <w:proofErr w:type="gramEnd"/>
      <w:r w:rsidRPr="63FF6F3A">
        <w:rPr>
          <w:rFonts w:eastAsia="Calibri" w:cs="Calibri"/>
        </w:rPr>
        <w:t xml:space="preserve"> design of user interfaces intended to confuse users, make it difficult for users to express their actual preferences, or manipulate users into taking certain actions</w:t>
      </w:r>
      <w:r w:rsidR="00B84C92">
        <w:rPr>
          <w:rFonts w:eastAsia="Calibri" w:cs="Calibri"/>
        </w:rPr>
        <w:t>’</w:t>
      </w:r>
      <w:r w:rsidRPr="63FF6F3A">
        <w:rPr>
          <w:rFonts w:eastAsia="Calibri" w:cs="Calibri"/>
        </w:rPr>
        <w:t>.</w:t>
      </w:r>
      <w:r w:rsidR="15F3C00C" w:rsidRPr="63FF6F3A">
        <w:rPr>
          <w:rStyle w:val="FootnoteReference"/>
        </w:rPr>
        <w:footnoteReference w:id="63"/>
      </w:r>
    </w:p>
    <w:p w14:paraId="14B979B6" w14:textId="5CB4D828" w:rsidR="15F3C00C" w:rsidRDefault="199D4AED" w:rsidP="63FF6F3A">
      <w:pPr>
        <w:rPr>
          <w:rFonts w:eastAsia="Calibri" w:cs="Calibri"/>
        </w:rPr>
      </w:pPr>
      <w:r w:rsidRPr="63FF6F3A">
        <w:rPr>
          <w:rFonts w:eastAsia="Calibri" w:cs="Calibri"/>
        </w:rPr>
        <w:t>The CDR does not currently define or prohibit dark patterns. Dark patterns have been explicitly considered and prohibited in various other jurisdictions including the California Privacy Rights Act (CPRA), the Colorado Privacy Act (CPA), the Virginia Consumer Data Protection Act (VCDPA), and the European Data Protection Board. Existing</w:t>
      </w:r>
      <w:r w:rsidRPr="63FF6F3A" w:rsidDel="00C75AEB">
        <w:rPr>
          <w:rFonts w:eastAsia="Calibri" w:cs="Calibri"/>
        </w:rPr>
        <w:t xml:space="preserve"> Australian </w:t>
      </w:r>
      <w:r w:rsidR="292B804D">
        <w:rPr>
          <w:rFonts w:eastAsia="Calibri" w:cs="Calibri"/>
        </w:rPr>
        <w:t>laws</w:t>
      </w:r>
      <w:r w:rsidRPr="63FF6F3A">
        <w:rPr>
          <w:rFonts w:eastAsia="Calibri" w:cs="Calibri"/>
        </w:rPr>
        <w:t xml:space="preserve"> deal with misleading and unfair practices and the unnecessary collection of personal information. However, it has been suggested, including by the ACCC</w:t>
      </w:r>
      <w:r w:rsidR="00D34B36" w:rsidRPr="32ADD433">
        <w:rPr>
          <w:rFonts w:eastAsia="Calibri" w:cs="Calibri"/>
        </w:rPr>
        <w:t>,</w:t>
      </w:r>
      <w:r w:rsidR="15F3C00C" w:rsidRPr="63FF6F3A">
        <w:rPr>
          <w:rStyle w:val="FootnoteReference"/>
          <w:rFonts w:eastAsia="Calibri" w:cs="Calibri"/>
        </w:rPr>
        <w:footnoteReference w:id="64"/>
      </w:r>
      <w:r w:rsidRPr="63FF6F3A">
        <w:rPr>
          <w:rFonts w:eastAsia="Calibri" w:cs="Calibri"/>
        </w:rPr>
        <w:t xml:space="preserve"> CPRC</w:t>
      </w:r>
      <w:r w:rsidR="00D34B36" w:rsidRPr="32ADD433">
        <w:rPr>
          <w:rFonts w:eastAsia="Calibri" w:cs="Calibri"/>
        </w:rPr>
        <w:t>,</w:t>
      </w:r>
      <w:r w:rsidR="15F3C00C" w:rsidRPr="63FF6F3A">
        <w:rPr>
          <w:rStyle w:val="FootnoteReference"/>
          <w:rFonts w:eastAsia="Calibri" w:cs="Calibri"/>
        </w:rPr>
        <w:footnoteReference w:id="65"/>
      </w:r>
      <w:r w:rsidR="5E10D6F0" w:rsidRPr="63FF6F3A">
        <w:rPr>
          <w:rFonts w:eastAsia="Calibri" w:cs="Calibri"/>
        </w:rPr>
        <w:t xml:space="preserve"> </w:t>
      </w:r>
      <w:r w:rsidRPr="63FF6F3A">
        <w:rPr>
          <w:rFonts w:eastAsia="Calibri" w:cs="Calibri"/>
        </w:rPr>
        <w:t>and OECD</w:t>
      </w:r>
      <w:r w:rsidR="000740FE" w:rsidRPr="32ADD433">
        <w:rPr>
          <w:rFonts w:eastAsia="Calibri" w:cs="Calibri"/>
        </w:rPr>
        <w:t>,</w:t>
      </w:r>
      <w:r w:rsidR="15F3C00C" w:rsidRPr="63FF6F3A">
        <w:rPr>
          <w:rStyle w:val="FootnoteReference"/>
          <w:rFonts w:eastAsia="Calibri" w:cs="Calibri"/>
        </w:rPr>
        <w:footnoteReference w:id="66"/>
      </w:r>
      <w:r w:rsidR="2BA5B00B" w:rsidRPr="63FF6F3A">
        <w:rPr>
          <w:rFonts w:eastAsia="Calibri" w:cs="Calibri"/>
        </w:rPr>
        <w:t xml:space="preserve"> </w:t>
      </w:r>
      <w:r w:rsidRPr="63FF6F3A">
        <w:rPr>
          <w:rFonts w:eastAsia="Calibri" w:cs="Calibri"/>
        </w:rPr>
        <w:t xml:space="preserve">that these existing measures may not </w:t>
      </w:r>
      <w:r w:rsidR="4F7CA785">
        <w:rPr>
          <w:rFonts w:eastAsia="Calibri" w:cs="Calibri"/>
        </w:rPr>
        <w:t>address</w:t>
      </w:r>
      <w:r w:rsidRPr="63FF6F3A">
        <w:rPr>
          <w:rFonts w:eastAsia="Calibri" w:cs="Calibri"/>
        </w:rPr>
        <w:t xml:space="preserve"> a range of dark patterns.</w:t>
      </w:r>
    </w:p>
    <w:p w14:paraId="767F978A" w14:textId="5B54B3C4" w:rsidR="15F3C00C" w:rsidRDefault="15F3C00C" w:rsidP="00FB096E">
      <w:pPr>
        <w:keepNext/>
      </w:pPr>
      <w:r w:rsidRPr="63FF6F3A">
        <w:rPr>
          <w:rFonts w:eastAsia="Calibri" w:cs="Calibri"/>
          <w:b/>
          <w:bCs/>
        </w:rPr>
        <w:t>Consent Review Noting Paper</w:t>
      </w:r>
    </w:p>
    <w:p w14:paraId="54FFA6DC" w14:textId="2E80E967" w:rsidR="15F3C00C" w:rsidRDefault="15F3C00C">
      <w:r w:rsidRPr="1EEC6329">
        <w:rPr>
          <w:rFonts w:eastAsia="Calibri" w:cs="Calibri"/>
        </w:rPr>
        <w:t xml:space="preserve">The noting paper proposed a principle-based prohibition of dark patterns, which was broadly supported by stakeholders. However, feedback also included requests for further detail in the form of </w:t>
      </w:r>
      <w:r w:rsidR="004B007A">
        <w:rPr>
          <w:rFonts w:eastAsia="Calibri" w:cs="Calibri"/>
        </w:rPr>
        <w:t>prescriptive</w:t>
      </w:r>
      <w:r w:rsidR="004B007A" w:rsidRPr="1EEC6329">
        <w:rPr>
          <w:rFonts w:eastAsia="Calibri" w:cs="Calibri"/>
        </w:rPr>
        <w:t xml:space="preserve"> </w:t>
      </w:r>
      <w:r w:rsidRPr="1EEC6329">
        <w:rPr>
          <w:rFonts w:eastAsia="Calibri" w:cs="Calibri"/>
        </w:rPr>
        <w:t>prohibitions and/or examples of dark patterns. This was seen as necessary to aid further consultation, but also for any eventual rules, standards, and guidelines.</w:t>
      </w:r>
    </w:p>
    <w:p w14:paraId="5EEF0179" w14:textId="3A1F16A8" w:rsidR="00AC730D" w:rsidRDefault="00AC730D" w:rsidP="00AC730D">
      <w:pPr>
        <w:pStyle w:val="Heading4"/>
      </w:pPr>
      <w:r w:rsidRPr="63FF6F3A">
        <w:rPr>
          <w:rFonts w:eastAsia="Calibri" w:cs="Calibri"/>
          <w:szCs w:val="24"/>
        </w:rPr>
        <w:t>Proposed approach</w:t>
      </w:r>
    </w:p>
    <w:p w14:paraId="07145916" w14:textId="04254C96" w:rsidR="15F3C00C" w:rsidRDefault="5D914255" w:rsidP="00BC3F68">
      <w:r w:rsidRPr="63FF6F3A">
        <w:rPr>
          <w:rFonts w:eastAsia="Calibri" w:cs="Calibri"/>
        </w:rPr>
        <w:t xml:space="preserve">The proposals in this paper </w:t>
      </w:r>
      <w:r w:rsidR="003678C1">
        <w:rPr>
          <w:rFonts w:eastAsia="Calibri" w:cs="Calibri"/>
        </w:rPr>
        <w:t xml:space="preserve">build on </w:t>
      </w:r>
      <w:r w:rsidR="00D5307C">
        <w:rPr>
          <w:rFonts w:eastAsia="Calibri" w:cs="Calibri"/>
        </w:rPr>
        <w:t xml:space="preserve">feedback to </w:t>
      </w:r>
      <w:r w:rsidR="00BC3F68" w:rsidRPr="00B84C92">
        <w:t>the</w:t>
      </w:r>
      <w:r w:rsidR="006F6189" w:rsidRPr="00B84C92">
        <w:t xml:space="preserve"> noting paper</w:t>
      </w:r>
      <w:r w:rsidRPr="63FF6F3A">
        <w:rPr>
          <w:rFonts w:eastAsia="Calibri" w:cs="Calibri"/>
        </w:rPr>
        <w:t xml:space="preserve">, as well as taxonomies from </w:t>
      </w:r>
      <w:r w:rsidR="3597BA4C" w:rsidRPr="63FF6F3A">
        <w:rPr>
          <w:rFonts w:eastAsia="Calibri" w:cs="Calibri"/>
        </w:rPr>
        <w:t xml:space="preserve">the </w:t>
      </w:r>
      <w:r w:rsidRPr="63FF6F3A">
        <w:rPr>
          <w:rFonts w:eastAsia="Calibri" w:cs="Calibri"/>
        </w:rPr>
        <w:t>ACCC’s Digital Platform Services Inquiry</w:t>
      </w:r>
      <w:r w:rsidR="15F3C00C" w:rsidRPr="63FF6F3A">
        <w:rPr>
          <w:rStyle w:val="FootnoteReference"/>
          <w:rFonts w:eastAsia="Calibri" w:cs="Calibri"/>
        </w:rPr>
        <w:footnoteReference w:id="67"/>
      </w:r>
      <w:r w:rsidR="0EFA0387" w:rsidRPr="63FF6F3A">
        <w:rPr>
          <w:rFonts w:eastAsia="Calibri" w:cs="Calibri"/>
        </w:rPr>
        <w:t xml:space="preserve"> </w:t>
      </w:r>
      <w:r w:rsidRPr="63FF6F3A">
        <w:rPr>
          <w:rFonts w:eastAsia="Calibri" w:cs="Calibri"/>
        </w:rPr>
        <w:t xml:space="preserve">and </w:t>
      </w:r>
      <w:r w:rsidR="45F47051" w:rsidRPr="63FF6F3A">
        <w:rPr>
          <w:rFonts w:eastAsia="Calibri" w:cs="Calibri"/>
        </w:rPr>
        <w:t xml:space="preserve">the </w:t>
      </w:r>
      <w:r w:rsidRPr="63FF6F3A">
        <w:rPr>
          <w:rFonts w:eastAsia="Calibri" w:cs="Calibri"/>
        </w:rPr>
        <w:t>OECD’s paper on dark commercial patterns</w:t>
      </w:r>
      <w:r w:rsidR="00CA4A77">
        <w:rPr>
          <w:rFonts w:eastAsia="Calibri" w:cs="Calibri"/>
        </w:rPr>
        <w:t>.</w:t>
      </w:r>
      <w:r w:rsidR="15F3C00C" w:rsidRPr="63FF6F3A">
        <w:rPr>
          <w:rStyle w:val="FootnoteReference"/>
          <w:rFonts w:eastAsia="Calibri" w:cs="Calibri"/>
        </w:rPr>
        <w:footnoteReference w:id="68"/>
      </w:r>
      <w:r w:rsidRPr="63FF6F3A">
        <w:rPr>
          <w:rFonts w:eastAsia="Calibri" w:cs="Calibri"/>
        </w:rPr>
        <w:t xml:space="preserve"> </w:t>
      </w:r>
      <w:r w:rsidR="582B67B3">
        <w:rPr>
          <w:rFonts w:eastAsia="Calibri" w:cs="Calibri"/>
        </w:rPr>
        <w:t xml:space="preserve">We are considering principles-based requirements within the CDR Rules or standards to make unambiguously clear that dark patterns are prohibited in </w:t>
      </w:r>
      <w:r w:rsidR="007047E5">
        <w:rPr>
          <w:rFonts w:eastAsia="Calibri" w:cs="Calibri"/>
        </w:rPr>
        <w:t xml:space="preserve">the </w:t>
      </w:r>
      <w:r w:rsidR="582B67B3">
        <w:rPr>
          <w:rFonts w:eastAsia="Calibri" w:cs="Calibri"/>
        </w:rPr>
        <w:t xml:space="preserve">CDR. This could include detailed examples within CX standards and guidelines of approaches </w:t>
      </w:r>
      <w:r w:rsidR="0030139D">
        <w:rPr>
          <w:rFonts w:eastAsia="Calibri" w:cs="Calibri"/>
        </w:rPr>
        <w:t xml:space="preserve">ADRs </w:t>
      </w:r>
      <w:r w:rsidR="00593EF5">
        <w:rPr>
          <w:rFonts w:eastAsia="Calibri" w:cs="Calibri"/>
        </w:rPr>
        <w:t>must</w:t>
      </w:r>
      <w:r w:rsidR="582B67B3">
        <w:rPr>
          <w:rFonts w:eastAsia="Calibri" w:cs="Calibri"/>
        </w:rPr>
        <w:t xml:space="preserve"> avoid</w:t>
      </w:r>
      <w:r w:rsidR="00593EF5">
        <w:rPr>
          <w:rFonts w:eastAsia="Calibri" w:cs="Calibri"/>
        </w:rPr>
        <w:t>,</w:t>
      </w:r>
      <w:r w:rsidR="582B67B3">
        <w:rPr>
          <w:rFonts w:eastAsia="Calibri" w:cs="Calibri"/>
        </w:rPr>
        <w:t xml:space="preserve"> which may be amended or added to where appropriate and as the landscape of </w:t>
      </w:r>
      <w:r w:rsidR="00432B2C">
        <w:rPr>
          <w:rFonts w:eastAsia="Calibri" w:cs="Calibri"/>
        </w:rPr>
        <w:t xml:space="preserve">the </w:t>
      </w:r>
      <w:r w:rsidR="582B67B3">
        <w:rPr>
          <w:rFonts w:eastAsia="Calibri" w:cs="Calibri"/>
        </w:rPr>
        <w:t>CDR evolves.</w:t>
      </w:r>
    </w:p>
    <w:p w14:paraId="53F9F360" w14:textId="0CCD9AD1" w:rsidR="15F3C00C" w:rsidRDefault="00C50132">
      <w:r>
        <w:rPr>
          <w:rFonts w:eastAsia="Calibri" w:cs="Calibri"/>
        </w:rPr>
        <w:lastRenderedPageBreak/>
        <w:t xml:space="preserve">Dark patterns refer to interfaces, choice architecture, or design patterns that undermine, impair, or subvert user autonomy, choice, and decision making. We consider the specific examples to avoid in the context of </w:t>
      </w:r>
      <w:r w:rsidR="00DB1410">
        <w:rPr>
          <w:rFonts w:eastAsia="Calibri" w:cs="Calibri"/>
        </w:rPr>
        <w:t xml:space="preserve">the </w:t>
      </w:r>
      <w:r>
        <w:rPr>
          <w:rFonts w:eastAsia="Calibri" w:cs="Calibri"/>
        </w:rPr>
        <w:t>CDR could include:</w:t>
      </w:r>
    </w:p>
    <w:p w14:paraId="1A249866" w14:textId="1ABFCEB4" w:rsidR="15F3C00C" w:rsidRDefault="15F3C00C" w:rsidP="00640C03">
      <w:pPr>
        <w:pStyle w:val="Bulletpoint"/>
      </w:pPr>
      <w:r w:rsidRPr="63FF6F3A">
        <w:rPr>
          <w:b/>
          <w:bCs/>
        </w:rPr>
        <w:t>Nagging</w:t>
      </w:r>
      <w:r w:rsidRPr="63FF6F3A">
        <w:t>, including the interruption or redirection of a user from an intended activity with the intention of guiding them towards an alternative and unnecessary selection or outcome. This could look like a pop up used to confuse a consumer into giving an unnecessary consent, or to distract them from the consent terms they are considering.</w:t>
      </w:r>
    </w:p>
    <w:p w14:paraId="3FDD3374" w14:textId="3B749BCB" w:rsidR="15F3C00C" w:rsidRDefault="15F3C00C" w:rsidP="00640C03">
      <w:pPr>
        <w:pStyle w:val="Bulletpoint"/>
      </w:pPr>
      <w:r w:rsidRPr="63FF6F3A">
        <w:rPr>
          <w:b/>
          <w:bCs/>
        </w:rPr>
        <w:t>Obstruction</w:t>
      </w:r>
      <w:r w:rsidRPr="63FF6F3A">
        <w:t>, where a</w:t>
      </w:r>
      <w:r w:rsidRPr="63FF6F3A">
        <w:rPr>
          <w:b/>
          <w:bCs/>
        </w:rPr>
        <w:t xml:space="preserve"> </w:t>
      </w:r>
      <w:r w:rsidRPr="63FF6F3A">
        <w:t>process is made more difficult</w:t>
      </w:r>
      <w:r w:rsidRPr="63FF6F3A">
        <w:rPr>
          <w:b/>
          <w:bCs/>
        </w:rPr>
        <w:t xml:space="preserve"> </w:t>
      </w:r>
      <w:r w:rsidRPr="63FF6F3A">
        <w:t>than necessary to discourage certain actions. This may include making withdrawing a consent or authorisation more difficult by including unnecessary steps, requirements, offers, or information that are intended to influence the user’s choice.</w:t>
      </w:r>
    </w:p>
    <w:p w14:paraId="62C5D0BC" w14:textId="3476A166" w:rsidR="15F3C00C" w:rsidRDefault="15F3C00C" w:rsidP="00640C03">
      <w:pPr>
        <w:pStyle w:val="Bulletpoint"/>
      </w:pPr>
      <w:r w:rsidRPr="63FF6F3A">
        <w:rPr>
          <w:b/>
          <w:bCs/>
        </w:rPr>
        <w:t>Interface interference</w:t>
      </w:r>
      <w:r w:rsidRPr="63FF6F3A">
        <w:t>, including the use of false hierarchies, the pre-selection of unnecessary options, the use of trick questions, and the privileging of certain options over others. This may appear as a button visually emphasising the choice to grant a consent</w:t>
      </w:r>
      <w:r w:rsidR="2D1A5EAB">
        <w:t xml:space="preserve"> or</w:t>
      </w:r>
      <w:r w:rsidRPr="63FF6F3A">
        <w:t xml:space="preserve"> a consent request phrased in intentionally ambiguous terms, such as with double negatives, to make the outcome of the choice unclear. </w:t>
      </w:r>
    </w:p>
    <w:p w14:paraId="07BE491D" w14:textId="6BB6F239" w:rsidR="15F3C00C" w:rsidRDefault="15F3C00C" w:rsidP="00640C03">
      <w:pPr>
        <w:pStyle w:val="Bulletpoint"/>
      </w:pPr>
      <w:r w:rsidRPr="63FF6F3A">
        <w:rPr>
          <w:b/>
          <w:bCs/>
        </w:rPr>
        <w:t>Sneaking</w:t>
      </w:r>
      <w:r w:rsidRPr="63FF6F3A">
        <w:t>, where relevant choices or information are hidden, obscured, or disguised from a consumer. This may include making information on fees, default permissions, or the handling of data difficult or unintuitive to access or understand.</w:t>
      </w:r>
    </w:p>
    <w:p w14:paraId="57547D7D" w14:textId="079DDC7D" w:rsidR="15F3C00C" w:rsidRDefault="15F3C00C" w:rsidP="00640C03">
      <w:pPr>
        <w:pStyle w:val="Bulletpoint"/>
      </w:pPr>
      <w:r w:rsidRPr="63FF6F3A">
        <w:rPr>
          <w:b/>
          <w:bCs/>
        </w:rPr>
        <w:t>Forced action</w:t>
      </w:r>
      <w:r w:rsidRPr="63FF6F3A">
        <w:t>, where a user is coerced or required to do or allow something that is not necessary. This may include the granting of unnecessary consents or permissions, including by limiting the actions for an unnecessary consent to ‘continue’ or ‘cancel’, instead of a checkbox that a consumer can leave unticked and continue.</w:t>
      </w:r>
    </w:p>
    <w:p w14:paraId="48FB1EDF" w14:textId="6F0A2619" w:rsidR="15F3C00C" w:rsidRDefault="15F3C00C" w:rsidP="00640C03">
      <w:pPr>
        <w:pStyle w:val="Bulletpoint"/>
      </w:pPr>
      <w:r w:rsidRPr="63FF6F3A">
        <w:rPr>
          <w:b/>
          <w:bCs/>
        </w:rPr>
        <w:t>Scarcity cues</w:t>
      </w:r>
      <w:r w:rsidRPr="63FF6F3A">
        <w:t>, where an unnecessary sense of urgency is created, based on the pretence that there is limited supply or time to act, with the intention of enticing a consumer to make a choice or complete an action. This could appear as an alert to warn a consumer that if they do not provide consent within a certain timeframe, an offer or incentive will be lost.</w:t>
      </w:r>
    </w:p>
    <w:p w14:paraId="1AACB16A" w14:textId="0EF1B108" w:rsidR="7221345D" w:rsidRDefault="7221345D" w:rsidP="63FF6F3A">
      <w:r>
        <w:t xml:space="preserve">These </w:t>
      </w:r>
      <w:r w:rsidR="1C3A9B7B">
        <w:t xml:space="preserve">categories </w:t>
      </w:r>
      <w:r>
        <w:t>could be accompanied by specific visual examples in the CX Guidelines to demonstrate how they may look in practice, as well as the range of ways in which these patterns might manifest</w:t>
      </w:r>
      <w:r w:rsidR="6B81215E">
        <w:t xml:space="preserve"> in the CDR</w:t>
      </w:r>
      <w:r>
        <w:t>.</w:t>
      </w:r>
    </w:p>
    <w:p w14:paraId="4AED0412" w14:textId="77777777" w:rsidR="009A02E8" w:rsidRDefault="009A02E8" w:rsidP="009A02E8">
      <w:pPr>
        <w:rPr>
          <w:rFonts w:eastAsia="Calibri" w:cs="Calibri"/>
        </w:rPr>
      </w:pPr>
    </w:p>
    <w:tbl>
      <w:tblPr>
        <w:tblStyle w:val="TableGrid1"/>
        <w:tblW w:w="0" w:type="auto"/>
        <w:tblCellMar>
          <w:top w:w="85" w:type="dxa"/>
          <w:bottom w:w="85" w:type="dxa"/>
        </w:tblCellMar>
        <w:tblLook w:val="0600" w:firstRow="0" w:lastRow="0" w:firstColumn="0" w:lastColumn="0" w:noHBand="1" w:noVBand="1"/>
      </w:tblPr>
      <w:tblGrid>
        <w:gridCol w:w="9016"/>
      </w:tblGrid>
      <w:tr w:rsidR="009A02E8" w14:paraId="3B9B5B15" w14:textId="77777777" w:rsidTr="2383B6FC">
        <w:tc>
          <w:tcPr>
            <w:tcW w:w="9016" w:type="dxa"/>
          </w:tcPr>
          <w:p w14:paraId="4B3C3E6D" w14:textId="6C5B002F" w:rsidR="009A02E8" w:rsidRPr="00B836A6" w:rsidRDefault="58F5DA18" w:rsidP="001B0330">
            <w:pPr>
              <w:rPr>
                <w:rFonts w:cs="Calibri"/>
                <w:b/>
                <w:bCs/>
              </w:rPr>
            </w:pPr>
            <w:r w:rsidRPr="6EDE0A44">
              <w:rPr>
                <w:rFonts w:cs="Calibri"/>
                <w:b/>
                <w:bCs/>
              </w:rPr>
              <w:t>Consultation questions</w:t>
            </w:r>
          </w:p>
          <w:p w14:paraId="44FD41EB" w14:textId="1B3A4FC9" w:rsidR="00302FAE" w:rsidRPr="00302FAE" w:rsidRDefault="004A5E55" w:rsidP="001B0330">
            <w:pPr>
              <w:pStyle w:val="ListParagraph"/>
            </w:pPr>
            <w:r>
              <w:t xml:space="preserve">Do you consider </w:t>
            </w:r>
            <w:r w:rsidR="6C4E192A">
              <w:t xml:space="preserve">the inclusion of new rules </w:t>
            </w:r>
            <w:r w:rsidR="00C50132">
              <w:t>or</w:t>
            </w:r>
            <w:r w:rsidR="6C4E192A">
              <w:t xml:space="preserve"> standards </w:t>
            </w:r>
            <w:r>
              <w:t>on</w:t>
            </w:r>
            <w:r w:rsidR="6C4E192A">
              <w:t xml:space="preserve"> </w:t>
            </w:r>
            <w:r w:rsidR="6B24FA82">
              <w:t xml:space="preserve">dark patterns </w:t>
            </w:r>
            <w:r w:rsidR="00F275D4">
              <w:t xml:space="preserve">could </w:t>
            </w:r>
            <w:r w:rsidR="6B24FA82">
              <w:t xml:space="preserve">be effective in mitigating the risk </w:t>
            </w:r>
            <w:r w:rsidR="7AD8A0FA">
              <w:t>of</w:t>
            </w:r>
            <w:r w:rsidR="4A4F5394">
              <w:t xml:space="preserve"> ADRs design</w:t>
            </w:r>
            <w:r w:rsidR="5A8BD4B1">
              <w:t>ing</w:t>
            </w:r>
            <w:r w:rsidR="4A4F5394">
              <w:t xml:space="preserve"> consents </w:t>
            </w:r>
            <w:r w:rsidR="5A8BD4B1">
              <w:t xml:space="preserve">that </w:t>
            </w:r>
            <w:r w:rsidR="02DB11D7" w:rsidRPr="734AE715">
              <w:rPr>
                <w:rFonts w:eastAsia="Calibri" w:cs="Calibri"/>
              </w:rPr>
              <w:t xml:space="preserve">undermine informed consent and consumer </w:t>
            </w:r>
            <w:r w:rsidR="2B2D1743" w:rsidRPr="734AE715">
              <w:rPr>
                <w:rFonts w:eastAsia="Calibri" w:cs="Calibri"/>
              </w:rPr>
              <w:t>control?</w:t>
            </w:r>
            <w:r w:rsidR="00C819CB">
              <w:rPr>
                <w:rFonts w:eastAsia="Calibri" w:cs="Calibri"/>
              </w:rPr>
              <w:t xml:space="preserve"> </w:t>
            </w:r>
          </w:p>
          <w:p w14:paraId="7A334DC3" w14:textId="207DC8FE" w:rsidR="000C235E" w:rsidRPr="004C5798" w:rsidRDefault="000C235E" w:rsidP="001B0330">
            <w:pPr>
              <w:pStyle w:val="ListParagraph"/>
            </w:pPr>
            <w:r>
              <w:t>Are there specific dark patterns that you consider should be addressed</w:t>
            </w:r>
            <w:r w:rsidR="004C5798">
              <w:t xml:space="preserve"> within CX standards or guidelines</w:t>
            </w:r>
            <w:r>
              <w:t>?</w:t>
            </w:r>
          </w:p>
          <w:p w14:paraId="7E2DBC3D" w14:textId="54F29B0E" w:rsidR="009A02E8" w:rsidRPr="00964990" w:rsidRDefault="00C819CB" w:rsidP="001B0330">
            <w:pPr>
              <w:pStyle w:val="ListParagraph"/>
            </w:pPr>
            <w:r w:rsidRPr="2383B6FC">
              <w:rPr>
                <w:rFonts w:eastAsia="Calibri" w:cs="Calibri"/>
              </w:rPr>
              <w:t xml:space="preserve">Are there </w:t>
            </w:r>
            <w:r w:rsidR="002606EC" w:rsidRPr="2383B6FC">
              <w:rPr>
                <w:rFonts w:eastAsia="Calibri" w:cs="Calibri"/>
              </w:rPr>
              <w:t xml:space="preserve">any further issues that </w:t>
            </w:r>
            <w:r w:rsidR="00302FAE" w:rsidRPr="2383B6FC">
              <w:rPr>
                <w:rFonts w:eastAsia="Calibri" w:cs="Calibri"/>
              </w:rPr>
              <w:t xml:space="preserve">should be </w:t>
            </w:r>
            <w:r w:rsidR="00FE02D4" w:rsidRPr="2383B6FC">
              <w:rPr>
                <w:rFonts w:eastAsia="Calibri" w:cs="Calibri"/>
              </w:rPr>
              <w:t xml:space="preserve">considered </w:t>
            </w:r>
            <w:r w:rsidR="00A34B11" w:rsidRPr="2383B6FC">
              <w:rPr>
                <w:rFonts w:eastAsia="Calibri" w:cs="Calibri"/>
              </w:rPr>
              <w:t xml:space="preserve">in prohibiting the use of dark patterns? </w:t>
            </w:r>
          </w:p>
        </w:tc>
      </w:tr>
    </w:tbl>
    <w:p w14:paraId="4382FA75" w14:textId="77777777" w:rsidR="007B7E95" w:rsidRDefault="007B7E95" w:rsidP="007B7E95">
      <w:pPr>
        <w:pStyle w:val="Heading2"/>
        <w:keepNext/>
        <w:numPr>
          <w:ilvl w:val="0"/>
          <w:numId w:val="0"/>
        </w:numPr>
      </w:pPr>
      <w:bookmarkStart w:id="65" w:name="_Toc142317586"/>
    </w:p>
    <w:p w14:paraId="2F3AE69F" w14:textId="77777777" w:rsidR="007B7E95" w:rsidRDefault="007B7E95">
      <w:pPr>
        <w:rPr>
          <w:rFonts w:eastAsiaTheme="majorEastAsia" w:cs="Arial"/>
          <w:bCs/>
          <w:color w:val="002760" w:themeColor="accent1"/>
          <w:sz w:val="28"/>
          <w:szCs w:val="26"/>
        </w:rPr>
      </w:pPr>
      <w:r>
        <w:br w:type="page"/>
      </w:r>
    </w:p>
    <w:p w14:paraId="4E707E71" w14:textId="12CF213D" w:rsidR="00F51F61" w:rsidRDefault="0A66D201" w:rsidP="00351713">
      <w:pPr>
        <w:pStyle w:val="Heading2"/>
        <w:keepNext/>
      </w:pPr>
      <w:bookmarkStart w:id="66" w:name="_Toc143705092"/>
      <w:r>
        <w:lastRenderedPageBreak/>
        <w:t xml:space="preserve">Future work </w:t>
      </w:r>
      <w:r w:rsidR="4114DF68">
        <w:t>on</w:t>
      </w:r>
      <w:r>
        <w:t xml:space="preserve"> consent</w:t>
      </w:r>
      <w:bookmarkEnd w:id="65"/>
      <w:bookmarkEnd w:id="66"/>
      <w:r>
        <w:t xml:space="preserve"> </w:t>
      </w:r>
    </w:p>
    <w:p w14:paraId="0B2C2386" w14:textId="4F73F0BD" w:rsidR="00964990" w:rsidRPr="009A02E8" w:rsidRDefault="26BE65EF" w:rsidP="291638FF">
      <w:pPr>
        <w:rPr>
          <w:rFonts w:eastAsia="Calibri" w:cs="Calibri"/>
        </w:rPr>
      </w:pPr>
      <w:r w:rsidRPr="6EDE0A44">
        <w:rPr>
          <w:rFonts w:eastAsia="Calibri" w:cs="Calibri"/>
        </w:rPr>
        <w:t>This design paper and the previous noting paper consultation have focused on consent-related changes that can help support a better consumer experience while maintaining key consumer protections. Th</w:t>
      </w:r>
      <w:r w:rsidR="5D57D864" w:rsidRPr="6EDE0A44">
        <w:rPr>
          <w:rFonts w:eastAsia="Calibri" w:cs="Calibri"/>
        </w:rPr>
        <w:t>e</w:t>
      </w:r>
      <w:r w:rsidRPr="6EDE0A44">
        <w:rPr>
          <w:rFonts w:eastAsia="Calibri" w:cs="Calibri"/>
        </w:rPr>
        <w:t xml:space="preserve"> initial scope </w:t>
      </w:r>
      <w:r w:rsidR="7872578F" w:rsidRPr="6EDE0A44">
        <w:rPr>
          <w:rFonts w:eastAsia="Calibri" w:cs="Calibri"/>
        </w:rPr>
        <w:t xml:space="preserve">has </w:t>
      </w:r>
      <w:r w:rsidRPr="6EDE0A44">
        <w:rPr>
          <w:rFonts w:eastAsia="Calibri" w:cs="Calibri"/>
        </w:rPr>
        <w:t xml:space="preserve">focused on ADR-side changes </w:t>
      </w:r>
      <w:r w:rsidR="7872578F" w:rsidRPr="6EDE0A44">
        <w:rPr>
          <w:rFonts w:eastAsia="Calibri" w:cs="Calibri"/>
        </w:rPr>
        <w:t xml:space="preserve">that </w:t>
      </w:r>
      <w:r w:rsidRPr="6EDE0A44">
        <w:rPr>
          <w:rFonts w:eastAsia="Calibri" w:cs="Calibri"/>
        </w:rPr>
        <w:t xml:space="preserve">minimise </w:t>
      </w:r>
      <w:r w:rsidR="48627029" w:rsidRPr="6EDE0A44">
        <w:rPr>
          <w:rFonts w:eastAsia="Calibri" w:cs="Calibri"/>
        </w:rPr>
        <w:t xml:space="preserve">impacts on existing </w:t>
      </w:r>
      <w:r w:rsidR="0D7B4F8E" w:rsidRPr="6EDE0A44">
        <w:rPr>
          <w:rFonts w:eastAsia="Calibri" w:cs="Calibri"/>
        </w:rPr>
        <w:t xml:space="preserve">implementations. </w:t>
      </w:r>
      <w:r w:rsidR="13A4ED70" w:rsidRPr="6EDE0A44">
        <w:rPr>
          <w:rFonts w:eastAsia="Calibri" w:cs="Calibri"/>
        </w:rPr>
        <w:t>However, w</w:t>
      </w:r>
      <w:r w:rsidR="36950283" w:rsidRPr="6EDE0A44">
        <w:rPr>
          <w:rFonts w:eastAsia="Calibri" w:cs="Calibri"/>
        </w:rPr>
        <w:t>e consider th</w:t>
      </w:r>
      <w:r w:rsidR="51EF06AA" w:rsidRPr="6EDE0A44">
        <w:rPr>
          <w:rFonts w:eastAsia="Calibri" w:cs="Calibri"/>
        </w:rPr>
        <w:t xml:space="preserve">ere are </w:t>
      </w:r>
      <w:r w:rsidR="175E2B8A" w:rsidRPr="6EDE0A44">
        <w:rPr>
          <w:rFonts w:eastAsia="Calibri" w:cs="Calibri"/>
        </w:rPr>
        <w:t xml:space="preserve">also </w:t>
      </w:r>
      <w:r w:rsidR="51EF06AA" w:rsidRPr="6EDE0A44">
        <w:rPr>
          <w:rFonts w:eastAsia="Calibri" w:cs="Calibri"/>
        </w:rPr>
        <w:t xml:space="preserve">opportunities to </w:t>
      </w:r>
      <w:r w:rsidR="7D7939C7" w:rsidRPr="6EDE0A44">
        <w:rPr>
          <w:rFonts w:eastAsia="Calibri" w:cs="Calibri"/>
        </w:rPr>
        <w:t xml:space="preserve">improve </w:t>
      </w:r>
      <w:r w:rsidR="00BD5351" w:rsidRPr="6EDE0A44">
        <w:rPr>
          <w:rFonts w:eastAsia="Calibri" w:cs="Calibri"/>
        </w:rPr>
        <w:t>CDR</w:t>
      </w:r>
      <w:r w:rsidR="7D7939C7" w:rsidRPr="6EDE0A44">
        <w:rPr>
          <w:rFonts w:eastAsia="Calibri" w:cs="Calibri"/>
        </w:rPr>
        <w:t xml:space="preserve"> </w:t>
      </w:r>
      <w:r w:rsidR="52353F41" w:rsidRPr="6EDE0A44">
        <w:rPr>
          <w:rFonts w:eastAsia="Calibri" w:cs="Calibri"/>
        </w:rPr>
        <w:t>consent</w:t>
      </w:r>
      <w:r w:rsidR="00BD5351" w:rsidRPr="6EDE0A44">
        <w:rPr>
          <w:rFonts w:eastAsia="Calibri" w:cs="Calibri"/>
        </w:rPr>
        <w:t xml:space="preserve">s through examination of further topics, </w:t>
      </w:r>
      <w:r w:rsidR="727188E3" w:rsidRPr="6EDE0A44">
        <w:rPr>
          <w:rFonts w:eastAsia="Calibri" w:cs="Calibri"/>
        </w:rPr>
        <w:t xml:space="preserve">including </w:t>
      </w:r>
      <w:r w:rsidR="54E18D10" w:rsidRPr="0C88F1FE">
        <w:rPr>
          <w:rFonts w:eastAsia="Calibri" w:cs="Calibri"/>
        </w:rPr>
        <w:t>d</w:t>
      </w:r>
      <w:r w:rsidR="5E304F2C" w:rsidRPr="0C88F1FE">
        <w:rPr>
          <w:rFonts w:eastAsia="Calibri" w:cs="Calibri"/>
        </w:rPr>
        <w:t xml:space="preserve">ata </w:t>
      </w:r>
      <w:r w:rsidR="6E9D4E14" w:rsidRPr="0C88F1FE">
        <w:rPr>
          <w:rFonts w:eastAsia="Calibri" w:cs="Calibri"/>
        </w:rPr>
        <w:t>h</w:t>
      </w:r>
      <w:r w:rsidR="5E304F2C" w:rsidRPr="0C88F1FE">
        <w:rPr>
          <w:rFonts w:eastAsia="Calibri" w:cs="Calibri"/>
        </w:rPr>
        <w:t>older</w:t>
      </w:r>
      <w:r w:rsidR="727188E3" w:rsidRPr="6EDE0A44">
        <w:rPr>
          <w:rFonts w:eastAsia="Calibri" w:cs="Calibri"/>
        </w:rPr>
        <w:t>-side changes</w:t>
      </w:r>
      <w:r w:rsidR="54CB1D7C" w:rsidRPr="6EDE0A44">
        <w:rPr>
          <w:rFonts w:eastAsia="Calibri" w:cs="Calibri"/>
        </w:rPr>
        <w:t xml:space="preserve"> and </w:t>
      </w:r>
      <w:r w:rsidR="514D247A" w:rsidRPr="6EDE0A44">
        <w:rPr>
          <w:rFonts w:eastAsia="Calibri" w:cs="Calibri"/>
        </w:rPr>
        <w:t xml:space="preserve">other </w:t>
      </w:r>
      <w:r w:rsidR="1CF396B1" w:rsidRPr="6EDE0A44">
        <w:rPr>
          <w:rFonts w:eastAsia="Calibri" w:cs="Calibri"/>
        </w:rPr>
        <w:t xml:space="preserve">amendments to support future developments in </w:t>
      </w:r>
      <w:r w:rsidR="00C23E90">
        <w:rPr>
          <w:rFonts w:eastAsia="Calibri" w:cs="Calibri"/>
        </w:rPr>
        <w:t xml:space="preserve">the </w:t>
      </w:r>
      <w:r w:rsidR="1CF396B1" w:rsidRPr="6EDE0A44">
        <w:rPr>
          <w:rFonts w:eastAsia="Calibri" w:cs="Calibri"/>
        </w:rPr>
        <w:t>CDR</w:t>
      </w:r>
      <w:r w:rsidR="13A4ED70" w:rsidRPr="6EDE0A44">
        <w:rPr>
          <w:rFonts w:eastAsia="Calibri" w:cs="Calibri"/>
        </w:rPr>
        <w:t xml:space="preserve">. </w:t>
      </w:r>
      <w:r w:rsidRPr="6EDE0A44">
        <w:rPr>
          <w:rFonts w:eastAsia="Calibri" w:cs="Calibri"/>
        </w:rPr>
        <w:t>Based on internal analysis and community input</w:t>
      </w:r>
      <w:r w:rsidR="2EBAAB5C" w:rsidRPr="6EDE0A44">
        <w:rPr>
          <w:rFonts w:eastAsia="Calibri" w:cs="Calibri"/>
        </w:rPr>
        <w:t xml:space="preserve"> to date</w:t>
      </w:r>
      <w:r w:rsidRPr="6EDE0A44">
        <w:rPr>
          <w:rFonts w:eastAsia="Calibri" w:cs="Calibri"/>
        </w:rPr>
        <w:t xml:space="preserve">, </w:t>
      </w:r>
      <w:r w:rsidR="2EBAAB5C" w:rsidRPr="6EDE0A44">
        <w:rPr>
          <w:rFonts w:eastAsia="Calibri" w:cs="Calibri"/>
        </w:rPr>
        <w:t xml:space="preserve">topics for </w:t>
      </w:r>
      <w:r w:rsidR="0510CABD" w:rsidRPr="6EDE0A44">
        <w:rPr>
          <w:rFonts w:eastAsia="Calibri" w:cs="Calibri"/>
        </w:rPr>
        <w:t xml:space="preserve">further </w:t>
      </w:r>
      <w:r w:rsidR="2EBAAB5C" w:rsidRPr="6EDE0A44">
        <w:rPr>
          <w:rFonts w:eastAsia="Calibri" w:cs="Calibri"/>
        </w:rPr>
        <w:t>consideration</w:t>
      </w:r>
      <w:r w:rsidRPr="6EDE0A44">
        <w:rPr>
          <w:rFonts w:eastAsia="Calibri" w:cs="Calibri"/>
        </w:rPr>
        <w:t xml:space="preserve"> </w:t>
      </w:r>
      <w:r w:rsidR="79B0D72E" w:rsidRPr="6EDE0A44">
        <w:rPr>
          <w:rFonts w:eastAsia="Calibri" w:cs="Calibri"/>
        </w:rPr>
        <w:t xml:space="preserve">could </w:t>
      </w:r>
      <w:r w:rsidRPr="6EDE0A44">
        <w:rPr>
          <w:rFonts w:eastAsia="Calibri" w:cs="Calibri"/>
        </w:rPr>
        <w:t>include:</w:t>
      </w:r>
    </w:p>
    <w:p w14:paraId="12172998" w14:textId="6CA30F04" w:rsidR="00964990" w:rsidRPr="009A02E8" w:rsidRDefault="5F24555E" w:rsidP="00BD461E">
      <w:pPr>
        <w:pStyle w:val="ListParagraph"/>
        <w:numPr>
          <w:ilvl w:val="0"/>
          <w:numId w:val="60"/>
        </w:numPr>
        <w:rPr>
          <w:rFonts w:eastAsia="Calibri" w:cs="Calibri"/>
        </w:rPr>
      </w:pPr>
      <w:r w:rsidRPr="291638FF">
        <w:rPr>
          <w:rFonts w:eastAsia="Calibri" w:cs="Calibri"/>
          <w:b/>
          <w:bCs/>
        </w:rPr>
        <w:t>Amending consent simplification</w:t>
      </w:r>
      <w:r w:rsidRPr="291638FF">
        <w:rPr>
          <w:rFonts w:eastAsia="Calibri" w:cs="Calibri"/>
        </w:rPr>
        <w:t xml:space="preserve">, such as simplified re-authentication/authorisation flows to extend the duration of an existing consent, as explored in a </w:t>
      </w:r>
      <w:r w:rsidR="000F0F68">
        <w:t>public workshop in 2020</w:t>
      </w:r>
      <w:r w:rsidRPr="291638FF">
        <w:rPr>
          <w:rFonts w:eastAsia="Calibri" w:cs="Calibri"/>
        </w:rPr>
        <w:t>.</w:t>
      </w:r>
      <w:r w:rsidR="00FA188F">
        <w:rPr>
          <w:rStyle w:val="FootnoteReference"/>
          <w:rFonts w:eastAsia="Calibri" w:cs="Calibri"/>
        </w:rPr>
        <w:footnoteReference w:id="69"/>
      </w:r>
      <w:r w:rsidRPr="291638FF">
        <w:rPr>
          <w:rFonts w:eastAsia="Calibri" w:cs="Calibri"/>
        </w:rPr>
        <w:t xml:space="preserve"> The simplification and augmentation of amending consent flows will also </w:t>
      </w:r>
      <w:r w:rsidR="20CBE87F" w:rsidRPr="779BE076">
        <w:rPr>
          <w:rFonts w:eastAsia="Calibri" w:cs="Calibri"/>
        </w:rPr>
        <w:t>better</w:t>
      </w:r>
      <w:r w:rsidRPr="291638FF">
        <w:rPr>
          <w:rFonts w:eastAsia="Calibri" w:cs="Calibri"/>
        </w:rPr>
        <w:t xml:space="preserve"> support action</w:t>
      </w:r>
      <w:r w:rsidR="00E60F82">
        <w:rPr>
          <w:rFonts w:eastAsia="Calibri" w:cs="Calibri"/>
        </w:rPr>
        <w:t xml:space="preserve"> </w:t>
      </w:r>
      <w:r w:rsidRPr="291638FF">
        <w:rPr>
          <w:rFonts w:eastAsia="Calibri" w:cs="Calibri"/>
        </w:rPr>
        <w:t>initiation use cases.</w:t>
      </w:r>
    </w:p>
    <w:p w14:paraId="296A3BCF" w14:textId="1FF5DA12" w:rsidR="00964990" w:rsidRPr="009A02E8" w:rsidRDefault="7817799E" w:rsidP="00BD461E">
      <w:pPr>
        <w:pStyle w:val="ListParagraph"/>
        <w:numPr>
          <w:ilvl w:val="0"/>
          <w:numId w:val="60"/>
        </w:numPr>
        <w:rPr>
          <w:rFonts w:eastAsia="Calibri" w:cs="Calibri"/>
        </w:rPr>
      </w:pPr>
      <w:r w:rsidRPr="291638FF">
        <w:rPr>
          <w:rFonts w:eastAsia="Calibri" w:cs="Calibri"/>
          <w:b/>
          <w:bCs/>
        </w:rPr>
        <w:t>Authorisation simplification</w:t>
      </w:r>
      <w:r w:rsidRPr="291638FF">
        <w:rPr>
          <w:rFonts w:eastAsia="Calibri" w:cs="Calibri"/>
        </w:rPr>
        <w:t>, which may review the information and interactions being presented in DH authorisation flows, such as account selection, and in anticipation of action</w:t>
      </w:r>
      <w:r w:rsidR="00D50D97">
        <w:rPr>
          <w:rFonts w:eastAsia="Calibri" w:cs="Calibri"/>
        </w:rPr>
        <w:t xml:space="preserve"> </w:t>
      </w:r>
      <w:r w:rsidRPr="291638FF">
        <w:rPr>
          <w:rFonts w:eastAsia="Calibri" w:cs="Calibri"/>
        </w:rPr>
        <w:t>initiation requirements.</w:t>
      </w:r>
    </w:p>
    <w:p w14:paraId="2DDB9E26" w14:textId="6617CC28" w:rsidR="006B4360" w:rsidRPr="006B4360" w:rsidRDefault="26BE65EF" w:rsidP="006B4360">
      <w:pPr>
        <w:pStyle w:val="ListParagraph"/>
        <w:numPr>
          <w:ilvl w:val="0"/>
          <w:numId w:val="60"/>
        </w:numPr>
        <w:rPr>
          <w:rFonts w:eastAsia="Calibri" w:cs="Calibri"/>
        </w:rPr>
      </w:pPr>
      <w:r w:rsidRPr="006B4360">
        <w:rPr>
          <w:rFonts w:eastAsia="Calibri" w:cs="Calibri"/>
          <w:b/>
          <w:bCs/>
        </w:rPr>
        <w:t>Dashboards</w:t>
      </w:r>
      <w:r w:rsidRPr="006B4360">
        <w:rPr>
          <w:rFonts w:eastAsia="Calibri" w:cs="Calibri"/>
        </w:rPr>
        <w:t>,</w:t>
      </w:r>
      <w:r w:rsidRPr="006B4360">
        <w:rPr>
          <w:rFonts w:eastAsia="Calibri" w:cs="Calibri"/>
          <w:b/>
          <w:bCs/>
        </w:rPr>
        <w:t xml:space="preserve"> </w:t>
      </w:r>
      <w:r w:rsidRPr="006B4360">
        <w:rPr>
          <w:rFonts w:eastAsia="Calibri" w:cs="Calibri"/>
        </w:rPr>
        <w:t>including a review of both ADR and DH dashboards to support simplification, consistency, action</w:t>
      </w:r>
      <w:r w:rsidR="00331598">
        <w:rPr>
          <w:rFonts w:eastAsia="Calibri" w:cs="Calibri"/>
        </w:rPr>
        <w:t xml:space="preserve"> </w:t>
      </w:r>
      <w:r w:rsidRPr="006B4360">
        <w:rPr>
          <w:rFonts w:eastAsia="Calibri" w:cs="Calibri"/>
        </w:rPr>
        <w:t xml:space="preserve">initiation, and the concept of ‘external consent management’ as recommended in the Future Directions </w:t>
      </w:r>
      <w:r w:rsidR="00537F4C" w:rsidRPr="006B4360">
        <w:rPr>
          <w:rFonts w:eastAsia="Calibri" w:cs="Calibri"/>
        </w:rPr>
        <w:t>Inquiry</w:t>
      </w:r>
      <w:r w:rsidR="00856572">
        <w:rPr>
          <w:rStyle w:val="FootnoteReference"/>
          <w:rFonts w:eastAsia="Calibri" w:cs="Calibri"/>
        </w:rPr>
        <w:footnoteReference w:id="70"/>
      </w:r>
      <w:r w:rsidR="0AE62A41" w:rsidRPr="006B4360">
        <w:rPr>
          <w:rFonts w:eastAsia="Calibri" w:cs="Calibri"/>
        </w:rPr>
        <w:t xml:space="preserve"> </w:t>
      </w:r>
      <w:r w:rsidRPr="006B4360">
        <w:rPr>
          <w:rFonts w:eastAsia="Calibri" w:cs="Calibri"/>
        </w:rPr>
        <w:t xml:space="preserve">and </w:t>
      </w:r>
      <w:r w:rsidR="006B4360" w:rsidRPr="006B4360">
        <w:rPr>
          <w:rFonts w:eastAsia="Calibri" w:cs="Calibri"/>
        </w:rPr>
        <w:t xml:space="preserve">past </w:t>
      </w:r>
      <w:hyperlink r:id="rId36">
        <w:r w:rsidR="006B4360" w:rsidRPr="6EDE0A44">
          <w:rPr>
            <w:rStyle w:val="Hyperlink"/>
          </w:rPr>
          <w:t>CX research</w:t>
        </w:r>
      </w:hyperlink>
      <w:r w:rsidR="006B4360">
        <w:rPr>
          <w:rStyle w:val="Hyperlink"/>
        </w:rPr>
        <w:t xml:space="preserve"> conducted in 2019</w:t>
      </w:r>
      <w:r w:rsidR="006B4360" w:rsidRPr="006B4360">
        <w:rPr>
          <w:rFonts w:eastAsia="Calibri" w:cs="Calibri"/>
        </w:rPr>
        <w:t>.</w:t>
      </w:r>
    </w:p>
    <w:p w14:paraId="45931E27" w14:textId="2D723061" w:rsidR="00964990" w:rsidRPr="006B4360" w:rsidRDefault="7817799E">
      <w:pPr>
        <w:pStyle w:val="ListParagraph"/>
        <w:numPr>
          <w:ilvl w:val="0"/>
          <w:numId w:val="60"/>
        </w:numPr>
        <w:rPr>
          <w:rFonts w:eastAsia="Calibri" w:cs="Calibri"/>
        </w:rPr>
      </w:pPr>
      <w:r w:rsidRPr="006B4360">
        <w:rPr>
          <w:rFonts w:eastAsia="Calibri" w:cs="Calibri"/>
          <w:b/>
          <w:bCs/>
        </w:rPr>
        <w:t>Multi-DH consents</w:t>
      </w:r>
      <w:r w:rsidRPr="006B4360">
        <w:rPr>
          <w:rFonts w:eastAsia="Calibri" w:cs="Calibri"/>
        </w:rPr>
        <w:t xml:space="preserve">, including a review of the need for a consumer to navigate and establish multiple consents to collect data from multiple DHs for a single service. This may consider expanded parameters that allow </w:t>
      </w:r>
      <w:r w:rsidR="007C1456" w:rsidRPr="291638FF">
        <w:rPr>
          <w:rFonts w:eastAsia="Calibri" w:cs="Calibri"/>
        </w:rPr>
        <w:t>consent request</w:t>
      </w:r>
      <w:r w:rsidR="007C1456">
        <w:rPr>
          <w:rFonts w:eastAsia="Calibri" w:cs="Calibri"/>
        </w:rPr>
        <w:t>s</w:t>
      </w:r>
      <w:r w:rsidR="007C1456" w:rsidRPr="291638FF">
        <w:rPr>
          <w:rFonts w:eastAsia="Calibri" w:cs="Calibri"/>
        </w:rPr>
        <w:t xml:space="preserve"> </w:t>
      </w:r>
      <w:r w:rsidRPr="006B4360">
        <w:rPr>
          <w:rFonts w:eastAsia="Calibri" w:cs="Calibri"/>
        </w:rPr>
        <w:t xml:space="preserve">to be simplified or truncated where the service requires data from multiple </w:t>
      </w:r>
      <w:proofErr w:type="gramStart"/>
      <w:r w:rsidRPr="006B4360">
        <w:rPr>
          <w:rFonts w:eastAsia="Calibri" w:cs="Calibri"/>
        </w:rPr>
        <w:t>DHs, and</w:t>
      </w:r>
      <w:proofErr w:type="gramEnd"/>
      <w:r w:rsidRPr="006B4360">
        <w:rPr>
          <w:rFonts w:eastAsia="Calibri" w:cs="Calibri"/>
        </w:rPr>
        <w:t xml:space="preserve"> may also need to consider action</w:t>
      </w:r>
      <w:r w:rsidR="00D97CE1" w:rsidRPr="006B4360" w:rsidDel="00D97CE1">
        <w:rPr>
          <w:rFonts w:eastAsia="Calibri" w:cs="Calibri"/>
        </w:rPr>
        <w:t xml:space="preserve"> </w:t>
      </w:r>
      <w:r w:rsidRPr="006B4360">
        <w:rPr>
          <w:rFonts w:eastAsia="Calibri" w:cs="Calibri"/>
        </w:rPr>
        <w:t>initiation.</w:t>
      </w:r>
    </w:p>
    <w:p w14:paraId="460BE248" w14:textId="076E561C" w:rsidR="00905387" w:rsidRPr="00163B7D" w:rsidRDefault="00905387" w:rsidP="00163B7D">
      <w:pPr>
        <w:pStyle w:val="ListParagraph"/>
        <w:numPr>
          <w:ilvl w:val="0"/>
          <w:numId w:val="60"/>
        </w:numPr>
        <w:rPr>
          <w:rFonts w:eastAsia="Calibri" w:cs="Calibri"/>
          <w:b/>
          <w:bCs/>
        </w:rPr>
      </w:pPr>
      <w:r>
        <w:rPr>
          <w:rFonts w:eastAsia="Calibri" w:cs="Calibri"/>
          <w:b/>
          <w:bCs/>
        </w:rPr>
        <w:t>Principle-based requirements</w:t>
      </w:r>
      <w:r w:rsidRPr="00E52732">
        <w:rPr>
          <w:rFonts w:eastAsia="Calibri" w:cs="Calibri"/>
        </w:rPr>
        <w:t xml:space="preserve">, which could </w:t>
      </w:r>
      <w:r>
        <w:rPr>
          <w:rFonts w:eastAsia="Calibri" w:cs="Calibri"/>
        </w:rPr>
        <w:t xml:space="preserve">further </w:t>
      </w:r>
      <w:r w:rsidRPr="00E52732">
        <w:rPr>
          <w:rFonts w:eastAsia="Calibri" w:cs="Calibri"/>
        </w:rPr>
        <w:t>explore</w:t>
      </w:r>
      <w:r>
        <w:rPr>
          <w:rFonts w:eastAsia="Calibri" w:cs="Calibri"/>
        </w:rPr>
        <w:t xml:space="preserve"> the extent to which greater flexibility may be</w:t>
      </w:r>
      <w:r w:rsidRPr="00163B7D">
        <w:rPr>
          <w:rFonts w:eastAsia="Calibri" w:cs="Calibri"/>
        </w:rPr>
        <w:t xml:space="preserve"> provided to CDR participants to design consent flows, provided key consumer experience outcomes are met.</w:t>
      </w:r>
    </w:p>
    <w:p w14:paraId="37D8C57D" w14:textId="6DAF8112" w:rsidR="00964990" w:rsidRPr="009A02E8" w:rsidRDefault="7817799E" w:rsidP="00BD461E">
      <w:pPr>
        <w:pStyle w:val="ListParagraph"/>
        <w:numPr>
          <w:ilvl w:val="0"/>
          <w:numId w:val="60"/>
        </w:numPr>
        <w:rPr>
          <w:rFonts w:eastAsia="Calibri" w:cs="Calibri"/>
        </w:rPr>
      </w:pPr>
      <w:r w:rsidRPr="291638FF">
        <w:rPr>
          <w:rFonts w:eastAsia="Calibri" w:cs="Calibri"/>
          <w:b/>
          <w:bCs/>
        </w:rPr>
        <w:t>Purpose-</w:t>
      </w:r>
      <w:r w:rsidR="00BC4B3D">
        <w:rPr>
          <w:rFonts w:eastAsia="Calibri" w:cs="Calibri"/>
          <w:b/>
          <w:bCs/>
        </w:rPr>
        <w:t>b</w:t>
      </w:r>
      <w:r w:rsidRPr="291638FF">
        <w:rPr>
          <w:rFonts w:eastAsia="Calibri" w:cs="Calibri"/>
          <w:b/>
          <w:bCs/>
        </w:rPr>
        <w:t xml:space="preserve">ased </w:t>
      </w:r>
      <w:r w:rsidR="00BC4B3D">
        <w:rPr>
          <w:rFonts w:eastAsia="Calibri" w:cs="Calibri"/>
          <w:b/>
          <w:bCs/>
        </w:rPr>
        <w:t>c</w:t>
      </w:r>
      <w:r w:rsidRPr="291638FF">
        <w:rPr>
          <w:rFonts w:eastAsia="Calibri" w:cs="Calibri"/>
          <w:b/>
          <w:bCs/>
        </w:rPr>
        <w:t>onsents</w:t>
      </w:r>
      <w:r w:rsidR="00E02950">
        <w:rPr>
          <w:rFonts w:eastAsia="Calibri" w:cs="Calibri"/>
          <w:b/>
          <w:bCs/>
        </w:rPr>
        <w:t>,</w:t>
      </w:r>
      <w:r w:rsidRPr="291638FF">
        <w:rPr>
          <w:rFonts w:eastAsia="Calibri" w:cs="Calibri"/>
          <w:b/>
          <w:bCs/>
        </w:rPr>
        <w:t xml:space="preserve"> </w:t>
      </w:r>
      <w:r w:rsidRPr="291638FF">
        <w:rPr>
          <w:rFonts w:eastAsia="Calibri" w:cs="Calibri"/>
        </w:rPr>
        <w:t xml:space="preserve">which was consulted on </w:t>
      </w:r>
      <w:r w:rsidR="00BA3021" w:rsidRPr="32ADD433">
        <w:rPr>
          <w:rFonts w:eastAsia="Calibri" w:cs="Calibri"/>
        </w:rPr>
        <w:t>by the DSB</w:t>
      </w:r>
      <w:r w:rsidR="00480EB5">
        <w:rPr>
          <w:rStyle w:val="FootnoteReference"/>
          <w:rFonts w:eastAsia="Calibri" w:cs="Calibri"/>
        </w:rPr>
        <w:footnoteReference w:id="71"/>
      </w:r>
      <w:r w:rsidR="00271310" w:rsidRPr="32ADD433">
        <w:rPr>
          <w:rFonts w:eastAsia="Calibri" w:cs="Calibri"/>
        </w:rPr>
        <w:t xml:space="preserve"> and</w:t>
      </w:r>
      <w:r w:rsidR="00BA3021" w:rsidRPr="32ADD433">
        <w:rPr>
          <w:rFonts w:eastAsia="Calibri" w:cs="Calibri"/>
        </w:rPr>
        <w:t xml:space="preserve"> </w:t>
      </w:r>
      <w:r w:rsidRPr="291638FF">
        <w:rPr>
          <w:rFonts w:eastAsia="Calibri" w:cs="Calibri"/>
        </w:rPr>
        <w:t>intersect</w:t>
      </w:r>
      <w:r w:rsidR="00271310" w:rsidRPr="32ADD433">
        <w:rPr>
          <w:rFonts w:eastAsia="Calibri" w:cs="Calibri"/>
        </w:rPr>
        <w:t>s</w:t>
      </w:r>
      <w:r w:rsidRPr="291638FF">
        <w:rPr>
          <w:rFonts w:eastAsia="Calibri" w:cs="Calibri"/>
        </w:rPr>
        <w:t xml:space="preserve"> with various Future Directions </w:t>
      </w:r>
      <w:r w:rsidR="00722BA0" w:rsidRPr="32ADD433">
        <w:rPr>
          <w:rFonts w:eastAsia="Calibri" w:cs="Calibri"/>
        </w:rPr>
        <w:t xml:space="preserve">Inquiry </w:t>
      </w:r>
      <w:r w:rsidRPr="291638FF">
        <w:rPr>
          <w:rFonts w:eastAsia="Calibri" w:cs="Calibri"/>
        </w:rPr>
        <w:t xml:space="preserve">recommendations, including the ‘CDR </w:t>
      </w:r>
      <w:r w:rsidR="003E0FC2">
        <w:rPr>
          <w:rFonts w:eastAsia="Calibri" w:cs="Calibri"/>
        </w:rPr>
        <w:t>d</w:t>
      </w:r>
      <w:r w:rsidRPr="291638FF">
        <w:rPr>
          <w:rFonts w:eastAsia="Calibri" w:cs="Calibri"/>
        </w:rPr>
        <w:t xml:space="preserve">ictionary’, </w:t>
      </w:r>
      <w:r w:rsidR="006E4ACE">
        <w:rPr>
          <w:rFonts w:eastAsia="Calibri" w:cs="Calibri"/>
        </w:rPr>
        <w:t>‘</w:t>
      </w:r>
      <w:r w:rsidR="003E0FC2">
        <w:rPr>
          <w:rFonts w:eastAsia="Calibri" w:cs="Calibri"/>
        </w:rPr>
        <w:t>i</w:t>
      </w:r>
      <w:r w:rsidRPr="291638FF">
        <w:rPr>
          <w:rFonts w:eastAsia="Calibri" w:cs="Calibri"/>
        </w:rPr>
        <w:t>ndustry-defined consents’, and ‘</w:t>
      </w:r>
      <w:r w:rsidR="003E0FC2">
        <w:rPr>
          <w:rFonts w:eastAsia="Calibri" w:cs="Calibri"/>
        </w:rPr>
        <w:t>f</w:t>
      </w:r>
      <w:r w:rsidRPr="291638FF">
        <w:rPr>
          <w:rFonts w:eastAsia="Calibri" w:cs="Calibri"/>
        </w:rPr>
        <w:t>ine-grained authorisations’ concepts.</w:t>
      </w:r>
      <w:r w:rsidR="008D457B">
        <w:rPr>
          <w:rStyle w:val="FootnoteReference"/>
          <w:rFonts w:eastAsia="Calibri" w:cs="Calibri"/>
        </w:rPr>
        <w:footnoteReference w:id="72"/>
      </w:r>
      <w:r w:rsidRPr="291638FF">
        <w:rPr>
          <w:rFonts w:eastAsia="Calibri" w:cs="Calibri"/>
        </w:rPr>
        <w:t xml:space="preserve"> </w:t>
      </w:r>
      <w:r w:rsidR="00A3745F">
        <w:rPr>
          <w:rFonts w:eastAsia="Calibri" w:cs="Calibri"/>
        </w:rPr>
        <w:t>Purpose-based consents will be technically possible with</w:t>
      </w:r>
      <w:r w:rsidR="1907EA3E" w:rsidRPr="291638FF">
        <w:rPr>
          <w:rFonts w:eastAsia="Calibri" w:cs="Calibri"/>
        </w:rPr>
        <w:t xml:space="preserve"> the introduction of </w:t>
      </w:r>
      <w:r w:rsidR="4C8C5B4B">
        <w:t>FAPI 2.0</w:t>
      </w:r>
      <w:r w:rsidR="1907EA3E" w:rsidRPr="291638FF">
        <w:rPr>
          <w:rFonts w:eastAsia="Calibri" w:cs="Calibri"/>
        </w:rPr>
        <w:t xml:space="preserve">, particularly </w:t>
      </w:r>
      <w:r w:rsidR="4C8C5B4B">
        <w:t>Rich Authorisation Request</w:t>
      </w:r>
      <w:r w:rsidR="1907EA3E" w:rsidRPr="291638FF">
        <w:rPr>
          <w:rFonts w:eastAsia="Calibri" w:cs="Calibri"/>
        </w:rPr>
        <w:t xml:space="preserve"> functionality.</w:t>
      </w:r>
      <w:r w:rsidR="00296E92">
        <w:rPr>
          <w:rStyle w:val="FootnoteReference"/>
          <w:rFonts w:eastAsia="Calibri" w:cs="Calibri"/>
        </w:rPr>
        <w:footnoteReference w:id="73"/>
      </w:r>
    </w:p>
    <w:p w14:paraId="70DCD457" w14:textId="1C60EA1F" w:rsidR="00964990" w:rsidRPr="009A02E8" w:rsidRDefault="6C18487D" w:rsidP="00BD461E">
      <w:pPr>
        <w:pStyle w:val="ListParagraph"/>
        <w:numPr>
          <w:ilvl w:val="0"/>
          <w:numId w:val="60"/>
        </w:numPr>
        <w:rPr>
          <w:rFonts w:eastAsia="Calibri" w:cs="Calibri"/>
        </w:rPr>
      </w:pPr>
      <w:r w:rsidRPr="779BE076">
        <w:rPr>
          <w:rFonts w:eastAsia="Calibri" w:cs="Calibri"/>
          <w:b/>
          <w:bCs/>
        </w:rPr>
        <w:t>CX Monitoring</w:t>
      </w:r>
      <w:r w:rsidRPr="779BE076">
        <w:rPr>
          <w:rFonts w:eastAsia="Calibri" w:cs="Calibri"/>
        </w:rPr>
        <w:t>,</w:t>
      </w:r>
      <w:r w:rsidRPr="779BE076">
        <w:rPr>
          <w:rFonts w:eastAsia="Calibri" w:cs="Calibri"/>
          <w:b/>
          <w:bCs/>
        </w:rPr>
        <w:t xml:space="preserve"> </w:t>
      </w:r>
      <w:r w:rsidRPr="779BE076">
        <w:rPr>
          <w:rFonts w:eastAsia="Calibri" w:cs="Calibri"/>
        </w:rPr>
        <w:t>including how the consent process can be better monitored, as recommended by the Statutory Review, and where further adjustments may be warranted. This may consider richer insight into CDR adoption, consent flow completion, and outcome realisation.</w:t>
      </w:r>
    </w:p>
    <w:p w14:paraId="5BA4156E" w14:textId="19AFB688" w:rsidR="00964990" w:rsidRPr="009A02E8" w:rsidRDefault="02336C2E" w:rsidP="00BD461E">
      <w:pPr>
        <w:pStyle w:val="ListParagraph"/>
        <w:numPr>
          <w:ilvl w:val="0"/>
          <w:numId w:val="60"/>
        </w:numPr>
        <w:rPr>
          <w:rFonts w:eastAsia="Calibri" w:cs="Calibri"/>
        </w:rPr>
      </w:pPr>
      <w:r w:rsidRPr="4B2D6899">
        <w:rPr>
          <w:rFonts w:eastAsia="Calibri" w:cs="Calibri"/>
          <w:b/>
          <w:bCs/>
        </w:rPr>
        <w:t>Action initiation</w:t>
      </w:r>
      <w:r w:rsidRPr="4B2D6899">
        <w:rPr>
          <w:rFonts w:eastAsia="Calibri" w:cs="Calibri"/>
        </w:rPr>
        <w:t xml:space="preserve">, which </w:t>
      </w:r>
      <w:r w:rsidR="0192E5FF" w:rsidRPr="4B2D6899">
        <w:rPr>
          <w:rFonts w:eastAsia="Calibri" w:cs="Calibri"/>
        </w:rPr>
        <w:t xml:space="preserve">would </w:t>
      </w:r>
      <w:r w:rsidRPr="4B2D6899">
        <w:rPr>
          <w:rFonts w:eastAsia="Calibri" w:cs="Calibri"/>
        </w:rPr>
        <w:t xml:space="preserve">consider a range of overlapping issues, including any further adjustments required to support action initiation in </w:t>
      </w:r>
      <w:r w:rsidR="00BE712C">
        <w:rPr>
          <w:rFonts w:eastAsia="Calibri" w:cs="Calibri"/>
        </w:rPr>
        <w:t xml:space="preserve">the </w:t>
      </w:r>
      <w:r w:rsidRPr="4B2D6899">
        <w:rPr>
          <w:rFonts w:eastAsia="Calibri" w:cs="Calibri"/>
        </w:rPr>
        <w:t xml:space="preserve">CDR, such as the presentation of consents for actions; the disclosure of data to an action service provider; and revisions to </w:t>
      </w:r>
      <w:r w:rsidRPr="4B2D6899">
        <w:rPr>
          <w:rFonts w:eastAsia="Calibri" w:cs="Calibri"/>
        </w:rPr>
        <w:lastRenderedPageBreak/>
        <w:t>support switching use cases, where CDR consumers may be redirected to CDR participants with which they have no pre-existing relationship; and a review of notification requirements</w:t>
      </w:r>
      <w:r w:rsidR="6BF4CE79" w:rsidRPr="4B2D6899">
        <w:rPr>
          <w:rFonts w:eastAsia="Calibri" w:cs="Calibri"/>
        </w:rPr>
        <w:t>.</w:t>
      </w:r>
    </w:p>
    <w:p w14:paraId="0BC5EC56" w14:textId="4854C727" w:rsidR="009A02E8" w:rsidRPr="007B7E95" w:rsidRDefault="285879E8" w:rsidP="009A02E8">
      <w:pPr>
        <w:pStyle w:val="ListParagraph"/>
        <w:numPr>
          <w:ilvl w:val="0"/>
          <w:numId w:val="60"/>
        </w:numPr>
        <w:rPr>
          <w:rFonts w:eastAsia="Calibri" w:cs="Calibri"/>
        </w:rPr>
      </w:pPr>
      <w:r w:rsidRPr="779BE076">
        <w:rPr>
          <w:rFonts w:eastAsia="Calibri" w:cs="Calibri"/>
          <w:b/>
          <w:bCs/>
        </w:rPr>
        <w:t>CX requirements for different types of</w:t>
      </w:r>
      <w:r w:rsidR="6FDF63B8" w:rsidRPr="779BE076">
        <w:rPr>
          <w:rFonts w:eastAsia="Calibri" w:cs="Calibri"/>
          <w:b/>
          <w:bCs/>
        </w:rPr>
        <w:t xml:space="preserve"> consents</w:t>
      </w:r>
      <w:r w:rsidR="6FDF63B8" w:rsidRPr="779BE076">
        <w:rPr>
          <w:rFonts w:eastAsia="Calibri" w:cs="Calibri"/>
        </w:rPr>
        <w:t xml:space="preserve">, </w:t>
      </w:r>
      <w:r w:rsidR="41FF2AC4" w:rsidRPr="779BE076">
        <w:rPr>
          <w:rFonts w:eastAsia="Calibri" w:cs="Calibri"/>
        </w:rPr>
        <w:t xml:space="preserve">including </w:t>
      </w:r>
      <w:r w:rsidR="36BACE70" w:rsidRPr="779BE076">
        <w:rPr>
          <w:rFonts w:eastAsia="Calibri" w:cs="Calibri"/>
        </w:rPr>
        <w:t xml:space="preserve">identification of opportunities for simplification and improvement of </w:t>
      </w:r>
      <w:r w:rsidR="41FF2AC4" w:rsidRPr="779BE076">
        <w:rPr>
          <w:rFonts w:eastAsia="Calibri" w:cs="Calibri"/>
        </w:rPr>
        <w:t xml:space="preserve">disclosures to </w:t>
      </w:r>
      <w:r w:rsidR="6FDF63B8" w:rsidRPr="779BE076">
        <w:rPr>
          <w:rFonts w:eastAsia="Calibri" w:cs="Calibri"/>
        </w:rPr>
        <w:t>accredited person</w:t>
      </w:r>
      <w:r w:rsidR="1E206C19" w:rsidRPr="779BE076">
        <w:rPr>
          <w:rFonts w:eastAsia="Calibri" w:cs="Calibri"/>
        </w:rPr>
        <w:t>s</w:t>
      </w:r>
      <w:r w:rsidR="6FDF63B8" w:rsidRPr="779BE076">
        <w:rPr>
          <w:rFonts w:eastAsia="Calibri" w:cs="Calibri"/>
        </w:rPr>
        <w:t xml:space="preserve">, trusted </w:t>
      </w:r>
      <w:r w:rsidR="7337E32F" w:rsidRPr="779BE076">
        <w:rPr>
          <w:rFonts w:eastAsia="Calibri" w:cs="Calibri"/>
        </w:rPr>
        <w:t>adviser</w:t>
      </w:r>
      <w:r w:rsidR="0CD0D3CD" w:rsidRPr="779BE076">
        <w:rPr>
          <w:rFonts w:eastAsia="Calibri" w:cs="Calibri"/>
        </w:rPr>
        <w:t>s</w:t>
      </w:r>
      <w:r w:rsidR="6FDF63B8" w:rsidRPr="779BE076">
        <w:rPr>
          <w:rFonts w:eastAsia="Calibri" w:cs="Calibri"/>
        </w:rPr>
        <w:t>, and insight disclosure consents.</w:t>
      </w:r>
      <w:r w:rsidR="007B7E95">
        <w:rPr>
          <w:rFonts w:eastAsia="Calibri" w:cs="Calibri"/>
        </w:rPr>
        <w:br/>
      </w:r>
    </w:p>
    <w:tbl>
      <w:tblPr>
        <w:tblStyle w:val="TableGrid1"/>
        <w:tblW w:w="0" w:type="auto"/>
        <w:tblCellMar>
          <w:top w:w="85" w:type="dxa"/>
          <w:bottom w:w="85" w:type="dxa"/>
        </w:tblCellMar>
        <w:tblLook w:val="0600" w:firstRow="0" w:lastRow="0" w:firstColumn="0" w:lastColumn="0" w:noHBand="1" w:noVBand="1"/>
      </w:tblPr>
      <w:tblGrid>
        <w:gridCol w:w="9016"/>
      </w:tblGrid>
      <w:tr w:rsidR="009A02E8" w14:paraId="63FCA9FA" w14:textId="77777777" w:rsidTr="2383B6FC">
        <w:tc>
          <w:tcPr>
            <w:tcW w:w="9016" w:type="dxa"/>
          </w:tcPr>
          <w:p w14:paraId="43084CCC" w14:textId="77777777" w:rsidR="009A02E8" w:rsidRPr="00B836A6" w:rsidRDefault="009A02E8" w:rsidP="001B0330">
            <w:pPr>
              <w:rPr>
                <w:rFonts w:cs="Calibri"/>
                <w:b/>
                <w:bCs/>
              </w:rPr>
            </w:pPr>
            <w:r w:rsidRPr="00B836A6">
              <w:rPr>
                <w:rFonts w:cs="Calibri"/>
                <w:b/>
                <w:bCs/>
              </w:rPr>
              <w:t>Consultation questions</w:t>
            </w:r>
          </w:p>
          <w:p w14:paraId="0F22E95E" w14:textId="29BC9BDE" w:rsidR="009A02E8" w:rsidRPr="00964990" w:rsidRDefault="0EAA3566" w:rsidP="001B0330">
            <w:pPr>
              <w:pStyle w:val="ListParagraph"/>
            </w:pPr>
            <w:r>
              <w:t>Do you support further work in relation to the above areas?</w:t>
            </w:r>
            <w:r w:rsidR="00BD6693">
              <w:t xml:space="preserve"> </w:t>
            </w:r>
            <w:r w:rsidR="00C74E7B">
              <w:t xml:space="preserve">Are there areas </w:t>
            </w:r>
            <w:r w:rsidR="00737AD0">
              <w:t>that</w:t>
            </w:r>
            <w:r w:rsidR="00C74E7B">
              <w:t xml:space="preserve"> should be</w:t>
            </w:r>
            <w:r w:rsidR="00737AD0">
              <w:t xml:space="preserve"> prioritised?</w:t>
            </w:r>
          </w:p>
          <w:p w14:paraId="307718BC" w14:textId="6EE2946E" w:rsidR="009A02E8" w:rsidRPr="00964990" w:rsidRDefault="002747C0" w:rsidP="001B0330">
            <w:pPr>
              <w:pStyle w:val="ListParagraph"/>
            </w:pPr>
            <w:r>
              <w:t xml:space="preserve">Are there </w:t>
            </w:r>
            <w:r w:rsidR="0EAA3566">
              <w:t xml:space="preserve">other issues, areas, or improvements </w:t>
            </w:r>
            <w:r w:rsidR="00F8552B">
              <w:t>that should</w:t>
            </w:r>
            <w:r w:rsidR="0EAA3566">
              <w:t xml:space="preserve"> be considered </w:t>
            </w:r>
            <w:r w:rsidR="005A1147">
              <w:t>to improve</w:t>
            </w:r>
            <w:r w:rsidR="0EAA3566">
              <w:t xml:space="preserve"> </w:t>
            </w:r>
            <w:r w:rsidR="005A1147">
              <w:t xml:space="preserve">CDR </w:t>
            </w:r>
            <w:r w:rsidR="0EAA3566">
              <w:t>consent</w:t>
            </w:r>
            <w:r w:rsidR="005A1147">
              <w:t>s</w:t>
            </w:r>
            <w:r w:rsidR="0EAA3566">
              <w:t>?</w:t>
            </w:r>
          </w:p>
        </w:tc>
      </w:tr>
    </w:tbl>
    <w:p w14:paraId="63EB4A27" w14:textId="77777777" w:rsidR="009A02E8" w:rsidRDefault="009A02E8" w:rsidP="00964990">
      <w:pPr>
        <w:rPr>
          <w:rFonts w:eastAsia="Calibri" w:cs="Calibri"/>
          <w:b/>
          <w:bCs/>
          <w:sz w:val="24"/>
          <w:szCs w:val="24"/>
        </w:rPr>
      </w:pPr>
    </w:p>
    <w:sectPr w:rsidR="009A02E8" w:rsidSect="003635E7">
      <w:headerReference w:type="default" r:id="rId3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83AF" w14:textId="77777777" w:rsidR="008C73ED" w:rsidRDefault="008C73ED" w:rsidP="004B4412">
      <w:pPr>
        <w:spacing w:before="0"/>
      </w:pPr>
      <w:r>
        <w:separator/>
      </w:r>
    </w:p>
  </w:endnote>
  <w:endnote w:type="continuationSeparator" w:id="0">
    <w:p w14:paraId="367D5E62" w14:textId="77777777" w:rsidR="008C73ED" w:rsidRDefault="008C73ED" w:rsidP="004B4412">
      <w:pPr>
        <w:spacing w:before="0"/>
      </w:pPr>
      <w:r>
        <w:continuationSeparator/>
      </w:r>
    </w:p>
  </w:endnote>
  <w:endnote w:type="continuationNotice" w:id="1">
    <w:p w14:paraId="049104FC" w14:textId="77777777" w:rsidR="008C73ED" w:rsidRDefault="008C73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101542"/>
      <w:docPartObj>
        <w:docPartGallery w:val="Page Numbers (Bottom of Page)"/>
        <w:docPartUnique/>
      </w:docPartObj>
    </w:sdtPr>
    <w:sdtEndPr>
      <w:rPr>
        <w:noProof/>
      </w:rPr>
    </w:sdtEndPr>
    <w:sdtContent>
      <w:p w14:paraId="2929337C" w14:textId="66AEF100" w:rsidR="00BB12E0" w:rsidRDefault="00BB12E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AF983B4" w14:textId="77777777" w:rsidR="00BB12E0" w:rsidRDefault="00BB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3433" w14:textId="77777777" w:rsidR="008C73ED" w:rsidRDefault="008C73ED" w:rsidP="004B4412">
      <w:pPr>
        <w:spacing w:before="0"/>
      </w:pPr>
      <w:r>
        <w:separator/>
      </w:r>
    </w:p>
  </w:footnote>
  <w:footnote w:type="continuationSeparator" w:id="0">
    <w:p w14:paraId="1C45C0EF" w14:textId="77777777" w:rsidR="008C73ED" w:rsidRDefault="008C73ED" w:rsidP="004B4412">
      <w:pPr>
        <w:spacing w:before="0"/>
      </w:pPr>
      <w:r>
        <w:continuationSeparator/>
      </w:r>
    </w:p>
  </w:footnote>
  <w:footnote w:type="continuationNotice" w:id="1">
    <w:p w14:paraId="232FB47D" w14:textId="77777777" w:rsidR="008C73ED" w:rsidRDefault="008C73ED">
      <w:pPr>
        <w:spacing w:before="0"/>
      </w:pPr>
    </w:p>
  </w:footnote>
  <w:footnote w:id="2">
    <w:p w14:paraId="79FD09D0" w14:textId="6B0FFCE3" w:rsidR="0091140E" w:rsidRDefault="0091140E" w:rsidP="0091140E">
      <w:pPr>
        <w:pStyle w:val="FootnoteText"/>
      </w:pPr>
      <w:r>
        <w:rPr>
          <w:rStyle w:val="FootnoteReference"/>
        </w:rPr>
        <w:footnoteRef/>
      </w:r>
      <w:r w:rsidR="04AA6B35">
        <w:t xml:space="preserve"> DSB 2022, Consumer Experience Research: </w:t>
      </w:r>
      <w:hyperlink r:id="rId1">
        <w:r w:rsidR="04AA6B35" w:rsidRPr="04AA6B35">
          <w:rPr>
            <w:rStyle w:val="Hyperlink"/>
            <w:sz w:val="16"/>
            <w:szCs w:val="16"/>
          </w:rPr>
          <w:t>Consent Review Report</w:t>
        </w:r>
      </w:hyperlink>
      <w:r w:rsidR="00581080">
        <w:rPr>
          <w:rStyle w:val="Hyperlink"/>
          <w:sz w:val="16"/>
          <w:szCs w:val="16"/>
        </w:rPr>
        <w:t>.</w:t>
      </w:r>
    </w:p>
  </w:footnote>
  <w:footnote w:id="3">
    <w:p w14:paraId="38BB9717" w14:textId="3ECAF42A" w:rsidR="00F26D9D" w:rsidRDefault="00F26D9D">
      <w:pPr>
        <w:pStyle w:val="FootnoteText"/>
      </w:pPr>
      <w:r>
        <w:rPr>
          <w:rStyle w:val="FootnoteReference"/>
        </w:rPr>
        <w:footnoteRef/>
      </w:r>
      <w:r>
        <w:t xml:space="preserve"> DSB, </w:t>
      </w:r>
      <w:hyperlink r:id="rId2">
        <w:r w:rsidRPr="04AA6B35">
          <w:rPr>
            <w:rStyle w:val="Hyperlink"/>
            <w:sz w:val="16"/>
            <w:szCs w:val="16"/>
          </w:rPr>
          <w:t>Consumer Experience Research and Community Engagement</w:t>
        </w:r>
      </w:hyperlink>
      <w:r>
        <w:rPr>
          <w:rStyle w:val="Hyperlink"/>
          <w:sz w:val="16"/>
          <w:szCs w:val="16"/>
        </w:rPr>
        <w:t>.</w:t>
      </w:r>
    </w:p>
  </w:footnote>
  <w:footnote w:id="4">
    <w:p w14:paraId="271B1949" w14:textId="30FD0225" w:rsidR="00E62F73" w:rsidRDefault="00E62F73">
      <w:pPr>
        <w:pStyle w:val="FootnoteText"/>
      </w:pPr>
      <w:r>
        <w:rPr>
          <w:rStyle w:val="FootnoteReference"/>
        </w:rPr>
        <w:footnoteRef/>
      </w:r>
      <w:r>
        <w:t xml:space="preserve"> CDR Rules 2020</w:t>
      </w:r>
      <w:r w:rsidR="00FF3C3D">
        <w:t>, r</w:t>
      </w:r>
      <w:r w:rsidR="00D53A87">
        <w:t xml:space="preserve"> </w:t>
      </w:r>
      <w:r w:rsidR="00FF3C3D">
        <w:t>4.9</w:t>
      </w:r>
      <w:r w:rsidR="00581080">
        <w:t>.</w:t>
      </w:r>
    </w:p>
  </w:footnote>
  <w:footnote w:id="5">
    <w:p w14:paraId="54E90220" w14:textId="3A9734F2" w:rsidR="00E6365D" w:rsidRDefault="00E6365D">
      <w:pPr>
        <w:pStyle w:val="FootnoteText"/>
      </w:pPr>
      <w:r>
        <w:rPr>
          <w:rStyle w:val="FootnoteReference"/>
        </w:rPr>
        <w:footnoteRef/>
      </w:r>
      <w:r w:rsidR="00E6786E">
        <w:t xml:space="preserve"> </w:t>
      </w:r>
      <w:r w:rsidR="00E6786E" w:rsidRPr="00E6786E">
        <w:t>CDR Rules 2020, Division 4.3A.</w:t>
      </w:r>
    </w:p>
  </w:footnote>
  <w:footnote w:id="6">
    <w:p w14:paraId="6CFC3AB4" w14:textId="52D6E287" w:rsidR="00B2207A" w:rsidRDefault="00B2207A" w:rsidP="001E1039">
      <w:pPr>
        <w:pStyle w:val="FootnoteText"/>
        <w:tabs>
          <w:tab w:val="clear" w:pos="340"/>
        </w:tabs>
        <w:ind w:left="0" w:firstLine="0"/>
      </w:pPr>
      <w:r>
        <w:rPr>
          <w:rStyle w:val="FootnoteReference"/>
        </w:rPr>
        <w:footnoteRef/>
      </w:r>
      <w:r>
        <w:t xml:space="preserve"> </w:t>
      </w:r>
      <w:r w:rsidR="00EB4090">
        <w:t>Consultation on the</w:t>
      </w:r>
      <w:r w:rsidR="008F20F4">
        <w:t xml:space="preserve"> </w:t>
      </w:r>
      <w:r w:rsidR="00F21CFC">
        <w:t xml:space="preserve">exposure draft legislation to enable action initiation </w:t>
      </w:r>
      <w:r w:rsidR="00471E91">
        <w:t>in the CDR</w:t>
      </w:r>
      <w:r w:rsidR="00F21CFC">
        <w:t xml:space="preserve"> </w:t>
      </w:r>
      <w:r w:rsidR="00EB4090">
        <w:t xml:space="preserve">closed </w:t>
      </w:r>
      <w:r w:rsidR="00957E22">
        <w:t xml:space="preserve">on 24 October 2022. Details </w:t>
      </w:r>
      <w:r w:rsidR="00F21CFC">
        <w:t xml:space="preserve">can be </w:t>
      </w:r>
      <w:r w:rsidR="00EB4090">
        <w:t>found on the</w:t>
      </w:r>
      <w:r w:rsidR="00EC7B49">
        <w:t xml:space="preserve"> </w:t>
      </w:r>
      <w:hyperlink r:id="rId3" w:history="1">
        <w:r w:rsidR="00EC7B49" w:rsidRPr="00EC7B49">
          <w:rPr>
            <w:rStyle w:val="Hyperlink"/>
            <w:sz w:val="16"/>
          </w:rPr>
          <w:t>Treasury website</w:t>
        </w:r>
      </w:hyperlink>
      <w:r w:rsidR="00957E22">
        <w:t>.</w:t>
      </w:r>
      <w:r w:rsidR="00EC7B49">
        <w:t xml:space="preserve"> </w:t>
      </w:r>
      <w:r w:rsidR="00856293">
        <w:t xml:space="preserve">Details of the </w:t>
      </w:r>
      <w:hyperlink r:id="rId4" w:history="1">
        <w:r w:rsidR="00856293" w:rsidRPr="00471E91">
          <w:rPr>
            <w:rStyle w:val="Hyperlink"/>
            <w:sz w:val="16"/>
          </w:rPr>
          <w:t>Treasury Laws Amendment (Consumer Data Right) Bill 2022</w:t>
        </w:r>
      </w:hyperlink>
      <w:r w:rsidR="00856293">
        <w:t xml:space="preserve"> are available on the </w:t>
      </w:r>
      <w:r w:rsidR="00CF3E3C">
        <w:t>Parliament of Australia website.</w:t>
      </w:r>
    </w:p>
  </w:footnote>
  <w:footnote w:id="7">
    <w:p w14:paraId="429B20B7" w14:textId="0F83DBC4" w:rsidR="00F44338" w:rsidRDefault="00F44338">
      <w:pPr>
        <w:pStyle w:val="FootnoteText"/>
      </w:pPr>
      <w:r>
        <w:rPr>
          <w:rStyle w:val="FootnoteReference"/>
        </w:rPr>
        <w:footnoteRef/>
      </w:r>
      <w:r>
        <w:t xml:space="preserve"> </w:t>
      </w:r>
      <w:r w:rsidR="00C626E7">
        <w:t>Attorney-General’s Department 202</w:t>
      </w:r>
      <w:r w:rsidR="00E2560C">
        <w:t>2</w:t>
      </w:r>
      <w:r w:rsidR="00C626E7">
        <w:t xml:space="preserve">, </w:t>
      </w:r>
      <w:hyperlink r:id="rId5" w:history="1">
        <w:r w:rsidR="00C626E7" w:rsidRPr="00C626E7">
          <w:rPr>
            <w:rStyle w:val="Hyperlink"/>
            <w:sz w:val="16"/>
          </w:rPr>
          <w:t>Privacy Act Review Report</w:t>
        </w:r>
      </w:hyperlink>
      <w:r w:rsidR="00C626E7">
        <w:t>.</w:t>
      </w:r>
    </w:p>
  </w:footnote>
  <w:footnote w:id="8">
    <w:p w14:paraId="35616024" w14:textId="55AFEBAA" w:rsidR="006A3B0F" w:rsidRDefault="006A3B0F">
      <w:pPr>
        <w:pStyle w:val="FootnoteText"/>
      </w:pPr>
      <w:r>
        <w:rPr>
          <w:rStyle w:val="FootnoteReference"/>
        </w:rPr>
        <w:footnoteRef/>
      </w:r>
      <w:r>
        <w:t xml:space="preserve"> Attorney-General’s Department 2022, </w:t>
      </w:r>
      <w:hyperlink r:id="rId6" w:history="1">
        <w:r w:rsidRPr="00C626E7">
          <w:rPr>
            <w:rStyle w:val="Hyperlink"/>
            <w:sz w:val="16"/>
          </w:rPr>
          <w:t>Privacy Act Review Report</w:t>
        </w:r>
      </w:hyperlink>
      <w:r>
        <w:t>, p.1</w:t>
      </w:r>
      <w:r w:rsidR="003F1AF8">
        <w:t>.</w:t>
      </w:r>
    </w:p>
  </w:footnote>
  <w:footnote w:id="9">
    <w:p w14:paraId="5C4FCB95" w14:textId="782697F3" w:rsidR="00966B53" w:rsidRDefault="00966B53">
      <w:pPr>
        <w:pStyle w:val="FootnoteText"/>
      </w:pPr>
      <w:r>
        <w:rPr>
          <w:rStyle w:val="FootnoteReference"/>
        </w:rPr>
        <w:footnoteRef/>
      </w:r>
      <w:r>
        <w:t xml:space="preserve"> Attorney-General’s Department 2022, </w:t>
      </w:r>
      <w:hyperlink r:id="rId7" w:history="1">
        <w:r w:rsidRPr="00C626E7">
          <w:rPr>
            <w:rStyle w:val="Hyperlink"/>
            <w:sz w:val="16"/>
          </w:rPr>
          <w:t>Privacy Act Review Report</w:t>
        </w:r>
      </w:hyperlink>
      <w:r>
        <w:t>, p.1</w:t>
      </w:r>
      <w:r w:rsidR="00AC5977">
        <w:t>06</w:t>
      </w:r>
      <w:r>
        <w:t>.</w:t>
      </w:r>
    </w:p>
  </w:footnote>
  <w:footnote w:id="10">
    <w:p w14:paraId="59A5F596" w14:textId="1C92F077" w:rsidR="008B4301" w:rsidRDefault="008B4301" w:rsidP="001E1039">
      <w:pPr>
        <w:pStyle w:val="FootnoteText"/>
        <w:tabs>
          <w:tab w:val="clear" w:pos="340"/>
        </w:tabs>
        <w:ind w:left="0" w:firstLine="0"/>
      </w:pPr>
      <w:r>
        <w:rPr>
          <w:rStyle w:val="FootnoteReference"/>
        </w:rPr>
        <w:footnoteRef/>
      </w:r>
      <w:r>
        <w:t xml:space="preserve"> </w:t>
      </w:r>
      <w:r w:rsidR="00E639A8">
        <w:t xml:space="preserve">Feedback posted on GitHub is public by nature at the time of submission. Content posted on </w:t>
      </w:r>
      <w:r w:rsidR="00E639A8" w:rsidRPr="00A83E06">
        <w:t>GitHub</w:t>
      </w:r>
      <w:r w:rsidR="00E639A8">
        <w:t xml:space="preserve"> should be made according to the community engagement rules published by the </w:t>
      </w:r>
      <w:r w:rsidR="00D0499A">
        <w:t>DSB</w:t>
      </w:r>
      <w:r w:rsidR="00E639A8">
        <w:t>.</w:t>
      </w:r>
    </w:p>
  </w:footnote>
  <w:footnote w:id="11">
    <w:p w14:paraId="70160CD8" w14:textId="7726B670" w:rsidR="00A85863" w:rsidRDefault="00A85863">
      <w:pPr>
        <w:pStyle w:val="FootnoteText"/>
      </w:pPr>
      <w:r>
        <w:rPr>
          <w:rStyle w:val="FootnoteReference"/>
        </w:rPr>
        <w:footnoteRef/>
      </w:r>
      <w:r>
        <w:t xml:space="preserve"> </w:t>
      </w:r>
      <w:r w:rsidR="00D12BAB">
        <w:t xml:space="preserve">DSB </w:t>
      </w:r>
      <w:r w:rsidR="00A12AAB">
        <w:t>2022,</w:t>
      </w:r>
      <w:hyperlink r:id="rId8" w:history="1">
        <w:r w:rsidR="00A12AAB" w:rsidRPr="0012362D">
          <w:rPr>
            <w:rStyle w:val="Hyperlink"/>
            <w:sz w:val="16"/>
          </w:rPr>
          <w:t xml:space="preserve"> Noting Paper 273 – Consent Review</w:t>
        </w:r>
      </w:hyperlink>
      <w:r w:rsidR="00445A5A">
        <w:t>.</w:t>
      </w:r>
    </w:p>
  </w:footnote>
  <w:footnote w:id="12">
    <w:p w14:paraId="41F9583D" w14:textId="2331E3AC" w:rsidR="00AE1A22" w:rsidRPr="00705458" w:rsidRDefault="00AE1A22">
      <w:pPr>
        <w:pStyle w:val="FootnoteText"/>
        <w:rPr>
          <w:szCs w:val="16"/>
        </w:rPr>
      </w:pPr>
      <w:r>
        <w:rPr>
          <w:rStyle w:val="FootnoteReference"/>
        </w:rPr>
        <w:footnoteRef/>
      </w:r>
      <w:r>
        <w:t xml:space="preserve"> </w:t>
      </w:r>
      <w:r w:rsidR="00F06AA7">
        <w:rPr>
          <w:szCs w:val="16"/>
        </w:rPr>
        <w:t xml:space="preserve">DSB </w:t>
      </w:r>
      <w:r w:rsidR="00E44170">
        <w:rPr>
          <w:szCs w:val="16"/>
        </w:rPr>
        <w:t xml:space="preserve">2022, </w:t>
      </w:r>
      <w:hyperlink r:id="rId9" w:history="1">
        <w:r w:rsidR="00705458" w:rsidRPr="0069146D">
          <w:rPr>
            <w:rStyle w:val="Hyperlink"/>
            <w:rFonts w:cs="Calibri"/>
            <w:sz w:val="16"/>
            <w:szCs w:val="16"/>
          </w:rPr>
          <w:t>Noting Paper 280</w:t>
        </w:r>
        <w:r w:rsidRPr="00705458">
          <w:rPr>
            <w:rStyle w:val="Hyperlink"/>
            <w:rFonts w:cs="Calibri"/>
            <w:sz w:val="16"/>
            <w:szCs w:val="16"/>
          </w:rPr>
          <w:t xml:space="preserve"> </w:t>
        </w:r>
        <w:r w:rsidR="007E078F" w:rsidRPr="00705458">
          <w:rPr>
            <w:rStyle w:val="Hyperlink"/>
            <w:rFonts w:cs="Calibri"/>
            <w:sz w:val="16"/>
            <w:szCs w:val="16"/>
          </w:rPr>
          <w:t xml:space="preserve">– The CX of </w:t>
        </w:r>
        <w:r w:rsidR="00705458" w:rsidRPr="00705458">
          <w:rPr>
            <w:rStyle w:val="Hyperlink"/>
            <w:rFonts w:cs="Calibri"/>
            <w:sz w:val="16"/>
            <w:szCs w:val="16"/>
          </w:rPr>
          <w:t>A</w:t>
        </w:r>
        <w:r w:rsidR="007E078F" w:rsidRPr="00705458">
          <w:rPr>
            <w:rStyle w:val="Hyperlink"/>
            <w:rFonts w:cs="Calibri"/>
            <w:sz w:val="16"/>
            <w:szCs w:val="16"/>
          </w:rPr>
          <w:t xml:space="preserve">uthentication </w:t>
        </w:r>
        <w:r w:rsidR="00705458" w:rsidRPr="00705458">
          <w:rPr>
            <w:rStyle w:val="Hyperlink"/>
            <w:rFonts w:cs="Calibri"/>
            <w:sz w:val="16"/>
            <w:szCs w:val="16"/>
          </w:rPr>
          <w:t>U</w:t>
        </w:r>
        <w:r w:rsidR="007E078F" w:rsidRPr="00705458">
          <w:rPr>
            <w:rStyle w:val="Hyperlink"/>
            <w:rFonts w:cs="Calibri"/>
            <w:sz w:val="16"/>
            <w:szCs w:val="16"/>
          </w:rPr>
          <w:t>plift</w:t>
        </w:r>
      </w:hyperlink>
      <w:r w:rsidR="007E078F" w:rsidRPr="00705458">
        <w:rPr>
          <w:rFonts w:cs="Calibri"/>
          <w:szCs w:val="16"/>
        </w:rPr>
        <w:t xml:space="preserve"> </w:t>
      </w:r>
      <w:r w:rsidRPr="00705458">
        <w:rPr>
          <w:rFonts w:cs="Calibri"/>
          <w:szCs w:val="16"/>
        </w:rPr>
        <w:t xml:space="preserve">and </w:t>
      </w:r>
      <w:hyperlink r:id="rId10" w:history="1">
        <w:r w:rsidR="00F06AA7" w:rsidRPr="0069146D">
          <w:rPr>
            <w:rStyle w:val="Hyperlink"/>
            <w:sz w:val="16"/>
          </w:rPr>
          <w:t>Noting Paper 258</w:t>
        </w:r>
        <w:r w:rsidR="007E078F" w:rsidRPr="0069146D">
          <w:rPr>
            <w:rStyle w:val="Hyperlink"/>
            <w:sz w:val="16"/>
          </w:rPr>
          <w:t xml:space="preserve"> </w:t>
        </w:r>
        <w:r w:rsidR="00705458" w:rsidRPr="0069146D">
          <w:rPr>
            <w:rStyle w:val="Hyperlink"/>
            <w:sz w:val="16"/>
          </w:rPr>
          <w:t>–</w:t>
        </w:r>
        <w:r w:rsidR="007E078F" w:rsidRPr="0069146D">
          <w:rPr>
            <w:rStyle w:val="Hyperlink"/>
            <w:sz w:val="16"/>
          </w:rPr>
          <w:t xml:space="preserve"> </w:t>
        </w:r>
        <w:r w:rsidR="00350A39">
          <w:rPr>
            <w:rStyle w:val="Hyperlink"/>
            <w:sz w:val="16"/>
          </w:rPr>
          <w:t>I</w:t>
        </w:r>
        <w:r w:rsidR="00705458" w:rsidRPr="0069146D">
          <w:rPr>
            <w:rStyle w:val="Hyperlink"/>
            <w:sz w:val="16"/>
          </w:rPr>
          <w:t xml:space="preserve">ndependent </w:t>
        </w:r>
        <w:r w:rsidR="00350A39">
          <w:rPr>
            <w:rStyle w:val="Hyperlink"/>
            <w:sz w:val="16"/>
          </w:rPr>
          <w:t>I</w:t>
        </w:r>
        <w:r w:rsidR="00705458" w:rsidRPr="0069146D">
          <w:rPr>
            <w:rStyle w:val="Hyperlink"/>
            <w:sz w:val="16"/>
          </w:rPr>
          <w:t xml:space="preserve">nformation </w:t>
        </w:r>
        <w:r w:rsidR="00350A39">
          <w:rPr>
            <w:rStyle w:val="Hyperlink"/>
            <w:sz w:val="16"/>
          </w:rPr>
          <w:t>S</w:t>
        </w:r>
        <w:r w:rsidR="00705458" w:rsidRPr="0069146D">
          <w:rPr>
            <w:rStyle w:val="Hyperlink"/>
            <w:sz w:val="16"/>
          </w:rPr>
          <w:t xml:space="preserve">ecurity </w:t>
        </w:r>
        <w:r w:rsidR="00350A39">
          <w:rPr>
            <w:rStyle w:val="Hyperlink"/>
            <w:sz w:val="16"/>
          </w:rPr>
          <w:t>R</w:t>
        </w:r>
        <w:r w:rsidR="00705458" w:rsidRPr="0069146D">
          <w:rPr>
            <w:rStyle w:val="Hyperlink"/>
            <w:sz w:val="16"/>
          </w:rPr>
          <w:t>eview</w:t>
        </w:r>
      </w:hyperlink>
      <w:r w:rsidR="00445A5A">
        <w:t>.</w:t>
      </w:r>
    </w:p>
  </w:footnote>
  <w:footnote w:id="13">
    <w:p w14:paraId="7CCAB465" w14:textId="1EB0C220" w:rsidR="001401A7" w:rsidRDefault="001401A7">
      <w:pPr>
        <w:pStyle w:val="FootnoteText"/>
      </w:pPr>
      <w:r>
        <w:rPr>
          <w:rStyle w:val="FootnoteReference"/>
        </w:rPr>
        <w:footnoteRef/>
      </w:r>
      <w:r>
        <w:t xml:space="preserve"> </w:t>
      </w:r>
      <w:r w:rsidR="005370F9" w:rsidRPr="00012F9D">
        <w:t>CDR Rules</w:t>
      </w:r>
      <w:r w:rsidR="008C1379">
        <w:t xml:space="preserve"> 2020, r </w:t>
      </w:r>
      <w:r w:rsidRPr="1EEC6329">
        <w:rPr>
          <w:rFonts w:cs="Calibri"/>
        </w:rPr>
        <w:t>4.10(1)(b)(ii)</w:t>
      </w:r>
      <w:r w:rsidR="00D12EBE">
        <w:rPr>
          <w:i/>
          <w:iCs/>
        </w:rPr>
        <w:t>.</w:t>
      </w:r>
    </w:p>
  </w:footnote>
  <w:footnote w:id="14">
    <w:p w14:paraId="283A16AF" w14:textId="7E14156C" w:rsidR="003448AB" w:rsidRDefault="003448AB">
      <w:pPr>
        <w:pStyle w:val="FootnoteText"/>
      </w:pPr>
      <w:r>
        <w:rPr>
          <w:rStyle w:val="FootnoteReference"/>
        </w:rPr>
        <w:footnoteRef/>
      </w:r>
      <w:r>
        <w:t xml:space="preserve"> </w:t>
      </w:r>
      <w:r w:rsidR="00D7182B">
        <w:t xml:space="preserve">OAIC </w:t>
      </w:r>
      <w:r w:rsidR="00E63464">
        <w:t xml:space="preserve">2022, </w:t>
      </w:r>
      <w:hyperlink r:id="rId11" w:history="1">
        <w:r w:rsidR="00821E65" w:rsidRPr="003D3863">
          <w:rPr>
            <w:rStyle w:val="Hyperlink"/>
            <w:sz w:val="16"/>
          </w:rPr>
          <w:t>CDR Privacy Safeguard Guidelines</w:t>
        </w:r>
        <w:r w:rsidR="003D3863" w:rsidRPr="003D3863">
          <w:rPr>
            <w:rStyle w:val="Hyperlink"/>
            <w:sz w:val="16"/>
          </w:rPr>
          <w:t xml:space="preserve"> -</w:t>
        </w:r>
        <w:r w:rsidR="00821E65" w:rsidRPr="003D3863">
          <w:rPr>
            <w:rStyle w:val="Hyperlink"/>
            <w:sz w:val="16"/>
          </w:rPr>
          <w:t xml:space="preserve"> </w:t>
        </w:r>
        <w:r w:rsidR="006A60E2" w:rsidRPr="003D3863">
          <w:rPr>
            <w:rStyle w:val="Hyperlink"/>
            <w:sz w:val="16"/>
          </w:rPr>
          <w:t>Chapter C</w:t>
        </w:r>
        <w:r w:rsidR="00AD5F64" w:rsidRPr="003D3863">
          <w:rPr>
            <w:rStyle w:val="Hyperlink"/>
            <w:sz w:val="16"/>
          </w:rPr>
          <w:t>: Consent</w:t>
        </w:r>
      </w:hyperlink>
      <w:r w:rsidR="006A60E2">
        <w:t xml:space="preserve">, </w:t>
      </w:r>
      <w:r w:rsidR="009E6CE1">
        <w:t>C.44</w:t>
      </w:r>
      <w:r w:rsidR="006A60E2">
        <w:t>.</w:t>
      </w:r>
    </w:p>
  </w:footnote>
  <w:footnote w:id="15">
    <w:p w14:paraId="7B095B12" w14:textId="4BF7F010" w:rsidR="00BC53DD" w:rsidRDefault="00BC53DD">
      <w:pPr>
        <w:pStyle w:val="FootnoteText"/>
      </w:pPr>
      <w:r>
        <w:rPr>
          <w:rStyle w:val="FootnoteReference"/>
        </w:rPr>
        <w:footnoteRef/>
      </w:r>
      <w:r>
        <w:t xml:space="preserve"> OAIC</w:t>
      </w:r>
      <w:r w:rsidR="000A02B0">
        <w:t xml:space="preserve"> 2022</w:t>
      </w:r>
      <w:r w:rsidR="00FF4BE1">
        <w:t xml:space="preserve">, </w:t>
      </w:r>
      <w:hyperlink r:id="rId12" w:history="1">
        <w:r w:rsidR="00FF4BE1" w:rsidRPr="00C32317">
          <w:rPr>
            <w:rStyle w:val="Hyperlink"/>
            <w:sz w:val="16"/>
          </w:rPr>
          <w:t>Australian Privacy Principle Guidelines</w:t>
        </w:r>
        <w:r w:rsidR="00C32317" w:rsidRPr="00C32317">
          <w:rPr>
            <w:rStyle w:val="Hyperlink"/>
            <w:sz w:val="16"/>
          </w:rPr>
          <w:t xml:space="preserve"> </w:t>
        </w:r>
        <w:r w:rsidR="00AD5F64">
          <w:rPr>
            <w:rStyle w:val="Hyperlink"/>
            <w:sz w:val="16"/>
          </w:rPr>
          <w:t>–</w:t>
        </w:r>
        <w:r w:rsidR="00C32317" w:rsidRPr="00C32317">
          <w:rPr>
            <w:rStyle w:val="Hyperlink"/>
            <w:sz w:val="16"/>
          </w:rPr>
          <w:t xml:space="preserve"> </w:t>
        </w:r>
        <w:r w:rsidR="00AD5F64">
          <w:rPr>
            <w:rStyle w:val="Hyperlink"/>
            <w:sz w:val="16"/>
          </w:rPr>
          <w:t xml:space="preserve">Chapter B: </w:t>
        </w:r>
        <w:r w:rsidR="00FF4BE1" w:rsidRPr="00C32317">
          <w:rPr>
            <w:rStyle w:val="Hyperlink"/>
            <w:sz w:val="16"/>
          </w:rPr>
          <w:t>Key Concepts</w:t>
        </w:r>
      </w:hyperlink>
      <w:r w:rsidR="00FF4BE1">
        <w:t xml:space="preserve">, </w:t>
      </w:r>
      <w:r w:rsidR="00C32317">
        <w:t>B.49</w:t>
      </w:r>
      <w:r w:rsidR="00445A5A">
        <w:t>.</w:t>
      </w:r>
    </w:p>
  </w:footnote>
  <w:footnote w:id="16">
    <w:p w14:paraId="389E3285" w14:textId="01C16098" w:rsidR="00FC70B6" w:rsidRDefault="00FC70B6">
      <w:pPr>
        <w:pStyle w:val="FootnoteText"/>
      </w:pPr>
      <w:r>
        <w:rPr>
          <w:rStyle w:val="FootnoteReference"/>
        </w:rPr>
        <w:footnoteRef/>
      </w:r>
      <w:r>
        <w:t xml:space="preserve"> CDR Rules 2020, r</w:t>
      </w:r>
      <w:r w:rsidR="006A1813">
        <w:t xml:space="preserve"> </w:t>
      </w:r>
      <w:r>
        <w:t>1.10A</w:t>
      </w:r>
      <w:r w:rsidR="000D399B">
        <w:t>(1)</w:t>
      </w:r>
      <w:r w:rsidR="00445A5A">
        <w:t>.</w:t>
      </w:r>
    </w:p>
  </w:footnote>
  <w:footnote w:id="17">
    <w:p w14:paraId="4A07787E" w14:textId="53E140C8" w:rsidR="00F17924" w:rsidRDefault="00F17924" w:rsidP="001E1039">
      <w:pPr>
        <w:pStyle w:val="FootnoteText"/>
        <w:tabs>
          <w:tab w:val="clear" w:pos="340"/>
        </w:tabs>
        <w:ind w:left="0" w:firstLine="0"/>
      </w:pPr>
      <w:r w:rsidRPr="4B2D6899">
        <w:rPr>
          <w:rStyle w:val="FootnoteReference"/>
        </w:rPr>
        <w:footnoteRef/>
      </w:r>
      <w:r>
        <w:t xml:space="preserve"> </w:t>
      </w:r>
      <w:r w:rsidR="00F52DBE">
        <w:t>The term ‘c</w:t>
      </w:r>
      <w:r>
        <w:t>onsent fatigue</w:t>
      </w:r>
      <w:r w:rsidR="00F52DBE">
        <w:t>’</w:t>
      </w:r>
      <w:r>
        <w:t xml:space="preserve"> describes the disengagement or mental exhaustion that consumers may experience when asked to comprehend technical or extensive </w:t>
      </w:r>
      <w:r>
        <w:t xml:space="preserve">information, or engage in multiple and repetitive interactions. </w:t>
      </w:r>
    </w:p>
  </w:footnote>
  <w:footnote w:id="18">
    <w:p w14:paraId="7E424BB9" w14:textId="0B464F86" w:rsidR="00BE4BAC" w:rsidRDefault="00BE4BAC">
      <w:pPr>
        <w:pStyle w:val="FootnoteText"/>
      </w:pPr>
      <w:r>
        <w:rPr>
          <w:rStyle w:val="FootnoteReference"/>
        </w:rPr>
        <w:footnoteRef/>
      </w:r>
      <w:r>
        <w:t xml:space="preserve"> </w:t>
      </w:r>
      <w:r w:rsidR="003114DE">
        <w:t>Treasury 202</w:t>
      </w:r>
      <w:r w:rsidR="005E4E94">
        <w:t xml:space="preserve">2, </w:t>
      </w:r>
      <w:r w:rsidR="0003797A">
        <w:t xml:space="preserve">Statutory Review, </w:t>
      </w:r>
      <w:r>
        <w:t>Finding 2.2</w:t>
      </w:r>
      <w:r w:rsidR="005E4E94">
        <w:t>.</w:t>
      </w:r>
      <w:r w:rsidR="006E249B">
        <w:t xml:space="preserve"> </w:t>
      </w:r>
    </w:p>
  </w:footnote>
  <w:footnote w:id="19">
    <w:p w14:paraId="4C03D757" w14:textId="3503FCED" w:rsidR="005B5350" w:rsidRDefault="005B5350">
      <w:pPr>
        <w:pStyle w:val="FootnoteText"/>
      </w:pPr>
      <w:r>
        <w:rPr>
          <w:rStyle w:val="FootnoteReference"/>
        </w:rPr>
        <w:footnoteRef/>
      </w:r>
      <w:r>
        <w:t xml:space="preserve"> </w:t>
      </w:r>
      <w:r w:rsidR="0003797A">
        <w:t xml:space="preserve">Treasury 2022, Statutory Review, </w:t>
      </w:r>
      <w:r w:rsidR="000E5ECD">
        <w:t xml:space="preserve">p. </w:t>
      </w:r>
      <w:r w:rsidR="00C043A8">
        <w:t>43</w:t>
      </w:r>
      <w:r w:rsidR="00D23515">
        <w:t>.</w:t>
      </w:r>
    </w:p>
  </w:footnote>
  <w:footnote w:id="20">
    <w:p w14:paraId="16EA6E29" w14:textId="599E39E7" w:rsidR="4B2D6899" w:rsidRDefault="4B2D6899" w:rsidP="001E1039">
      <w:pPr>
        <w:pStyle w:val="FootnoteText"/>
        <w:tabs>
          <w:tab w:val="clear" w:pos="340"/>
        </w:tabs>
        <w:ind w:left="0" w:firstLine="0"/>
      </w:pPr>
      <w:r w:rsidRPr="4B2D6899">
        <w:rPr>
          <w:rStyle w:val="FootnoteReference"/>
        </w:rPr>
        <w:footnoteRef/>
      </w:r>
      <w:r>
        <w:t xml:space="preserve"> </w:t>
      </w:r>
      <w:r w:rsidRPr="4B2D6899">
        <w:t>The term 'friction' refers to obstacles that impede a consumer's progress when attempting to complete a task. Not all friction is bad. 'Negative friction' is used for obstacles that act against a consumer's interests or introduce unnecessary complexity such as making it difficult to unsubscribe. On the other hand, 'positive friction' may prevent errors or unintended outcomes, such as asking 'Are you sure?' before an irreversible action occurs.</w:t>
      </w:r>
    </w:p>
  </w:footnote>
  <w:footnote w:id="21">
    <w:p w14:paraId="43662FF2" w14:textId="72A36555" w:rsidR="4B2D6899" w:rsidRDefault="4B2D6899" w:rsidP="002275B2">
      <w:pPr>
        <w:pStyle w:val="FootnoteText"/>
      </w:pPr>
      <w:r w:rsidRPr="4B2D6899">
        <w:rPr>
          <w:rStyle w:val="FootnoteReference"/>
        </w:rPr>
        <w:footnoteRef/>
      </w:r>
      <w:r>
        <w:t xml:space="preserve"> </w:t>
      </w:r>
      <w:r w:rsidR="00F52DBE">
        <w:t>The term ‘c</w:t>
      </w:r>
      <w:r>
        <w:t>ognitive load</w:t>
      </w:r>
      <w:r w:rsidR="00F52DBE">
        <w:t>’</w:t>
      </w:r>
      <w:r>
        <w:t xml:space="preserve"> refers to the amount of mental effort required to complete a task or process information</w:t>
      </w:r>
      <w:r w:rsidR="00445A5A">
        <w:t>.</w:t>
      </w:r>
    </w:p>
  </w:footnote>
  <w:footnote w:id="22">
    <w:p w14:paraId="4863EB7B" w14:textId="5DD4CBEA" w:rsidR="44339592" w:rsidRDefault="44339592" w:rsidP="001E1039">
      <w:pPr>
        <w:pStyle w:val="FootnoteText"/>
        <w:tabs>
          <w:tab w:val="clear" w:pos="340"/>
        </w:tabs>
        <w:ind w:left="0" w:firstLine="0"/>
        <w:rPr>
          <w:rFonts w:eastAsia="Calibri" w:cs="Calibri"/>
          <w:color w:val="8764B8"/>
          <w:szCs w:val="16"/>
          <w:u w:val="single"/>
        </w:rPr>
      </w:pPr>
      <w:r w:rsidRPr="44339592">
        <w:rPr>
          <w:rStyle w:val="FootnoteReference"/>
        </w:rPr>
        <w:footnoteRef/>
      </w:r>
      <w:r>
        <w:t xml:space="preserve"> </w:t>
      </w:r>
      <w:r w:rsidRPr="002275B2">
        <w:rPr>
          <w:rFonts w:eastAsia="Calibri" w:cs="Calibri"/>
          <w:szCs w:val="16"/>
        </w:rPr>
        <w:t>The term 'mental model' is used to describe how a person expects something to work. If a process does not align with a mental model, then it does not work as expected.</w:t>
      </w:r>
    </w:p>
  </w:footnote>
  <w:footnote w:id="23">
    <w:p w14:paraId="2E1A0AA3" w14:textId="01735DFA" w:rsidR="0079588C" w:rsidRDefault="0079588C" w:rsidP="0079588C">
      <w:pPr>
        <w:pStyle w:val="FootnoteText"/>
      </w:pPr>
      <w:r w:rsidRPr="5BD75D75">
        <w:rPr>
          <w:rStyle w:val="FootnoteReference"/>
        </w:rPr>
        <w:footnoteRef/>
      </w:r>
      <w:r>
        <w:t xml:space="preserve"> </w:t>
      </w:r>
      <w:r w:rsidRPr="002275B2">
        <w:rPr>
          <w:szCs w:val="16"/>
        </w:rPr>
        <w:t xml:space="preserve">See </w:t>
      </w:r>
      <w:hyperlink r:id="rId13" w:history="1">
        <w:r w:rsidRPr="002275B2">
          <w:rPr>
            <w:rStyle w:val="Hyperlink"/>
            <w:sz w:val="16"/>
            <w:szCs w:val="16"/>
          </w:rPr>
          <w:t>21Q4.1CO3-1CO4.R1–2: Disclosure Consent Research Report</w:t>
        </w:r>
      </w:hyperlink>
      <w:r w:rsidR="00445A5A">
        <w:rPr>
          <w:rStyle w:val="Hyperlink"/>
          <w:sz w:val="16"/>
          <w:szCs w:val="16"/>
        </w:rPr>
        <w:t>.</w:t>
      </w:r>
    </w:p>
  </w:footnote>
  <w:footnote w:id="24">
    <w:p w14:paraId="5E1AD885" w14:textId="6983EB3B" w:rsidR="00DE1CF6" w:rsidRDefault="00DE1CF6" w:rsidP="001E1039">
      <w:pPr>
        <w:pStyle w:val="FootnoteText"/>
        <w:tabs>
          <w:tab w:val="clear" w:pos="340"/>
        </w:tabs>
        <w:ind w:left="0" w:firstLine="0"/>
      </w:pPr>
      <w:r>
        <w:rPr>
          <w:rStyle w:val="FootnoteReference"/>
        </w:rPr>
        <w:footnoteRef/>
      </w:r>
      <w:r>
        <w:t xml:space="preserve"> CDR Rules 2020, r</w:t>
      </w:r>
      <w:r w:rsidR="00B57BB3">
        <w:t xml:space="preserve"> </w:t>
      </w:r>
      <w:r>
        <w:t>4.13 (withdrawal of consent) supported by r 4.18A which requires a consumer be notified if a collection consent is withdrawn but a use consent is ongoing.</w:t>
      </w:r>
      <w:r w:rsidR="00736AB9">
        <w:t xml:space="preserve"> </w:t>
      </w:r>
      <w:r w:rsidR="002F5716" w:rsidRPr="00601A1A">
        <w:t xml:space="preserve">The equivalent rules for </w:t>
      </w:r>
      <w:r w:rsidR="00804F88" w:rsidRPr="00601A1A">
        <w:t xml:space="preserve">CDR representatives are 4.20J and </w:t>
      </w:r>
      <w:r w:rsidR="00DB217D" w:rsidRPr="00601A1A">
        <w:t>4.20Q</w:t>
      </w:r>
      <w:r w:rsidR="00E937EC" w:rsidRPr="00601A1A">
        <w:t xml:space="preserve"> respectively</w:t>
      </w:r>
      <w:r w:rsidR="00DB217D" w:rsidRPr="00601A1A">
        <w:t>.</w:t>
      </w:r>
    </w:p>
  </w:footnote>
  <w:footnote w:id="25">
    <w:p w14:paraId="6470CD5C" w14:textId="35A46C3A" w:rsidR="003F5FFF" w:rsidRDefault="003F5FFF" w:rsidP="001E1039">
      <w:pPr>
        <w:pStyle w:val="FootnoteText"/>
        <w:tabs>
          <w:tab w:val="clear" w:pos="340"/>
        </w:tabs>
        <w:ind w:left="0" w:firstLine="0"/>
      </w:pPr>
      <w:r>
        <w:rPr>
          <w:rStyle w:val="FootnoteReference"/>
        </w:rPr>
        <w:footnoteRef/>
      </w:r>
      <w:r>
        <w:t xml:space="preserve"> </w:t>
      </w:r>
      <w:r w:rsidR="0063266D" w:rsidRPr="002F0AD6">
        <w:rPr>
          <w:i/>
          <w:iCs/>
        </w:rPr>
        <w:t xml:space="preserve">The Privacy Act </w:t>
      </w:r>
      <w:r w:rsidR="007B447C" w:rsidRPr="002F0AD6">
        <w:rPr>
          <w:i/>
          <w:iCs/>
        </w:rPr>
        <w:t>1988</w:t>
      </w:r>
      <w:r w:rsidR="007B447C">
        <w:t xml:space="preserve"> </w:t>
      </w:r>
      <w:r w:rsidR="0063266D" w:rsidRPr="0063266D">
        <w:t>does not apply to businesses with an annual turnover of $3 million or less</w:t>
      </w:r>
      <w:r w:rsidR="00CE35DC">
        <w:t>, with some exceptions.</w:t>
      </w:r>
      <w:r w:rsidR="00736AB9" w:rsidRPr="00736AB9">
        <w:t xml:space="preserve"> </w:t>
      </w:r>
      <w:r w:rsidR="0089034D">
        <w:t xml:space="preserve">Where a disclosure consent is sought to disclose data to a </w:t>
      </w:r>
      <w:r w:rsidR="0017103E">
        <w:t xml:space="preserve">trusted adviser, insight disclosure </w:t>
      </w:r>
      <w:r w:rsidR="006E2300">
        <w:t xml:space="preserve">or </w:t>
      </w:r>
      <w:r w:rsidR="006E2300" w:rsidRPr="00601A1A">
        <w:t xml:space="preserve">business consumer disclosure consent </w:t>
      </w:r>
      <w:r w:rsidR="0017103E" w:rsidRPr="00601A1A">
        <w:t>recipient</w:t>
      </w:r>
      <w:r w:rsidR="000D3561">
        <w:t xml:space="preserve"> under the CDR</w:t>
      </w:r>
      <w:r w:rsidR="0089034D">
        <w:t xml:space="preserve">, </w:t>
      </w:r>
      <w:hyperlink r:id="rId14" w:anchor="consent-standards" w:history="1">
        <w:r w:rsidR="00B57BB3" w:rsidRPr="00F45F6E">
          <w:rPr>
            <w:rStyle w:val="Hyperlink"/>
            <w:sz w:val="16"/>
          </w:rPr>
          <w:t>consent</w:t>
        </w:r>
        <w:r w:rsidR="00F45F6E" w:rsidRPr="00F45F6E">
          <w:rPr>
            <w:rStyle w:val="Hyperlink"/>
            <w:sz w:val="16"/>
          </w:rPr>
          <w:t xml:space="preserve"> standards</w:t>
        </w:r>
      </w:hyperlink>
      <w:r w:rsidR="00736AB9">
        <w:t xml:space="preserve"> require ADRs to </w:t>
      </w:r>
      <w:r w:rsidR="00736AB9" w:rsidRPr="00736AB9">
        <w:t xml:space="preserve">state </w:t>
      </w:r>
      <w:r w:rsidR="0089034D">
        <w:t>to the consumer</w:t>
      </w:r>
      <w:r w:rsidR="000C6986">
        <w:t xml:space="preserve"> in the consent flow </w:t>
      </w:r>
      <w:r w:rsidR="00736AB9" w:rsidRPr="00736AB9">
        <w:t xml:space="preserve">that data disclosed to </w:t>
      </w:r>
      <w:r w:rsidR="000C6986">
        <w:t>the</w:t>
      </w:r>
      <w:r w:rsidR="00736AB9" w:rsidRPr="00736AB9">
        <w:t xml:space="preserve"> non-accredited person will not be regulated as part of the </w:t>
      </w:r>
      <w:r w:rsidR="00736AB9">
        <w:t>CDR</w:t>
      </w:r>
      <w:r w:rsidR="009F7017">
        <w:t xml:space="preserve"> and</w:t>
      </w:r>
      <w:r w:rsidR="00616AAB">
        <w:t xml:space="preserve"> </w:t>
      </w:r>
      <w:r w:rsidR="005D0F6A" w:rsidRPr="005D0F6A">
        <w:t>advise the consumer to review how the non-accredited person will handle their data</w:t>
      </w:r>
      <w:r w:rsidR="005D0F6A">
        <w:t>.</w:t>
      </w:r>
    </w:p>
  </w:footnote>
  <w:footnote w:id="26">
    <w:p w14:paraId="410224E8" w14:textId="609DA1DA" w:rsidR="00D97D28" w:rsidRDefault="009C0FEA" w:rsidP="00D97D28">
      <w:pPr>
        <w:pStyle w:val="FootnoteText"/>
      </w:pPr>
      <w:r>
        <w:rPr>
          <w:rStyle w:val="FootnoteReference"/>
        </w:rPr>
        <w:footnoteRef/>
      </w:r>
      <w:r>
        <w:t xml:space="preserve"> </w:t>
      </w:r>
      <w:r w:rsidR="00D97D28">
        <w:t xml:space="preserve">See </w:t>
      </w:r>
      <w:hyperlink r:id="rId15" w:history="1">
        <w:r w:rsidR="00D97D28" w:rsidRPr="00BA1BC6">
          <w:rPr>
            <w:rStyle w:val="Hyperlink"/>
            <w:sz w:val="16"/>
          </w:rPr>
          <w:t>Guidance on screen-scraping</w:t>
        </w:r>
      </w:hyperlink>
      <w:r w:rsidR="00D97D28">
        <w:t>.</w:t>
      </w:r>
    </w:p>
    <w:p w14:paraId="34539B91" w14:textId="77777777" w:rsidR="00D97D28" w:rsidRDefault="00D97D28" w:rsidP="00D97D28">
      <w:pPr>
        <w:pStyle w:val="FootnoteText"/>
      </w:pPr>
    </w:p>
    <w:p w14:paraId="29F9C89D" w14:textId="0A4EBBB7" w:rsidR="009C0FEA" w:rsidRDefault="009C0FEA">
      <w:pPr>
        <w:pStyle w:val="FootnoteText"/>
      </w:pPr>
    </w:p>
  </w:footnote>
  <w:footnote w:id="27">
    <w:p w14:paraId="4A35232E" w14:textId="4B5BE17A" w:rsidR="00F244A9" w:rsidRPr="007A1875" w:rsidRDefault="00F244A9" w:rsidP="00F244A9">
      <w:pPr>
        <w:pStyle w:val="FootnoteText"/>
      </w:pPr>
      <w:r>
        <w:rPr>
          <w:rStyle w:val="FootnoteReference"/>
        </w:rPr>
        <w:footnoteRef/>
      </w:r>
      <w:r w:rsidR="0035224A">
        <w:t xml:space="preserve"> </w:t>
      </w:r>
      <w:r w:rsidR="000D2641">
        <w:t xml:space="preserve">CDR </w:t>
      </w:r>
      <w:r w:rsidR="00DF5532">
        <w:t xml:space="preserve">Rules </w:t>
      </w:r>
      <w:r w:rsidR="000D2641">
        <w:t>2020</w:t>
      </w:r>
      <w:r w:rsidR="00DF5532">
        <w:t>, r</w:t>
      </w:r>
      <w:r>
        <w:t xml:space="preserve"> 4.11(</w:t>
      </w:r>
      <w:r w:rsidRPr="007A1875">
        <w:t>1)</w:t>
      </w:r>
      <w:r w:rsidR="00B97A39" w:rsidRPr="007A1875" w:rsidDel="009F697C">
        <w:rPr>
          <w:i/>
          <w:iCs/>
        </w:rPr>
        <w:t>.</w:t>
      </w:r>
      <w:r w:rsidR="00BD55B0" w:rsidRPr="007A1875">
        <w:t xml:space="preserve"> The</w:t>
      </w:r>
      <w:r w:rsidR="00071FC4" w:rsidRPr="007A1875">
        <w:t xml:space="preserve"> equivalent rules for CDR representatives </w:t>
      </w:r>
      <w:r w:rsidR="00C83C2B" w:rsidRPr="007A1875">
        <w:t xml:space="preserve">are </w:t>
      </w:r>
      <w:r w:rsidR="009D1319" w:rsidRPr="007A1875">
        <w:t>4.20D and</w:t>
      </w:r>
      <w:r w:rsidR="00C83C2B" w:rsidRPr="007A1875">
        <w:t xml:space="preserve"> 4.20</w:t>
      </w:r>
      <w:r w:rsidR="009D1319" w:rsidRPr="007A1875">
        <w:t xml:space="preserve">E respectively. </w:t>
      </w:r>
    </w:p>
  </w:footnote>
  <w:footnote w:id="28">
    <w:p w14:paraId="1D175250" w14:textId="39E96442" w:rsidR="00FA22C5" w:rsidRDefault="00FA22C5">
      <w:pPr>
        <w:pStyle w:val="FootnoteText"/>
      </w:pPr>
      <w:r w:rsidRPr="007A1875">
        <w:rPr>
          <w:rStyle w:val="FootnoteReference"/>
        </w:rPr>
        <w:footnoteRef/>
      </w:r>
      <w:r w:rsidRPr="007A1875">
        <w:t xml:space="preserve"> </w:t>
      </w:r>
      <w:r w:rsidR="00DF5532" w:rsidRPr="007A1875">
        <w:t xml:space="preserve">CDR Rules 2020, r </w:t>
      </w:r>
      <w:r w:rsidR="00F824CE" w:rsidRPr="007A1875">
        <w:t>4.11(2) and the e</w:t>
      </w:r>
      <w:r w:rsidRPr="007A1875">
        <w:t xml:space="preserve">xample note under </w:t>
      </w:r>
      <w:r w:rsidR="0035224A" w:rsidRPr="007A1875">
        <w:t>r</w:t>
      </w:r>
      <w:r w:rsidRPr="007A1875">
        <w:t xml:space="preserve"> 4.11(1)</w:t>
      </w:r>
      <w:r w:rsidR="00DD75F4" w:rsidRPr="007A1875">
        <w:t>. The equivalent rules for CDR representatives are 4.20E(2) respectively.</w:t>
      </w:r>
    </w:p>
  </w:footnote>
  <w:footnote w:id="29">
    <w:p w14:paraId="23985961" w14:textId="41E9002F" w:rsidR="00AC2777" w:rsidRDefault="00AC2777">
      <w:pPr>
        <w:pStyle w:val="FootnoteText"/>
      </w:pPr>
      <w:r>
        <w:rPr>
          <w:rStyle w:val="FootnoteReference"/>
        </w:rPr>
        <w:footnoteRef/>
      </w:r>
      <w:r>
        <w:t xml:space="preserve"> </w:t>
      </w:r>
      <w:r w:rsidR="00AE69C5">
        <w:t>Treasury 2022, Statutory Review, p. 43</w:t>
      </w:r>
      <w:r w:rsidR="00445A5A">
        <w:t>.</w:t>
      </w:r>
    </w:p>
  </w:footnote>
  <w:footnote w:id="30">
    <w:p w14:paraId="5B2C4AAD" w14:textId="2A5DE035" w:rsidR="00D70989" w:rsidRDefault="00D70989">
      <w:pPr>
        <w:pStyle w:val="FootnoteText"/>
      </w:pPr>
      <w:r>
        <w:rPr>
          <w:rStyle w:val="FootnoteReference"/>
        </w:rPr>
        <w:footnoteRef/>
      </w:r>
      <w:r>
        <w:t xml:space="preserve"> CDR Rules 2020, </w:t>
      </w:r>
      <w:r w:rsidR="00221465">
        <w:t xml:space="preserve">r 1.8 </w:t>
      </w:r>
      <w:r w:rsidR="000F6E2D">
        <w:t>defines the data minimisation principle</w:t>
      </w:r>
      <w:r w:rsidR="00445A5A">
        <w:t>.</w:t>
      </w:r>
    </w:p>
  </w:footnote>
  <w:footnote w:id="31">
    <w:p w14:paraId="671A9369" w14:textId="2BD2DC33" w:rsidR="006247C5" w:rsidRDefault="006247C5">
      <w:pPr>
        <w:pStyle w:val="FootnoteText"/>
      </w:pPr>
      <w:r>
        <w:rPr>
          <w:rStyle w:val="FootnoteReference"/>
        </w:rPr>
        <w:footnoteRef/>
      </w:r>
      <w:r w:rsidR="022691B3">
        <w:t xml:space="preserve"> DSB 2020, Consumer Experience Research </w:t>
      </w:r>
      <w:hyperlink r:id="rId16">
        <w:r w:rsidR="022691B3" w:rsidRPr="022691B3">
          <w:rPr>
            <w:rStyle w:val="Hyperlink"/>
            <w:sz w:val="16"/>
            <w:szCs w:val="16"/>
          </w:rPr>
          <w:t>Phase 3: Rounds 4-6</w:t>
        </w:r>
      </w:hyperlink>
      <w:r w:rsidR="00965366">
        <w:rPr>
          <w:rStyle w:val="Hyperlink"/>
          <w:sz w:val="16"/>
          <w:szCs w:val="16"/>
        </w:rPr>
        <w:t>.</w:t>
      </w:r>
    </w:p>
  </w:footnote>
  <w:footnote w:id="32">
    <w:p w14:paraId="3B1BDD12" w14:textId="55BEFCD3" w:rsidR="004A709B" w:rsidRDefault="004A709B">
      <w:pPr>
        <w:pStyle w:val="FootnoteText"/>
      </w:pPr>
      <w:r>
        <w:rPr>
          <w:rStyle w:val="FootnoteReference"/>
        </w:rPr>
        <w:footnoteRef/>
      </w:r>
      <w:r>
        <w:t xml:space="preserve"> </w:t>
      </w:r>
      <w:r w:rsidR="00016F72">
        <w:t xml:space="preserve">DSB 2022, Consumer Experience Research: </w:t>
      </w:r>
      <w:hyperlink r:id="rId17">
        <w:r w:rsidR="00016F72" w:rsidRPr="04AA6B35">
          <w:rPr>
            <w:rStyle w:val="Hyperlink"/>
            <w:sz w:val="16"/>
            <w:szCs w:val="16"/>
          </w:rPr>
          <w:t>Consent Review Report</w:t>
        </w:r>
      </w:hyperlink>
      <w:r w:rsidR="00016F72">
        <w:rPr>
          <w:rStyle w:val="Hyperlink"/>
          <w:sz w:val="16"/>
          <w:szCs w:val="16"/>
        </w:rPr>
        <w:t>.</w:t>
      </w:r>
    </w:p>
  </w:footnote>
  <w:footnote w:id="33">
    <w:p w14:paraId="3ADE7008" w14:textId="47FF3D8E" w:rsidR="32ADD433" w:rsidRPr="0096263D" w:rsidRDefault="32ADD433" w:rsidP="00E76B05">
      <w:pPr>
        <w:pStyle w:val="FootnoteText"/>
      </w:pPr>
      <w:r w:rsidRPr="00F84E5E">
        <w:rPr>
          <w:rStyle w:val="FootnoteReference"/>
        </w:rPr>
        <w:footnoteRef/>
      </w:r>
      <w:r>
        <w:t xml:space="preserve"> CDR Rules 2020, r 4.11</w:t>
      </w:r>
      <w:r w:rsidRPr="0096263D">
        <w:t>(3)(c)</w:t>
      </w:r>
      <w:r w:rsidR="00B11C46" w:rsidRPr="0096263D">
        <w:t>. The equivalent rules for CDR representatives are 4.20E(3)</w:t>
      </w:r>
      <w:r w:rsidR="00433FA1" w:rsidRPr="0096263D">
        <w:t>(f)</w:t>
      </w:r>
      <w:r w:rsidR="00B11C46" w:rsidRPr="0096263D">
        <w:t xml:space="preserve"> respectively.</w:t>
      </w:r>
    </w:p>
  </w:footnote>
  <w:footnote w:id="34">
    <w:p w14:paraId="7F93BC27" w14:textId="3431725B" w:rsidR="003D0121" w:rsidRDefault="003D0121" w:rsidP="003D0121">
      <w:pPr>
        <w:pStyle w:val="FootnoteText"/>
      </w:pPr>
      <w:r w:rsidRPr="0096263D">
        <w:rPr>
          <w:rStyle w:val="FootnoteReference"/>
        </w:rPr>
        <w:footnoteRef/>
      </w:r>
      <w:r w:rsidRPr="0096263D">
        <w:t xml:space="preserve"> CDR Rules 2020, r 4.12</w:t>
      </w:r>
      <w:r w:rsidR="007A5CCA" w:rsidRPr="0096263D">
        <w:t>C</w:t>
      </w:r>
      <w:r w:rsidR="003F3C67" w:rsidRPr="0096263D">
        <w:t xml:space="preserve">. The equivalent rules for CDR representatives are </w:t>
      </w:r>
      <w:r w:rsidR="005E3567" w:rsidRPr="0096263D">
        <w:t>4.20I</w:t>
      </w:r>
      <w:r w:rsidR="00B81E74" w:rsidRPr="0096263D">
        <w:t>.</w:t>
      </w:r>
    </w:p>
  </w:footnote>
  <w:footnote w:id="35">
    <w:p w14:paraId="14EB0550" w14:textId="350C807C" w:rsidR="007B1E47" w:rsidRDefault="007B1E47">
      <w:pPr>
        <w:pStyle w:val="FootnoteText"/>
      </w:pPr>
      <w:r>
        <w:rPr>
          <w:rStyle w:val="FootnoteReference"/>
        </w:rPr>
        <w:footnoteRef/>
      </w:r>
      <w:r w:rsidRPr="007B1E47">
        <w:rPr>
          <w:szCs w:val="16"/>
        </w:rPr>
        <w:t xml:space="preserve"> </w:t>
      </w:r>
      <w:r w:rsidR="000109BD">
        <w:rPr>
          <w:szCs w:val="16"/>
        </w:rPr>
        <w:t xml:space="preserve">DSB, </w:t>
      </w:r>
      <w:hyperlink r:id="rId18" w:anchor="amending-authorisation-standards" w:history="1">
        <w:r w:rsidRPr="005448F5">
          <w:rPr>
            <w:rStyle w:val="Hyperlink"/>
            <w:rFonts w:cs="Calibri"/>
            <w:sz w:val="16"/>
            <w:szCs w:val="16"/>
          </w:rPr>
          <w:t>CX standards for amending authorisations</w:t>
        </w:r>
      </w:hyperlink>
      <w:r w:rsidR="00445A5A">
        <w:rPr>
          <w:rStyle w:val="Hyperlink"/>
          <w:rFonts w:cs="Calibri"/>
          <w:sz w:val="16"/>
          <w:szCs w:val="16"/>
        </w:rPr>
        <w:t>.</w:t>
      </w:r>
    </w:p>
  </w:footnote>
  <w:footnote w:id="36">
    <w:p w14:paraId="6486331D" w14:textId="023C42F1" w:rsidR="008736DA" w:rsidRPr="00200DAA" w:rsidRDefault="008736DA">
      <w:pPr>
        <w:pStyle w:val="FootnoteText"/>
        <w:rPr>
          <w:i/>
          <w:iCs/>
        </w:rPr>
      </w:pPr>
      <w:r>
        <w:rPr>
          <w:rStyle w:val="FootnoteReference"/>
        </w:rPr>
        <w:footnoteRef/>
      </w:r>
      <w:r>
        <w:t xml:space="preserve"> </w:t>
      </w:r>
      <w:r w:rsidR="00202F05">
        <w:t xml:space="preserve">CDR Rules 2020, r </w:t>
      </w:r>
      <w:r>
        <w:t>4.11(3)(g</w:t>
      </w:r>
      <w:r w:rsidRPr="00202F05">
        <w:t>)</w:t>
      </w:r>
      <w:r w:rsidR="00202F05" w:rsidRPr="00202F05" w:rsidDel="00C27455">
        <w:t>.</w:t>
      </w:r>
      <w:r w:rsidR="00C912D3">
        <w:t xml:space="preserve"> </w:t>
      </w:r>
      <w:r w:rsidR="00C912D3" w:rsidRPr="00200DAA">
        <w:t>The equivalent rules for CDR representatives are 4.20</w:t>
      </w:r>
      <w:r w:rsidR="008F026B" w:rsidRPr="00200DAA">
        <w:t>J</w:t>
      </w:r>
      <w:r w:rsidR="00B81E74" w:rsidRPr="00200DAA">
        <w:t>.</w:t>
      </w:r>
    </w:p>
  </w:footnote>
  <w:footnote w:id="37">
    <w:p w14:paraId="70ADE1FE" w14:textId="3BA9E54C" w:rsidR="000972CD" w:rsidRPr="00200DAA" w:rsidRDefault="000972CD" w:rsidP="000972CD">
      <w:pPr>
        <w:pStyle w:val="FootnoteText"/>
      </w:pPr>
      <w:r w:rsidRPr="00200DAA">
        <w:rPr>
          <w:rStyle w:val="FootnoteReference"/>
        </w:rPr>
        <w:footnoteRef/>
      </w:r>
      <w:r w:rsidRPr="00200DAA">
        <w:t xml:space="preserve"> </w:t>
      </w:r>
      <w:r w:rsidR="000109BD" w:rsidRPr="00200DAA">
        <w:t xml:space="preserve">DSB, </w:t>
      </w:r>
      <w:hyperlink r:id="rId19" w:anchor="withdrawal-standards" w:history="1">
        <w:r w:rsidR="00505367" w:rsidRPr="00200DAA">
          <w:rPr>
            <w:rStyle w:val="Hyperlink"/>
            <w:sz w:val="16"/>
          </w:rPr>
          <w:t>CX standards for w</w:t>
        </w:r>
        <w:r w:rsidRPr="00200DAA">
          <w:rPr>
            <w:rStyle w:val="Hyperlink"/>
            <w:sz w:val="16"/>
          </w:rPr>
          <w:t xml:space="preserve">ithdrawal </w:t>
        </w:r>
        <w:r w:rsidR="00505367" w:rsidRPr="00200DAA">
          <w:rPr>
            <w:rStyle w:val="Hyperlink"/>
            <w:sz w:val="16"/>
          </w:rPr>
          <w:t>s</w:t>
        </w:r>
        <w:r w:rsidRPr="00200DAA">
          <w:rPr>
            <w:rStyle w:val="Hyperlink"/>
            <w:sz w:val="16"/>
          </w:rPr>
          <w:t>tandards</w:t>
        </w:r>
      </w:hyperlink>
      <w:r w:rsidR="00445A5A" w:rsidRPr="00200DAA">
        <w:rPr>
          <w:rStyle w:val="Hyperlink"/>
          <w:sz w:val="16"/>
        </w:rPr>
        <w:t>.</w:t>
      </w:r>
    </w:p>
  </w:footnote>
  <w:footnote w:id="38">
    <w:p w14:paraId="08462357" w14:textId="4BA5E046" w:rsidR="00C34CC4" w:rsidRDefault="00C34CC4">
      <w:pPr>
        <w:pStyle w:val="FootnoteText"/>
      </w:pPr>
      <w:r w:rsidRPr="00200DAA">
        <w:rPr>
          <w:rStyle w:val="FootnoteReference"/>
        </w:rPr>
        <w:footnoteRef/>
      </w:r>
      <w:r w:rsidRPr="00200DAA">
        <w:t xml:space="preserve"> CDR Rules 2020, </w:t>
      </w:r>
      <w:r w:rsidRPr="00200DAA">
        <w:t>rr</w:t>
      </w:r>
      <w:r w:rsidR="00557105" w:rsidRPr="00200DAA">
        <w:t xml:space="preserve"> </w:t>
      </w:r>
      <w:r w:rsidRPr="00200DAA">
        <w:t>4.18 and 4.20</w:t>
      </w:r>
      <w:r w:rsidR="00CD349A" w:rsidRPr="00200DAA">
        <w:t xml:space="preserve">. The equivalent rules for CDR representatives are </w:t>
      </w:r>
      <w:r w:rsidR="00E07F78" w:rsidRPr="00200DAA">
        <w:t xml:space="preserve">4.20O and </w:t>
      </w:r>
      <w:r w:rsidR="00CD349A" w:rsidRPr="00200DAA">
        <w:t>4.2</w:t>
      </w:r>
      <w:r w:rsidR="00491B38" w:rsidRPr="00200DAA">
        <w:t>0U</w:t>
      </w:r>
      <w:r w:rsidR="00B81E74" w:rsidRPr="00200DAA">
        <w:t>.</w:t>
      </w:r>
    </w:p>
  </w:footnote>
  <w:footnote w:id="39">
    <w:p w14:paraId="0AF504D7" w14:textId="4728F206" w:rsidR="006D3707" w:rsidRDefault="006D3707">
      <w:pPr>
        <w:pStyle w:val="FootnoteText"/>
      </w:pPr>
      <w:r>
        <w:rPr>
          <w:rStyle w:val="FootnoteReference"/>
        </w:rPr>
        <w:footnoteRef/>
      </w:r>
      <w:r>
        <w:t xml:space="preserve"> Dark patters are described in section </w:t>
      </w:r>
      <w:r w:rsidR="00124EC6">
        <w:t>7</w:t>
      </w:r>
      <w:r w:rsidR="00686F7B">
        <w:t xml:space="preserve"> of this paper</w:t>
      </w:r>
      <w:r w:rsidR="00124EC6">
        <w:t>.</w:t>
      </w:r>
    </w:p>
  </w:footnote>
  <w:footnote w:id="40">
    <w:p w14:paraId="52E10536" w14:textId="72B51066" w:rsidR="00772869" w:rsidRPr="00200DAA" w:rsidRDefault="00772869">
      <w:pPr>
        <w:pStyle w:val="FootnoteText"/>
      </w:pPr>
      <w:r>
        <w:rPr>
          <w:rStyle w:val="FootnoteReference"/>
        </w:rPr>
        <w:footnoteRef/>
      </w:r>
      <w:r>
        <w:t xml:space="preserve"> CDR Rules 2020, </w:t>
      </w:r>
      <w:r>
        <w:t>r</w:t>
      </w:r>
      <w:r w:rsidR="00D57648">
        <w:t>r</w:t>
      </w:r>
      <w:r>
        <w:t xml:space="preserve"> 4.11</w:t>
      </w:r>
      <w:r w:rsidR="007F718D">
        <w:t xml:space="preserve">(3) </w:t>
      </w:r>
      <w:r w:rsidR="00D57648" w:rsidRPr="00200DAA">
        <w:t>and 4.20E</w:t>
      </w:r>
      <w:r w:rsidR="00445A5A" w:rsidRPr="00200DAA">
        <w:t>.</w:t>
      </w:r>
    </w:p>
  </w:footnote>
  <w:footnote w:id="41">
    <w:p w14:paraId="53D7C012" w14:textId="76393516" w:rsidR="006B0D4A" w:rsidRDefault="006B0D4A">
      <w:pPr>
        <w:pStyle w:val="FootnoteText"/>
      </w:pPr>
      <w:r w:rsidRPr="00200DAA">
        <w:rPr>
          <w:rStyle w:val="FootnoteReference"/>
        </w:rPr>
        <w:footnoteRef/>
      </w:r>
      <w:r w:rsidRPr="00200DAA">
        <w:t xml:space="preserve"> CDR Rules 2020, r 4.</w:t>
      </w:r>
      <w:r w:rsidR="00F757C5" w:rsidRPr="00200DAA">
        <w:t>20E</w:t>
      </w:r>
      <w:r w:rsidR="00445A5A" w:rsidRPr="00200DAA">
        <w:t>.</w:t>
      </w:r>
    </w:p>
  </w:footnote>
  <w:footnote w:id="42">
    <w:p w14:paraId="4B49F213" w14:textId="67C685DB" w:rsidR="009D27BC" w:rsidRDefault="009D27BC" w:rsidP="009D27BC">
      <w:pPr>
        <w:pStyle w:val="FootnoteText"/>
      </w:pPr>
      <w:r w:rsidRPr="779BE076">
        <w:rPr>
          <w:rStyle w:val="FootnoteReference"/>
        </w:rPr>
        <w:footnoteRef/>
      </w:r>
      <w:r>
        <w:t xml:space="preserve"> </w:t>
      </w:r>
      <w:r w:rsidR="000109BD">
        <w:t>DSB</w:t>
      </w:r>
      <w:r w:rsidR="00AC72B3">
        <w:t xml:space="preserve"> 2022,</w:t>
      </w:r>
      <w:r w:rsidR="000109BD">
        <w:t xml:space="preserve"> </w:t>
      </w:r>
      <w:hyperlink r:id="rId20" w:anchor="152ce08b75e64d5c9924ee1eaad87bec" w:history="1">
        <w:r w:rsidRPr="00867DBC">
          <w:rPr>
            <w:rStyle w:val="Hyperlink"/>
            <w:sz w:val="16"/>
            <w:szCs w:val="16"/>
          </w:rPr>
          <w:t>CX Guidelines: CDR outsourcing, sponsorship, and CDR representative arrangements</w:t>
        </w:r>
      </w:hyperlink>
      <w:r w:rsidR="00D72C87">
        <w:rPr>
          <w:rStyle w:val="Hyperlink"/>
          <w:sz w:val="16"/>
          <w:szCs w:val="16"/>
        </w:rPr>
        <w:t>.</w:t>
      </w:r>
    </w:p>
  </w:footnote>
  <w:footnote w:id="43">
    <w:p w14:paraId="08A181BC" w14:textId="6ED31403" w:rsidR="009E1348" w:rsidRDefault="009E1348" w:rsidP="009E1348">
      <w:pPr>
        <w:pStyle w:val="FootnoteText"/>
      </w:pPr>
      <w:r>
        <w:rPr>
          <w:rStyle w:val="FootnoteReference"/>
        </w:rPr>
        <w:footnoteRef/>
      </w:r>
      <w:r w:rsidR="2774964D">
        <w:t xml:space="preserve"> DSB 2020, Consumer Experience Research </w:t>
      </w:r>
      <w:hyperlink r:id="rId21">
        <w:r w:rsidR="2774964D" w:rsidRPr="2774964D">
          <w:rPr>
            <w:rStyle w:val="Hyperlink"/>
            <w:sz w:val="16"/>
            <w:szCs w:val="16"/>
          </w:rPr>
          <w:t>Phase 3: Rounds 4-6</w:t>
        </w:r>
      </w:hyperlink>
      <w:r w:rsidR="006D7053">
        <w:rPr>
          <w:rStyle w:val="Hyperlink"/>
          <w:sz w:val="16"/>
          <w:szCs w:val="16"/>
        </w:rPr>
        <w:t>.</w:t>
      </w:r>
    </w:p>
  </w:footnote>
  <w:footnote w:id="44">
    <w:p w14:paraId="2729067E" w14:textId="0470182C" w:rsidR="002F08DE" w:rsidRDefault="002F08DE">
      <w:pPr>
        <w:pStyle w:val="FootnoteText"/>
      </w:pPr>
      <w:r>
        <w:rPr>
          <w:rStyle w:val="FootnoteReference"/>
        </w:rPr>
        <w:footnoteRef/>
      </w:r>
      <w:r>
        <w:t xml:space="preserve"> DSB 2022, Consumer Experience Research: </w:t>
      </w:r>
      <w:hyperlink r:id="rId22">
        <w:r w:rsidRPr="04AA6B35">
          <w:rPr>
            <w:rStyle w:val="Hyperlink"/>
            <w:sz w:val="16"/>
            <w:szCs w:val="16"/>
          </w:rPr>
          <w:t>Consent Review Report</w:t>
        </w:r>
      </w:hyperlink>
      <w:r>
        <w:rPr>
          <w:rStyle w:val="Hyperlink"/>
          <w:sz w:val="16"/>
          <w:szCs w:val="16"/>
        </w:rPr>
        <w:t>.</w:t>
      </w:r>
    </w:p>
  </w:footnote>
  <w:footnote w:id="45">
    <w:p w14:paraId="0ABA7AA3" w14:textId="6548B7C8" w:rsidR="739B665A" w:rsidRDefault="739B665A" w:rsidP="001122FE">
      <w:pPr>
        <w:pStyle w:val="FootnoteText"/>
      </w:pPr>
      <w:r w:rsidRPr="739B665A">
        <w:rPr>
          <w:rStyle w:val="FootnoteReference"/>
        </w:rPr>
        <w:footnoteRef/>
      </w:r>
      <w:r w:rsidR="00214F02">
        <w:t xml:space="preserve"> </w:t>
      </w:r>
      <w:r w:rsidR="00122995">
        <w:t>DSB</w:t>
      </w:r>
      <w:r w:rsidR="00214F02">
        <w:t xml:space="preserve"> 2020,</w:t>
      </w:r>
      <w:r>
        <w:t xml:space="preserve"> </w:t>
      </w:r>
      <w:hyperlink r:id="rId23" w:history="1">
        <w:r w:rsidRPr="001122FE">
          <w:rPr>
            <w:rStyle w:val="Hyperlink"/>
            <w:sz w:val="16"/>
            <w:szCs w:val="16"/>
          </w:rPr>
          <w:t>Consumer Experience Research Phase 3: Round 4 and 5 Report</w:t>
        </w:r>
      </w:hyperlink>
      <w:r w:rsidR="00214F02">
        <w:rPr>
          <w:szCs w:val="16"/>
        </w:rPr>
        <w:t>.</w:t>
      </w:r>
    </w:p>
  </w:footnote>
  <w:footnote w:id="46">
    <w:p w14:paraId="114E0A5D" w14:textId="05327E4C" w:rsidR="00077EBF" w:rsidRDefault="00077EBF">
      <w:pPr>
        <w:pStyle w:val="FootnoteText"/>
      </w:pPr>
      <w:r>
        <w:rPr>
          <w:rStyle w:val="FootnoteReference"/>
        </w:rPr>
        <w:footnoteRef/>
      </w:r>
      <w:r>
        <w:t xml:space="preserve"> CDR Rules 2020, r 7.2</w:t>
      </w:r>
      <w:r w:rsidR="006A22B0">
        <w:t>(4)</w:t>
      </w:r>
      <w:r w:rsidR="00445A5A">
        <w:t>.</w:t>
      </w:r>
    </w:p>
  </w:footnote>
  <w:footnote w:id="47">
    <w:p w14:paraId="0C67784E" w14:textId="62A934E3" w:rsidR="0054006F" w:rsidRDefault="0054006F" w:rsidP="0054006F">
      <w:pPr>
        <w:pStyle w:val="FootnoteText"/>
      </w:pPr>
      <w:r w:rsidRPr="779BE076">
        <w:rPr>
          <w:rStyle w:val="FootnoteReference"/>
        </w:rPr>
        <w:footnoteRef/>
      </w:r>
      <w:r>
        <w:t xml:space="preserve"> </w:t>
      </w:r>
      <w:r w:rsidR="00834944">
        <w:t xml:space="preserve">DSB, </w:t>
      </w:r>
      <w:hyperlink r:id="rId24" w:anchor="152ce08b75e64d5c9924ee1eaad87bec" w:history="1">
        <w:r w:rsidRPr="00867DBC">
          <w:rPr>
            <w:rStyle w:val="Hyperlink"/>
            <w:sz w:val="16"/>
            <w:szCs w:val="16"/>
          </w:rPr>
          <w:t>CX Guidelines: CDR outsourcing, sponsorship, and CDR representative arrangements</w:t>
        </w:r>
      </w:hyperlink>
      <w:r w:rsidR="00445A5A">
        <w:rPr>
          <w:rStyle w:val="Hyperlink"/>
          <w:sz w:val="16"/>
          <w:szCs w:val="16"/>
        </w:rPr>
        <w:t>.</w:t>
      </w:r>
    </w:p>
  </w:footnote>
  <w:footnote w:id="48">
    <w:p w14:paraId="37C57F05" w14:textId="105EE12D" w:rsidR="00F031A6" w:rsidRDefault="00F031A6" w:rsidP="00F031A6">
      <w:pPr>
        <w:pStyle w:val="FootnoteText"/>
      </w:pPr>
      <w:r>
        <w:rPr>
          <w:rStyle w:val="FootnoteReference"/>
        </w:rPr>
        <w:footnoteRef/>
      </w:r>
      <w:r>
        <w:t xml:space="preserve"> CDR Rules 2020, r 7.2(4)</w:t>
      </w:r>
      <w:r w:rsidR="00445A5A">
        <w:t>.</w:t>
      </w:r>
    </w:p>
  </w:footnote>
  <w:footnote w:id="49">
    <w:p w14:paraId="49ABDDDF" w14:textId="1318AFFC" w:rsidR="00C82CCB" w:rsidRDefault="00C82CCB" w:rsidP="001E1039">
      <w:pPr>
        <w:pStyle w:val="FootnoteText"/>
        <w:tabs>
          <w:tab w:val="clear" w:pos="340"/>
        </w:tabs>
        <w:ind w:left="0" w:firstLine="0"/>
      </w:pPr>
      <w:r>
        <w:rPr>
          <w:rStyle w:val="FootnoteReference"/>
        </w:rPr>
        <w:footnoteRef/>
      </w:r>
      <w:r>
        <w:t xml:space="preserve"> A</w:t>
      </w:r>
      <w:r w:rsidRPr="00C82CCB">
        <w:t>t present, r 4.11(3)(f)) places an obligation on ADRs to inform a consumer at the time of obtaining consent if a consumer's CDR data may be disclosed to an OSP.</w:t>
      </w:r>
    </w:p>
  </w:footnote>
  <w:footnote w:id="50">
    <w:p w14:paraId="72D9ACE4" w14:textId="4F274682" w:rsidR="00317282" w:rsidRDefault="00317282" w:rsidP="001E1039">
      <w:pPr>
        <w:pStyle w:val="FootnoteText"/>
        <w:tabs>
          <w:tab w:val="clear" w:pos="340"/>
        </w:tabs>
        <w:ind w:left="0" w:right="-46" w:firstLine="0"/>
      </w:pPr>
      <w:r>
        <w:rPr>
          <w:rStyle w:val="FootnoteReference"/>
        </w:rPr>
        <w:footnoteRef/>
      </w:r>
      <w:r>
        <w:t xml:space="preserve"> </w:t>
      </w:r>
      <w:r w:rsidR="007063D1">
        <w:t xml:space="preserve">CDR Rules 2020, r 4.18. </w:t>
      </w:r>
      <w:r>
        <w:t xml:space="preserve">CX guidelines also recommend that the </w:t>
      </w:r>
      <w:r w:rsidR="00B47B82">
        <w:t>data holder</w:t>
      </w:r>
      <w:r>
        <w:t xml:space="preserve"> provide a CDR receipt when a consumer provides an authorisation to share CDR data.</w:t>
      </w:r>
    </w:p>
  </w:footnote>
  <w:footnote w:id="51">
    <w:p w14:paraId="1605FA87" w14:textId="3C02EC78" w:rsidR="00E32A6B" w:rsidRPr="002B1C8B" w:rsidRDefault="00E32A6B" w:rsidP="00C10503">
      <w:pPr>
        <w:pStyle w:val="FootnoteText"/>
      </w:pPr>
      <w:r>
        <w:rPr>
          <w:rStyle w:val="FootnoteReference"/>
        </w:rPr>
        <w:footnoteRef/>
      </w:r>
      <w:r>
        <w:t xml:space="preserve"> </w:t>
      </w:r>
      <w:r w:rsidR="004377BC">
        <w:t>CDR Rules 2020, r</w:t>
      </w:r>
      <w:r w:rsidR="00C10503">
        <w:t xml:space="preserve"> 4.20</w:t>
      </w:r>
      <w:r w:rsidR="006417EA">
        <w:t>(1</w:t>
      </w:r>
      <w:r w:rsidR="006417EA" w:rsidRPr="002B1C8B">
        <w:t>)(b)</w:t>
      </w:r>
      <w:r w:rsidR="004377BC" w:rsidRPr="002B1C8B">
        <w:t>.</w:t>
      </w:r>
      <w:r w:rsidR="008C30B9" w:rsidRPr="002B1C8B">
        <w:t xml:space="preserve"> The equivalent rules for CDR representatives are 4.20U(</w:t>
      </w:r>
      <w:r w:rsidR="007860F4" w:rsidRPr="002B1C8B">
        <w:t>1)(b)</w:t>
      </w:r>
      <w:r w:rsidR="008C30B9" w:rsidRPr="002B1C8B">
        <w:t>.</w:t>
      </w:r>
    </w:p>
  </w:footnote>
  <w:footnote w:id="52">
    <w:p w14:paraId="633BBB21" w14:textId="1F4CBCBC" w:rsidR="0096390E" w:rsidRDefault="0096390E">
      <w:pPr>
        <w:pStyle w:val="FootnoteText"/>
      </w:pPr>
      <w:r w:rsidRPr="002B1C8B">
        <w:rPr>
          <w:rStyle w:val="FootnoteReference"/>
        </w:rPr>
        <w:footnoteRef/>
      </w:r>
      <w:r w:rsidRPr="002B1C8B">
        <w:t xml:space="preserve"> CDR Rules 2020, r 4.18</w:t>
      </w:r>
      <w:r w:rsidR="003778F8" w:rsidRPr="002B1C8B">
        <w:t>.</w:t>
      </w:r>
      <w:r w:rsidR="00865765" w:rsidRPr="002B1C8B">
        <w:t xml:space="preserve"> The equivalent rules for CDR representatives are 4.20</w:t>
      </w:r>
      <w:r w:rsidR="00E07F78" w:rsidRPr="002B1C8B">
        <w:t>O</w:t>
      </w:r>
      <w:r w:rsidR="00865765" w:rsidRPr="002B1C8B">
        <w:t>.</w:t>
      </w:r>
    </w:p>
  </w:footnote>
  <w:footnote w:id="53">
    <w:p w14:paraId="6C68B9DA" w14:textId="0D554329" w:rsidR="007F709A" w:rsidRDefault="007F709A">
      <w:pPr>
        <w:pStyle w:val="FootnoteText"/>
      </w:pPr>
      <w:r>
        <w:rPr>
          <w:rStyle w:val="FootnoteReference"/>
        </w:rPr>
        <w:footnoteRef/>
      </w:r>
      <w:r>
        <w:t xml:space="preserve"> </w:t>
      </w:r>
      <w:r w:rsidR="005F485F">
        <w:t xml:space="preserve">DSB </w:t>
      </w:r>
      <w:r w:rsidR="00982010">
        <w:t xml:space="preserve">2019, </w:t>
      </w:r>
      <w:hyperlink r:id="rId25" w:history="1">
        <w:r w:rsidR="00713F3C" w:rsidRPr="00047DE5">
          <w:rPr>
            <w:rStyle w:val="Hyperlink"/>
            <w:sz w:val="16"/>
          </w:rPr>
          <w:t>Consumer Data Standards</w:t>
        </w:r>
        <w:r w:rsidR="00047DE5" w:rsidRPr="00047DE5">
          <w:rPr>
            <w:rStyle w:val="Hyperlink"/>
            <w:sz w:val="16"/>
          </w:rPr>
          <w:t>: Authenticate, notify, reauthorise -</w:t>
        </w:r>
        <w:r w:rsidR="00713F3C" w:rsidRPr="00047DE5">
          <w:rPr>
            <w:rStyle w:val="Hyperlink"/>
            <w:sz w:val="16"/>
          </w:rPr>
          <w:t xml:space="preserve"> </w:t>
        </w:r>
        <w:r w:rsidR="00982010" w:rsidRPr="00047DE5">
          <w:rPr>
            <w:rStyle w:val="Hyperlink"/>
            <w:sz w:val="16"/>
          </w:rPr>
          <w:t xml:space="preserve">Phase </w:t>
        </w:r>
        <w:r w:rsidR="00713F3C" w:rsidRPr="00047DE5">
          <w:rPr>
            <w:rStyle w:val="Hyperlink"/>
            <w:sz w:val="16"/>
          </w:rPr>
          <w:t>2</w:t>
        </w:r>
        <w:r w:rsidR="00982010" w:rsidRPr="00047DE5">
          <w:rPr>
            <w:rStyle w:val="Hyperlink"/>
            <w:sz w:val="16"/>
          </w:rPr>
          <w:t xml:space="preserve"> CX </w:t>
        </w:r>
        <w:r w:rsidR="00047DE5" w:rsidRPr="00047DE5">
          <w:rPr>
            <w:rStyle w:val="Hyperlink"/>
            <w:sz w:val="16"/>
          </w:rPr>
          <w:t>Stream</w:t>
        </w:r>
        <w:r w:rsidR="00823A08" w:rsidRPr="00047DE5">
          <w:rPr>
            <w:rStyle w:val="Hyperlink"/>
            <w:sz w:val="16"/>
          </w:rPr>
          <w:t xml:space="preserve"> 3 </w:t>
        </w:r>
        <w:r w:rsidR="00982010" w:rsidRPr="00047DE5">
          <w:rPr>
            <w:rStyle w:val="Hyperlink"/>
            <w:sz w:val="16"/>
          </w:rPr>
          <w:t>Report</w:t>
        </w:r>
      </w:hyperlink>
      <w:r w:rsidR="00713F3C">
        <w:t>.</w:t>
      </w:r>
    </w:p>
  </w:footnote>
  <w:footnote w:id="54">
    <w:p w14:paraId="5CDA7671" w14:textId="17A450B7" w:rsidR="00A042C7" w:rsidRDefault="00A042C7">
      <w:pPr>
        <w:pStyle w:val="FootnoteText"/>
      </w:pPr>
      <w:r>
        <w:rPr>
          <w:rStyle w:val="FootnoteReference"/>
        </w:rPr>
        <w:footnoteRef/>
      </w:r>
      <w:r>
        <w:t xml:space="preserve"> </w:t>
      </w:r>
      <w:r w:rsidR="00023C23">
        <w:t xml:space="preserve">DSB </w:t>
      </w:r>
      <w:r w:rsidR="00A95FE1">
        <w:t xml:space="preserve">2020, </w:t>
      </w:r>
      <w:hyperlink r:id="rId26" w:history="1">
        <w:r w:rsidR="00A95FE1" w:rsidRPr="00AA3CAB">
          <w:rPr>
            <w:rStyle w:val="Hyperlink"/>
            <w:sz w:val="16"/>
          </w:rPr>
          <w:t>Consumer Experience Research Phase 3: Round 6</w:t>
        </w:r>
      </w:hyperlink>
      <w:r w:rsidR="00CD303C">
        <w:rPr>
          <w:rStyle w:val="Hyperlink"/>
          <w:sz w:val="16"/>
        </w:rPr>
        <w:t>.</w:t>
      </w:r>
      <w:r w:rsidR="00A95FE1">
        <w:t xml:space="preserve"> </w:t>
      </w:r>
    </w:p>
  </w:footnote>
  <w:footnote w:id="55">
    <w:p w14:paraId="548ABF09" w14:textId="2C309184" w:rsidR="0017024A" w:rsidRPr="0096792B" w:rsidRDefault="0017024A" w:rsidP="0017024A">
      <w:pPr>
        <w:pStyle w:val="FootnoteText"/>
        <w:rPr>
          <w:highlight w:val="yellow"/>
        </w:rPr>
      </w:pPr>
      <w:r w:rsidRPr="00FB096E">
        <w:rPr>
          <w:rStyle w:val="FootnoteReference"/>
        </w:rPr>
        <w:footnoteRef/>
      </w:r>
      <w:r w:rsidRPr="00FB096E">
        <w:t xml:space="preserve"> CDR Rules 2020, r 1.10A(1)(</w:t>
      </w:r>
      <w:r w:rsidR="00551A48" w:rsidRPr="00FB096E">
        <w:t>e</w:t>
      </w:r>
      <w:r w:rsidRPr="00FB096E">
        <w:t>)</w:t>
      </w:r>
      <w:r w:rsidR="00C91D24">
        <w:t>.</w:t>
      </w:r>
    </w:p>
  </w:footnote>
  <w:footnote w:id="56">
    <w:p w14:paraId="7ADB38FC" w14:textId="00F2603F" w:rsidR="0017024A" w:rsidRPr="00FB096E" w:rsidRDefault="0017024A" w:rsidP="00FB096E">
      <w:pPr>
        <w:pStyle w:val="FootnoteText"/>
      </w:pPr>
      <w:r w:rsidRPr="00FB096E">
        <w:rPr>
          <w:rStyle w:val="FootnoteReference"/>
          <w:rFonts w:asciiTheme="majorHAnsi" w:hAnsiTheme="majorHAnsi"/>
          <w:szCs w:val="16"/>
        </w:rPr>
        <w:footnoteRef/>
      </w:r>
      <w:r w:rsidRPr="00FB096E">
        <w:t xml:space="preserve"> CDR Rules 2020, </w:t>
      </w:r>
      <w:r w:rsidRPr="00FB096E">
        <w:t>r</w:t>
      </w:r>
      <w:r w:rsidR="00992235">
        <w:t>r</w:t>
      </w:r>
      <w:r w:rsidR="00D458E4" w:rsidRPr="00FB096E">
        <w:t xml:space="preserve"> </w:t>
      </w:r>
      <w:r w:rsidRPr="00FB096E">
        <w:t>4.11(1)(e), 4.11(3)(h)</w:t>
      </w:r>
      <w:r w:rsidR="00992235" w:rsidRPr="00FB096E">
        <w:t xml:space="preserve"> and </w:t>
      </w:r>
      <w:r w:rsidRPr="00FB096E">
        <w:t>4.16</w:t>
      </w:r>
      <w:r w:rsidR="00B80940">
        <w:t>.</w:t>
      </w:r>
      <w:r w:rsidRPr="00FB096E">
        <w:t xml:space="preserve"> </w:t>
      </w:r>
    </w:p>
  </w:footnote>
  <w:footnote w:id="57">
    <w:p w14:paraId="1AB29453" w14:textId="72DEA17F" w:rsidR="0005287E" w:rsidRDefault="0005287E" w:rsidP="00992235">
      <w:pPr>
        <w:pStyle w:val="FootnoteText"/>
      </w:pPr>
      <w:r>
        <w:rPr>
          <w:rStyle w:val="FootnoteReference"/>
        </w:rPr>
        <w:footnoteRef/>
      </w:r>
      <w:r>
        <w:t xml:space="preserve"> CDR Rules 2020, r 4.15</w:t>
      </w:r>
      <w:r w:rsidR="00445A5A">
        <w:t>.</w:t>
      </w:r>
    </w:p>
  </w:footnote>
  <w:footnote w:id="58">
    <w:p w14:paraId="2F69DB2A" w14:textId="61E67C32" w:rsidR="00290C7B" w:rsidRDefault="00290C7B">
      <w:pPr>
        <w:pStyle w:val="FootnoteText"/>
      </w:pPr>
      <w:r>
        <w:rPr>
          <w:rStyle w:val="FootnoteReference"/>
        </w:rPr>
        <w:footnoteRef/>
      </w:r>
      <w:r>
        <w:t xml:space="preserve"> CDR Rules 2020, r 4.17</w:t>
      </w:r>
      <w:r w:rsidR="00445A5A">
        <w:t>.</w:t>
      </w:r>
    </w:p>
  </w:footnote>
  <w:footnote w:id="59">
    <w:p w14:paraId="5809530D" w14:textId="762DD448" w:rsidR="001D0808" w:rsidRDefault="001D0808" w:rsidP="001E1039">
      <w:pPr>
        <w:pStyle w:val="FootnoteText"/>
        <w:tabs>
          <w:tab w:val="clear" w:pos="340"/>
        </w:tabs>
        <w:ind w:left="0" w:firstLine="0"/>
      </w:pPr>
      <w:r>
        <w:rPr>
          <w:rStyle w:val="FootnoteReference"/>
        </w:rPr>
        <w:footnoteRef/>
      </w:r>
      <w:r>
        <w:t xml:space="preserve"> CDR Rules 2020, r 1.17</w:t>
      </w:r>
      <w:r w:rsidR="004F5E17">
        <w:t xml:space="preserve">. </w:t>
      </w:r>
      <w:r w:rsidR="00961B49">
        <w:t xml:space="preserve">This rule also requires to </w:t>
      </w:r>
      <w:r w:rsidR="004F5E17">
        <w:t xml:space="preserve">ADR </w:t>
      </w:r>
      <w:r w:rsidR="00961B49">
        <w:t xml:space="preserve">to </w:t>
      </w:r>
      <w:r w:rsidR="004F5E17">
        <w:t xml:space="preserve">have regard to other </w:t>
      </w:r>
      <w:r w:rsidR="007261E4">
        <w:t xml:space="preserve">relevant </w:t>
      </w:r>
      <w:r w:rsidR="004F5E17">
        <w:t>factors</w:t>
      </w:r>
      <w:r w:rsidR="007261E4">
        <w:t>,</w:t>
      </w:r>
      <w:r w:rsidR="004F5E17">
        <w:t xml:space="preserve"> including the De-Identification Decision Making Framework</w:t>
      </w:r>
      <w:r w:rsidR="00D72357">
        <w:t>.</w:t>
      </w:r>
    </w:p>
  </w:footnote>
  <w:footnote w:id="60">
    <w:p w14:paraId="251972F2" w14:textId="62377C21" w:rsidR="00ED50E7" w:rsidDel="006F6189" w:rsidRDefault="00ED50E7" w:rsidP="00EA39E0">
      <w:pPr>
        <w:pStyle w:val="FootnoteText"/>
        <w:ind w:left="0" w:firstLine="0"/>
      </w:pPr>
      <w:r w:rsidDel="006F6189">
        <w:rPr>
          <w:rStyle w:val="FootnoteReference"/>
        </w:rPr>
        <w:footnoteRef/>
      </w:r>
      <w:r>
        <w:t xml:space="preserve"> </w:t>
      </w:r>
      <w:r w:rsidR="0033410D">
        <w:t xml:space="preserve">CDR Rules 2020, r </w:t>
      </w:r>
      <w:r>
        <w:t>4.12</w:t>
      </w:r>
      <w:r w:rsidR="00421487">
        <w:t xml:space="preserve">. </w:t>
      </w:r>
      <w:r w:rsidR="00421487" w:rsidRPr="002B1C8B">
        <w:t>The equivalent rules for CDR representatives are 4.20F</w:t>
      </w:r>
      <w:r w:rsidR="00445A5A" w:rsidRPr="002B1C8B">
        <w:t>.</w:t>
      </w:r>
    </w:p>
  </w:footnote>
  <w:footnote w:id="61">
    <w:p w14:paraId="6824EFAC" w14:textId="77777777" w:rsidR="0031085C" w:rsidRDefault="00955B66">
      <w:pPr>
        <w:pStyle w:val="FootnoteText"/>
        <w:rPr>
          <w:i/>
          <w:iCs/>
        </w:rPr>
      </w:pPr>
      <w:r>
        <w:rPr>
          <w:rStyle w:val="FootnoteReference"/>
        </w:rPr>
        <w:footnoteRef/>
      </w:r>
      <w:r>
        <w:t xml:space="preserve"> CDR Rules 2020, r </w:t>
      </w:r>
      <w:r w:rsidRPr="63FF6F3A">
        <w:t>1.15(1)(c)(iii)</w:t>
      </w:r>
      <w:r>
        <w:rPr>
          <w:i/>
          <w:iCs/>
        </w:rPr>
        <w:t>.</w:t>
      </w:r>
    </w:p>
  </w:footnote>
  <w:footnote w:id="62">
    <w:p w14:paraId="65296866" w14:textId="125F825C" w:rsidR="00ED50E7" w:rsidDel="006F6189" w:rsidRDefault="00ED50E7" w:rsidP="00ED50E7">
      <w:pPr>
        <w:pStyle w:val="FootnoteText"/>
      </w:pPr>
      <w:r w:rsidDel="006F6189">
        <w:rPr>
          <w:rStyle w:val="FootnoteReference"/>
        </w:rPr>
        <w:footnoteRef/>
      </w:r>
      <w:r w:rsidDel="006F6189">
        <w:t xml:space="preserve"> </w:t>
      </w:r>
      <w:r w:rsidR="0033410D" w:rsidDel="006F6189">
        <w:t xml:space="preserve">CDR Rules 2020, r </w:t>
      </w:r>
      <w:r w:rsidR="00EB28AC">
        <w:t>4.24</w:t>
      </w:r>
      <w:r w:rsidR="00A41147">
        <w:t xml:space="preserve">. </w:t>
      </w:r>
    </w:p>
  </w:footnote>
  <w:footnote w:id="63">
    <w:p w14:paraId="76B46D75" w14:textId="394AED8F" w:rsidR="63FF6F3A" w:rsidRPr="000D112A" w:rsidRDefault="63FF6F3A" w:rsidP="63FF6F3A">
      <w:pPr>
        <w:pStyle w:val="FootnoteText"/>
        <w:rPr>
          <w:rFonts w:cs="Calibri"/>
        </w:rPr>
      </w:pPr>
      <w:r w:rsidRPr="63FF6F3A">
        <w:rPr>
          <w:rStyle w:val="FootnoteReference"/>
        </w:rPr>
        <w:footnoteRef/>
      </w:r>
      <w:r>
        <w:t xml:space="preserve"> </w:t>
      </w:r>
      <w:r w:rsidRPr="3278FA70">
        <w:rPr>
          <w:rFonts w:eastAsia="Trebuchet MS" w:cs="Calibri"/>
        </w:rPr>
        <w:t xml:space="preserve">ACCC, </w:t>
      </w:r>
      <w:hyperlink r:id="rId27">
        <w:r w:rsidRPr="000D112A">
          <w:rPr>
            <w:rStyle w:val="Hyperlink"/>
            <w:rFonts w:cs="Calibri"/>
            <w:sz w:val="16"/>
            <w:szCs w:val="16"/>
          </w:rPr>
          <w:t>Digital Platform Services Inquiry – September 202</w:t>
        </w:r>
        <w:r w:rsidR="0077072C">
          <w:rPr>
            <w:rStyle w:val="Hyperlink"/>
            <w:rFonts w:cs="Calibri"/>
            <w:sz w:val="16"/>
            <w:szCs w:val="16"/>
          </w:rPr>
          <w:t>2</w:t>
        </w:r>
        <w:r w:rsidRPr="000D112A">
          <w:rPr>
            <w:rStyle w:val="Hyperlink"/>
            <w:rFonts w:cs="Calibri"/>
            <w:sz w:val="16"/>
            <w:szCs w:val="16"/>
          </w:rPr>
          <w:t xml:space="preserve"> </w:t>
        </w:r>
        <w:r w:rsidR="0077072C">
          <w:rPr>
            <w:rStyle w:val="Hyperlink"/>
            <w:rFonts w:cs="Calibri"/>
            <w:sz w:val="16"/>
            <w:szCs w:val="16"/>
          </w:rPr>
          <w:t xml:space="preserve">Interim </w:t>
        </w:r>
        <w:r w:rsidRPr="000D112A">
          <w:rPr>
            <w:rStyle w:val="Hyperlink"/>
            <w:rFonts w:cs="Calibri"/>
            <w:sz w:val="16"/>
            <w:szCs w:val="16"/>
          </w:rPr>
          <w:t>Report</w:t>
        </w:r>
      </w:hyperlink>
      <w:r w:rsidRPr="3278FA70">
        <w:rPr>
          <w:rFonts w:eastAsia="Trebuchet MS" w:cs="Calibri"/>
        </w:rPr>
        <w:t xml:space="preserve">, </w:t>
      </w:r>
      <w:r w:rsidR="005D4DAB">
        <w:rPr>
          <w:rFonts w:eastAsia="Trebuchet MS" w:cs="Calibri"/>
        </w:rPr>
        <w:t>November</w:t>
      </w:r>
      <w:r w:rsidR="005D4DAB" w:rsidRPr="3278FA70">
        <w:rPr>
          <w:rFonts w:eastAsia="Trebuchet MS" w:cs="Calibri"/>
        </w:rPr>
        <w:t xml:space="preserve"> </w:t>
      </w:r>
      <w:r w:rsidRPr="3278FA70">
        <w:rPr>
          <w:rFonts w:eastAsia="Trebuchet MS" w:cs="Calibri"/>
        </w:rPr>
        <w:t>202</w:t>
      </w:r>
      <w:r w:rsidR="007328AE">
        <w:rPr>
          <w:rFonts w:eastAsia="Trebuchet MS" w:cs="Calibri"/>
        </w:rPr>
        <w:t>2, p.67.</w:t>
      </w:r>
    </w:p>
  </w:footnote>
  <w:footnote w:id="64">
    <w:p w14:paraId="1C66AF92" w14:textId="0D5634F3" w:rsidR="63FF6F3A" w:rsidRPr="000D112A" w:rsidRDefault="63FF6F3A" w:rsidP="63FF6F3A">
      <w:pPr>
        <w:pStyle w:val="FootnoteText"/>
        <w:rPr>
          <w:rFonts w:cs="Calibri"/>
        </w:rPr>
      </w:pPr>
      <w:r w:rsidRPr="3278FA70">
        <w:rPr>
          <w:rStyle w:val="FootnoteReference"/>
          <w:rFonts w:cs="Calibri"/>
        </w:rPr>
        <w:footnoteRef/>
      </w:r>
      <w:r w:rsidRPr="3278FA70">
        <w:rPr>
          <w:rFonts w:cs="Calibri"/>
        </w:rPr>
        <w:t xml:space="preserve"> </w:t>
      </w:r>
      <w:r w:rsidR="005D4DAB" w:rsidRPr="3278FA70">
        <w:rPr>
          <w:rFonts w:eastAsia="Trebuchet MS" w:cs="Calibri"/>
        </w:rPr>
        <w:t xml:space="preserve">ACCC, </w:t>
      </w:r>
      <w:hyperlink r:id="rId28">
        <w:r w:rsidR="005D4DAB" w:rsidRPr="000D112A">
          <w:rPr>
            <w:rStyle w:val="Hyperlink"/>
            <w:rFonts w:cs="Calibri"/>
            <w:sz w:val="16"/>
            <w:szCs w:val="16"/>
          </w:rPr>
          <w:t>Digital Platform Services Inquiry – September 202</w:t>
        </w:r>
        <w:r w:rsidR="005D4DAB">
          <w:rPr>
            <w:rStyle w:val="Hyperlink"/>
            <w:rFonts w:cs="Calibri"/>
            <w:sz w:val="16"/>
            <w:szCs w:val="16"/>
          </w:rPr>
          <w:t>2</w:t>
        </w:r>
        <w:r w:rsidR="005D4DAB" w:rsidRPr="000D112A">
          <w:rPr>
            <w:rStyle w:val="Hyperlink"/>
            <w:rFonts w:cs="Calibri"/>
            <w:sz w:val="16"/>
            <w:szCs w:val="16"/>
          </w:rPr>
          <w:t xml:space="preserve"> </w:t>
        </w:r>
        <w:r w:rsidR="005D4DAB">
          <w:rPr>
            <w:rStyle w:val="Hyperlink"/>
            <w:rFonts w:cs="Calibri"/>
            <w:sz w:val="16"/>
            <w:szCs w:val="16"/>
          </w:rPr>
          <w:t xml:space="preserve">Interim </w:t>
        </w:r>
        <w:r w:rsidR="005D4DAB" w:rsidRPr="000D112A">
          <w:rPr>
            <w:rStyle w:val="Hyperlink"/>
            <w:rFonts w:cs="Calibri"/>
            <w:sz w:val="16"/>
            <w:szCs w:val="16"/>
          </w:rPr>
          <w:t>Report</w:t>
        </w:r>
      </w:hyperlink>
      <w:r w:rsidR="005D4DAB" w:rsidRPr="3278FA70">
        <w:rPr>
          <w:rFonts w:eastAsia="Trebuchet MS" w:cs="Calibri"/>
        </w:rPr>
        <w:t xml:space="preserve">, </w:t>
      </w:r>
      <w:r w:rsidR="005D4DAB">
        <w:rPr>
          <w:rFonts w:eastAsia="Trebuchet MS" w:cs="Calibri"/>
        </w:rPr>
        <w:t>November</w:t>
      </w:r>
      <w:r w:rsidR="005D4DAB" w:rsidRPr="3278FA70">
        <w:rPr>
          <w:rFonts w:eastAsia="Trebuchet MS" w:cs="Calibri"/>
        </w:rPr>
        <w:t xml:space="preserve"> 202</w:t>
      </w:r>
      <w:r w:rsidR="005D4DAB">
        <w:rPr>
          <w:rFonts w:eastAsia="Trebuchet MS" w:cs="Calibri"/>
        </w:rPr>
        <w:t>2</w:t>
      </w:r>
      <w:r w:rsidR="009237E8" w:rsidRPr="3278FA70">
        <w:rPr>
          <w:rFonts w:eastAsia="Trebuchet MS" w:cs="Calibri"/>
        </w:rPr>
        <w:t>.</w:t>
      </w:r>
    </w:p>
  </w:footnote>
  <w:footnote w:id="65">
    <w:p w14:paraId="09DFDF96" w14:textId="4AFA2BA2" w:rsidR="63FF6F3A" w:rsidRPr="000D112A" w:rsidRDefault="63FF6F3A" w:rsidP="63FF6F3A">
      <w:pPr>
        <w:pStyle w:val="FootnoteText"/>
        <w:rPr>
          <w:rFonts w:cs="Calibri"/>
        </w:rPr>
      </w:pPr>
      <w:r w:rsidRPr="3278FA70">
        <w:rPr>
          <w:rStyle w:val="FootnoteReference"/>
          <w:rFonts w:cs="Calibri"/>
        </w:rPr>
        <w:footnoteRef/>
      </w:r>
      <w:r w:rsidRPr="3278FA70">
        <w:rPr>
          <w:rFonts w:cs="Calibri"/>
        </w:rPr>
        <w:t xml:space="preserve"> </w:t>
      </w:r>
      <w:r w:rsidRPr="3278FA70">
        <w:rPr>
          <w:rFonts w:eastAsia="Trebuchet MS" w:cs="Calibri"/>
        </w:rPr>
        <w:t xml:space="preserve">CPRC, </w:t>
      </w:r>
      <w:hyperlink r:id="rId29">
        <w:r w:rsidRPr="000D112A">
          <w:rPr>
            <w:rStyle w:val="Hyperlink"/>
            <w:rFonts w:cs="Calibri"/>
            <w:sz w:val="16"/>
            <w:szCs w:val="16"/>
          </w:rPr>
          <w:t>Duped by Design</w:t>
        </w:r>
      </w:hyperlink>
      <w:r w:rsidRPr="3278FA70">
        <w:rPr>
          <w:rFonts w:eastAsia="Trebuchet MS" w:cs="Calibri"/>
        </w:rPr>
        <w:t>, June 2022</w:t>
      </w:r>
      <w:r w:rsidR="009237E8" w:rsidRPr="3278FA70">
        <w:rPr>
          <w:rFonts w:eastAsia="Trebuchet MS" w:cs="Calibri"/>
        </w:rPr>
        <w:t>.</w:t>
      </w:r>
    </w:p>
  </w:footnote>
  <w:footnote w:id="66">
    <w:p w14:paraId="2E7C9F2A" w14:textId="1AD53F86" w:rsidR="63FF6F3A" w:rsidRPr="000D112A" w:rsidRDefault="63FF6F3A" w:rsidP="63FF6F3A">
      <w:pPr>
        <w:pStyle w:val="FootnoteText"/>
        <w:rPr>
          <w:rFonts w:cs="Calibri"/>
        </w:rPr>
      </w:pPr>
      <w:r w:rsidRPr="3278FA70">
        <w:rPr>
          <w:rStyle w:val="FootnoteReference"/>
          <w:rFonts w:cs="Calibri"/>
        </w:rPr>
        <w:footnoteRef/>
      </w:r>
      <w:r w:rsidRPr="3278FA70">
        <w:rPr>
          <w:rFonts w:cs="Calibri"/>
        </w:rPr>
        <w:t xml:space="preserve"> </w:t>
      </w:r>
      <w:r w:rsidRPr="3278FA70">
        <w:rPr>
          <w:rFonts w:eastAsia="Trebuchet MS" w:cs="Calibri"/>
        </w:rPr>
        <w:t xml:space="preserve">OECD, </w:t>
      </w:r>
      <w:hyperlink r:id="rId30">
        <w:r w:rsidRPr="000D112A">
          <w:rPr>
            <w:rStyle w:val="Hyperlink"/>
            <w:rFonts w:cs="Calibri"/>
            <w:sz w:val="16"/>
            <w:szCs w:val="16"/>
          </w:rPr>
          <w:t>Dark commercial patterns</w:t>
        </w:r>
      </w:hyperlink>
      <w:r w:rsidRPr="3278FA70">
        <w:rPr>
          <w:rFonts w:eastAsia="Trebuchet MS" w:cs="Calibri"/>
        </w:rPr>
        <w:t>, pp. 44-45, 2022</w:t>
      </w:r>
      <w:r w:rsidR="009237E8" w:rsidRPr="3278FA70">
        <w:rPr>
          <w:rFonts w:eastAsia="Trebuchet MS" w:cs="Calibri"/>
        </w:rPr>
        <w:t>.</w:t>
      </w:r>
    </w:p>
  </w:footnote>
  <w:footnote w:id="67">
    <w:p w14:paraId="234FC438" w14:textId="164D86DE" w:rsidR="63FF6F3A" w:rsidRPr="000D112A" w:rsidRDefault="63FF6F3A" w:rsidP="63FF6F3A">
      <w:pPr>
        <w:pStyle w:val="FootnoteText"/>
        <w:rPr>
          <w:rFonts w:cs="Calibri"/>
        </w:rPr>
      </w:pPr>
      <w:r w:rsidRPr="3278FA70">
        <w:rPr>
          <w:rStyle w:val="FootnoteReference"/>
          <w:rFonts w:cs="Calibri"/>
        </w:rPr>
        <w:footnoteRef/>
      </w:r>
      <w:r w:rsidRPr="3278FA70">
        <w:rPr>
          <w:rFonts w:cs="Calibri"/>
        </w:rPr>
        <w:t xml:space="preserve"> </w:t>
      </w:r>
      <w:r w:rsidRPr="3278FA70">
        <w:rPr>
          <w:rFonts w:eastAsia="Trebuchet MS" w:cs="Calibri"/>
        </w:rPr>
        <w:t xml:space="preserve">ACCC, </w:t>
      </w:r>
      <w:hyperlink r:id="rId31">
        <w:r w:rsidRPr="000D112A">
          <w:rPr>
            <w:rStyle w:val="Hyperlink"/>
            <w:rFonts w:cs="Calibri"/>
            <w:sz w:val="16"/>
            <w:szCs w:val="16"/>
          </w:rPr>
          <w:t>Digital Platform Services Inquiry – Interim report No. 3</w:t>
        </w:r>
      </w:hyperlink>
      <w:r w:rsidRPr="3278FA70">
        <w:rPr>
          <w:rFonts w:eastAsia="Trebuchet MS" w:cs="Calibri"/>
        </w:rPr>
        <w:t>, pp. 56-67, September 2021</w:t>
      </w:r>
      <w:r w:rsidR="009237E8" w:rsidRPr="3278FA70">
        <w:rPr>
          <w:rFonts w:eastAsia="Trebuchet MS" w:cs="Calibri"/>
        </w:rPr>
        <w:t>.</w:t>
      </w:r>
    </w:p>
  </w:footnote>
  <w:footnote w:id="68">
    <w:p w14:paraId="6452FA7B" w14:textId="098CEBA7" w:rsidR="63FF6F3A" w:rsidRDefault="63FF6F3A" w:rsidP="63FF6F3A">
      <w:pPr>
        <w:pStyle w:val="FootnoteText"/>
      </w:pPr>
      <w:r w:rsidRPr="3278FA70">
        <w:rPr>
          <w:rStyle w:val="FootnoteReference"/>
          <w:rFonts w:cs="Calibri"/>
        </w:rPr>
        <w:footnoteRef/>
      </w:r>
      <w:r w:rsidRPr="3278FA70">
        <w:rPr>
          <w:rFonts w:cs="Calibri"/>
        </w:rPr>
        <w:t xml:space="preserve"> </w:t>
      </w:r>
      <w:r w:rsidRPr="3278FA70">
        <w:rPr>
          <w:rFonts w:eastAsia="Trebuchet MS" w:cs="Calibri"/>
        </w:rPr>
        <w:t xml:space="preserve">OECD, </w:t>
      </w:r>
      <w:hyperlink r:id="rId32">
        <w:r w:rsidRPr="000D112A">
          <w:rPr>
            <w:rStyle w:val="Hyperlink"/>
            <w:rFonts w:cs="Calibri"/>
            <w:sz w:val="16"/>
            <w:szCs w:val="16"/>
          </w:rPr>
          <w:t>Dark commercial patterns</w:t>
        </w:r>
      </w:hyperlink>
      <w:r w:rsidRPr="3278FA70">
        <w:rPr>
          <w:rFonts w:eastAsia="Trebuchet MS" w:cs="Calibri"/>
        </w:rPr>
        <w:t>, p. 53, 2022</w:t>
      </w:r>
      <w:r w:rsidR="009237E8" w:rsidRPr="3278FA70">
        <w:rPr>
          <w:rFonts w:eastAsia="Trebuchet MS" w:cs="Calibri"/>
        </w:rPr>
        <w:t>.</w:t>
      </w:r>
    </w:p>
  </w:footnote>
  <w:footnote w:id="69">
    <w:p w14:paraId="1B875F4A" w14:textId="47418C3F" w:rsidR="00FA188F" w:rsidRDefault="00FA188F">
      <w:pPr>
        <w:pStyle w:val="FootnoteText"/>
      </w:pPr>
      <w:r>
        <w:rPr>
          <w:rStyle w:val="FootnoteReference"/>
        </w:rPr>
        <w:footnoteRef/>
      </w:r>
      <w:r>
        <w:t xml:space="preserve"> </w:t>
      </w:r>
      <w:r w:rsidR="00840AE9">
        <w:t>DSB</w:t>
      </w:r>
      <w:r>
        <w:t xml:space="preserve"> </w:t>
      </w:r>
      <w:r w:rsidR="007A40A4">
        <w:t xml:space="preserve">2020, </w:t>
      </w:r>
      <w:hyperlink r:id="rId33" w:history="1">
        <w:r w:rsidR="002E07A4" w:rsidRPr="00661432">
          <w:rPr>
            <w:rStyle w:val="Hyperlink"/>
            <w:sz w:val="16"/>
          </w:rPr>
          <w:t>Amending Consent Workshop</w:t>
        </w:r>
      </w:hyperlink>
      <w:r w:rsidR="00661432">
        <w:t>.</w:t>
      </w:r>
    </w:p>
  </w:footnote>
  <w:footnote w:id="70">
    <w:p w14:paraId="06234619" w14:textId="192659DE" w:rsidR="00856572" w:rsidRDefault="00856572">
      <w:pPr>
        <w:pStyle w:val="FootnoteText"/>
      </w:pPr>
      <w:r>
        <w:rPr>
          <w:rStyle w:val="FootnoteReference"/>
        </w:rPr>
        <w:footnoteRef/>
      </w:r>
      <w:r>
        <w:t xml:space="preserve"> </w:t>
      </w:r>
      <w:r w:rsidR="0044218F">
        <w:t xml:space="preserve">Treasury 2020, </w:t>
      </w:r>
      <w:hyperlink r:id="rId34" w:history="1">
        <w:r w:rsidR="0044218F" w:rsidRPr="004349D2">
          <w:rPr>
            <w:rStyle w:val="Hyperlink"/>
            <w:sz w:val="16"/>
          </w:rPr>
          <w:t xml:space="preserve">Inquiry into Future Directions </w:t>
        </w:r>
        <w:r w:rsidR="00DE0C80">
          <w:rPr>
            <w:rStyle w:val="Hyperlink"/>
            <w:sz w:val="16"/>
          </w:rPr>
          <w:t xml:space="preserve">for </w:t>
        </w:r>
        <w:r w:rsidR="0044218F" w:rsidRPr="004349D2">
          <w:rPr>
            <w:rStyle w:val="Hyperlink"/>
            <w:sz w:val="16"/>
          </w:rPr>
          <w:t>the C</w:t>
        </w:r>
        <w:r w:rsidR="00DE0C80">
          <w:rPr>
            <w:rStyle w:val="Hyperlink"/>
            <w:sz w:val="16"/>
          </w:rPr>
          <w:t xml:space="preserve">onsumer </w:t>
        </w:r>
        <w:r w:rsidR="0044218F" w:rsidRPr="004349D2">
          <w:rPr>
            <w:rStyle w:val="Hyperlink"/>
            <w:sz w:val="16"/>
          </w:rPr>
          <w:t>D</w:t>
        </w:r>
        <w:r w:rsidR="00DE0C80">
          <w:rPr>
            <w:rStyle w:val="Hyperlink"/>
            <w:sz w:val="16"/>
          </w:rPr>
          <w:t xml:space="preserve">ata </w:t>
        </w:r>
        <w:r w:rsidR="0044218F" w:rsidRPr="004349D2">
          <w:rPr>
            <w:rStyle w:val="Hyperlink"/>
            <w:sz w:val="16"/>
          </w:rPr>
          <w:t>R</w:t>
        </w:r>
        <w:r w:rsidR="00DE0C80">
          <w:rPr>
            <w:rStyle w:val="Hyperlink"/>
            <w:sz w:val="16"/>
          </w:rPr>
          <w:t>ight</w:t>
        </w:r>
        <w:r w:rsidR="0044218F" w:rsidRPr="004349D2">
          <w:rPr>
            <w:rStyle w:val="Hyperlink"/>
            <w:sz w:val="16"/>
          </w:rPr>
          <w:t xml:space="preserve"> – Final Report</w:t>
        </w:r>
      </w:hyperlink>
      <w:r w:rsidR="0044218F">
        <w:t>, recommendations 6.22 – 6.24</w:t>
      </w:r>
      <w:r w:rsidR="00D255C1">
        <w:t>.</w:t>
      </w:r>
    </w:p>
  </w:footnote>
  <w:footnote w:id="71">
    <w:p w14:paraId="5295BC43" w14:textId="67BE90EB" w:rsidR="00480EB5" w:rsidRDefault="00480EB5">
      <w:pPr>
        <w:pStyle w:val="FootnoteText"/>
      </w:pPr>
      <w:r>
        <w:rPr>
          <w:rStyle w:val="FootnoteReference"/>
        </w:rPr>
        <w:footnoteRef/>
      </w:r>
      <w:r>
        <w:t xml:space="preserve"> </w:t>
      </w:r>
      <w:r w:rsidRPr="00480EB5">
        <w:rPr>
          <w:szCs w:val="16"/>
        </w:rPr>
        <w:t>DSB</w:t>
      </w:r>
      <w:r w:rsidR="00497399">
        <w:rPr>
          <w:szCs w:val="16"/>
        </w:rPr>
        <w:t xml:space="preserve"> 2021</w:t>
      </w:r>
      <w:r w:rsidRPr="00480EB5">
        <w:rPr>
          <w:szCs w:val="16"/>
        </w:rPr>
        <w:t xml:space="preserve">, </w:t>
      </w:r>
      <w:hyperlink r:id="rId35" w:history="1">
        <w:r w:rsidR="00497399" w:rsidRPr="00497399">
          <w:rPr>
            <w:rStyle w:val="Hyperlink"/>
            <w:sz w:val="16"/>
            <w:szCs w:val="16"/>
          </w:rPr>
          <w:t xml:space="preserve">Decision proposal 183 – </w:t>
        </w:r>
        <w:r w:rsidR="00497399" w:rsidRPr="00497399">
          <w:rPr>
            <w:rStyle w:val="Hyperlink"/>
            <w:sz w:val="16"/>
            <w:szCs w:val="16"/>
          </w:rPr>
          <w:t>purpose based consents</w:t>
        </w:r>
      </w:hyperlink>
      <w:r w:rsidR="00C91D24">
        <w:rPr>
          <w:szCs w:val="16"/>
        </w:rPr>
        <w:t>.</w:t>
      </w:r>
    </w:p>
  </w:footnote>
  <w:footnote w:id="72">
    <w:p w14:paraId="428CC857" w14:textId="14CA6FAD" w:rsidR="008D457B" w:rsidRDefault="008D457B">
      <w:pPr>
        <w:pStyle w:val="FootnoteText"/>
      </w:pPr>
      <w:r>
        <w:rPr>
          <w:rStyle w:val="FootnoteReference"/>
        </w:rPr>
        <w:footnoteRef/>
      </w:r>
      <w:r>
        <w:t xml:space="preserve"> Treasury 2020, </w:t>
      </w:r>
      <w:hyperlink r:id="rId36" w:history="1">
        <w:r w:rsidRPr="004349D2">
          <w:rPr>
            <w:rStyle w:val="Hyperlink"/>
            <w:sz w:val="16"/>
          </w:rPr>
          <w:t xml:space="preserve">Inquiry into Future Directions </w:t>
        </w:r>
        <w:r>
          <w:rPr>
            <w:rStyle w:val="Hyperlink"/>
            <w:sz w:val="16"/>
          </w:rPr>
          <w:t xml:space="preserve">for </w:t>
        </w:r>
        <w:r w:rsidRPr="004349D2">
          <w:rPr>
            <w:rStyle w:val="Hyperlink"/>
            <w:sz w:val="16"/>
          </w:rPr>
          <w:t>the C</w:t>
        </w:r>
        <w:r>
          <w:rPr>
            <w:rStyle w:val="Hyperlink"/>
            <w:sz w:val="16"/>
          </w:rPr>
          <w:t xml:space="preserve">onsumer </w:t>
        </w:r>
        <w:r w:rsidRPr="004349D2">
          <w:rPr>
            <w:rStyle w:val="Hyperlink"/>
            <w:sz w:val="16"/>
          </w:rPr>
          <w:t>D</w:t>
        </w:r>
        <w:r>
          <w:rPr>
            <w:rStyle w:val="Hyperlink"/>
            <w:sz w:val="16"/>
          </w:rPr>
          <w:t xml:space="preserve">ata </w:t>
        </w:r>
        <w:r w:rsidRPr="004349D2">
          <w:rPr>
            <w:rStyle w:val="Hyperlink"/>
            <w:sz w:val="16"/>
          </w:rPr>
          <w:t>R</w:t>
        </w:r>
        <w:r>
          <w:rPr>
            <w:rStyle w:val="Hyperlink"/>
            <w:sz w:val="16"/>
          </w:rPr>
          <w:t>ight</w:t>
        </w:r>
        <w:r w:rsidRPr="004349D2">
          <w:rPr>
            <w:rStyle w:val="Hyperlink"/>
            <w:sz w:val="16"/>
          </w:rPr>
          <w:t xml:space="preserve"> – Final Report</w:t>
        </w:r>
      </w:hyperlink>
      <w:r>
        <w:t>, recommendations 6.19 – 6.2</w:t>
      </w:r>
      <w:r w:rsidR="00411E00">
        <w:t>0, pp. 133-136</w:t>
      </w:r>
      <w:r w:rsidR="00C91D24">
        <w:t>.</w:t>
      </w:r>
    </w:p>
  </w:footnote>
  <w:footnote w:id="73">
    <w:p w14:paraId="3BA882B8" w14:textId="1A54ED74" w:rsidR="00296E92" w:rsidRDefault="00296E92" w:rsidP="001E1039">
      <w:pPr>
        <w:pStyle w:val="FootnoteText"/>
        <w:tabs>
          <w:tab w:val="clear" w:pos="340"/>
        </w:tabs>
        <w:ind w:left="0" w:firstLine="0"/>
      </w:pPr>
      <w:r>
        <w:rPr>
          <w:rStyle w:val="FootnoteReference"/>
        </w:rPr>
        <w:footnoteRef/>
      </w:r>
      <w:r>
        <w:t xml:space="preserve"> </w:t>
      </w:r>
      <w:r w:rsidR="00410F6C">
        <w:t xml:space="preserve">D. Fett 14 November 2022, </w:t>
      </w:r>
      <w:hyperlink r:id="rId37" w:history="1">
        <w:r w:rsidR="00861A72" w:rsidRPr="00066897">
          <w:rPr>
            <w:rStyle w:val="Hyperlink"/>
            <w:sz w:val="16"/>
          </w:rPr>
          <w:t xml:space="preserve">FAPI 2.0 </w:t>
        </w:r>
        <w:r w:rsidR="00695714" w:rsidRPr="00066897">
          <w:rPr>
            <w:rStyle w:val="Hyperlink"/>
            <w:sz w:val="16"/>
          </w:rPr>
          <w:t>Security Profile</w:t>
        </w:r>
      </w:hyperlink>
      <w:r w:rsidR="00410F6C">
        <w:t xml:space="preserve"> and</w:t>
      </w:r>
      <w:r w:rsidR="006F2D95">
        <w:t xml:space="preserve"> </w:t>
      </w:r>
      <w:r w:rsidR="00A619D6">
        <w:t>T. Lodderstedt, J. Richer and B. Campbell 18 October 2020</w:t>
      </w:r>
      <w:r w:rsidR="00BF7ED8">
        <w:t xml:space="preserve">, </w:t>
      </w:r>
      <w:hyperlink r:id="rId38" w:history="1">
        <w:r w:rsidR="00BF7ED8" w:rsidRPr="00952517">
          <w:rPr>
            <w:rStyle w:val="Hyperlink"/>
            <w:sz w:val="16"/>
          </w:rPr>
          <w:t>A</w:t>
        </w:r>
        <w:r w:rsidR="00612FD3" w:rsidRPr="00952517">
          <w:rPr>
            <w:rStyle w:val="Hyperlink"/>
            <w:sz w:val="16"/>
          </w:rPr>
          <w:t>uth 2.</w:t>
        </w:r>
        <w:r w:rsidR="004B1D01" w:rsidRPr="00952517">
          <w:rPr>
            <w:rStyle w:val="Hyperlink"/>
            <w:sz w:val="16"/>
          </w:rPr>
          <w:t>0 Rich Authorization Requests</w:t>
        </w:r>
      </w:hyperlink>
      <w:r w:rsidR="004B1D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1620ED" w14:paraId="4476A9DF" w14:textId="77777777" w:rsidTr="2383B6FC">
      <w:trPr>
        <w:trHeight w:val="300"/>
      </w:trPr>
      <w:tc>
        <w:tcPr>
          <w:tcW w:w="3005" w:type="dxa"/>
        </w:tcPr>
        <w:p w14:paraId="18CBD537" w14:textId="4A5C6D2E" w:rsidR="5D1620ED" w:rsidRDefault="5D1620ED" w:rsidP="5D1620ED">
          <w:pPr>
            <w:pStyle w:val="Header"/>
            <w:ind w:left="-115"/>
          </w:pPr>
        </w:p>
      </w:tc>
      <w:tc>
        <w:tcPr>
          <w:tcW w:w="3005" w:type="dxa"/>
        </w:tcPr>
        <w:p w14:paraId="05C89D10" w14:textId="70C3E87A" w:rsidR="5D1620ED" w:rsidRDefault="5D1620ED" w:rsidP="006B03F4">
          <w:pPr>
            <w:pStyle w:val="Header"/>
            <w:numPr>
              <w:ilvl w:val="0"/>
              <w:numId w:val="0"/>
            </w:numPr>
          </w:pPr>
        </w:p>
      </w:tc>
      <w:tc>
        <w:tcPr>
          <w:tcW w:w="3005" w:type="dxa"/>
        </w:tcPr>
        <w:p w14:paraId="6946B59E" w14:textId="39DC780C" w:rsidR="5D1620ED" w:rsidRDefault="5D1620ED" w:rsidP="006B03F4">
          <w:pPr>
            <w:pStyle w:val="Header"/>
            <w:numPr>
              <w:ilvl w:val="0"/>
              <w:numId w:val="0"/>
            </w:numPr>
            <w:ind w:left="520" w:right="-115"/>
            <w:jc w:val="right"/>
          </w:pPr>
        </w:p>
      </w:tc>
    </w:tr>
  </w:tbl>
  <w:p w14:paraId="3383DA91" w14:textId="363F998F" w:rsidR="5D1620ED" w:rsidRDefault="5D1620ED" w:rsidP="006B03F4">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1620ED" w14:paraId="44E31DB9" w14:textId="77777777" w:rsidTr="5D1620ED">
      <w:trPr>
        <w:trHeight w:val="300"/>
      </w:trPr>
      <w:tc>
        <w:tcPr>
          <w:tcW w:w="3005" w:type="dxa"/>
        </w:tcPr>
        <w:p w14:paraId="1CFCC7EC" w14:textId="2BDB7EE8" w:rsidR="5D1620ED" w:rsidRDefault="5D1620ED" w:rsidP="5D1620ED">
          <w:pPr>
            <w:pStyle w:val="Header"/>
            <w:ind w:left="-115"/>
          </w:pPr>
        </w:p>
      </w:tc>
      <w:tc>
        <w:tcPr>
          <w:tcW w:w="3005" w:type="dxa"/>
        </w:tcPr>
        <w:p w14:paraId="5C5F11B4" w14:textId="1FB4AEDB" w:rsidR="5D1620ED" w:rsidRDefault="5D1620ED" w:rsidP="00BC1A2F">
          <w:pPr>
            <w:pStyle w:val="Header"/>
            <w:numPr>
              <w:ilvl w:val="0"/>
              <w:numId w:val="0"/>
            </w:numPr>
            <w:ind w:left="1040"/>
          </w:pPr>
        </w:p>
      </w:tc>
      <w:tc>
        <w:tcPr>
          <w:tcW w:w="3005" w:type="dxa"/>
        </w:tcPr>
        <w:p w14:paraId="1C0E389D" w14:textId="790EC351" w:rsidR="5D1620ED" w:rsidRDefault="5D1620ED" w:rsidP="00BC1A2F">
          <w:pPr>
            <w:pStyle w:val="Header"/>
            <w:numPr>
              <w:ilvl w:val="0"/>
              <w:numId w:val="0"/>
            </w:numPr>
            <w:ind w:right="-115"/>
            <w:jc w:val="right"/>
          </w:pPr>
        </w:p>
      </w:tc>
    </w:tr>
  </w:tbl>
  <w:p w14:paraId="1BC5F8A1" w14:textId="2A96BD06" w:rsidR="5D1620ED" w:rsidRDefault="5D1620ED" w:rsidP="00BC1A2F">
    <w:pPr>
      <w:pStyle w:val="Header"/>
      <w:numPr>
        <w:ilvl w:val="0"/>
        <w:numId w:val="0"/>
      </w:num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3062532"/>
    <w:multiLevelType w:val="hybridMultilevel"/>
    <w:tmpl w:val="FFFFFFFF"/>
    <w:lvl w:ilvl="0" w:tplc="FEBE5B7C">
      <w:start w:val="2"/>
      <w:numFmt w:val="decimal"/>
      <w:lvlText w:val="%1."/>
      <w:lvlJc w:val="left"/>
      <w:pPr>
        <w:ind w:left="720" w:hanging="360"/>
      </w:pPr>
    </w:lvl>
    <w:lvl w:ilvl="1" w:tplc="174617E8">
      <w:start w:val="1"/>
      <w:numFmt w:val="lowerLetter"/>
      <w:lvlText w:val="%2."/>
      <w:lvlJc w:val="left"/>
      <w:pPr>
        <w:ind w:left="1440" w:hanging="360"/>
      </w:pPr>
    </w:lvl>
    <w:lvl w:ilvl="2" w:tplc="65D87936">
      <w:start w:val="1"/>
      <w:numFmt w:val="lowerRoman"/>
      <w:lvlText w:val="%3."/>
      <w:lvlJc w:val="right"/>
      <w:pPr>
        <w:ind w:left="2160" w:hanging="180"/>
      </w:pPr>
    </w:lvl>
    <w:lvl w:ilvl="3" w:tplc="6B4CD84A">
      <w:start w:val="1"/>
      <w:numFmt w:val="decimal"/>
      <w:lvlText w:val="%4."/>
      <w:lvlJc w:val="left"/>
      <w:pPr>
        <w:ind w:left="2880" w:hanging="360"/>
      </w:pPr>
    </w:lvl>
    <w:lvl w:ilvl="4" w:tplc="1CAC7096">
      <w:start w:val="1"/>
      <w:numFmt w:val="lowerLetter"/>
      <w:lvlText w:val="%5."/>
      <w:lvlJc w:val="left"/>
      <w:pPr>
        <w:ind w:left="3600" w:hanging="360"/>
      </w:pPr>
    </w:lvl>
    <w:lvl w:ilvl="5" w:tplc="9424CCE8">
      <w:start w:val="1"/>
      <w:numFmt w:val="lowerRoman"/>
      <w:lvlText w:val="%6."/>
      <w:lvlJc w:val="right"/>
      <w:pPr>
        <w:ind w:left="4320" w:hanging="180"/>
      </w:pPr>
    </w:lvl>
    <w:lvl w:ilvl="6" w:tplc="81F643FA">
      <w:start w:val="1"/>
      <w:numFmt w:val="decimal"/>
      <w:lvlText w:val="%7."/>
      <w:lvlJc w:val="left"/>
      <w:pPr>
        <w:ind w:left="5040" w:hanging="360"/>
      </w:pPr>
    </w:lvl>
    <w:lvl w:ilvl="7" w:tplc="4940A9C0">
      <w:start w:val="1"/>
      <w:numFmt w:val="lowerLetter"/>
      <w:lvlText w:val="%8."/>
      <w:lvlJc w:val="left"/>
      <w:pPr>
        <w:ind w:left="5760" w:hanging="360"/>
      </w:pPr>
    </w:lvl>
    <w:lvl w:ilvl="8" w:tplc="B094A8FE">
      <w:start w:val="1"/>
      <w:numFmt w:val="lowerRoman"/>
      <w:lvlText w:val="%9."/>
      <w:lvlJc w:val="right"/>
      <w:pPr>
        <w:ind w:left="6480" w:hanging="180"/>
      </w:pPr>
    </w:lvl>
  </w:abstractNum>
  <w:abstractNum w:abstractNumId="10" w15:restartNumberingAfterBreak="0">
    <w:nsid w:val="04847625"/>
    <w:multiLevelType w:val="hybridMultilevel"/>
    <w:tmpl w:val="FFFFFFFF"/>
    <w:lvl w:ilvl="0" w:tplc="B524A554">
      <w:start w:val="1"/>
      <w:numFmt w:val="bullet"/>
      <w:lvlText w:val="·"/>
      <w:lvlJc w:val="left"/>
      <w:pPr>
        <w:ind w:left="720" w:hanging="360"/>
      </w:pPr>
      <w:rPr>
        <w:rFonts w:ascii="Symbol" w:hAnsi="Symbol" w:hint="default"/>
      </w:rPr>
    </w:lvl>
    <w:lvl w:ilvl="1" w:tplc="FE5CD838">
      <w:start w:val="1"/>
      <w:numFmt w:val="bullet"/>
      <w:lvlText w:val="o"/>
      <w:lvlJc w:val="left"/>
      <w:pPr>
        <w:ind w:left="1440" w:hanging="360"/>
      </w:pPr>
      <w:rPr>
        <w:rFonts w:ascii="Courier New" w:hAnsi="Courier New" w:hint="default"/>
      </w:rPr>
    </w:lvl>
    <w:lvl w:ilvl="2" w:tplc="54C6BAF2">
      <w:start w:val="1"/>
      <w:numFmt w:val="bullet"/>
      <w:lvlText w:val=""/>
      <w:lvlJc w:val="left"/>
      <w:pPr>
        <w:ind w:left="2160" w:hanging="360"/>
      </w:pPr>
      <w:rPr>
        <w:rFonts w:ascii="Wingdings" w:hAnsi="Wingdings" w:hint="default"/>
      </w:rPr>
    </w:lvl>
    <w:lvl w:ilvl="3" w:tplc="7F4ACA3E">
      <w:start w:val="1"/>
      <w:numFmt w:val="bullet"/>
      <w:lvlText w:val=""/>
      <w:lvlJc w:val="left"/>
      <w:pPr>
        <w:ind w:left="2880" w:hanging="360"/>
      </w:pPr>
      <w:rPr>
        <w:rFonts w:ascii="Symbol" w:hAnsi="Symbol" w:hint="default"/>
      </w:rPr>
    </w:lvl>
    <w:lvl w:ilvl="4" w:tplc="3A94BF8A">
      <w:start w:val="1"/>
      <w:numFmt w:val="bullet"/>
      <w:lvlText w:val="o"/>
      <w:lvlJc w:val="left"/>
      <w:pPr>
        <w:ind w:left="3600" w:hanging="360"/>
      </w:pPr>
      <w:rPr>
        <w:rFonts w:ascii="Courier New" w:hAnsi="Courier New" w:hint="default"/>
      </w:rPr>
    </w:lvl>
    <w:lvl w:ilvl="5" w:tplc="99B8B3FA">
      <w:start w:val="1"/>
      <w:numFmt w:val="bullet"/>
      <w:lvlText w:val=""/>
      <w:lvlJc w:val="left"/>
      <w:pPr>
        <w:ind w:left="4320" w:hanging="360"/>
      </w:pPr>
      <w:rPr>
        <w:rFonts w:ascii="Wingdings" w:hAnsi="Wingdings" w:hint="default"/>
      </w:rPr>
    </w:lvl>
    <w:lvl w:ilvl="6" w:tplc="ECFC48D8">
      <w:start w:val="1"/>
      <w:numFmt w:val="bullet"/>
      <w:lvlText w:val=""/>
      <w:lvlJc w:val="left"/>
      <w:pPr>
        <w:ind w:left="5040" w:hanging="360"/>
      </w:pPr>
      <w:rPr>
        <w:rFonts w:ascii="Symbol" w:hAnsi="Symbol" w:hint="default"/>
      </w:rPr>
    </w:lvl>
    <w:lvl w:ilvl="7" w:tplc="E372233E">
      <w:start w:val="1"/>
      <w:numFmt w:val="bullet"/>
      <w:lvlText w:val="o"/>
      <w:lvlJc w:val="left"/>
      <w:pPr>
        <w:ind w:left="5760" w:hanging="360"/>
      </w:pPr>
      <w:rPr>
        <w:rFonts w:ascii="Courier New" w:hAnsi="Courier New" w:hint="default"/>
      </w:rPr>
    </w:lvl>
    <w:lvl w:ilvl="8" w:tplc="551A2500">
      <w:start w:val="1"/>
      <w:numFmt w:val="bullet"/>
      <w:lvlText w:val=""/>
      <w:lvlJc w:val="left"/>
      <w:pPr>
        <w:ind w:left="6480" w:hanging="360"/>
      </w:pPr>
      <w:rPr>
        <w:rFonts w:ascii="Wingdings" w:hAnsi="Wingdings" w:hint="default"/>
      </w:rPr>
    </w:lvl>
  </w:abstractNum>
  <w:abstractNum w:abstractNumId="11" w15:restartNumberingAfterBreak="0">
    <w:nsid w:val="0DD2542B"/>
    <w:multiLevelType w:val="hybridMultilevel"/>
    <w:tmpl w:val="93BC2E86"/>
    <w:lvl w:ilvl="0" w:tplc="547EBE1C">
      <w:start w:val="1"/>
      <w:numFmt w:val="decimal"/>
      <w:pStyle w:val="ListParagraph"/>
      <w:lvlText w:val="%1."/>
      <w:lvlJc w:val="left"/>
      <w:pPr>
        <w:ind w:left="340" w:hanging="340"/>
      </w:pPr>
      <w:rPr>
        <w:rFonts w:hint="default"/>
        <w:b w:val="0"/>
        <w:bCs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39274BE"/>
    <w:multiLevelType w:val="hybridMultilevel"/>
    <w:tmpl w:val="054A2392"/>
    <w:lvl w:ilvl="0" w:tplc="F64A3114">
      <w:start w:val="1"/>
      <w:numFmt w:val="bullet"/>
      <w:lvlText w:val="·"/>
      <w:lvlJc w:val="left"/>
      <w:pPr>
        <w:ind w:left="720" w:hanging="360"/>
      </w:pPr>
      <w:rPr>
        <w:rFonts w:ascii="Symbol" w:hAnsi="Symbol" w:hint="default"/>
      </w:rPr>
    </w:lvl>
    <w:lvl w:ilvl="1" w:tplc="52A25FCC">
      <w:start w:val="1"/>
      <w:numFmt w:val="bullet"/>
      <w:lvlText w:val="o"/>
      <w:lvlJc w:val="left"/>
      <w:pPr>
        <w:ind w:left="1440" w:hanging="360"/>
      </w:pPr>
      <w:rPr>
        <w:rFonts w:ascii="Courier New" w:hAnsi="Courier New" w:hint="default"/>
      </w:rPr>
    </w:lvl>
    <w:lvl w:ilvl="2" w:tplc="A594CAFE">
      <w:start w:val="1"/>
      <w:numFmt w:val="bullet"/>
      <w:lvlText w:val=""/>
      <w:lvlJc w:val="left"/>
      <w:pPr>
        <w:ind w:left="2160" w:hanging="360"/>
      </w:pPr>
      <w:rPr>
        <w:rFonts w:ascii="Wingdings" w:hAnsi="Wingdings" w:hint="default"/>
      </w:rPr>
    </w:lvl>
    <w:lvl w:ilvl="3" w:tplc="FE1E4878">
      <w:start w:val="1"/>
      <w:numFmt w:val="bullet"/>
      <w:lvlText w:val=""/>
      <w:lvlJc w:val="left"/>
      <w:pPr>
        <w:ind w:left="2880" w:hanging="360"/>
      </w:pPr>
      <w:rPr>
        <w:rFonts w:ascii="Symbol" w:hAnsi="Symbol" w:hint="default"/>
      </w:rPr>
    </w:lvl>
    <w:lvl w:ilvl="4" w:tplc="858A7144">
      <w:start w:val="1"/>
      <w:numFmt w:val="bullet"/>
      <w:lvlText w:val="o"/>
      <w:lvlJc w:val="left"/>
      <w:pPr>
        <w:ind w:left="3600" w:hanging="360"/>
      </w:pPr>
      <w:rPr>
        <w:rFonts w:ascii="Courier New" w:hAnsi="Courier New" w:hint="default"/>
      </w:rPr>
    </w:lvl>
    <w:lvl w:ilvl="5" w:tplc="BEBA68B8">
      <w:start w:val="1"/>
      <w:numFmt w:val="bullet"/>
      <w:lvlText w:val=""/>
      <w:lvlJc w:val="left"/>
      <w:pPr>
        <w:ind w:left="4320" w:hanging="360"/>
      </w:pPr>
      <w:rPr>
        <w:rFonts w:ascii="Wingdings" w:hAnsi="Wingdings" w:hint="default"/>
      </w:rPr>
    </w:lvl>
    <w:lvl w:ilvl="6" w:tplc="F7508164">
      <w:start w:val="1"/>
      <w:numFmt w:val="bullet"/>
      <w:lvlText w:val=""/>
      <w:lvlJc w:val="left"/>
      <w:pPr>
        <w:ind w:left="5040" w:hanging="360"/>
      </w:pPr>
      <w:rPr>
        <w:rFonts w:ascii="Symbol" w:hAnsi="Symbol" w:hint="default"/>
      </w:rPr>
    </w:lvl>
    <w:lvl w:ilvl="7" w:tplc="629C5604">
      <w:start w:val="1"/>
      <w:numFmt w:val="bullet"/>
      <w:lvlText w:val="o"/>
      <w:lvlJc w:val="left"/>
      <w:pPr>
        <w:ind w:left="5760" w:hanging="360"/>
      </w:pPr>
      <w:rPr>
        <w:rFonts w:ascii="Courier New" w:hAnsi="Courier New" w:hint="default"/>
      </w:rPr>
    </w:lvl>
    <w:lvl w:ilvl="8" w:tplc="622A42DA">
      <w:start w:val="1"/>
      <w:numFmt w:val="bullet"/>
      <w:lvlText w:val=""/>
      <w:lvlJc w:val="left"/>
      <w:pPr>
        <w:ind w:left="6480" w:hanging="360"/>
      </w:pPr>
      <w:rPr>
        <w:rFonts w:ascii="Wingdings" w:hAnsi="Wingdings" w:hint="default"/>
      </w:rPr>
    </w:lvl>
  </w:abstractNum>
  <w:abstractNum w:abstractNumId="14" w15:restartNumberingAfterBreak="0">
    <w:nsid w:val="15B1576B"/>
    <w:multiLevelType w:val="multilevel"/>
    <w:tmpl w:val="9732FA1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73928DD"/>
    <w:multiLevelType w:val="hybridMultilevel"/>
    <w:tmpl w:val="D442A3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96AF34"/>
    <w:multiLevelType w:val="hybridMultilevel"/>
    <w:tmpl w:val="FFFFFFFF"/>
    <w:lvl w:ilvl="0" w:tplc="5AE0BC30">
      <w:start w:val="1"/>
      <w:numFmt w:val="bullet"/>
      <w:lvlText w:val="·"/>
      <w:lvlJc w:val="left"/>
      <w:pPr>
        <w:ind w:left="720" w:hanging="360"/>
      </w:pPr>
      <w:rPr>
        <w:rFonts w:ascii="Symbol" w:hAnsi="Symbol" w:hint="default"/>
      </w:rPr>
    </w:lvl>
    <w:lvl w:ilvl="1" w:tplc="23DE8336">
      <w:start w:val="1"/>
      <w:numFmt w:val="bullet"/>
      <w:lvlText w:val="o"/>
      <w:lvlJc w:val="left"/>
      <w:pPr>
        <w:ind w:left="1440" w:hanging="360"/>
      </w:pPr>
      <w:rPr>
        <w:rFonts w:ascii="Courier New" w:hAnsi="Courier New" w:hint="default"/>
      </w:rPr>
    </w:lvl>
    <w:lvl w:ilvl="2" w:tplc="480AFE5C">
      <w:start w:val="1"/>
      <w:numFmt w:val="bullet"/>
      <w:lvlText w:val=""/>
      <w:lvlJc w:val="left"/>
      <w:pPr>
        <w:ind w:left="2160" w:hanging="360"/>
      </w:pPr>
      <w:rPr>
        <w:rFonts w:ascii="Wingdings" w:hAnsi="Wingdings" w:hint="default"/>
      </w:rPr>
    </w:lvl>
    <w:lvl w:ilvl="3" w:tplc="D93A1EA6">
      <w:start w:val="1"/>
      <w:numFmt w:val="bullet"/>
      <w:lvlText w:val=""/>
      <w:lvlJc w:val="left"/>
      <w:pPr>
        <w:ind w:left="2880" w:hanging="360"/>
      </w:pPr>
      <w:rPr>
        <w:rFonts w:ascii="Symbol" w:hAnsi="Symbol" w:hint="default"/>
      </w:rPr>
    </w:lvl>
    <w:lvl w:ilvl="4" w:tplc="512ED738">
      <w:start w:val="1"/>
      <w:numFmt w:val="bullet"/>
      <w:lvlText w:val="o"/>
      <w:lvlJc w:val="left"/>
      <w:pPr>
        <w:ind w:left="3600" w:hanging="360"/>
      </w:pPr>
      <w:rPr>
        <w:rFonts w:ascii="Courier New" w:hAnsi="Courier New" w:hint="default"/>
      </w:rPr>
    </w:lvl>
    <w:lvl w:ilvl="5" w:tplc="061A68C6">
      <w:start w:val="1"/>
      <w:numFmt w:val="bullet"/>
      <w:lvlText w:val=""/>
      <w:lvlJc w:val="left"/>
      <w:pPr>
        <w:ind w:left="4320" w:hanging="360"/>
      </w:pPr>
      <w:rPr>
        <w:rFonts w:ascii="Wingdings" w:hAnsi="Wingdings" w:hint="default"/>
      </w:rPr>
    </w:lvl>
    <w:lvl w:ilvl="6" w:tplc="CF3CC4B0">
      <w:start w:val="1"/>
      <w:numFmt w:val="bullet"/>
      <w:lvlText w:val=""/>
      <w:lvlJc w:val="left"/>
      <w:pPr>
        <w:ind w:left="5040" w:hanging="360"/>
      </w:pPr>
      <w:rPr>
        <w:rFonts w:ascii="Symbol" w:hAnsi="Symbol" w:hint="default"/>
      </w:rPr>
    </w:lvl>
    <w:lvl w:ilvl="7" w:tplc="2C18EDF8">
      <w:start w:val="1"/>
      <w:numFmt w:val="bullet"/>
      <w:lvlText w:val="o"/>
      <w:lvlJc w:val="left"/>
      <w:pPr>
        <w:ind w:left="5760" w:hanging="360"/>
      </w:pPr>
      <w:rPr>
        <w:rFonts w:ascii="Courier New" w:hAnsi="Courier New" w:hint="default"/>
      </w:rPr>
    </w:lvl>
    <w:lvl w:ilvl="8" w:tplc="F4502138">
      <w:start w:val="1"/>
      <w:numFmt w:val="bullet"/>
      <w:lvlText w:val=""/>
      <w:lvlJc w:val="left"/>
      <w:pPr>
        <w:ind w:left="6480" w:hanging="360"/>
      </w:pPr>
      <w:rPr>
        <w:rFonts w:ascii="Wingdings" w:hAnsi="Wingdings" w:hint="default"/>
      </w:rPr>
    </w:lvl>
  </w:abstractNum>
  <w:abstractNum w:abstractNumId="18" w15:restartNumberingAfterBreak="0">
    <w:nsid w:val="1C29CA15"/>
    <w:multiLevelType w:val="hybridMultilevel"/>
    <w:tmpl w:val="FFFFFFFF"/>
    <w:lvl w:ilvl="0" w:tplc="5796A40E">
      <w:start w:val="1"/>
      <w:numFmt w:val="bullet"/>
      <w:lvlText w:val="·"/>
      <w:lvlJc w:val="left"/>
      <w:pPr>
        <w:ind w:left="720" w:hanging="360"/>
      </w:pPr>
      <w:rPr>
        <w:rFonts w:ascii="Symbol" w:hAnsi="Symbol" w:hint="default"/>
      </w:rPr>
    </w:lvl>
    <w:lvl w:ilvl="1" w:tplc="594E6C36">
      <w:start w:val="1"/>
      <w:numFmt w:val="bullet"/>
      <w:lvlText w:val="o"/>
      <w:lvlJc w:val="left"/>
      <w:pPr>
        <w:ind w:left="1440" w:hanging="360"/>
      </w:pPr>
      <w:rPr>
        <w:rFonts w:ascii="Courier New" w:hAnsi="Courier New" w:hint="default"/>
      </w:rPr>
    </w:lvl>
    <w:lvl w:ilvl="2" w:tplc="ABA8E896">
      <w:start w:val="1"/>
      <w:numFmt w:val="bullet"/>
      <w:lvlText w:val=""/>
      <w:lvlJc w:val="left"/>
      <w:pPr>
        <w:ind w:left="2160" w:hanging="360"/>
      </w:pPr>
      <w:rPr>
        <w:rFonts w:ascii="Wingdings" w:hAnsi="Wingdings" w:hint="default"/>
      </w:rPr>
    </w:lvl>
    <w:lvl w:ilvl="3" w:tplc="722442A0">
      <w:start w:val="1"/>
      <w:numFmt w:val="bullet"/>
      <w:lvlText w:val=""/>
      <w:lvlJc w:val="left"/>
      <w:pPr>
        <w:ind w:left="2880" w:hanging="360"/>
      </w:pPr>
      <w:rPr>
        <w:rFonts w:ascii="Symbol" w:hAnsi="Symbol" w:hint="default"/>
      </w:rPr>
    </w:lvl>
    <w:lvl w:ilvl="4" w:tplc="72C6AE0C">
      <w:start w:val="1"/>
      <w:numFmt w:val="bullet"/>
      <w:lvlText w:val="o"/>
      <w:lvlJc w:val="left"/>
      <w:pPr>
        <w:ind w:left="3600" w:hanging="360"/>
      </w:pPr>
      <w:rPr>
        <w:rFonts w:ascii="Courier New" w:hAnsi="Courier New" w:hint="default"/>
      </w:rPr>
    </w:lvl>
    <w:lvl w:ilvl="5" w:tplc="6D6C5182">
      <w:start w:val="1"/>
      <w:numFmt w:val="bullet"/>
      <w:lvlText w:val=""/>
      <w:lvlJc w:val="left"/>
      <w:pPr>
        <w:ind w:left="4320" w:hanging="360"/>
      </w:pPr>
      <w:rPr>
        <w:rFonts w:ascii="Wingdings" w:hAnsi="Wingdings" w:hint="default"/>
      </w:rPr>
    </w:lvl>
    <w:lvl w:ilvl="6" w:tplc="5F1E8196">
      <w:start w:val="1"/>
      <w:numFmt w:val="bullet"/>
      <w:lvlText w:val=""/>
      <w:lvlJc w:val="left"/>
      <w:pPr>
        <w:ind w:left="5040" w:hanging="360"/>
      </w:pPr>
      <w:rPr>
        <w:rFonts w:ascii="Symbol" w:hAnsi="Symbol" w:hint="default"/>
      </w:rPr>
    </w:lvl>
    <w:lvl w:ilvl="7" w:tplc="BFB61F50">
      <w:start w:val="1"/>
      <w:numFmt w:val="bullet"/>
      <w:lvlText w:val="o"/>
      <w:lvlJc w:val="left"/>
      <w:pPr>
        <w:ind w:left="5760" w:hanging="360"/>
      </w:pPr>
      <w:rPr>
        <w:rFonts w:ascii="Courier New" w:hAnsi="Courier New" w:hint="default"/>
      </w:rPr>
    </w:lvl>
    <w:lvl w:ilvl="8" w:tplc="C5A4A81C">
      <w:start w:val="1"/>
      <w:numFmt w:val="bullet"/>
      <w:lvlText w:val=""/>
      <w:lvlJc w:val="left"/>
      <w:pPr>
        <w:ind w:left="6480" w:hanging="360"/>
      </w:pPr>
      <w:rPr>
        <w:rFonts w:ascii="Wingdings" w:hAnsi="Wingdings" w:hint="default"/>
      </w:rPr>
    </w:lvl>
  </w:abstractNum>
  <w:abstractNum w:abstractNumId="19"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20" w15:restartNumberingAfterBreak="0">
    <w:nsid w:val="2217DFA1"/>
    <w:multiLevelType w:val="hybridMultilevel"/>
    <w:tmpl w:val="FFFFFFFF"/>
    <w:lvl w:ilvl="0" w:tplc="BBFC3C38">
      <w:start w:val="1"/>
      <w:numFmt w:val="bullet"/>
      <w:lvlText w:val="·"/>
      <w:lvlJc w:val="left"/>
      <w:pPr>
        <w:ind w:left="720" w:hanging="360"/>
      </w:pPr>
      <w:rPr>
        <w:rFonts w:ascii="Symbol" w:hAnsi="Symbol" w:hint="default"/>
      </w:rPr>
    </w:lvl>
    <w:lvl w:ilvl="1" w:tplc="BFF8067A">
      <w:start w:val="1"/>
      <w:numFmt w:val="bullet"/>
      <w:lvlText w:val="o"/>
      <w:lvlJc w:val="left"/>
      <w:pPr>
        <w:ind w:left="1440" w:hanging="360"/>
      </w:pPr>
      <w:rPr>
        <w:rFonts w:ascii="Courier New" w:hAnsi="Courier New" w:hint="default"/>
      </w:rPr>
    </w:lvl>
    <w:lvl w:ilvl="2" w:tplc="E954BC1A">
      <w:start w:val="1"/>
      <w:numFmt w:val="bullet"/>
      <w:lvlText w:val=""/>
      <w:lvlJc w:val="left"/>
      <w:pPr>
        <w:ind w:left="2160" w:hanging="360"/>
      </w:pPr>
      <w:rPr>
        <w:rFonts w:ascii="Wingdings" w:hAnsi="Wingdings" w:hint="default"/>
      </w:rPr>
    </w:lvl>
    <w:lvl w:ilvl="3" w:tplc="EA2A1334">
      <w:start w:val="1"/>
      <w:numFmt w:val="bullet"/>
      <w:lvlText w:val=""/>
      <w:lvlJc w:val="left"/>
      <w:pPr>
        <w:ind w:left="2880" w:hanging="360"/>
      </w:pPr>
      <w:rPr>
        <w:rFonts w:ascii="Symbol" w:hAnsi="Symbol" w:hint="default"/>
      </w:rPr>
    </w:lvl>
    <w:lvl w:ilvl="4" w:tplc="0B6204A8">
      <w:start w:val="1"/>
      <w:numFmt w:val="bullet"/>
      <w:lvlText w:val="o"/>
      <w:lvlJc w:val="left"/>
      <w:pPr>
        <w:ind w:left="3600" w:hanging="360"/>
      </w:pPr>
      <w:rPr>
        <w:rFonts w:ascii="Courier New" w:hAnsi="Courier New" w:hint="default"/>
      </w:rPr>
    </w:lvl>
    <w:lvl w:ilvl="5" w:tplc="07DE1E5A">
      <w:start w:val="1"/>
      <w:numFmt w:val="bullet"/>
      <w:lvlText w:val=""/>
      <w:lvlJc w:val="left"/>
      <w:pPr>
        <w:ind w:left="4320" w:hanging="360"/>
      </w:pPr>
      <w:rPr>
        <w:rFonts w:ascii="Wingdings" w:hAnsi="Wingdings" w:hint="default"/>
      </w:rPr>
    </w:lvl>
    <w:lvl w:ilvl="6" w:tplc="C308B0A4">
      <w:start w:val="1"/>
      <w:numFmt w:val="bullet"/>
      <w:lvlText w:val=""/>
      <w:lvlJc w:val="left"/>
      <w:pPr>
        <w:ind w:left="5040" w:hanging="360"/>
      </w:pPr>
      <w:rPr>
        <w:rFonts w:ascii="Symbol" w:hAnsi="Symbol" w:hint="default"/>
      </w:rPr>
    </w:lvl>
    <w:lvl w:ilvl="7" w:tplc="3580E610">
      <w:start w:val="1"/>
      <w:numFmt w:val="bullet"/>
      <w:lvlText w:val="o"/>
      <w:lvlJc w:val="left"/>
      <w:pPr>
        <w:ind w:left="5760" w:hanging="360"/>
      </w:pPr>
      <w:rPr>
        <w:rFonts w:ascii="Courier New" w:hAnsi="Courier New" w:hint="default"/>
      </w:rPr>
    </w:lvl>
    <w:lvl w:ilvl="8" w:tplc="75B4FAF0">
      <w:start w:val="1"/>
      <w:numFmt w:val="bullet"/>
      <w:lvlText w:val=""/>
      <w:lvlJc w:val="left"/>
      <w:pPr>
        <w:ind w:left="6480" w:hanging="360"/>
      </w:pPr>
      <w:rPr>
        <w:rFonts w:ascii="Wingdings" w:hAnsi="Wingdings" w:hint="default"/>
      </w:rPr>
    </w:lvl>
  </w:abstractNum>
  <w:abstractNum w:abstractNumId="21" w15:restartNumberingAfterBreak="0">
    <w:nsid w:val="226E7C47"/>
    <w:multiLevelType w:val="hybridMultilevel"/>
    <w:tmpl w:val="FFFFFFFF"/>
    <w:lvl w:ilvl="0" w:tplc="7946F712">
      <w:start w:val="1"/>
      <w:numFmt w:val="decimal"/>
      <w:lvlText w:val="%1."/>
      <w:lvlJc w:val="left"/>
      <w:pPr>
        <w:ind w:left="720" w:hanging="360"/>
      </w:pPr>
    </w:lvl>
    <w:lvl w:ilvl="1" w:tplc="1A72C7D2">
      <w:start w:val="1"/>
      <w:numFmt w:val="lowerLetter"/>
      <w:lvlText w:val="%2."/>
      <w:lvlJc w:val="left"/>
      <w:pPr>
        <w:ind w:left="1440" w:hanging="360"/>
      </w:pPr>
    </w:lvl>
    <w:lvl w:ilvl="2" w:tplc="4002F77C">
      <w:start w:val="1"/>
      <w:numFmt w:val="lowerRoman"/>
      <w:lvlText w:val="%3."/>
      <w:lvlJc w:val="right"/>
      <w:pPr>
        <w:ind w:left="2160" w:hanging="180"/>
      </w:pPr>
    </w:lvl>
    <w:lvl w:ilvl="3" w:tplc="D548DDDA">
      <w:start w:val="1"/>
      <w:numFmt w:val="decimal"/>
      <w:lvlText w:val="%4."/>
      <w:lvlJc w:val="left"/>
      <w:pPr>
        <w:ind w:left="2880" w:hanging="360"/>
      </w:pPr>
    </w:lvl>
    <w:lvl w:ilvl="4" w:tplc="B69CF0D8">
      <w:start w:val="1"/>
      <w:numFmt w:val="lowerLetter"/>
      <w:lvlText w:val="%5."/>
      <w:lvlJc w:val="left"/>
      <w:pPr>
        <w:ind w:left="3600" w:hanging="360"/>
      </w:pPr>
    </w:lvl>
    <w:lvl w:ilvl="5" w:tplc="3880FC08">
      <w:start w:val="1"/>
      <w:numFmt w:val="lowerRoman"/>
      <w:lvlText w:val="%6."/>
      <w:lvlJc w:val="right"/>
      <w:pPr>
        <w:ind w:left="4320" w:hanging="180"/>
      </w:pPr>
    </w:lvl>
    <w:lvl w:ilvl="6" w:tplc="7C900CB0">
      <w:start w:val="1"/>
      <w:numFmt w:val="decimal"/>
      <w:lvlText w:val="%7."/>
      <w:lvlJc w:val="left"/>
      <w:pPr>
        <w:ind w:left="5040" w:hanging="360"/>
      </w:pPr>
    </w:lvl>
    <w:lvl w:ilvl="7" w:tplc="2D52157A">
      <w:start w:val="1"/>
      <w:numFmt w:val="lowerLetter"/>
      <w:lvlText w:val="%8."/>
      <w:lvlJc w:val="left"/>
      <w:pPr>
        <w:ind w:left="5760" w:hanging="360"/>
      </w:pPr>
    </w:lvl>
    <w:lvl w:ilvl="8" w:tplc="6DDCEDBC">
      <w:start w:val="1"/>
      <w:numFmt w:val="lowerRoman"/>
      <w:lvlText w:val="%9."/>
      <w:lvlJc w:val="right"/>
      <w:pPr>
        <w:ind w:left="6480" w:hanging="180"/>
      </w:pPr>
    </w:lvl>
  </w:abstractNum>
  <w:abstractNum w:abstractNumId="22" w15:restartNumberingAfterBreak="0">
    <w:nsid w:val="23A500DB"/>
    <w:multiLevelType w:val="hybridMultilevel"/>
    <w:tmpl w:val="FFFFFFFF"/>
    <w:lvl w:ilvl="0" w:tplc="3E1C0E1E">
      <w:start w:val="1"/>
      <w:numFmt w:val="bullet"/>
      <w:lvlText w:val="·"/>
      <w:lvlJc w:val="left"/>
      <w:pPr>
        <w:ind w:left="720" w:hanging="360"/>
      </w:pPr>
      <w:rPr>
        <w:rFonts w:ascii="Symbol" w:hAnsi="Symbol" w:hint="default"/>
      </w:rPr>
    </w:lvl>
    <w:lvl w:ilvl="1" w:tplc="10DAD862">
      <w:start w:val="1"/>
      <w:numFmt w:val="bullet"/>
      <w:lvlText w:val="o"/>
      <w:lvlJc w:val="left"/>
      <w:pPr>
        <w:ind w:left="1440" w:hanging="360"/>
      </w:pPr>
      <w:rPr>
        <w:rFonts w:ascii="Courier New" w:hAnsi="Courier New" w:hint="default"/>
      </w:rPr>
    </w:lvl>
    <w:lvl w:ilvl="2" w:tplc="C5FCFCBE">
      <w:start w:val="1"/>
      <w:numFmt w:val="bullet"/>
      <w:lvlText w:val=""/>
      <w:lvlJc w:val="left"/>
      <w:pPr>
        <w:ind w:left="2160" w:hanging="360"/>
      </w:pPr>
      <w:rPr>
        <w:rFonts w:ascii="Wingdings" w:hAnsi="Wingdings" w:hint="default"/>
      </w:rPr>
    </w:lvl>
    <w:lvl w:ilvl="3" w:tplc="D18EF440">
      <w:start w:val="1"/>
      <w:numFmt w:val="bullet"/>
      <w:lvlText w:val=""/>
      <w:lvlJc w:val="left"/>
      <w:pPr>
        <w:ind w:left="2880" w:hanging="360"/>
      </w:pPr>
      <w:rPr>
        <w:rFonts w:ascii="Symbol" w:hAnsi="Symbol" w:hint="default"/>
      </w:rPr>
    </w:lvl>
    <w:lvl w:ilvl="4" w:tplc="C60C3420">
      <w:start w:val="1"/>
      <w:numFmt w:val="bullet"/>
      <w:lvlText w:val="o"/>
      <w:lvlJc w:val="left"/>
      <w:pPr>
        <w:ind w:left="3600" w:hanging="360"/>
      </w:pPr>
      <w:rPr>
        <w:rFonts w:ascii="Courier New" w:hAnsi="Courier New" w:hint="default"/>
      </w:rPr>
    </w:lvl>
    <w:lvl w:ilvl="5" w:tplc="1B82AB18">
      <w:start w:val="1"/>
      <w:numFmt w:val="bullet"/>
      <w:lvlText w:val=""/>
      <w:lvlJc w:val="left"/>
      <w:pPr>
        <w:ind w:left="4320" w:hanging="360"/>
      </w:pPr>
      <w:rPr>
        <w:rFonts w:ascii="Wingdings" w:hAnsi="Wingdings" w:hint="default"/>
      </w:rPr>
    </w:lvl>
    <w:lvl w:ilvl="6" w:tplc="62BC2D12">
      <w:start w:val="1"/>
      <w:numFmt w:val="bullet"/>
      <w:lvlText w:val=""/>
      <w:lvlJc w:val="left"/>
      <w:pPr>
        <w:ind w:left="5040" w:hanging="360"/>
      </w:pPr>
      <w:rPr>
        <w:rFonts w:ascii="Symbol" w:hAnsi="Symbol" w:hint="default"/>
      </w:rPr>
    </w:lvl>
    <w:lvl w:ilvl="7" w:tplc="5E4267D6">
      <w:start w:val="1"/>
      <w:numFmt w:val="bullet"/>
      <w:lvlText w:val="o"/>
      <w:lvlJc w:val="left"/>
      <w:pPr>
        <w:ind w:left="5760" w:hanging="360"/>
      </w:pPr>
      <w:rPr>
        <w:rFonts w:ascii="Courier New" w:hAnsi="Courier New" w:hint="default"/>
      </w:rPr>
    </w:lvl>
    <w:lvl w:ilvl="8" w:tplc="DAEE7BBA">
      <w:start w:val="1"/>
      <w:numFmt w:val="bullet"/>
      <w:lvlText w:val=""/>
      <w:lvlJc w:val="left"/>
      <w:pPr>
        <w:ind w:left="6480" w:hanging="360"/>
      </w:pPr>
      <w:rPr>
        <w:rFonts w:ascii="Wingdings" w:hAnsi="Wingdings" w:hint="default"/>
      </w:rPr>
    </w:lvl>
  </w:abstractNum>
  <w:abstractNum w:abstractNumId="23" w15:restartNumberingAfterBreak="0">
    <w:nsid w:val="2667C933"/>
    <w:multiLevelType w:val="hybridMultilevel"/>
    <w:tmpl w:val="FFFFFFFF"/>
    <w:lvl w:ilvl="0" w:tplc="2FB2255E">
      <w:start w:val="1"/>
      <w:numFmt w:val="bullet"/>
      <w:lvlText w:val="·"/>
      <w:lvlJc w:val="left"/>
      <w:pPr>
        <w:ind w:left="720" w:hanging="360"/>
      </w:pPr>
      <w:rPr>
        <w:rFonts w:ascii="Symbol" w:hAnsi="Symbol" w:hint="default"/>
      </w:rPr>
    </w:lvl>
    <w:lvl w:ilvl="1" w:tplc="D0C0E6BA">
      <w:start w:val="1"/>
      <w:numFmt w:val="bullet"/>
      <w:lvlText w:val="o"/>
      <w:lvlJc w:val="left"/>
      <w:pPr>
        <w:ind w:left="1440" w:hanging="360"/>
      </w:pPr>
      <w:rPr>
        <w:rFonts w:ascii="Courier New" w:hAnsi="Courier New" w:hint="default"/>
      </w:rPr>
    </w:lvl>
    <w:lvl w:ilvl="2" w:tplc="1F205C5E">
      <w:start w:val="1"/>
      <w:numFmt w:val="bullet"/>
      <w:lvlText w:val=""/>
      <w:lvlJc w:val="left"/>
      <w:pPr>
        <w:ind w:left="2160" w:hanging="360"/>
      </w:pPr>
      <w:rPr>
        <w:rFonts w:ascii="Wingdings" w:hAnsi="Wingdings" w:hint="default"/>
      </w:rPr>
    </w:lvl>
    <w:lvl w:ilvl="3" w:tplc="F3EE939C">
      <w:start w:val="1"/>
      <w:numFmt w:val="bullet"/>
      <w:lvlText w:val=""/>
      <w:lvlJc w:val="left"/>
      <w:pPr>
        <w:ind w:left="2880" w:hanging="360"/>
      </w:pPr>
      <w:rPr>
        <w:rFonts w:ascii="Symbol" w:hAnsi="Symbol" w:hint="default"/>
      </w:rPr>
    </w:lvl>
    <w:lvl w:ilvl="4" w:tplc="450A263A">
      <w:start w:val="1"/>
      <w:numFmt w:val="bullet"/>
      <w:lvlText w:val="o"/>
      <w:lvlJc w:val="left"/>
      <w:pPr>
        <w:ind w:left="3600" w:hanging="360"/>
      </w:pPr>
      <w:rPr>
        <w:rFonts w:ascii="Courier New" w:hAnsi="Courier New" w:hint="default"/>
      </w:rPr>
    </w:lvl>
    <w:lvl w:ilvl="5" w:tplc="C3646F3E">
      <w:start w:val="1"/>
      <w:numFmt w:val="bullet"/>
      <w:lvlText w:val=""/>
      <w:lvlJc w:val="left"/>
      <w:pPr>
        <w:ind w:left="4320" w:hanging="360"/>
      </w:pPr>
      <w:rPr>
        <w:rFonts w:ascii="Wingdings" w:hAnsi="Wingdings" w:hint="default"/>
      </w:rPr>
    </w:lvl>
    <w:lvl w:ilvl="6" w:tplc="21307D3E">
      <w:start w:val="1"/>
      <w:numFmt w:val="bullet"/>
      <w:lvlText w:val=""/>
      <w:lvlJc w:val="left"/>
      <w:pPr>
        <w:ind w:left="5040" w:hanging="360"/>
      </w:pPr>
      <w:rPr>
        <w:rFonts w:ascii="Symbol" w:hAnsi="Symbol" w:hint="default"/>
      </w:rPr>
    </w:lvl>
    <w:lvl w:ilvl="7" w:tplc="3FFAB24C">
      <w:start w:val="1"/>
      <w:numFmt w:val="bullet"/>
      <w:lvlText w:val="o"/>
      <w:lvlJc w:val="left"/>
      <w:pPr>
        <w:ind w:left="5760" w:hanging="360"/>
      </w:pPr>
      <w:rPr>
        <w:rFonts w:ascii="Courier New" w:hAnsi="Courier New" w:hint="default"/>
      </w:rPr>
    </w:lvl>
    <w:lvl w:ilvl="8" w:tplc="89C6E30A">
      <w:start w:val="1"/>
      <w:numFmt w:val="bullet"/>
      <w:lvlText w:val=""/>
      <w:lvlJc w:val="left"/>
      <w:pPr>
        <w:ind w:left="6480" w:hanging="360"/>
      </w:pPr>
      <w:rPr>
        <w:rFonts w:ascii="Wingdings" w:hAnsi="Wingdings" w:hint="default"/>
      </w:rPr>
    </w:lvl>
  </w:abstractNum>
  <w:abstractNum w:abstractNumId="24" w15:restartNumberingAfterBreak="0">
    <w:nsid w:val="28945DD3"/>
    <w:multiLevelType w:val="hybridMultilevel"/>
    <w:tmpl w:val="19EA6F30"/>
    <w:lvl w:ilvl="0" w:tplc="55925C98">
      <w:start w:val="1"/>
      <w:numFmt w:val="decimal"/>
      <w:pStyle w:val="Normal-Numberedparagraphs"/>
      <w:lvlText w:val="%1."/>
      <w:lvlJc w:val="left"/>
      <w:pPr>
        <w:ind w:left="360" w:hanging="360"/>
      </w:pPr>
      <w:rPr>
        <w:b w:val="0"/>
        <w:bCs w:val="0"/>
        <w:i w:val="0"/>
        <w:iCs w:val="0"/>
        <w:color w:val="auto"/>
      </w:rPr>
    </w:lvl>
    <w:lvl w:ilvl="1" w:tplc="892E350A">
      <w:start w:val="1"/>
      <w:numFmt w:val="lowerLetter"/>
      <w:lvlText w:val="%2."/>
      <w:lvlJc w:val="left"/>
      <w:pPr>
        <w:ind w:left="1080" w:hanging="360"/>
      </w:pPr>
      <w:rPr>
        <w:i w:val="0"/>
        <w:iCs w:val="0"/>
        <w:u w:val="none"/>
      </w:rPr>
    </w:lvl>
    <w:lvl w:ilvl="2" w:tplc="E9120EF2">
      <w:start w:val="1"/>
      <w:numFmt w:val="lowerRoman"/>
      <w:lvlText w:val="%3."/>
      <w:lvlJc w:val="right"/>
      <w:pPr>
        <w:ind w:left="1314" w:hanging="180"/>
      </w:pPr>
      <w:rPr>
        <w:i w:val="0"/>
        <w:iCs w:val="0"/>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D8F95CF"/>
    <w:multiLevelType w:val="hybridMultilevel"/>
    <w:tmpl w:val="FFFFFFFF"/>
    <w:lvl w:ilvl="0" w:tplc="4F4CACE8">
      <w:start w:val="1"/>
      <w:numFmt w:val="decimal"/>
      <w:lvlText w:val="%1."/>
      <w:lvlJc w:val="left"/>
      <w:pPr>
        <w:ind w:left="720" w:hanging="360"/>
      </w:pPr>
    </w:lvl>
    <w:lvl w:ilvl="1" w:tplc="DB2CC9A6">
      <w:start w:val="1"/>
      <w:numFmt w:val="lowerLetter"/>
      <w:lvlText w:val="%2."/>
      <w:lvlJc w:val="left"/>
      <w:pPr>
        <w:ind w:left="1440" w:hanging="360"/>
      </w:pPr>
    </w:lvl>
    <w:lvl w:ilvl="2" w:tplc="669830FA">
      <w:start w:val="1"/>
      <w:numFmt w:val="lowerRoman"/>
      <w:lvlText w:val="%3."/>
      <w:lvlJc w:val="right"/>
      <w:pPr>
        <w:ind w:left="2160" w:hanging="180"/>
      </w:pPr>
    </w:lvl>
    <w:lvl w:ilvl="3" w:tplc="32EC065E">
      <w:start w:val="1"/>
      <w:numFmt w:val="decimal"/>
      <w:lvlText w:val="%4."/>
      <w:lvlJc w:val="left"/>
      <w:pPr>
        <w:ind w:left="2880" w:hanging="360"/>
      </w:pPr>
    </w:lvl>
    <w:lvl w:ilvl="4" w:tplc="B9CC439E">
      <w:start w:val="1"/>
      <w:numFmt w:val="lowerLetter"/>
      <w:lvlText w:val="%5."/>
      <w:lvlJc w:val="left"/>
      <w:pPr>
        <w:ind w:left="3600" w:hanging="360"/>
      </w:pPr>
    </w:lvl>
    <w:lvl w:ilvl="5" w:tplc="76925960">
      <w:start w:val="1"/>
      <w:numFmt w:val="lowerRoman"/>
      <w:lvlText w:val="%6."/>
      <w:lvlJc w:val="right"/>
      <w:pPr>
        <w:ind w:left="4320" w:hanging="180"/>
      </w:pPr>
    </w:lvl>
    <w:lvl w:ilvl="6" w:tplc="188E6668">
      <w:start w:val="1"/>
      <w:numFmt w:val="decimal"/>
      <w:lvlText w:val="%7."/>
      <w:lvlJc w:val="left"/>
      <w:pPr>
        <w:ind w:left="5040" w:hanging="360"/>
      </w:pPr>
    </w:lvl>
    <w:lvl w:ilvl="7" w:tplc="241826D6">
      <w:start w:val="1"/>
      <w:numFmt w:val="lowerLetter"/>
      <w:lvlText w:val="%8."/>
      <w:lvlJc w:val="left"/>
      <w:pPr>
        <w:ind w:left="5760" w:hanging="360"/>
      </w:pPr>
    </w:lvl>
    <w:lvl w:ilvl="8" w:tplc="4DB6B5B8">
      <w:start w:val="1"/>
      <w:numFmt w:val="lowerRoman"/>
      <w:lvlText w:val="%9."/>
      <w:lvlJc w:val="right"/>
      <w:pPr>
        <w:ind w:left="6480" w:hanging="180"/>
      </w:pPr>
    </w:lvl>
  </w:abstractNum>
  <w:abstractNum w:abstractNumId="2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7" w15:restartNumberingAfterBreak="0">
    <w:nsid w:val="34BF7536"/>
    <w:multiLevelType w:val="hybridMultilevel"/>
    <w:tmpl w:val="FFFFFFFF"/>
    <w:lvl w:ilvl="0" w:tplc="D4C06168">
      <w:start w:val="1"/>
      <w:numFmt w:val="decimal"/>
      <w:lvlText w:val="%1."/>
      <w:lvlJc w:val="left"/>
      <w:pPr>
        <w:ind w:left="720" w:hanging="360"/>
      </w:pPr>
    </w:lvl>
    <w:lvl w:ilvl="1" w:tplc="5BBE1DAA">
      <w:start w:val="1"/>
      <w:numFmt w:val="lowerLetter"/>
      <w:lvlText w:val="%2."/>
      <w:lvlJc w:val="left"/>
      <w:pPr>
        <w:ind w:left="1440" w:hanging="360"/>
      </w:pPr>
    </w:lvl>
    <w:lvl w:ilvl="2" w:tplc="46D843E4">
      <w:start w:val="1"/>
      <w:numFmt w:val="lowerRoman"/>
      <w:lvlText w:val="%3."/>
      <w:lvlJc w:val="right"/>
      <w:pPr>
        <w:ind w:left="2160" w:hanging="180"/>
      </w:pPr>
    </w:lvl>
    <w:lvl w:ilvl="3" w:tplc="03A2AFCC">
      <w:start w:val="1"/>
      <w:numFmt w:val="decimal"/>
      <w:lvlText w:val="%4."/>
      <w:lvlJc w:val="left"/>
      <w:pPr>
        <w:ind w:left="2880" w:hanging="360"/>
      </w:pPr>
    </w:lvl>
    <w:lvl w:ilvl="4" w:tplc="B88EBA9E">
      <w:start w:val="1"/>
      <w:numFmt w:val="lowerLetter"/>
      <w:lvlText w:val="%5."/>
      <w:lvlJc w:val="left"/>
      <w:pPr>
        <w:ind w:left="3600" w:hanging="360"/>
      </w:pPr>
    </w:lvl>
    <w:lvl w:ilvl="5" w:tplc="CB0C1BFA">
      <w:start w:val="1"/>
      <w:numFmt w:val="lowerRoman"/>
      <w:lvlText w:val="%6."/>
      <w:lvlJc w:val="right"/>
      <w:pPr>
        <w:ind w:left="4320" w:hanging="180"/>
      </w:pPr>
    </w:lvl>
    <w:lvl w:ilvl="6" w:tplc="AFEC9504">
      <w:start w:val="1"/>
      <w:numFmt w:val="decimal"/>
      <w:lvlText w:val="%7."/>
      <w:lvlJc w:val="left"/>
      <w:pPr>
        <w:ind w:left="5040" w:hanging="360"/>
      </w:pPr>
    </w:lvl>
    <w:lvl w:ilvl="7" w:tplc="5CAEE2D8">
      <w:start w:val="1"/>
      <w:numFmt w:val="lowerLetter"/>
      <w:lvlText w:val="%8."/>
      <w:lvlJc w:val="left"/>
      <w:pPr>
        <w:ind w:left="5760" w:hanging="360"/>
      </w:pPr>
    </w:lvl>
    <w:lvl w:ilvl="8" w:tplc="00261240">
      <w:start w:val="1"/>
      <w:numFmt w:val="lowerRoman"/>
      <w:lvlText w:val="%9."/>
      <w:lvlJc w:val="right"/>
      <w:pPr>
        <w:ind w:left="6480" w:hanging="180"/>
      </w:pPr>
    </w:lvl>
  </w:abstractNum>
  <w:abstractNum w:abstractNumId="28" w15:restartNumberingAfterBreak="0">
    <w:nsid w:val="364A6ABD"/>
    <w:multiLevelType w:val="hybridMultilevel"/>
    <w:tmpl w:val="67DE16BC"/>
    <w:lvl w:ilvl="0" w:tplc="0FD4A6CC">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AAB41C"/>
    <w:multiLevelType w:val="hybridMultilevel"/>
    <w:tmpl w:val="FFFFFFFF"/>
    <w:lvl w:ilvl="0" w:tplc="E5C8EDEA">
      <w:start w:val="1"/>
      <w:numFmt w:val="bullet"/>
      <w:lvlText w:val="·"/>
      <w:lvlJc w:val="left"/>
      <w:pPr>
        <w:ind w:left="720" w:hanging="360"/>
      </w:pPr>
      <w:rPr>
        <w:rFonts w:ascii="Symbol" w:hAnsi="Symbol" w:hint="default"/>
      </w:rPr>
    </w:lvl>
    <w:lvl w:ilvl="1" w:tplc="C3949DD4">
      <w:start w:val="1"/>
      <w:numFmt w:val="bullet"/>
      <w:lvlText w:val="o"/>
      <w:lvlJc w:val="left"/>
      <w:pPr>
        <w:ind w:left="1440" w:hanging="360"/>
      </w:pPr>
      <w:rPr>
        <w:rFonts w:ascii="Courier New" w:hAnsi="Courier New" w:hint="default"/>
      </w:rPr>
    </w:lvl>
    <w:lvl w:ilvl="2" w:tplc="51F2417E">
      <w:start w:val="1"/>
      <w:numFmt w:val="bullet"/>
      <w:lvlText w:val=""/>
      <w:lvlJc w:val="left"/>
      <w:pPr>
        <w:ind w:left="2160" w:hanging="360"/>
      </w:pPr>
      <w:rPr>
        <w:rFonts w:ascii="Wingdings" w:hAnsi="Wingdings" w:hint="default"/>
      </w:rPr>
    </w:lvl>
    <w:lvl w:ilvl="3" w:tplc="CEBCADB8">
      <w:start w:val="1"/>
      <w:numFmt w:val="bullet"/>
      <w:lvlText w:val=""/>
      <w:lvlJc w:val="left"/>
      <w:pPr>
        <w:ind w:left="2880" w:hanging="360"/>
      </w:pPr>
      <w:rPr>
        <w:rFonts w:ascii="Symbol" w:hAnsi="Symbol" w:hint="default"/>
      </w:rPr>
    </w:lvl>
    <w:lvl w:ilvl="4" w:tplc="DFA2C918">
      <w:start w:val="1"/>
      <w:numFmt w:val="bullet"/>
      <w:lvlText w:val="o"/>
      <w:lvlJc w:val="left"/>
      <w:pPr>
        <w:ind w:left="3600" w:hanging="360"/>
      </w:pPr>
      <w:rPr>
        <w:rFonts w:ascii="Courier New" w:hAnsi="Courier New" w:hint="default"/>
      </w:rPr>
    </w:lvl>
    <w:lvl w:ilvl="5" w:tplc="2AC6550C">
      <w:start w:val="1"/>
      <w:numFmt w:val="bullet"/>
      <w:lvlText w:val=""/>
      <w:lvlJc w:val="left"/>
      <w:pPr>
        <w:ind w:left="4320" w:hanging="360"/>
      </w:pPr>
      <w:rPr>
        <w:rFonts w:ascii="Wingdings" w:hAnsi="Wingdings" w:hint="default"/>
      </w:rPr>
    </w:lvl>
    <w:lvl w:ilvl="6" w:tplc="04A0E536">
      <w:start w:val="1"/>
      <w:numFmt w:val="bullet"/>
      <w:lvlText w:val=""/>
      <w:lvlJc w:val="left"/>
      <w:pPr>
        <w:ind w:left="5040" w:hanging="360"/>
      </w:pPr>
      <w:rPr>
        <w:rFonts w:ascii="Symbol" w:hAnsi="Symbol" w:hint="default"/>
      </w:rPr>
    </w:lvl>
    <w:lvl w:ilvl="7" w:tplc="E28224A0">
      <w:start w:val="1"/>
      <w:numFmt w:val="bullet"/>
      <w:lvlText w:val="o"/>
      <w:lvlJc w:val="left"/>
      <w:pPr>
        <w:ind w:left="5760" w:hanging="360"/>
      </w:pPr>
      <w:rPr>
        <w:rFonts w:ascii="Courier New" w:hAnsi="Courier New" w:hint="default"/>
      </w:rPr>
    </w:lvl>
    <w:lvl w:ilvl="8" w:tplc="5BAEA1E2">
      <w:start w:val="1"/>
      <w:numFmt w:val="bullet"/>
      <w:lvlText w:val=""/>
      <w:lvlJc w:val="left"/>
      <w:pPr>
        <w:ind w:left="6480" w:hanging="360"/>
      </w:pPr>
      <w:rPr>
        <w:rFonts w:ascii="Wingdings" w:hAnsi="Wingdings" w:hint="default"/>
      </w:rPr>
    </w:lvl>
  </w:abstractNum>
  <w:abstractNum w:abstractNumId="32"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3" w15:restartNumberingAfterBreak="0">
    <w:nsid w:val="3E8B9657"/>
    <w:multiLevelType w:val="hybridMultilevel"/>
    <w:tmpl w:val="FFFFFFFF"/>
    <w:lvl w:ilvl="0" w:tplc="7D6AE2AA">
      <w:start w:val="1"/>
      <w:numFmt w:val="decimal"/>
      <w:lvlText w:val="%1."/>
      <w:lvlJc w:val="left"/>
      <w:pPr>
        <w:ind w:left="720" w:hanging="360"/>
      </w:pPr>
    </w:lvl>
    <w:lvl w:ilvl="1" w:tplc="124A15CA">
      <w:start w:val="1"/>
      <w:numFmt w:val="lowerLetter"/>
      <w:lvlText w:val="%2."/>
      <w:lvlJc w:val="left"/>
      <w:pPr>
        <w:ind w:left="1440" w:hanging="360"/>
      </w:pPr>
    </w:lvl>
    <w:lvl w:ilvl="2" w:tplc="42AAF4DA">
      <w:start w:val="1"/>
      <w:numFmt w:val="lowerRoman"/>
      <w:lvlText w:val="%3."/>
      <w:lvlJc w:val="right"/>
      <w:pPr>
        <w:ind w:left="2160" w:hanging="180"/>
      </w:pPr>
    </w:lvl>
    <w:lvl w:ilvl="3" w:tplc="DA94EB6C">
      <w:start w:val="1"/>
      <w:numFmt w:val="decimal"/>
      <w:lvlText w:val="%4."/>
      <w:lvlJc w:val="left"/>
      <w:pPr>
        <w:ind w:left="2880" w:hanging="360"/>
      </w:pPr>
    </w:lvl>
    <w:lvl w:ilvl="4" w:tplc="3EF47192">
      <w:start w:val="1"/>
      <w:numFmt w:val="lowerLetter"/>
      <w:lvlText w:val="%5."/>
      <w:lvlJc w:val="left"/>
      <w:pPr>
        <w:ind w:left="3600" w:hanging="360"/>
      </w:pPr>
    </w:lvl>
    <w:lvl w:ilvl="5" w:tplc="609A6FEA">
      <w:start w:val="1"/>
      <w:numFmt w:val="lowerRoman"/>
      <w:lvlText w:val="%6."/>
      <w:lvlJc w:val="right"/>
      <w:pPr>
        <w:ind w:left="4320" w:hanging="180"/>
      </w:pPr>
    </w:lvl>
    <w:lvl w:ilvl="6" w:tplc="F544ECFC">
      <w:start w:val="1"/>
      <w:numFmt w:val="decimal"/>
      <w:lvlText w:val="%7."/>
      <w:lvlJc w:val="left"/>
      <w:pPr>
        <w:ind w:left="5040" w:hanging="360"/>
      </w:pPr>
    </w:lvl>
    <w:lvl w:ilvl="7" w:tplc="08642A84">
      <w:start w:val="1"/>
      <w:numFmt w:val="lowerLetter"/>
      <w:lvlText w:val="%8."/>
      <w:lvlJc w:val="left"/>
      <w:pPr>
        <w:ind w:left="5760" w:hanging="360"/>
      </w:pPr>
    </w:lvl>
    <w:lvl w:ilvl="8" w:tplc="5212F664">
      <w:start w:val="1"/>
      <w:numFmt w:val="lowerRoman"/>
      <w:lvlText w:val="%9."/>
      <w:lvlJc w:val="right"/>
      <w:pPr>
        <w:ind w:left="6480" w:hanging="180"/>
      </w:pPr>
    </w:lvl>
  </w:abstractNum>
  <w:abstractNum w:abstractNumId="34" w15:restartNumberingAfterBreak="0">
    <w:nsid w:val="3F7B0083"/>
    <w:multiLevelType w:val="multilevel"/>
    <w:tmpl w:val="06F8D2A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Chaptertitle"/>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A450992"/>
    <w:multiLevelType w:val="multilevel"/>
    <w:tmpl w:val="E46CB27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6FED11"/>
    <w:multiLevelType w:val="hybridMultilevel"/>
    <w:tmpl w:val="FFFFFFFF"/>
    <w:lvl w:ilvl="0" w:tplc="C7242E12">
      <w:start w:val="1"/>
      <w:numFmt w:val="bullet"/>
      <w:lvlText w:val="·"/>
      <w:lvlJc w:val="left"/>
      <w:pPr>
        <w:ind w:left="720" w:hanging="360"/>
      </w:pPr>
      <w:rPr>
        <w:rFonts w:ascii="Symbol" w:hAnsi="Symbol" w:hint="default"/>
      </w:rPr>
    </w:lvl>
    <w:lvl w:ilvl="1" w:tplc="D08E9466">
      <w:start w:val="1"/>
      <w:numFmt w:val="bullet"/>
      <w:lvlText w:val="o"/>
      <w:lvlJc w:val="left"/>
      <w:pPr>
        <w:ind w:left="1440" w:hanging="360"/>
      </w:pPr>
      <w:rPr>
        <w:rFonts w:ascii="Courier New" w:hAnsi="Courier New" w:hint="default"/>
      </w:rPr>
    </w:lvl>
    <w:lvl w:ilvl="2" w:tplc="9F1684F6">
      <w:start w:val="1"/>
      <w:numFmt w:val="bullet"/>
      <w:lvlText w:val=""/>
      <w:lvlJc w:val="left"/>
      <w:pPr>
        <w:ind w:left="2160" w:hanging="360"/>
      </w:pPr>
      <w:rPr>
        <w:rFonts w:ascii="Wingdings" w:hAnsi="Wingdings" w:hint="default"/>
      </w:rPr>
    </w:lvl>
    <w:lvl w:ilvl="3" w:tplc="5EDCA184">
      <w:start w:val="1"/>
      <w:numFmt w:val="bullet"/>
      <w:lvlText w:val=""/>
      <w:lvlJc w:val="left"/>
      <w:pPr>
        <w:ind w:left="2880" w:hanging="360"/>
      </w:pPr>
      <w:rPr>
        <w:rFonts w:ascii="Symbol" w:hAnsi="Symbol" w:hint="default"/>
      </w:rPr>
    </w:lvl>
    <w:lvl w:ilvl="4" w:tplc="E56025EC">
      <w:start w:val="1"/>
      <w:numFmt w:val="bullet"/>
      <w:lvlText w:val="o"/>
      <w:lvlJc w:val="left"/>
      <w:pPr>
        <w:ind w:left="3600" w:hanging="360"/>
      </w:pPr>
      <w:rPr>
        <w:rFonts w:ascii="Courier New" w:hAnsi="Courier New" w:hint="default"/>
      </w:rPr>
    </w:lvl>
    <w:lvl w:ilvl="5" w:tplc="3C644B16">
      <w:start w:val="1"/>
      <w:numFmt w:val="bullet"/>
      <w:lvlText w:val=""/>
      <w:lvlJc w:val="left"/>
      <w:pPr>
        <w:ind w:left="4320" w:hanging="360"/>
      </w:pPr>
      <w:rPr>
        <w:rFonts w:ascii="Wingdings" w:hAnsi="Wingdings" w:hint="default"/>
      </w:rPr>
    </w:lvl>
    <w:lvl w:ilvl="6" w:tplc="DAD8220E">
      <w:start w:val="1"/>
      <w:numFmt w:val="bullet"/>
      <w:lvlText w:val=""/>
      <w:lvlJc w:val="left"/>
      <w:pPr>
        <w:ind w:left="5040" w:hanging="360"/>
      </w:pPr>
      <w:rPr>
        <w:rFonts w:ascii="Symbol" w:hAnsi="Symbol" w:hint="default"/>
      </w:rPr>
    </w:lvl>
    <w:lvl w:ilvl="7" w:tplc="C9BCA8A4">
      <w:start w:val="1"/>
      <w:numFmt w:val="bullet"/>
      <w:lvlText w:val="o"/>
      <w:lvlJc w:val="left"/>
      <w:pPr>
        <w:ind w:left="5760" w:hanging="360"/>
      </w:pPr>
      <w:rPr>
        <w:rFonts w:ascii="Courier New" w:hAnsi="Courier New" w:hint="default"/>
      </w:rPr>
    </w:lvl>
    <w:lvl w:ilvl="8" w:tplc="29CCF784">
      <w:start w:val="1"/>
      <w:numFmt w:val="bullet"/>
      <w:lvlText w:val=""/>
      <w:lvlJc w:val="left"/>
      <w:pPr>
        <w:ind w:left="6480" w:hanging="360"/>
      </w:pPr>
      <w:rPr>
        <w:rFonts w:ascii="Wingdings" w:hAnsi="Wingdings" w:hint="default"/>
      </w:rPr>
    </w:lvl>
  </w:abstractNum>
  <w:abstractNum w:abstractNumId="38" w15:restartNumberingAfterBreak="0">
    <w:nsid w:val="5670FB81"/>
    <w:multiLevelType w:val="hybridMultilevel"/>
    <w:tmpl w:val="FFFFFFFF"/>
    <w:lvl w:ilvl="0" w:tplc="D3B2F6DC">
      <w:start w:val="1"/>
      <w:numFmt w:val="bullet"/>
      <w:lvlText w:val="·"/>
      <w:lvlJc w:val="left"/>
      <w:pPr>
        <w:ind w:left="720" w:hanging="360"/>
      </w:pPr>
      <w:rPr>
        <w:rFonts w:ascii="Symbol" w:hAnsi="Symbol" w:hint="default"/>
      </w:rPr>
    </w:lvl>
    <w:lvl w:ilvl="1" w:tplc="F176D456">
      <w:start w:val="1"/>
      <w:numFmt w:val="bullet"/>
      <w:lvlText w:val="o"/>
      <w:lvlJc w:val="left"/>
      <w:pPr>
        <w:ind w:left="1440" w:hanging="360"/>
      </w:pPr>
      <w:rPr>
        <w:rFonts w:ascii="Courier New" w:hAnsi="Courier New" w:hint="default"/>
      </w:rPr>
    </w:lvl>
    <w:lvl w:ilvl="2" w:tplc="8CB8D304">
      <w:start w:val="1"/>
      <w:numFmt w:val="bullet"/>
      <w:lvlText w:val=""/>
      <w:lvlJc w:val="left"/>
      <w:pPr>
        <w:ind w:left="2160" w:hanging="360"/>
      </w:pPr>
      <w:rPr>
        <w:rFonts w:ascii="Wingdings" w:hAnsi="Wingdings" w:hint="default"/>
      </w:rPr>
    </w:lvl>
    <w:lvl w:ilvl="3" w:tplc="FFA64FB8">
      <w:start w:val="1"/>
      <w:numFmt w:val="bullet"/>
      <w:lvlText w:val=""/>
      <w:lvlJc w:val="left"/>
      <w:pPr>
        <w:ind w:left="2880" w:hanging="360"/>
      </w:pPr>
      <w:rPr>
        <w:rFonts w:ascii="Symbol" w:hAnsi="Symbol" w:hint="default"/>
      </w:rPr>
    </w:lvl>
    <w:lvl w:ilvl="4" w:tplc="D9320EC4">
      <w:start w:val="1"/>
      <w:numFmt w:val="bullet"/>
      <w:lvlText w:val="o"/>
      <w:lvlJc w:val="left"/>
      <w:pPr>
        <w:ind w:left="3600" w:hanging="360"/>
      </w:pPr>
      <w:rPr>
        <w:rFonts w:ascii="Courier New" w:hAnsi="Courier New" w:hint="default"/>
      </w:rPr>
    </w:lvl>
    <w:lvl w:ilvl="5" w:tplc="DB9819CA">
      <w:start w:val="1"/>
      <w:numFmt w:val="bullet"/>
      <w:lvlText w:val=""/>
      <w:lvlJc w:val="left"/>
      <w:pPr>
        <w:ind w:left="4320" w:hanging="360"/>
      </w:pPr>
      <w:rPr>
        <w:rFonts w:ascii="Wingdings" w:hAnsi="Wingdings" w:hint="default"/>
      </w:rPr>
    </w:lvl>
    <w:lvl w:ilvl="6" w:tplc="E14A5E2C">
      <w:start w:val="1"/>
      <w:numFmt w:val="bullet"/>
      <w:lvlText w:val=""/>
      <w:lvlJc w:val="left"/>
      <w:pPr>
        <w:ind w:left="5040" w:hanging="360"/>
      </w:pPr>
      <w:rPr>
        <w:rFonts w:ascii="Symbol" w:hAnsi="Symbol" w:hint="default"/>
      </w:rPr>
    </w:lvl>
    <w:lvl w:ilvl="7" w:tplc="53EE67FA">
      <w:start w:val="1"/>
      <w:numFmt w:val="bullet"/>
      <w:lvlText w:val="o"/>
      <w:lvlJc w:val="left"/>
      <w:pPr>
        <w:ind w:left="5760" w:hanging="360"/>
      </w:pPr>
      <w:rPr>
        <w:rFonts w:ascii="Courier New" w:hAnsi="Courier New" w:hint="default"/>
      </w:rPr>
    </w:lvl>
    <w:lvl w:ilvl="8" w:tplc="5F86239E">
      <w:start w:val="1"/>
      <w:numFmt w:val="bullet"/>
      <w:lvlText w:val=""/>
      <w:lvlJc w:val="left"/>
      <w:pPr>
        <w:ind w:left="6480" w:hanging="360"/>
      </w:pPr>
      <w:rPr>
        <w:rFonts w:ascii="Wingdings" w:hAnsi="Wingdings" w:hint="default"/>
      </w:rPr>
    </w:lvl>
  </w:abstractNum>
  <w:abstractNum w:abstractNumId="3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40" w15:restartNumberingAfterBreak="0">
    <w:nsid w:val="60B8B324"/>
    <w:multiLevelType w:val="hybridMultilevel"/>
    <w:tmpl w:val="FFFFFFFF"/>
    <w:lvl w:ilvl="0" w:tplc="3A426B3E">
      <w:start w:val="1"/>
      <w:numFmt w:val="decimal"/>
      <w:lvlText w:val="%1."/>
      <w:lvlJc w:val="left"/>
      <w:pPr>
        <w:ind w:left="720" w:hanging="360"/>
      </w:pPr>
    </w:lvl>
    <w:lvl w:ilvl="1" w:tplc="A380F4E0">
      <w:start w:val="1"/>
      <w:numFmt w:val="lowerLetter"/>
      <w:lvlText w:val="%2."/>
      <w:lvlJc w:val="left"/>
      <w:pPr>
        <w:ind w:left="1440" w:hanging="360"/>
      </w:pPr>
    </w:lvl>
    <w:lvl w:ilvl="2" w:tplc="E104012E">
      <w:start w:val="1"/>
      <w:numFmt w:val="lowerRoman"/>
      <w:lvlText w:val="%3."/>
      <w:lvlJc w:val="right"/>
      <w:pPr>
        <w:ind w:left="2160" w:hanging="180"/>
      </w:pPr>
    </w:lvl>
    <w:lvl w:ilvl="3" w:tplc="9F587AD4">
      <w:start w:val="1"/>
      <w:numFmt w:val="decimal"/>
      <w:lvlText w:val="%4."/>
      <w:lvlJc w:val="left"/>
      <w:pPr>
        <w:ind w:left="2880" w:hanging="360"/>
      </w:pPr>
    </w:lvl>
    <w:lvl w:ilvl="4" w:tplc="85AEE4A8">
      <w:start w:val="1"/>
      <w:numFmt w:val="lowerLetter"/>
      <w:lvlText w:val="%5."/>
      <w:lvlJc w:val="left"/>
      <w:pPr>
        <w:ind w:left="3600" w:hanging="360"/>
      </w:pPr>
    </w:lvl>
    <w:lvl w:ilvl="5" w:tplc="C5C4795E">
      <w:start w:val="1"/>
      <w:numFmt w:val="lowerRoman"/>
      <w:lvlText w:val="%6."/>
      <w:lvlJc w:val="right"/>
      <w:pPr>
        <w:ind w:left="4320" w:hanging="180"/>
      </w:pPr>
    </w:lvl>
    <w:lvl w:ilvl="6" w:tplc="97620536">
      <w:start w:val="1"/>
      <w:numFmt w:val="decimal"/>
      <w:lvlText w:val="%7."/>
      <w:lvlJc w:val="left"/>
      <w:pPr>
        <w:ind w:left="5040" w:hanging="360"/>
      </w:pPr>
    </w:lvl>
    <w:lvl w:ilvl="7" w:tplc="4C9ED226">
      <w:start w:val="1"/>
      <w:numFmt w:val="lowerLetter"/>
      <w:lvlText w:val="%8."/>
      <w:lvlJc w:val="left"/>
      <w:pPr>
        <w:ind w:left="5760" w:hanging="360"/>
      </w:pPr>
    </w:lvl>
    <w:lvl w:ilvl="8" w:tplc="776AB9FE">
      <w:start w:val="1"/>
      <w:numFmt w:val="lowerRoman"/>
      <w:lvlText w:val="%9."/>
      <w:lvlJc w:val="right"/>
      <w:pPr>
        <w:ind w:left="6480" w:hanging="180"/>
      </w:pPr>
    </w:lvl>
  </w:abstractNum>
  <w:abstractNum w:abstractNumId="41" w15:restartNumberingAfterBreak="0">
    <w:nsid w:val="60CD5E13"/>
    <w:multiLevelType w:val="multilevel"/>
    <w:tmpl w:val="97AE6A5E"/>
    <w:lvl w:ilvl="0">
      <w:start w:val="1"/>
      <w:numFmt w:val="bullet"/>
      <w:pStyle w:val="Numbered11111"/>
      <w:lvlText w:val="•"/>
      <w:lvlJc w:val="left"/>
      <w:pPr>
        <w:tabs>
          <w:tab w:val="num" w:pos="520"/>
        </w:tabs>
        <w:ind w:left="520" w:hanging="520"/>
      </w:pPr>
      <w:rPr>
        <w:rFonts w:ascii="Times New Roman" w:hAnsi="Times New Roman" w:cs="Times New Roman"/>
      </w:rPr>
    </w:lvl>
    <w:lvl w:ilvl="1">
      <w:start w:val="1"/>
      <w:numFmt w:val="bullet"/>
      <w:pStyle w:val="Header"/>
      <w:lvlText w:val="–"/>
      <w:lvlJc w:val="left"/>
      <w:pPr>
        <w:tabs>
          <w:tab w:val="num" w:pos="1040"/>
        </w:tabs>
        <w:ind w:left="1040" w:hanging="520"/>
      </w:pPr>
      <w:rPr>
        <w:rFonts w:ascii="Times New Roman" w:hAnsi="Times New Roman" w:cs="Times New Roman"/>
      </w:rPr>
    </w:lvl>
    <w:lvl w:ilvl="2">
      <w:start w:val="1"/>
      <w:numFmt w:val="bullet"/>
      <w:pStyle w:val="NoSpacing"/>
      <w:lvlText w:val=":"/>
      <w:lvlJc w:val="left"/>
      <w:pPr>
        <w:tabs>
          <w:tab w:val="num" w:pos="1512"/>
        </w:tabs>
        <w:ind w:left="1512"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0E11DA"/>
    <w:multiLevelType w:val="hybridMultilevel"/>
    <w:tmpl w:val="70E687CC"/>
    <w:lvl w:ilvl="0" w:tplc="7FCC4BAC">
      <w:numFmt w:val="bullet"/>
      <w:lvlText w:val="-"/>
      <w:lvlJc w:val="left"/>
      <w:pPr>
        <w:ind w:left="720" w:hanging="360"/>
      </w:pPr>
      <w:rPr>
        <w:rFonts w:ascii="Trebuchet MS" w:eastAsiaTheme="minorHAnsi" w:hAnsi="Trebuchet MS"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4AE4605"/>
    <w:multiLevelType w:val="hybridMultilevel"/>
    <w:tmpl w:val="FFFFFFFF"/>
    <w:lvl w:ilvl="0" w:tplc="8D1CE8FA">
      <w:start w:val="1"/>
      <w:numFmt w:val="decimal"/>
      <w:lvlText w:val="%1."/>
      <w:lvlJc w:val="left"/>
      <w:pPr>
        <w:ind w:left="720" w:hanging="360"/>
      </w:pPr>
    </w:lvl>
    <w:lvl w:ilvl="1" w:tplc="817C12D8">
      <w:start w:val="1"/>
      <w:numFmt w:val="lowerLetter"/>
      <w:lvlText w:val="%2."/>
      <w:lvlJc w:val="left"/>
      <w:pPr>
        <w:ind w:left="1440" w:hanging="360"/>
      </w:pPr>
    </w:lvl>
    <w:lvl w:ilvl="2" w:tplc="39D2A332">
      <w:start w:val="1"/>
      <w:numFmt w:val="lowerRoman"/>
      <w:lvlText w:val="%3."/>
      <w:lvlJc w:val="right"/>
      <w:pPr>
        <w:ind w:left="2160" w:hanging="180"/>
      </w:pPr>
    </w:lvl>
    <w:lvl w:ilvl="3" w:tplc="4D867962">
      <w:start w:val="1"/>
      <w:numFmt w:val="decimal"/>
      <w:lvlText w:val="%4."/>
      <w:lvlJc w:val="left"/>
      <w:pPr>
        <w:ind w:left="2880" w:hanging="360"/>
      </w:pPr>
    </w:lvl>
    <w:lvl w:ilvl="4" w:tplc="0F8E2040">
      <w:start w:val="1"/>
      <w:numFmt w:val="lowerLetter"/>
      <w:lvlText w:val="%5."/>
      <w:lvlJc w:val="left"/>
      <w:pPr>
        <w:ind w:left="3600" w:hanging="360"/>
      </w:pPr>
    </w:lvl>
    <w:lvl w:ilvl="5" w:tplc="BEA2C9E6">
      <w:start w:val="1"/>
      <w:numFmt w:val="lowerRoman"/>
      <w:lvlText w:val="%6."/>
      <w:lvlJc w:val="right"/>
      <w:pPr>
        <w:ind w:left="4320" w:hanging="180"/>
      </w:pPr>
    </w:lvl>
    <w:lvl w:ilvl="6" w:tplc="1D0801D8">
      <w:start w:val="1"/>
      <w:numFmt w:val="decimal"/>
      <w:lvlText w:val="%7."/>
      <w:lvlJc w:val="left"/>
      <w:pPr>
        <w:ind w:left="5040" w:hanging="360"/>
      </w:pPr>
    </w:lvl>
    <w:lvl w:ilvl="7" w:tplc="1658993C">
      <w:start w:val="1"/>
      <w:numFmt w:val="lowerLetter"/>
      <w:lvlText w:val="%8."/>
      <w:lvlJc w:val="left"/>
      <w:pPr>
        <w:ind w:left="5760" w:hanging="360"/>
      </w:pPr>
    </w:lvl>
    <w:lvl w:ilvl="8" w:tplc="2B3E3670">
      <w:start w:val="1"/>
      <w:numFmt w:val="lowerRoman"/>
      <w:lvlText w:val="%9."/>
      <w:lvlJc w:val="right"/>
      <w:pPr>
        <w:ind w:left="6480" w:hanging="180"/>
      </w:pPr>
    </w:lvl>
  </w:abstractNum>
  <w:abstractNum w:abstractNumId="45" w15:restartNumberingAfterBreak="0">
    <w:nsid w:val="663D201D"/>
    <w:multiLevelType w:val="hybridMultilevel"/>
    <w:tmpl w:val="FFFFFFFF"/>
    <w:lvl w:ilvl="0" w:tplc="19D4387E">
      <w:start w:val="1"/>
      <w:numFmt w:val="bullet"/>
      <w:lvlText w:val="·"/>
      <w:lvlJc w:val="left"/>
      <w:pPr>
        <w:ind w:left="720" w:hanging="360"/>
      </w:pPr>
      <w:rPr>
        <w:rFonts w:ascii="Symbol" w:hAnsi="Symbol" w:hint="default"/>
      </w:rPr>
    </w:lvl>
    <w:lvl w:ilvl="1" w:tplc="BB4C0340">
      <w:start w:val="1"/>
      <w:numFmt w:val="bullet"/>
      <w:lvlText w:val="o"/>
      <w:lvlJc w:val="left"/>
      <w:pPr>
        <w:ind w:left="1440" w:hanging="360"/>
      </w:pPr>
      <w:rPr>
        <w:rFonts w:ascii="Courier New" w:hAnsi="Courier New" w:hint="default"/>
      </w:rPr>
    </w:lvl>
    <w:lvl w:ilvl="2" w:tplc="255ED366">
      <w:start w:val="1"/>
      <w:numFmt w:val="bullet"/>
      <w:lvlText w:val=""/>
      <w:lvlJc w:val="left"/>
      <w:pPr>
        <w:ind w:left="2160" w:hanging="360"/>
      </w:pPr>
      <w:rPr>
        <w:rFonts w:ascii="Wingdings" w:hAnsi="Wingdings" w:hint="default"/>
      </w:rPr>
    </w:lvl>
    <w:lvl w:ilvl="3" w:tplc="69C8A570">
      <w:start w:val="1"/>
      <w:numFmt w:val="bullet"/>
      <w:lvlText w:val=""/>
      <w:lvlJc w:val="left"/>
      <w:pPr>
        <w:ind w:left="2880" w:hanging="360"/>
      </w:pPr>
      <w:rPr>
        <w:rFonts w:ascii="Symbol" w:hAnsi="Symbol" w:hint="default"/>
      </w:rPr>
    </w:lvl>
    <w:lvl w:ilvl="4" w:tplc="45E8466A">
      <w:start w:val="1"/>
      <w:numFmt w:val="bullet"/>
      <w:lvlText w:val="o"/>
      <w:lvlJc w:val="left"/>
      <w:pPr>
        <w:ind w:left="3600" w:hanging="360"/>
      </w:pPr>
      <w:rPr>
        <w:rFonts w:ascii="Courier New" w:hAnsi="Courier New" w:hint="default"/>
      </w:rPr>
    </w:lvl>
    <w:lvl w:ilvl="5" w:tplc="DDF21B6E">
      <w:start w:val="1"/>
      <w:numFmt w:val="bullet"/>
      <w:lvlText w:val=""/>
      <w:lvlJc w:val="left"/>
      <w:pPr>
        <w:ind w:left="4320" w:hanging="360"/>
      </w:pPr>
      <w:rPr>
        <w:rFonts w:ascii="Wingdings" w:hAnsi="Wingdings" w:hint="default"/>
      </w:rPr>
    </w:lvl>
    <w:lvl w:ilvl="6" w:tplc="CBA40CB8">
      <w:start w:val="1"/>
      <w:numFmt w:val="bullet"/>
      <w:lvlText w:val=""/>
      <w:lvlJc w:val="left"/>
      <w:pPr>
        <w:ind w:left="5040" w:hanging="360"/>
      </w:pPr>
      <w:rPr>
        <w:rFonts w:ascii="Symbol" w:hAnsi="Symbol" w:hint="default"/>
      </w:rPr>
    </w:lvl>
    <w:lvl w:ilvl="7" w:tplc="3B4AF0C8">
      <w:start w:val="1"/>
      <w:numFmt w:val="bullet"/>
      <w:lvlText w:val="o"/>
      <w:lvlJc w:val="left"/>
      <w:pPr>
        <w:ind w:left="5760" w:hanging="360"/>
      </w:pPr>
      <w:rPr>
        <w:rFonts w:ascii="Courier New" w:hAnsi="Courier New" w:hint="default"/>
      </w:rPr>
    </w:lvl>
    <w:lvl w:ilvl="8" w:tplc="EB06F2A6">
      <w:start w:val="1"/>
      <w:numFmt w:val="bullet"/>
      <w:lvlText w:val=""/>
      <w:lvlJc w:val="left"/>
      <w:pPr>
        <w:ind w:left="6480" w:hanging="360"/>
      </w:pPr>
      <w:rPr>
        <w:rFonts w:ascii="Wingdings" w:hAnsi="Wingdings" w:hint="default"/>
      </w:rPr>
    </w:lvl>
  </w:abstractNum>
  <w:abstractNum w:abstractNumId="46" w15:restartNumberingAfterBreak="0">
    <w:nsid w:val="6666490E"/>
    <w:multiLevelType w:val="hybridMultilevel"/>
    <w:tmpl w:val="FFFFFFFF"/>
    <w:lvl w:ilvl="0" w:tplc="11205170">
      <w:start w:val="1"/>
      <w:numFmt w:val="bullet"/>
      <w:lvlText w:val="-"/>
      <w:lvlJc w:val="left"/>
      <w:pPr>
        <w:ind w:left="720" w:hanging="360"/>
      </w:pPr>
      <w:rPr>
        <w:rFonts w:ascii="Calibri" w:hAnsi="Calibri" w:hint="default"/>
      </w:rPr>
    </w:lvl>
    <w:lvl w:ilvl="1" w:tplc="AC48EAB6">
      <w:start w:val="1"/>
      <w:numFmt w:val="bullet"/>
      <w:lvlText w:val="o"/>
      <w:lvlJc w:val="left"/>
      <w:pPr>
        <w:ind w:left="1440" w:hanging="360"/>
      </w:pPr>
      <w:rPr>
        <w:rFonts w:ascii="Courier New" w:hAnsi="Courier New" w:hint="default"/>
      </w:rPr>
    </w:lvl>
    <w:lvl w:ilvl="2" w:tplc="CDC0DAA4">
      <w:start w:val="1"/>
      <w:numFmt w:val="bullet"/>
      <w:lvlText w:val=""/>
      <w:lvlJc w:val="left"/>
      <w:pPr>
        <w:ind w:left="2160" w:hanging="360"/>
      </w:pPr>
      <w:rPr>
        <w:rFonts w:ascii="Wingdings" w:hAnsi="Wingdings" w:hint="default"/>
      </w:rPr>
    </w:lvl>
    <w:lvl w:ilvl="3" w:tplc="6A38868E">
      <w:start w:val="1"/>
      <w:numFmt w:val="bullet"/>
      <w:lvlText w:val=""/>
      <w:lvlJc w:val="left"/>
      <w:pPr>
        <w:ind w:left="2880" w:hanging="360"/>
      </w:pPr>
      <w:rPr>
        <w:rFonts w:ascii="Symbol" w:hAnsi="Symbol" w:hint="default"/>
      </w:rPr>
    </w:lvl>
    <w:lvl w:ilvl="4" w:tplc="77DE2382">
      <w:start w:val="1"/>
      <w:numFmt w:val="bullet"/>
      <w:lvlText w:val="o"/>
      <w:lvlJc w:val="left"/>
      <w:pPr>
        <w:ind w:left="3600" w:hanging="360"/>
      </w:pPr>
      <w:rPr>
        <w:rFonts w:ascii="Courier New" w:hAnsi="Courier New" w:hint="default"/>
      </w:rPr>
    </w:lvl>
    <w:lvl w:ilvl="5" w:tplc="95789312">
      <w:start w:val="1"/>
      <w:numFmt w:val="bullet"/>
      <w:lvlText w:val=""/>
      <w:lvlJc w:val="left"/>
      <w:pPr>
        <w:ind w:left="4320" w:hanging="360"/>
      </w:pPr>
      <w:rPr>
        <w:rFonts w:ascii="Wingdings" w:hAnsi="Wingdings" w:hint="default"/>
      </w:rPr>
    </w:lvl>
    <w:lvl w:ilvl="6" w:tplc="8850CBFE">
      <w:start w:val="1"/>
      <w:numFmt w:val="bullet"/>
      <w:lvlText w:val=""/>
      <w:lvlJc w:val="left"/>
      <w:pPr>
        <w:ind w:left="5040" w:hanging="360"/>
      </w:pPr>
      <w:rPr>
        <w:rFonts w:ascii="Symbol" w:hAnsi="Symbol" w:hint="default"/>
      </w:rPr>
    </w:lvl>
    <w:lvl w:ilvl="7" w:tplc="66C06608">
      <w:start w:val="1"/>
      <w:numFmt w:val="bullet"/>
      <w:lvlText w:val="o"/>
      <w:lvlJc w:val="left"/>
      <w:pPr>
        <w:ind w:left="5760" w:hanging="360"/>
      </w:pPr>
      <w:rPr>
        <w:rFonts w:ascii="Courier New" w:hAnsi="Courier New" w:hint="default"/>
      </w:rPr>
    </w:lvl>
    <w:lvl w:ilvl="8" w:tplc="A5B0FD7A">
      <w:start w:val="1"/>
      <w:numFmt w:val="bullet"/>
      <w:lvlText w:val=""/>
      <w:lvlJc w:val="left"/>
      <w:pPr>
        <w:ind w:left="6480" w:hanging="360"/>
      </w:pPr>
      <w:rPr>
        <w:rFonts w:ascii="Wingdings" w:hAnsi="Wingdings" w:hint="default"/>
      </w:rPr>
    </w:lvl>
  </w:abstractNum>
  <w:abstractNum w:abstractNumId="47"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49" w15:restartNumberingAfterBreak="0">
    <w:nsid w:val="6BF58ECB"/>
    <w:multiLevelType w:val="hybridMultilevel"/>
    <w:tmpl w:val="FFFFFFFF"/>
    <w:lvl w:ilvl="0" w:tplc="37FAFEF4">
      <w:start w:val="1"/>
      <w:numFmt w:val="bullet"/>
      <w:lvlText w:val="·"/>
      <w:lvlJc w:val="left"/>
      <w:pPr>
        <w:ind w:left="720" w:hanging="360"/>
      </w:pPr>
      <w:rPr>
        <w:rFonts w:ascii="Symbol" w:hAnsi="Symbol" w:hint="default"/>
      </w:rPr>
    </w:lvl>
    <w:lvl w:ilvl="1" w:tplc="68D4F914">
      <w:start w:val="1"/>
      <w:numFmt w:val="bullet"/>
      <w:lvlText w:val="o"/>
      <w:lvlJc w:val="left"/>
      <w:pPr>
        <w:ind w:left="1440" w:hanging="360"/>
      </w:pPr>
      <w:rPr>
        <w:rFonts w:ascii="Courier New" w:hAnsi="Courier New" w:hint="default"/>
      </w:rPr>
    </w:lvl>
    <w:lvl w:ilvl="2" w:tplc="1AEC0FE8">
      <w:start w:val="1"/>
      <w:numFmt w:val="bullet"/>
      <w:lvlText w:val=""/>
      <w:lvlJc w:val="left"/>
      <w:pPr>
        <w:ind w:left="2160" w:hanging="360"/>
      </w:pPr>
      <w:rPr>
        <w:rFonts w:ascii="Wingdings" w:hAnsi="Wingdings" w:hint="default"/>
      </w:rPr>
    </w:lvl>
    <w:lvl w:ilvl="3" w:tplc="74DA3626">
      <w:start w:val="1"/>
      <w:numFmt w:val="bullet"/>
      <w:lvlText w:val=""/>
      <w:lvlJc w:val="left"/>
      <w:pPr>
        <w:ind w:left="2880" w:hanging="360"/>
      </w:pPr>
      <w:rPr>
        <w:rFonts w:ascii="Symbol" w:hAnsi="Symbol" w:hint="default"/>
      </w:rPr>
    </w:lvl>
    <w:lvl w:ilvl="4" w:tplc="D9509526">
      <w:start w:val="1"/>
      <w:numFmt w:val="bullet"/>
      <w:lvlText w:val="o"/>
      <w:lvlJc w:val="left"/>
      <w:pPr>
        <w:ind w:left="3600" w:hanging="360"/>
      </w:pPr>
      <w:rPr>
        <w:rFonts w:ascii="Courier New" w:hAnsi="Courier New" w:hint="default"/>
      </w:rPr>
    </w:lvl>
    <w:lvl w:ilvl="5" w:tplc="5C8CE38A">
      <w:start w:val="1"/>
      <w:numFmt w:val="bullet"/>
      <w:lvlText w:val=""/>
      <w:lvlJc w:val="left"/>
      <w:pPr>
        <w:ind w:left="4320" w:hanging="360"/>
      </w:pPr>
      <w:rPr>
        <w:rFonts w:ascii="Wingdings" w:hAnsi="Wingdings" w:hint="default"/>
      </w:rPr>
    </w:lvl>
    <w:lvl w:ilvl="6" w:tplc="CFC8AC80">
      <w:start w:val="1"/>
      <w:numFmt w:val="bullet"/>
      <w:lvlText w:val=""/>
      <w:lvlJc w:val="left"/>
      <w:pPr>
        <w:ind w:left="5040" w:hanging="360"/>
      </w:pPr>
      <w:rPr>
        <w:rFonts w:ascii="Symbol" w:hAnsi="Symbol" w:hint="default"/>
      </w:rPr>
    </w:lvl>
    <w:lvl w:ilvl="7" w:tplc="4312903A">
      <w:start w:val="1"/>
      <w:numFmt w:val="bullet"/>
      <w:lvlText w:val="o"/>
      <w:lvlJc w:val="left"/>
      <w:pPr>
        <w:ind w:left="5760" w:hanging="360"/>
      </w:pPr>
      <w:rPr>
        <w:rFonts w:ascii="Courier New" w:hAnsi="Courier New" w:hint="default"/>
      </w:rPr>
    </w:lvl>
    <w:lvl w:ilvl="8" w:tplc="9588F998">
      <w:start w:val="1"/>
      <w:numFmt w:val="bullet"/>
      <w:lvlText w:val=""/>
      <w:lvlJc w:val="left"/>
      <w:pPr>
        <w:ind w:left="6480" w:hanging="360"/>
      </w:pPr>
      <w:rPr>
        <w:rFonts w:ascii="Wingdings" w:hAnsi="Wingdings" w:hint="default"/>
      </w:rPr>
    </w:lvl>
  </w:abstractNum>
  <w:abstractNum w:abstractNumId="50" w15:restartNumberingAfterBreak="0">
    <w:nsid w:val="6BFD082F"/>
    <w:multiLevelType w:val="hybridMultilevel"/>
    <w:tmpl w:val="B128FA46"/>
    <w:lvl w:ilvl="0" w:tplc="0504E0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775D34"/>
    <w:multiLevelType w:val="hybridMultilevel"/>
    <w:tmpl w:val="FFFFFFFF"/>
    <w:lvl w:ilvl="0" w:tplc="7AC8D56A">
      <w:start w:val="1"/>
      <w:numFmt w:val="bullet"/>
      <w:lvlText w:val="·"/>
      <w:lvlJc w:val="left"/>
      <w:pPr>
        <w:ind w:left="720" w:hanging="360"/>
      </w:pPr>
      <w:rPr>
        <w:rFonts w:ascii="Symbol" w:hAnsi="Symbol" w:hint="default"/>
      </w:rPr>
    </w:lvl>
    <w:lvl w:ilvl="1" w:tplc="C9EA9C5A">
      <w:start w:val="1"/>
      <w:numFmt w:val="bullet"/>
      <w:lvlText w:val="o"/>
      <w:lvlJc w:val="left"/>
      <w:pPr>
        <w:ind w:left="1440" w:hanging="360"/>
      </w:pPr>
      <w:rPr>
        <w:rFonts w:ascii="Courier New" w:hAnsi="Courier New" w:hint="default"/>
      </w:rPr>
    </w:lvl>
    <w:lvl w:ilvl="2" w:tplc="D5D84ADE">
      <w:start w:val="1"/>
      <w:numFmt w:val="bullet"/>
      <w:lvlText w:val=""/>
      <w:lvlJc w:val="left"/>
      <w:pPr>
        <w:ind w:left="2160" w:hanging="360"/>
      </w:pPr>
      <w:rPr>
        <w:rFonts w:ascii="Wingdings" w:hAnsi="Wingdings" w:hint="default"/>
      </w:rPr>
    </w:lvl>
    <w:lvl w:ilvl="3" w:tplc="A7BA17BC">
      <w:start w:val="1"/>
      <w:numFmt w:val="bullet"/>
      <w:lvlText w:val=""/>
      <w:lvlJc w:val="left"/>
      <w:pPr>
        <w:ind w:left="2880" w:hanging="360"/>
      </w:pPr>
      <w:rPr>
        <w:rFonts w:ascii="Symbol" w:hAnsi="Symbol" w:hint="default"/>
      </w:rPr>
    </w:lvl>
    <w:lvl w:ilvl="4" w:tplc="F904D6AE">
      <w:start w:val="1"/>
      <w:numFmt w:val="bullet"/>
      <w:lvlText w:val="o"/>
      <w:lvlJc w:val="left"/>
      <w:pPr>
        <w:ind w:left="3600" w:hanging="360"/>
      </w:pPr>
      <w:rPr>
        <w:rFonts w:ascii="Courier New" w:hAnsi="Courier New" w:hint="default"/>
      </w:rPr>
    </w:lvl>
    <w:lvl w:ilvl="5" w:tplc="7ACC5D3A">
      <w:start w:val="1"/>
      <w:numFmt w:val="bullet"/>
      <w:lvlText w:val=""/>
      <w:lvlJc w:val="left"/>
      <w:pPr>
        <w:ind w:left="4320" w:hanging="360"/>
      </w:pPr>
      <w:rPr>
        <w:rFonts w:ascii="Wingdings" w:hAnsi="Wingdings" w:hint="default"/>
      </w:rPr>
    </w:lvl>
    <w:lvl w:ilvl="6" w:tplc="D2221F8C">
      <w:start w:val="1"/>
      <w:numFmt w:val="bullet"/>
      <w:lvlText w:val=""/>
      <w:lvlJc w:val="left"/>
      <w:pPr>
        <w:ind w:left="5040" w:hanging="360"/>
      </w:pPr>
      <w:rPr>
        <w:rFonts w:ascii="Symbol" w:hAnsi="Symbol" w:hint="default"/>
      </w:rPr>
    </w:lvl>
    <w:lvl w:ilvl="7" w:tplc="B11C2E32">
      <w:start w:val="1"/>
      <w:numFmt w:val="bullet"/>
      <w:lvlText w:val="o"/>
      <w:lvlJc w:val="left"/>
      <w:pPr>
        <w:ind w:left="5760" w:hanging="360"/>
      </w:pPr>
      <w:rPr>
        <w:rFonts w:ascii="Courier New" w:hAnsi="Courier New" w:hint="default"/>
      </w:rPr>
    </w:lvl>
    <w:lvl w:ilvl="8" w:tplc="8920109C">
      <w:start w:val="1"/>
      <w:numFmt w:val="bullet"/>
      <w:lvlText w:val=""/>
      <w:lvlJc w:val="left"/>
      <w:pPr>
        <w:ind w:left="6480" w:hanging="360"/>
      </w:pPr>
      <w:rPr>
        <w:rFonts w:ascii="Wingdings" w:hAnsi="Wingdings" w:hint="default"/>
      </w:rPr>
    </w:lvl>
  </w:abstractNum>
  <w:abstractNum w:abstractNumId="52" w15:restartNumberingAfterBreak="0">
    <w:nsid w:val="6F2828E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934C6C"/>
    <w:multiLevelType w:val="hybridMultilevel"/>
    <w:tmpl w:val="FFFFFFFF"/>
    <w:lvl w:ilvl="0" w:tplc="43F4731E">
      <w:start w:val="1"/>
      <w:numFmt w:val="bullet"/>
      <w:lvlText w:val="·"/>
      <w:lvlJc w:val="left"/>
      <w:pPr>
        <w:ind w:left="720" w:hanging="360"/>
      </w:pPr>
      <w:rPr>
        <w:rFonts w:ascii="Symbol" w:hAnsi="Symbol" w:hint="default"/>
      </w:rPr>
    </w:lvl>
    <w:lvl w:ilvl="1" w:tplc="B59EFBF0">
      <w:start w:val="1"/>
      <w:numFmt w:val="bullet"/>
      <w:lvlText w:val="o"/>
      <w:lvlJc w:val="left"/>
      <w:pPr>
        <w:ind w:left="1440" w:hanging="360"/>
      </w:pPr>
      <w:rPr>
        <w:rFonts w:ascii="Courier New" w:hAnsi="Courier New" w:hint="default"/>
      </w:rPr>
    </w:lvl>
    <w:lvl w:ilvl="2" w:tplc="D39C7E24">
      <w:start w:val="1"/>
      <w:numFmt w:val="bullet"/>
      <w:lvlText w:val=""/>
      <w:lvlJc w:val="left"/>
      <w:pPr>
        <w:ind w:left="2160" w:hanging="360"/>
      </w:pPr>
      <w:rPr>
        <w:rFonts w:ascii="Wingdings" w:hAnsi="Wingdings" w:hint="default"/>
      </w:rPr>
    </w:lvl>
    <w:lvl w:ilvl="3" w:tplc="A73EA366">
      <w:start w:val="1"/>
      <w:numFmt w:val="bullet"/>
      <w:lvlText w:val=""/>
      <w:lvlJc w:val="left"/>
      <w:pPr>
        <w:ind w:left="2880" w:hanging="360"/>
      </w:pPr>
      <w:rPr>
        <w:rFonts w:ascii="Symbol" w:hAnsi="Symbol" w:hint="default"/>
      </w:rPr>
    </w:lvl>
    <w:lvl w:ilvl="4" w:tplc="F4DC55D2">
      <w:start w:val="1"/>
      <w:numFmt w:val="bullet"/>
      <w:lvlText w:val="o"/>
      <w:lvlJc w:val="left"/>
      <w:pPr>
        <w:ind w:left="3600" w:hanging="360"/>
      </w:pPr>
      <w:rPr>
        <w:rFonts w:ascii="Courier New" w:hAnsi="Courier New" w:hint="default"/>
      </w:rPr>
    </w:lvl>
    <w:lvl w:ilvl="5" w:tplc="EA42914C">
      <w:start w:val="1"/>
      <w:numFmt w:val="bullet"/>
      <w:lvlText w:val=""/>
      <w:lvlJc w:val="left"/>
      <w:pPr>
        <w:ind w:left="4320" w:hanging="360"/>
      </w:pPr>
      <w:rPr>
        <w:rFonts w:ascii="Wingdings" w:hAnsi="Wingdings" w:hint="default"/>
      </w:rPr>
    </w:lvl>
    <w:lvl w:ilvl="6" w:tplc="8DA0A752">
      <w:start w:val="1"/>
      <w:numFmt w:val="bullet"/>
      <w:lvlText w:val=""/>
      <w:lvlJc w:val="left"/>
      <w:pPr>
        <w:ind w:left="5040" w:hanging="360"/>
      </w:pPr>
      <w:rPr>
        <w:rFonts w:ascii="Symbol" w:hAnsi="Symbol" w:hint="default"/>
      </w:rPr>
    </w:lvl>
    <w:lvl w:ilvl="7" w:tplc="6C9889CA">
      <w:start w:val="1"/>
      <w:numFmt w:val="bullet"/>
      <w:lvlText w:val="o"/>
      <w:lvlJc w:val="left"/>
      <w:pPr>
        <w:ind w:left="5760" w:hanging="360"/>
      </w:pPr>
      <w:rPr>
        <w:rFonts w:ascii="Courier New" w:hAnsi="Courier New" w:hint="default"/>
      </w:rPr>
    </w:lvl>
    <w:lvl w:ilvl="8" w:tplc="AE56B060">
      <w:start w:val="1"/>
      <w:numFmt w:val="bullet"/>
      <w:lvlText w:val=""/>
      <w:lvlJc w:val="left"/>
      <w:pPr>
        <w:ind w:left="6480" w:hanging="360"/>
      </w:pPr>
      <w:rPr>
        <w:rFonts w:ascii="Wingdings" w:hAnsi="Wingdings" w:hint="default"/>
      </w:rPr>
    </w:lvl>
  </w:abstractNum>
  <w:abstractNum w:abstractNumId="54"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55"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56"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57" w15:restartNumberingAfterBreak="0">
    <w:nsid w:val="799961B5"/>
    <w:multiLevelType w:val="hybridMultilevel"/>
    <w:tmpl w:val="FFFFFFFF"/>
    <w:lvl w:ilvl="0" w:tplc="71A2EFE2">
      <w:start w:val="1"/>
      <w:numFmt w:val="bullet"/>
      <w:lvlText w:val="·"/>
      <w:lvlJc w:val="left"/>
      <w:pPr>
        <w:ind w:left="720" w:hanging="360"/>
      </w:pPr>
      <w:rPr>
        <w:rFonts w:ascii="Symbol" w:hAnsi="Symbol" w:hint="default"/>
      </w:rPr>
    </w:lvl>
    <w:lvl w:ilvl="1" w:tplc="538CB70E">
      <w:start w:val="1"/>
      <w:numFmt w:val="bullet"/>
      <w:lvlText w:val="o"/>
      <w:lvlJc w:val="left"/>
      <w:pPr>
        <w:ind w:left="1440" w:hanging="360"/>
      </w:pPr>
      <w:rPr>
        <w:rFonts w:ascii="Courier New" w:hAnsi="Courier New" w:hint="default"/>
      </w:rPr>
    </w:lvl>
    <w:lvl w:ilvl="2" w:tplc="46883F18">
      <w:start w:val="1"/>
      <w:numFmt w:val="bullet"/>
      <w:lvlText w:val=""/>
      <w:lvlJc w:val="left"/>
      <w:pPr>
        <w:ind w:left="2160" w:hanging="360"/>
      </w:pPr>
      <w:rPr>
        <w:rFonts w:ascii="Wingdings" w:hAnsi="Wingdings" w:hint="default"/>
      </w:rPr>
    </w:lvl>
    <w:lvl w:ilvl="3" w:tplc="EB6C37D6">
      <w:start w:val="1"/>
      <w:numFmt w:val="bullet"/>
      <w:lvlText w:val=""/>
      <w:lvlJc w:val="left"/>
      <w:pPr>
        <w:ind w:left="2880" w:hanging="360"/>
      </w:pPr>
      <w:rPr>
        <w:rFonts w:ascii="Symbol" w:hAnsi="Symbol" w:hint="default"/>
      </w:rPr>
    </w:lvl>
    <w:lvl w:ilvl="4" w:tplc="5FB2BA18">
      <w:start w:val="1"/>
      <w:numFmt w:val="bullet"/>
      <w:lvlText w:val="o"/>
      <w:lvlJc w:val="left"/>
      <w:pPr>
        <w:ind w:left="3600" w:hanging="360"/>
      </w:pPr>
      <w:rPr>
        <w:rFonts w:ascii="Courier New" w:hAnsi="Courier New" w:hint="default"/>
      </w:rPr>
    </w:lvl>
    <w:lvl w:ilvl="5" w:tplc="C98A4842">
      <w:start w:val="1"/>
      <w:numFmt w:val="bullet"/>
      <w:lvlText w:val=""/>
      <w:lvlJc w:val="left"/>
      <w:pPr>
        <w:ind w:left="4320" w:hanging="360"/>
      </w:pPr>
      <w:rPr>
        <w:rFonts w:ascii="Wingdings" w:hAnsi="Wingdings" w:hint="default"/>
      </w:rPr>
    </w:lvl>
    <w:lvl w:ilvl="6" w:tplc="7A629300">
      <w:start w:val="1"/>
      <w:numFmt w:val="bullet"/>
      <w:lvlText w:val=""/>
      <w:lvlJc w:val="left"/>
      <w:pPr>
        <w:ind w:left="5040" w:hanging="360"/>
      </w:pPr>
      <w:rPr>
        <w:rFonts w:ascii="Symbol" w:hAnsi="Symbol" w:hint="default"/>
      </w:rPr>
    </w:lvl>
    <w:lvl w:ilvl="7" w:tplc="14D6CA36">
      <w:start w:val="1"/>
      <w:numFmt w:val="bullet"/>
      <w:lvlText w:val="o"/>
      <w:lvlJc w:val="left"/>
      <w:pPr>
        <w:ind w:left="5760" w:hanging="360"/>
      </w:pPr>
      <w:rPr>
        <w:rFonts w:ascii="Courier New" w:hAnsi="Courier New" w:hint="default"/>
      </w:rPr>
    </w:lvl>
    <w:lvl w:ilvl="8" w:tplc="2AE4E3DA">
      <w:start w:val="1"/>
      <w:numFmt w:val="bullet"/>
      <w:lvlText w:val=""/>
      <w:lvlJc w:val="left"/>
      <w:pPr>
        <w:ind w:left="6480" w:hanging="360"/>
      </w:pPr>
      <w:rPr>
        <w:rFonts w:ascii="Wingdings" w:hAnsi="Wingdings" w:hint="default"/>
      </w:rPr>
    </w:lvl>
  </w:abstractNum>
  <w:abstractNum w:abstractNumId="58"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9" w15:restartNumberingAfterBreak="0">
    <w:nsid w:val="7BBE352A"/>
    <w:multiLevelType w:val="hybridMultilevel"/>
    <w:tmpl w:val="FFFFFFFF"/>
    <w:lvl w:ilvl="0" w:tplc="ED7E849C">
      <w:start w:val="1"/>
      <w:numFmt w:val="bullet"/>
      <w:lvlText w:val="·"/>
      <w:lvlJc w:val="left"/>
      <w:pPr>
        <w:ind w:left="720" w:hanging="360"/>
      </w:pPr>
      <w:rPr>
        <w:rFonts w:ascii="Symbol" w:hAnsi="Symbol" w:hint="default"/>
      </w:rPr>
    </w:lvl>
    <w:lvl w:ilvl="1" w:tplc="C41A9AC0">
      <w:start w:val="1"/>
      <w:numFmt w:val="bullet"/>
      <w:lvlText w:val="o"/>
      <w:lvlJc w:val="left"/>
      <w:pPr>
        <w:ind w:left="1440" w:hanging="360"/>
      </w:pPr>
      <w:rPr>
        <w:rFonts w:ascii="Courier New" w:hAnsi="Courier New" w:hint="default"/>
      </w:rPr>
    </w:lvl>
    <w:lvl w:ilvl="2" w:tplc="6618315C">
      <w:start w:val="1"/>
      <w:numFmt w:val="bullet"/>
      <w:lvlText w:val=""/>
      <w:lvlJc w:val="left"/>
      <w:pPr>
        <w:ind w:left="2160" w:hanging="360"/>
      </w:pPr>
      <w:rPr>
        <w:rFonts w:ascii="Wingdings" w:hAnsi="Wingdings" w:hint="default"/>
      </w:rPr>
    </w:lvl>
    <w:lvl w:ilvl="3" w:tplc="FFB21306">
      <w:start w:val="1"/>
      <w:numFmt w:val="bullet"/>
      <w:lvlText w:val=""/>
      <w:lvlJc w:val="left"/>
      <w:pPr>
        <w:ind w:left="2880" w:hanging="360"/>
      </w:pPr>
      <w:rPr>
        <w:rFonts w:ascii="Symbol" w:hAnsi="Symbol" w:hint="default"/>
      </w:rPr>
    </w:lvl>
    <w:lvl w:ilvl="4" w:tplc="365CE01C">
      <w:start w:val="1"/>
      <w:numFmt w:val="bullet"/>
      <w:lvlText w:val="o"/>
      <w:lvlJc w:val="left"/>
      <w:pPr>
        <w:ind w:left="3600" w:hanging="360"/>
      </w:pPr>
      <w:rPr>
        <w:rFonts w:ascii="Courier New" w:hAnsi="Courier New" w:hint="default"/>
      </w:rPr>
    </w:lvl>
    <w:lvl w:ilvl="5" w:tplc="3FC27000">
      <w:start w:val="1"/>
      <w:numFmt w:val="bullet"/>
      <w:lvlText w:val=""/>
      <w:lvlJc w:val="left"/>
      <w:pPr>
        <w:ind w:left="4320" w:hanging="360"/>
      </w:pPr>
      <w:rPr>
        <w:rFonts w:ascii="Wingdings" w:hAnsi="Wingdings" w:hint="default"/>
      </w:rPr>
    </w:lvl>
    <w:lvl w:ilvl="6" w:tplc="08BED5C4">
      <w:start w:val="1"/>
      <w:numFmt w:val="bullet"/>
      <w:lvlText w:val=""/>
      <w:lvlJc w:val="left"/>
      <w:pPr>
        <w:ind w:left="5040" w:hanging="360"/>
      </w:pPr>
      <w:rPr>
        <w:rFonts w:ascii="Symbol" w:hAnsi="Symbol" w:hint="default"/>
      </w:rPr>
    </w:lvl>
    <w:lvl w:ilvl="7" w:tplc="4434F4A8">
      <w:start w:val="1"/>
      <w:numFmt w:val="bullet"/>
      <w:lvlText w:val="o"/>
      <w:lvlJc w:val="left"/>
      <w:pPr>
        <w:ind w:left="5760" w:hanging="360"/>
      </w:pPr>
      <w:rPr>
        <w:rFonts w:ascii="Courier New" w:hAnsi="Courier New" w:hint="default"/>
      </w:rPr>
    </w:lvl>
    <w:lvl w:ilvl="8" w:tplc="996C2EFA">
      <w:start w:val="1"/>
      <w:numFmt w:val="bullet"/>
      <w:lvlText w:val=""/>
      <w:lvlJc w:val="left"/>
      <w:pPr>
        <w:ind w:left="6480" w:hanging="360"/>
      </w:pPr>
      <w:rPr>
        <w:rFonts w:ascii="Wingdings" w:hAnsi="Wingdings" w:hint="default"/>
      </w:rPr>
    </w:lvl>
  </w:abstractNum>
  <w:abstractNum w:abstractNumId="60" w15:restartNumberingAfterBreak="0">
    <w:nsid w:val="7E2819EC"/>
    <w:multiLevelType w:val="multilevel"/>
    <w:tmpl w:val="B7A8593C"/>
    <w:lvl w:ilvl="0">
      <w:start w:val="1"/>
      <w:numFmt w:val="bullet"/>
      <w:pStyle w:val="Bulletpoint"/>
      <w:lvlText w:val=""/>
      <w:lvlJc w:val="left"/>
      <w:pPr>
        <w:ind w:left="360" w:hanging="360"/>
      </w:pPr>
      <w:rPr>
        <w:rFonts w:ascii="Symbol" w:hAnsi="Symbol" w:hint="default"/>
      </w:rPr>
    </w:lvl>
    <w:lvl w:ilvl="1">
      <w:start w:val="1"/>
      <w:numFmt w:val="bullet"/>
      <w:lvlText w:val="‒"/>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427A27"/>
    <w:multiLevelType w:val="hybridMultilevel"/>
    <w:tmpl w:val="FFFFFFFF"/>
    <w:lvl w:ilvl="0" w:tplc="96744D34">
      <w:start w:val="1"/>
      <w:numFmt w:val="bullet"/>
      <w:lvlText w:val="·"/>
      <w:lvlJc w:val="left"/>
      <w:pPr>
        <w:ind w:left="720" w:hanging="360"/>
      </w:pPr>
      <w:rPr>
        <w:rFonts w:ascii="Symbol" w:hAnsi="Symbol" w:hint="default"/>
      </w:rPr>
    </w:lvl>
    <w:lvl w:ilvl="1" w:tplc="4C7A4AC6">
      <w:start w:val="1"/>
      <w:numFmt w:val="bullet"/>
      <w:lvlText w:val="o"/>
      <w:lvlJc w:val="left"/>
      <w:pPr>
        <w:ind w:left="1440" w:hanging="360"/>
      </w:pPr>
      <w:rPr>
        <w:rFonts w:ascii="Courier New" w:hAnsi="Courier New" w:hint="default"/>
      </w:rPr>
    </w:lvl>
    <w:lvl w:ilvl="2" w:tplc="DE3A1A36">
      <w:start w:val="1"/>
      <w:numFmt w:val="bullet"/>
      <w:lvlText w:val=""/>
      <w:lvlJc w:val="left"/>
      <w:pPr>
        <w:ind w:left="2160" w:hanging="360"/>
      </w:pPr>
      <w:rPr>
        <w:rFonts w:ascii="Wingdings" w:hAnsi="Wingdings" w:hint="default"/>
      </w:rPr>
    </w:lvl>
    <w:lvl w:ilvl="3" w:tplc="FD4CFC40">
      <w:start w:val="1"/>
      <w:numFmt w:val="bullet"/>
      <w:lvlText w:val=""/>
      <w:lvlJc w:val="left"/>
      <w:pPr>
        <w:ind w:left="2880" w:hanging="360"/>
      </w:pPr>
      <w:rPr>
        <w:rFonts w:ascii="Symbol" w:hAnsi="Symbol" w:hint="default"/>
      </w:rPr>
    </w:lvl>
    <w:lvl w:ilvl="4" w:tplc="E604AB5E">
      <w:start w:val="1"/>
      <w:numFmt w:val="bullet"/>
      <w:lvlText w:val="o"/>
      <w:lvlJc w:val="left"/>
      <w:pPr>
        <w:ind w:left="3600" w:hanging="360"/>
      </w:pPr>
      <w:rPr>
        <w:rFonts w:ascii="Courier New" w:hAnsi="Courier New" w:hint="default"/>
      </w:rPr>
    </w:lvl>
    <w:lvl w:ilvl="5" w:tplc="D048D75E">
      <w:start w:val="1"/>
      <w:numFmt w:val="bullet"/>
      <w:lvlText w:val=""/>
      <w:lvlJc w:val="left"/>
      <w:pPr>
        <w:ind w:left="4320" w:hanging="360"/>
      </w:pPr>
      <w:rPr>
        <w:rFonts w:ascii="Wingdings" w:hAnsi="Wingdings" w:hint="default"/>
      </w:rPr>
    </w:lvl>
    <w:lvl w:ilvl="6" w:tplc="D5D87B18">
      <w:start w:val="1"/>
      <w:numFmt w:val="bullet"/>
      <w:lvlText w:val=""/>
      <w:lvlJc w:val="left"/>
      <w:pPr>
        <w:ind w:left="5040" w:hanging="360"/>
      </w:pPr>
      <w:rPr>
        <w:rFonts w:ascii="Symbol" w:hAnsi="Symbol" w:hint="default"/>
      </w:rPr>
    </w:lvl>
    <w:lvl w:ilvl="7" w:tplc="D78EDA8C">
      <w:start w:val="1"/>
      <w:numFmt w:val="bullet"/>
      <w:lvlText w:val="o"/>
      <w:lvlJc w:val="left"/>
      <w:pPr>
        <w:ind w:left="5760" w:hanging="360"/>
      </w:pPr>
      <w:rPr>
        <w:rFonts w:ascii="Courier New" w:hAnsi="Courier New" w:hint="default"/>
      </w:rPr>
    </w:lvl>
    <w:lvl w:ilvl="8" w:tplc="B7467776">
      <w:start w:val="1"/>
      <w:numFmt w:val="bullet"/>
      <w:lvlText w:val=""/>
      <w:lvlJc w:val="left"/>
      <w:pPr>
        <w:ind w:left="6480" w:hanging="360"/>
      </w:pPr>
      <w:rPr>
        <w:rFonts w:ascii="Wingdings" w:hAnsi="Wingdings" w:hint="default"/>
      </w:rPr>
    </w:lvl>
  </w:abstractNum>
  <w:abstractNum w:abstractNumId="62" w15:restartNumberingAfterBreak="0">
    <w:nsid w:val="7E5B66C0"/>
    <w:multiLevelType w:val="hybridMultilevel"/>
    <w:tmpl w:val="0916D0AA"/>
    <w:lvl w:ilvl="0" w:tplc="B9080AC4">
      <w:start w:val="1"/>
      <w:numFmt w:val="bullet"/>
      <w:lvlText w:val="·"/>
      <w:lvlJc w:val="left"/>
      <w:pPr>
        <w:ind w:left="720" w:hanging="360"/>
      </w:pPr>
      <w:rPr>
        <w:rFonts w:ascii="Symbol" w:hAnsi="Symbol" w:hint="default"/>
      </w:rPr>
    </w:lvl>
    <w:lvl w:ilvl="1" w:tplc="82660366">
      <w:start w:val="1"/>
      <w:numFmt w:val="bullet"/>
      <w:lvlText w:val="o"/>
      <w:lvlJc w:val="left"/>
      <w:pPr>
        <w:ind w:left="1440" w:hanging="360"/>
      </w:pPr>
      <w:rPr>
        <w:rFonts w:ascii="Courier New" w:hAnsi="Courier New" w:hint="default"/>
      </w:rPr>
    </w:lvl>
    <w:lvl w:ilvl="2" w:tplc="B6D0D58E">
      <w:start w:val="1"/>
      <w:numFmt w:val="bullet"/>
      <w:lvlText w:val=""/>
      <w:lvlJc w:val="left"/>
      <w:pPr>
        <w:ind w:left="2160" w:hanging="360"/>
      </w:pPr>
      <w:rPr>
        <w:rFonts w:ascii="Wingdings" w:hAnsi="Wingdings" w:hint="default"/>
      </w:rPr>
    </w:lvl>
    <w:lvl w:ilvl="3" w:tplc="53508916">
      <w:start w:val="1"/>
      <w:numFmt w:val="bullet"/>
      <w:lvlText w:val=""/>
      <w:lvlJc w:val="left"/>
      <w:pPr>
        <w:ind w:left="2880" w:hanging="360"/>
      </w:pPr>
      <w:rPr>
        <w:rFonts w:ascii="Symbol" w:hAnsi="Symbol" w:hint="default"/>
      </w:rPr>
    </w:lvl>
    <w:lvl w:ilvl="4" w:tplc="827C4DF2">
      <w:start w:val="1"/>
      <w:numFmt w:val="bullet"/>
      <w:lvlText w:val="o"/>
      <w:lvlJc w:val="left"/>
      <w:pPr>
        <w:ind w:left="3600" w:hanging="360"/>
      </w:pPr>
      <w:rPr>
        <w:rFonts w:ascii="Courier New" w:hAnsi="Courier New" w:hint="default"/>
      </w:rPr>
    </w:lvl>
    <w:lvl w:ilvl="5" w:tplc="9FCC00AA">
      <w:start w:val="1"/>
      <w:numFmt w:val="bullet"/>
      <w:lvlText w:val=""/>
      <w:lvlJc w:val="left"/>
      <w:pPr>
        <w:ind w:left="4320" w:hanging="360"/>
      </w:pPr>
      <w:rPr>
        <w:rFonts w:ascii="Wingdings" w:hAnsi="Wingdings" w:hint="default"/>
      </w:rPr>
    </w:lvl>
    <w:lvl w:ilvl="6" w:tplc="F800DE0A">
      <w:start w:val="1"/>
      <w:numFmt w:val="bullet"/>
      <w:lvlText w:val=""/>
      <w:lvlJc w:val="left"/>
      <w:pPr>
        <w:ind w:left="5040" w:hanging="360"/>
      </w:pPr>
      <w:rPr>
        <w:rFonts w:ascii="Symbol" w:hAnsi="Symbol" w:hint="default"/>
      </w:rPr>
    </w:lvl>
    <w:lvl w:ilvl="7" w:tplc="DB0276FA">
      <w:start w:val="1"/>
      <w:numFmt w:val="bullet"/>
      <w:lvlText w:val="o"/>
      <w:lvlJc w:val="left"/>
      <w:pPr>
        <w:ind w:left="5760" w:hanging="360"/>
      </w:pPr>
      <w:rPr>
        <w:rFonts w:ascii="Courier New" w:hAnsi="Courier New" w:hint="default"/>
      </w:rPr>
    </w:lvl>
    <w:lvl w:ilvl="8" w:tplc="CFD0D606">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60"/>
  </w:num>
  <w:num w:numId="4">
    <w:abstractNumId w:val="7"/>
  </w:num>
  <w:num w:numId="5">
    <w:abstractNumId w:val="6"/>
  </w:num>
  <w:num w:numId="6">
    <w:abstractNumId w:val="5"/>
  </w:num>
  <w:num w:numId="7">
    <w:abstractNumId w:val="4"/>
  </w:num>
  <w:num w:numId="8">
    <w:abstractNumId w:val="1"/>
  </w:num>
  <w:num w:numId="9">
    <w:abstractNumId w:val="0"/>
  </w:num>
  <w:num w:numId="10">
    <w:abstractNumId w:val="48"/>
  </w:num>
  <w:num w:numId="11">
    <w:abstractNumId w:val="30"/>
  </w:num>
  <w:num w:numId="12">
    <w:abstractNumId w:val="11"/>
  </w:num>
  <w:num w:numId="13">
    <w:abstractNumId w:val="29"/>
  </w:num>
  <w:num w:numId="14">
    <w:abstractNumId w:val="2"/>
  </w:num>
  <w:num w:numId="15">
    <w:abstractNumId w:val="54"/>
  </w:num>
  <w:num w:numId="16">
    <w:abstractNumId w:val="58"/>
  </w:num>
  <w:num w:numId="17">
    <w:abstractNumId w:val="56"/>
  </w:num>
  <w:num w:numId="18">
    <w:abstractNumId w:val="39"/>
  </w:num>
  <w:num w:numId="19">
    <w:abstractNumId w:val="26"/>
  </w:num>
  <w:num w:numId="20">
    <w:abstractNumId w:val="32"/>
  </w:num>
  <w:num w:numId="21">
    <w:abstractNumId w:val="55"/>
  </w:num>
  <w:num w:numId="22">
    <w:abstractNumId w:val="43"/>
  </w:num>
  <w:num w:numId="23">
    <w:abstractNumId w:val="8"/>
  </w:num>
  <w:num w:numId="24">
    <w:abstractNumId w:val="3"/>
  </w:num>
  <w:num w:numId="25">
    <w:abstractNumId w:val="35"/>
  </w:num>
  <w:num w:numId="26">
    <w:abstractNumId w:val="15"/>
  </w:num>
  <w:num w:numId="27">
    <w:abstractNumId w:val="47"/>
  </w:num>
  <w:num w:numId="28">
    <w:abstractNumId w:val="19"/>
  </w:num>
  <w:num w:numId="29">
    <w:abstractNumId w:val="14"/>
  </w:num>
  <w:num w:numId="30">
    <w:abstractNumId w:val="36"/>
  </w:num>
  <w:num w:numId="31">
    <w:abstractNumId w:val="24"/>
    <w:lvlOverride w:ilvl="0">
      <w:startOverride w:val="1"/>
    </w:lvlOverride>
    <w:lvlOverride w:ilvl="1">
      <w:startOverride w:val="2"/>
    </w:lvlOverride>
  </w:num>
  <w:num w:numId="32">
    <w:abstractNumId w:val="41"/>
  </w:num>
  <w:num w:numId="33">
    <w:abstractNumId w:val="34"/>
  </w:num>
  <w:num w:numId="34">
    <w:abstractNumId w:val="28"/>
  </w:num>
  <w:num w:numId="35">
    <w:abstractNumId w:val="13"/>
  </w:num>
  <w:num w:numId="36">
    <w:abstractNumId w:val="62"/>
  </w:num>
  <w:num w:numId="37">
    <w:abstractNumId w:val="46"/>
  </w:num>
  <w:num w:numId="38">
    <w:abstractNumId w:val="21"/>
  </w:num>
  <w:num w:numId="39">
    <w:abstractNumId w:val="40"/>
  </w:num>
  <w:num w:numId="40">
    <w:abstractNumId w:val="33"/>
  </w:num>
  <w:num w:numId="41">
    <w:abstractNumId w:val="27"/>
  </w:num>
  <w:num w:numId="42">
    <w:abstractNumId w:val="44"/>
  </w:num>
  <w:num w:numId="43">
    <w:abstractNumId w:val="52"/>
  </w:num>
  <w:num w:numId="44">
    <w:abstractNumId w:val="10"/>
  </w:num>
  <w:num w:numId="45">
    <w:abstractNumId w:val="51"/>
  </w:num>
  <w:num w:numId="46">
    <w:abstractNumId w:val="17"/>
  </w:num>
  <w:num w:numId="47">
    <w:abstractNumId w:val="59"/>
  </w:num>
  <w:num w:numId="48">
    <w:abstractNumId w:val="23"/>
  </w:num>
  <w:num w:numId="49">
    <w:abstractNumId w:val="9"/>
  </w:num>
  <w:num w:numId="50">
    <w:abstractNumId w:val="25"/>
  </w:num>
  <w:num w:numId="51">
    <w:abstractNumId w:val="22"/>
  </w:num>
  <w:num w:numId="52">
    <w:abstractNumId w:val="37"/>
  </w:num>
  <w:num w:numId="53">
    <w:abstractNumId w:val="61"/>
  </w:num>
  <w:num w:numId="54">
    <w:abstractNumId w:val="53"/>
  </w:num>
  <w:num w:numId="55">
    <w:abstractNumId w:val="57"/>
  </w:num>
  <w:num w:numId="56">
    <w:abstractNumId w:val="31"/>
  </w:num>
  <w:num w:numId="57">
    <w:abstractNumId w:val="45"/>
  </w:num>
  <w:num w:numId="58">
    <w:abstractNumId w:val="38"/>
  </w:num>
  <w:num w:numId="59">
    <w:abstractNumId w:val="49"/>
  </w:num>
  <w:num w:numId="60">
    <w:abstractNumId w:val="20"/>
  </w:num>
  <w:num w:numId="61">
    <w:abstractNumId w:val="16"/>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11"/>
  </w:num>
  <w:num w:numId="66">
    <w:abstractNumId w:val="42"/>
  </w:num>
  <w:num w:numId="67">
    <w:abstractNumId w:val="50"/>
  </w:num>
  <w:num w:numId="68">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 w:name="dgnword-docGUID" w:val="{27FAC51A-65A3-4D30-92DB-97C13378BD05}"/>
    <w:docVar w:name="dgnword-eventsink" w:val="1532933906240"/>
    <w:docVar w:name="dgnword-lastRevisionsView" w:val="0"/>
  </w:docVars>
  <w:rsids>
    <w:rsidRoot w:val="00B9704F"/>
    <w:rsid w:val="0000003C"/>
    <w:rsid w:val="000001F3"/>
    <w:rsid w:val="000004CB"/>
    <w:rsid w:val="00000511"/>
    <w:rsid w:val="0000057C"/>
    <w:rsid w:val="000012C8"/>
    <w:rsid w:val="00001CA1"/>
    <w:rsid w:val="000024FD"/>
    <w:rsid w:val="000028D8"/>
    <w:rsid w:val="000029DB"/>
    <w:rsid w:val="00002AB0"/>
    <w:rsid w:val="00002BE4"/>
    <w:rsid w:val="00002C7F"/>
    <w:rsid w:val="00002E2A"/>
    <w:rsid w:val="000031EF"/>
    <w:rsid w:val="00003385"/>
    <w:rsid w:val="00003B98"/>
    <w:rsid w:val="00004053"/>
    <w:rsid w:val="0000499B"/>
    <w:rsid w:val="00004A28"/>
    <w:rsid w:val="00004B87"/>
    <w:rsid w:val="00004BBB"/>
    <w:rsid w:val="00004C93"/>
    <w:rsid w:val="00004CA7"/>
    <w:rsid w:val="00004D94"/>
    <w:rsid w:val="00004EA7"/>
    <w:rsid w:val="00004EEC"/>
    <w:rsid w:val="0000514D"/>
    <w:rsid w:val="0000522D"/>
    <w:rsid w:val="0000542C"/>
    <w:rsid w:val="00005452"/>
    <w:rsid w:val="00005769"/>
    <w:rsid w:val="00005911"/>
    <w:rsid w:val="00005CFB"/>
    <w:rsid w:val="000062EB"/>
    <w:rsid w:val="0000657E"/>
    <w:rsid w:val="000066E8"/>
    <w:rsid w:val="00006A25"/>
    <w:rsid w:val="00006D8D"/>
    <w:rsid w:val="00006DC4"/>
    <w:rsid w:val="00006E0B"/>
    <w:rsid w:val="00007249"/>
    <w:rsid w:val="00007711"/>
    <w:rsid w:val="0000793A"/>
    <w:rsid w:val="00007AA0"/>
    <w:rsid w:val="00007BDB"/>
    <w:rsid w:val="00007BF7"/>
    <w:rsid w:val="00007EDF"/>
    <w:rsid w:val="00007FD8"/>
    <w:rsid w:val="00010135"/>
    <w:rsid w:val="000103BF"/>
    <w:rsid w:val="0001052F"/>
    <w:rsid w:val="0001069F"/>
    <w:rsid w:val="00010708"/>
    <w:rsid w:val="000109BD"/>
    <w:rsid w:val="00011011"/>
    <w:rsid w:val="000110BD"/>
    <w:rsid w:val="00011195"/>
    <w:rsid w:val="0001127F"/>
    <w:rsid w:val="00011493"/>
    <w:rsid w:val="00011839"/>
    <w:rsid w:val="00011FD6"/>
    <w:rsid w:val="000121E9"/>
    <w:rsid w:val="000124F7"/>
    <w:rsid w:val="00012786"/>
    <w:rsid w:val="00012856"/>
    <w:rsid w:val="00012B5B"/>
    <w:rsid w:val="00012D90"/>
    <w:rsid w:val="00012F9D"/>
    <w:rsid w:val="0001320D"/>
    <w:rsid w:val="0001341B"/>
    <w:rsid w:val="00013610"/>
    <w:rsid w:val="00013761"/>
    <w:rsid w:val="0001390D"/>
    <w:rsid w:val="00013EAC"/>
    <w:rsid w:val="00013FA1"/>
    <w:rsid w:val="00014319"/>
    <w:rsid w:val="00014356"/>
    <w:rsid w:val="0001465F"/>
    <w:rsid w:val="0001487A"/>
    <w:rsid w:val="000149FC"/>
    <w:rsid w:val="00014AC6"/>
    <w:rsid w:val="00014B7A"/>
    <w:rsid w:val="00014CB2"/>
    <w:rsid w:val="000150AC"/>
    <w:rsid w:val="000156DE"/>
    <w:rsid w:val="000157F8"/>
    <w:rsid w:val="000158C1"/>
    <w:rsid w:val="00015BBA"/>
    <w:rsid w:val="00015DFE"/>
    <w:rsid w:val="000160E8"/>
    <w:rsid w:val="00016346"/>
    <w:rsid w:val="00016481"/>
    <w:rsid w:val="00016A40"/>
    <w:rsid w:val="00016C02"/>
    <w:rsid w:val="00016DB5"/>
    <w:rsid w:val="00016F72"/>
    <w:rsid w:val="0001708A"/>
    <w:rsid w:val="00017275"/>
    <w:rsid w:val="000172F7"/>
    <w:rsid w:val="000175A5"/>
    <w:rsid w:val="00017B6C"/>
    <w:rsid w:val="00017F2B"/>
    <w:rsid w:val="000205EB"/>
    <w:rsid w:val="00020DB6"/>
    <w:rsid w:val="00020EB5"/>
    <w:rsid w:val="0002107E"/>
    <w:rsid w:val="0002115F"/>
    <w:rsid w:val="00021202"/>
    <w:rsid w:val="00021295"/>
    <w:rsid w:val="00021306"/>
    <w:rsid w:val="000215F0"/>
    <w:rsid w:val="00021874"/>
    <w:rsid w:val="00021F3A"/>
    <w:rsid w:val="00021FB4"/>
    <w:rsid w:val="00021FBC"/>
    <w:rsid w:val="000223C0"/>
    <w:rsid w:val="0002240B"/>
    <w:rsid w:val="000225C4"/>
    <w:rsid w:val="000225DF"/>
    <w:rsid w:val="00022732"/>
    <w:rsid w:val="00022939"/>
    <w:rsid w:val="00022981"/>
    <w:rsid w:val="00022F05"/>
    <w:rsid w:val="00022F1B"/>
    <w:rsid w:val="00023289"/>
    <w:rsid w:val="00023494"/>
    <w:rsid w:val="000235E9"/>
    <w:rsid w:val="00023755"/>
    <w:rsid w:val="00023A98"/>
    <w:rsid w:val="00023C23"/>
    <w:rsid w:val="00024394"/>
    <w:rsid w:val="00024471"/>
    <w:rsid w:val="000246FA"/>
    <w:rsid w:val="00024A59"/>
    <w:rsid w:val="00024E04"/>
    <w:rsid w:val="000254FD"/>
    <w:rsid w:val="00025ABE"/>
    <w:rsid w:val="00025B0B"/>
    <w:rsid w:val="00025C66"/>
    <w:rsid w:val="00025DC9"/>
    <w:rsid w:val="0002617B"/>
    <w:rsid w:val="000261C8"/>
    <w:rsid w:val="00026319"/>
    <w:rsid w:val="00026680"/>
    <w:rsid w:val="000269D6"/>
    <w:rsid w:val="0002716B"/>
    <w:rsid w:val="000274CC"/>
    <w:rsid w:val="00027AA8"/>
    <w:rsid w:val="00027C35"/>
    <w:rsid w:val="0003006B"/>
    <w:rsid w:val="000303A9"/>
    <w:rsid w:val="000305D5"/>
    <w:rsid w:val="000306D6"/>
    <w:rsid w:val="000306EA"/>
    <w:rsid w:val="00030A86"/>
    <w:rsid w:val="00030C2C"/>
    <w:rsid w:val="00031695"/>
    <w:rsid w:val="000316F3"/>
    <w:rsid w:val="00031B5E"/>
    <w:rsid w:val="0003212E"/>
    <w:rsid w:val="000323B5"/>
    <w:rsid w:val="0003276E"/>
    <w:rsid w:val="00032D54"/>
    <w:rsid w:val="00033196"/>
    <w:rsid w:val="000331B0"/>
    <w:rsid w:val="000331FF"/>
    <w:rsid w:val="00033420"/>
    <w:rsid w:val="00033B1F"/>
    <w:rsid w:val="00033D76"/>
    <w:rsid w:val="00033DE6"/>
    <w:rsid w:val="00033E1D"/>
    <w:rsid w:val="00033E1E"/>
    <w:rsid w:val="00033EC2"/>
    <w:rsid w:val="000341A9"/>
    <w:rsid w:val="00034225"/>
    <w:rsid w:val="0003425F"/>
    <w:rsid w:val="000342EB"/>
    <w:rsid w:val="00034303"/>
    <w:rsid w:val="00034584"/>
    <w:rsid w:val="0003460D"/>
    <w:rsid w:val="00034640"/>
    <w:rsid w:val="00034A61"/>
    <w:rsid w:val="00034BDE"/>
    <w:rsid w:val="0003529F"/>
    <w:rsid w:val="000355AB"/>
    <w:rsid w:val="0003578C"/>
    <w:rsid w:val="00035A39"/>
    <w:rsid w:val="00035A48"/>
    <w:rsid w:val="00035E25"/>
    <w:rsid w:val="00036298"/>
    <w:rsid w:val="00036434"/>
    <w:rsid w:val="000364A2"/>
    <w:rsid w:val="00036647"/>
    <w:rsid w:val="00036B3E"/>
    <w:rsid w:val="00036C03"/>
    <w:rsid w:val="00036D61"/>
    <w:rsid w:val="00036D6D"/>
    <w:rsid w:val="00037165"/>
    <w:rsid w:val="000372B3"/>
    <w:rsid w:val="0003773E"/>
    <w:rsid w:val="0003797A"/>
    <w:rsid w:val="000379F3"/>
    <w:rsid w:val="00037C2A"/>
    <w:rsid w:val="000407B2"/>
    <w:rsid w:val="000407E2"/>
    <w:rsid w:val="000414CE"/>
    <w:rsid w:val="0004177F"/>
    <w:rsid w:val="000417E7"/>
    <w:rsid w:val="000418B6"/>
    <w:rsid w:val="000419DE"/>
    <w:rsid w:val="00041B1E"/>
    <w:rsid w:val="00041B48"/>
    <w:rsid w:val="00041D8C"/>
    <w:rsid w:val="000425FB"/>
    <w:rsid w:val="000428CB"/>
    <w:rsid w:val="00042D42"/>
    <w:rsid w:val="00042DA9"/>
    <w:rsid w:val="0004331C"/>
    <w:rsid w:val="000434D3"/>
    <w:rsid w:val="00043A2B"/>
    <w:rsid w:val="00043AA8"/>
    <w:rsid w:val="00043F1F"/>
    <w:rsid w:val="00044F4B"/>
    <w:rsid w:val="00044FF8"/>
    <w:rsid w:val="000450A4"/>
    <w:rsid w:val="000450AF"/>
    <w:rsid w:val="00045219"/>
    <w:rsid w:val="000452AD"/>
    <w:rsid w:val="000452B5"/>
    <w:rsid w:val="00045990"/>
    <w:rsid w:val="00045AFA"/>
    <w:rsid w:val="00046290"/>
    <w:rsid w:val="0004642C"/>
    <w:rsid w:val="000464B8"/>
    <w:rsid w:val="0004678B"/>
    <w:rsid w:val="000467AD"/>
    <w:rsid w:val="00046E48"/>
    <w:rsid w:val="00046F85"/>
    <w:rsid w:val="00047381"/>
    <w:rsid w:val="00047618"/>
    <w:rsid w:val="00047C59"/>
    <w:rsid w:val="00047DE5"/>
    <w:rsid w:val="00047E4C"/>
    <w:rsid w:val="00047FD6"/>
    <w:rsid w:val="0005000F"/>
    <w:rsid w:val="0005009E"/>
    <w:rsid w:val="00050867"/>
    <w:rsid w:val="00050AF8"/>
    <w:rsid w:val="00050F03"/>
    <w:rsid w:val="000511D1"/>
    <w:rsid w:val="00051252"/>
    <w:rsid w:val="0005183B"/>
    <w:rsid w:val="00051998"/>
    <w:rsid w:val="00051F90"/>
    <w:rsid w:val="0005287E"/>
    <w:rsid w:val="0005292C"/>
    <w:rsid w:val="000529BE"/>
    <w:rsid w:val="00052A7B"/>
    <w:rsid w:val="00052B25"/>
    <w:rsid w:val="00052B61"/>
    <w:rsid w:val="00052C90"/>
    <w:rsid w:val="00052FCF"/>
    <w:rsid w:val="000531BC"/>
    <w:rsid w:val="00053569"/>
    <w:rsid w:val="000538AF"/>
    <w:rsid w:val="00053B38"/>
    <w:rsid w:val="00053C76"/>
    <w:rsid w:val="00053D0E"/>
    <w:rsid w:val="00053D95"/>
    <w:rsid w:val="00053F0B"/>
    <w:rsid w:val="00053F3D"/>
    <w:rsid w:val="00054222"/>
    <w:rsid w:val="000548E2"/>
    <w:rsid w:val="00054B0D"/>
    <w:rsid w:val="00054E02"/>
    <w:rsid w:val="000555B8"/>
    <w:rsid w:val="00055B7F"/>
    <w:rsid w:val="00055D3C"/>
    <w:rsid w:val="00056608"/>
    <w:rsid w:val="000566A1"/>
    <w:rsid w:val="00056AE5"/>
    <w:rsid w:val="00056C09"/>
    <w:rsid w:val="00056D1C"/>
    <w:rsid w:val="00056DF1"/>
    <w:rsid w:val="000572E5"/>
    <w:rsid w:val="00057318"/>
    <w:rsid w:val="000573FC"/>
    <w:rsid w:val="00057475"/>
    <w:rsid w:val="000575AE"/>
    <w:rsid w:val="000577BA"/>
    <w:rsid w:val="0006022C"/>
    <w:rsid w:val="0006027E"/>
    <w:rsid w:val="00060493"/>
    <w:rsid w:val="00060667"/>
    <w:rsid w:val="0006071B"/>
    <w:rsid w:val="0006115C"/>
    <w:rsid w:val="00061EE7"/>
    <w:rsid w:val="0006214C"/>
    <w:rsid w:val="0006236D"/>
    <w:rsid w:val="000625D6"/>
    <w:rsid w:val="00062CBA"/>
    <w:rsid w:val="00062CEF"/>
    <w:rsid w:val="00063247"/>
    <w:rsid w:val="0006342A"/>
    <w:rsid w:val="00063515"/>
    <w:rsid w:val="00063587"/>
    <w:rsid w:val="00063597"/>
    <w:rsid w:val="00063835"/>
    <w:rsid w:val="0006389B"/>
    <w:rsid w:val="00063C92"/>
    <w:rsid w:val="00063DA0"/>
    <w:rsid w:val="00064121"/>
    <w:rsid w:val="00064201"/>
    <w:rsid w:val="00064294"/>
    <w:rsid w:val="0006430A"/>
    <w:rsid w:val="000646EE"/>
    <w:rsid w:val="00064AF3"/>
    <w:rsid w:val="00064C0F"/>
    <w:rsid w:val="00064EA1"/>
    <w:rsid w:val="00064F45"/>
    <w:rsid w:val="00064FB6"/>
    <w:rsid w:val="00065285"/>
    <w:rsid w:val="000652DC"/>
    <w:rsid w:val="00065447"/>
    <w:rsid w:val="00065A76"/>
    <w:rsid w:val="00065AB3"/>
    <w:rsid w:val="00065B52"/>
    <w:rsid w:val="00065FF1"/>
    <w:rsid w:val="000661DF"/>
    <w:rsid w:val="00066471"/>
    <w:rsid w:val="00066689"/>
    <w:rsid w:val="00066897"/>
    <w:rsid w:val="000668AB"/>
    <w:rsid w:val="0006690A"/>
    <w:rsid w:val="000676DC"/>
    <w:rsid w:val="00067805"/>
    <w:rsid w:val="00067B41"/>
    <w:rsid w:val="00067D7E"/>
    <w:rsid w:val="00067D8E"/>
    <w:rsid w:val="0007006D"/>
    <w:rsid w:val="000703B2"/>
    <w:rsid w:val="0007047C"/>
    <w:rsid w:val="000706F4"/>
    <w:rsid w:val="000707D8"/>
    <w:rsid w:val="00070C75"/>
    <w:rsid w:val="00070E22"/>
    <w:rsid w:val="00070F9F"/>
    <w:rsid w:val="00071204"/>
    <w:rsid w:val="0007137B"/>
    <w:rsid w:val="000714DC"/>
    <w:rsid w:val="00071649"/>
    <w:rsid w:val="00071BE4"/>
    <w:rsid w:val="00071FC4"/>
    <w:rsid w:val="000722FE"/>
    <w:rsid w:val="0007258E"/>
    <w:rsid w:val="00072699"/>
    <w:rsid w:val="0007270A"/>
    <w:rsid w:val="00072A39"/>
    <w:rsid w:val="00072AFB"/>
    <w:rsid w:val="00072B06"/>
    <w:rsid w:val="00072E39"/>
    <w:rsid w:val="00072F23"/>
    <w:rsid w:val="00073068"/>
    <w:rsid w:val="000730F5"/>
    <w:rsid w:val="000731B4"/>
    <w:rsid w:val="000732E8"/>
    <w:rsid w:val="00073494"/>
    <w:rsid w:val="00073556"/>
    <w:rsid w:val="000735BE"/>
    <w:rsid w:val="0007390A"/>
    <w:rsid w:val="0007396E"/>
    <w:rsid w:val="00073AE2"/>
    <w:rsid w:val="00073CD7"/>
    <w:rsid w:val="000740D2"/>
    <w:rsid w:val="000740FE"/>
    <w:rsid w:val="0007412F"/>
    <w:rsid w:val="0007415D"/>
    <w:rsid w:val="000741CD"/>
    <w:rsid w:val="000742B6"/>
    <w:rsid w:val="00074393"/>
    <w:rsid w:val="000744A4"/>
    <w:rsid w:val="00074579"/>
    <w:rsid w:val="00074636"/>
    <w:rsid w:val="0007491C"/>
    <w:rsid w:val="0007493F"/>
    <w:rsid w:val="000749B0"/>
    <w:rsid w:val="000749C7"/>
    <w:rsid w:val="00074BEC"/>
    <w:rsid w:val="00074BF4"/>
    <w:rsid w:val="00074E0B"/>
    <w:rsid w:val="00074EEB"/>
    <w:rsid w:val="0007514E"/>
    <w:rsid w:val="0007524B"/>
    <w:rsid w:val="000755D4"/>
    <w:rsid w:val="0007563A"/>
    <w:rsid w:val="000758C6"/>
    <w:rsid w:val="000758E1"/>
    <w:rsid w:val="00075F01"/>
    <w:rsid w:val="00075FB3"/>
    <w:rsid w:val="00076C19"/>
    <w:rsid w:val="00076C3C"/>
    <w:rsid w:val="00076D18"/>
    <w:rsid w:val="00076FF5"/>
    <w:rsid w:val="0007741A"/>
    <w:rsid w:val="000777C1"/>
    <w:rsid w:val="00077974"/>
    <w:rsid w:val="00077EBF"/>
    <w:rsid w:val="00077F3C"/>
    <w:rsid w:val="00077F40"/>
    <w:rsid w:val="000802B1"/>
    <w:rsid w:val="00080647"/>
    <w:rsid w:val="00080765"/>
    <w:rsid w:val="00080A69"/>
    <w:rsid w:val="000815A9"/>
    <w:rsid w:val="00081AD1"/>
    <w:rsid w:val="00081D83"/>
    <w:rsid w:val="00081DC5"/>
    <w:rsid w:val="00081E52"/>
    <w:rsid w:val="00081EF4"/>
    <w:rsid w:val="00082393"/>
    <w:rsid w:val="000823E3"/>
    <w:rsid w:val="000824E5"/>
    <w:rsid w:val="00082A5B"/>
    <w:rsid w:val="00082C2D"/>
    <w:rsid w:val="00082C6D"/>
    <w:rsid w:val="000830F3"/>
    <w:rsid w:val="00083380"/>
    <w:rsid w:val="0008338E"/>
    <w:rsid w:val="00083538"/>
    <w:rsid w:val="000837B0"/>
    <w:rsid w:val="00083CEC"/>
    <w:rsid w:val="00084157"/>
    <w:rsid w:val="0008421D"/>
    <w:rsid w:val="000844B8"/>
    <w:rsid w:val="00084778"/>
    <w:rsid w:val="00084786"/>
    <w:rsid w:val="00084B79"/>
    <w:rsid w:val="00084E7B"/>
    <w:rsid w:val="00085378"/>
    <w:rsid w:val="0008551E"/>
    <w:rsid w:val="00085663"/>
    <w:rsid w:val="000857E5"/>
    <w:rsid w:val="00085A63"/>
    <w:rsid w:val="00085A84"/>
    <w:rsid w:val="00085DD8"/>
    <w:rsid w:val="00085EBF"/>
    <w:rsid w:val="00085F15"/>
    <w:rsid w:val="000860C0"/>
    <w:rsid w:val="00086151"/>
    <w:rsid w:val="000861A3"/>
    <w:rsid w:val="00086648"/>
    <w:rsid w:val="00086898"/>
    <w:rsid w:val="000869B1"/>
    <w:rsid w:val="000869EC"/>
    <w:rsid w:val="00086EDB"/>
    <w:rsid w:val="00086EEF"/>
    <w:rsid w:val="00086FEE"/>
    <w:rsid w:val="00087A58"/>
    <w:rsid w:val="00087A8B"/>
    <w:rsid w:val="00087C66"/>
    <w:rsid w:val="00087CA9"/>
    <w:rsid w:val="000902D0"/>
    <w:rsid w:val="00090738"/>
    <w:rsid w:val="0009081D"/>
    <w:rsid w:val="000908C6"/>
    <w:rsid w:val="000909C2"/>
    <w:rsid w:val="00090AB2"/>
    <w:rsid w:val="00090AE1"/>
    <w:rsid w:val="00090EC3"/>
    <w:rsid w:val="0009106E"/>
    <w:rsid w:val="00091076"/>
    <w:rsid w:val="00091114"/>
    <w:rsid w:val="000912B5"/>
    <w:rsid w:val="00091352"/>
    <w:rsid w:val="000917ED"/>
    <w:rsid w:val="00091C34"/>
    <w:rsid w:val="00091E97"/>
    <w:rsid w:val="00092043"/>
    <w:rsid w:val="000923DE"/>
    <w:rsid w:val="0009243E"/>
    <w:rsid w:val="00092519"/>
    <w:rsid w:val="00092721"/>
    <w:rsid w:val="00092A7E"/>
    <w:rsid w:val="0009356B"/>
    <w:rsid w:val="0009372A"/>
    <w:rsid w:val="000937E0"/>
    <w:rsid w:val="00093C4E"/>
    <w:rsid w:val="000940E8"/>
    <w:rsid w:val="0009428A"/>
    <w:rsid w:val="00094626"/>
    <w:rsid w:val="00094902"/>
    <w:rsid w:val="00094945"/>
    <w:rsid w:val="00094DA9"/>
    <w:rsid w:val="00094E2B"/>
    <w:rsid w:val="000953FD"/>
    <w:rsid w:val="00095435"/>
    <w:rsid w:val="0009563E"/>
    <w:rsid w:val="0009597F"/>
    <w:rsid w:val="00095C12"/>
    <w:rsid w:val="00095D27"/>
    <w:rsid w:val="000960FE"/>
    <w:rsid w:val="000964CE"/>
    <w:rsid w:val="00096624"/>
    <w:rsid w:val="000966F4"/>
    <w:rsid w:val="00096744"/>
    <w:rsid w:val="00096867"/>
    <w:rsid w:val="00096E34"/>
    <w:rsid w:val="0009704F"/>
    <w:rsid w:val="000972CD"/>
    <w:rsid w:val="00097950"/>
    <w:rsid w:val="0009795F"/>
    <w:rsid w:val="000979EC"/>
    <w:rsid w:val="00097C6B"/>
    <w:rsid w:val="00097D04"/>
    <w:rsid w:val="000A01E3"/>
    <w:rsid w:val="000A02B0"/>
    <w:rsid w:val="000A03F3"/>
    <w:rsid w:val="000A043B"/>
    <w:rsid w:val="000A05D7"/>
    <w:rsid w:val="000A0846"/>
    <w:rsid w:val="000A08A8"/>
    <w:rsid w:val="000A101F"/>
    <w:rsid w:val="000A1929"/>
    <w:rsid w:val="000A1B7A"/>
    <w:rsid w:val="000A20FB"/>
    <w:rsid w:val="000A2862"/>
    <w:rsid w:val="000A2960"/>
    <w:rsid w:val="000A2CB6"/>
    <w:rsid w:val="000A2E18"/>
    <w:rsid w:val="000A3548"/>
    <w:rsid w:val="000A3641"/>
    <w:rsid w:val="000A3ACF"/>
    <w:rsid w:val="000A3B0C"/>
    <w:rsid w:val="000A3C02"/>
    <w:rsid w:val="000A3F53"/>
    <w:rsid w:val="000A415D"/>
    <w:rsid w:val="000A421A"/>
    <w:rsid w:val="000A42F7"/>
    <w:rsid w:val="000A4709"/>
    <w:rsid w:val="000A4796"/>
    <w:rsid w:val="000A4EBC"/>
    <w:rsid w:val="000A5B98"/>
    <w:rsid w:val="000A5BB6"/>
    <w:rsid w:val="000A62DC"/>
    <w:rsid w:val="000A6458"/>
    <w:rsid w:val="000A6593"/>
    <w:rsid w:val="000A67A8"/>
    <w:rsid w:val="000A6B18"/>
    <w:rsid w:val="000A6E02"/>
    <w:rsid w:val="000A7127"/>
    <w:rsid w:val="000A7248"/>
    <w:rsid w:val="000A752E"/>
    <w:rsid w:val="000A77BB"/>
    <w:rsid w:val="000A7C17"/>
    <w:rsid w:val="000B02DA"/>
    <w:rsid w:val="000B06AB"/>
    <w:rsid w:val="000B07C5"/>
    <w:rsid w:val="000B09BB"/>
    <w:rsid w:val="000B0F6C"/>
    <w:rsid w:val="000B1018"/>
    <w:rsid w:val="000B15EF"/>
    <w:rsid w:val="000B1C8F"/>
    <w:rsid w:val="000B2177"/>
    <w:rsid w:val="000B24F4"/>
    <w:rsid w:val="000B2865"/>
    <w:rsid w:val="000B2FD7"/>
    <w:rsid w:val="000B3523"/>
    <w:rsid w:val="000B3B62"/>
    <w:rsid w:val="000B3F15"/>
    <w:rsid w:val="000B3FA9"/>
    <w:rsid w:val="000B4590"/>
    <w:rsid w:val="000B4BFB"/>
    <w:rsid w:val="000B4FD2"/>
    <w:rsid w:val="000B5123"/>
    <w:rsid w:val="000B528B"/>
    <w:rsid w:val="000B54C2"/>
    <w:rsid w:val="000B5992"/>
    <w:rsid w:val="000B5F62"/>
    <w:rsid w:val="000B63B7"/>
    <w:rsid w:val="000B647A"/>
    <w:rsid w:val="000B658F"/>
    <w:rsid w:val="000B709D"/>
    <w:rsid w:val="000B73C1"/>
    <w:rsid w:val="000B7475"/>
    <w:rsid w:val="000B77FB"/>
    <w:rsid w:val="000C039B"/>
    <w:rsid w:val="000C0455"/>
    <w:rsid w:val="000C06E3"/>
    <w:rsid w:val="000C0832"/>
    <w:rsid w:val="000C090B"/>
    <w:rsid w:val="000C0CA7"/>
    <w:rsid w:val="000C0E74"/>
    <w:rsid w:val="000C13BE"/>
    <w:rsid w:val="000C2083"/>
    <w:rsid w:val="000C2200"/>
    <w:rsid w:val="000C235E"/>
    <w:rsid w:val="000C297A"/>
    <w:rsid w:val="000C29B3"/>
    <w:rsid w:val="000C2D02"/>
    <w:rsid w:val="000C2D64"/>
    <w:rsid w:val="000C3418"/>
    <w:rsid w:val="000C380D"/>
    <w:rsid w:val="000C3A66"/>
    <w:rsid w:val="000C3A71"/>
    <w:rsid w:val="000C3A77"/>
    <w:rsid w:val="000C3F6D"/>
    <w:rsid w:val="000C4547"/>
    <w:rsid w:val="000C4722"/>
    <w:rsid w:val="000C4A86"/>
    <w:rsid w:val="000C4E15"/>
    <w:rsid w:val="000C5112"/>
    <w:rsid w:val="000C513A"/>
    <w:rsid w:val="000C5BA2"/>
    <w:rsid w:val="000C5E26"/>
    <w:rsid w:val="000C5F52"/>
    <w:rsid w:val="000C613B"/>
    <w:rsid w:val="000C6220"/>
    <w:rsid w:val="000C624F"/>
    <w:rsid w:val="000C63C1"/>
    <w:rsid w:val="000C643E"/>
    <w:rsid w:val="000C6483"/>
    <w:rsid w:val="000C67D9"/>
    <w:rsid w:val="000C680E"/>
    <w:rsid w:val="000C6986"/>
    <w:rsid w:val="000C6F6F"/>
    <w:rsid w:val="000C7085"/>
    <w:rsid w:val="000C73CE"/>
    <w:rsid w:val="000C760A"/>
    <w:rsid w:val="000C76F8"/>
    <w:rsid w:val="000C7D96"/>
    <w:rsid w:val="000C7DE1"/>
    <w:rsid w:val="000CEA2B"/>
    <w:rsid w:val="000D0086"/>
    <w:rsid w:val="000D0116"/>
    <w:rsid w:val="000D0568"/>
    <w:rsid w:val="000D0C78"/>
    <w:rsid w:val="000D105A"/>
    <w:rsid w:val="000D112A"/>
    <w:rsid w:val="000D11AE"/>
    <w:rsid w:val="000D122C"/>
    <w:rsid w:val="000D1695"/>
    <w:rsid w:val="000D18CA"/>
    <w:rsid w:val="000D1AB5"/>
    <w:rsid w:val="000D1AE6"/>
    <w:rsid w:val="000D1B7A"/>
    <w:rsid w:val="000D1BA3"/>
    <w:rsid w:val="000D1C98"/>
    <w:rsid w:val="000D1E31"/>
    <w:rsid w:val="000D20D1"/>
    <w:rsid w:val="000D2107"/>
    <w:rsid w:val="000D2359"/>
    <w:rsid w:val="000D25F8"/>
    <w:rsid w:val="000D2641"/>
    <w:rsid w:val="000D26EF"/>
    <w:rsid w:val="000D3268"/>
    <w:rsid w:val="000D3561"/>
    <w:rsid w:val="000D399B"/>
    <w:rsid w:val="000D3AD8"/>
    <w:rsid w:val="000D3FD0"/>
    <w:rsid w:val="000D41C1"/>
    <w:rsid w:val="000D44D1"/>
    <w:rsid w:val="000D4B47"/>
    <w:rsid w:val="000D4D30"/>
    <w:rsid w:val="000D4F99"/>
    <w:rsid w:val="000D5400"/>
    <w:rsid w:val="000D567A"/>
    <w:rsid w:val="000D57E9"/>
    <w:rsid w:val="000D57F4"/>
    <w:rsid w:val="000D5DBB"/>
    <w:rsid w:val="000D5E31"/>
    <w:rsid w:val="000D5EE0"/>
    <w:rsid w:val="000D6E03"/>
    <w:rsid w:val="000D6E6F"/>
    <w:rsid w:val="000D737B"/>
    <w:rsid w:val="000D76B7"/>
    <w:rsid w:val="000D790E"/>
    <w:rsid w:val="000D7C67"/>
    <w:rsid w:val="000D7C89"/>
    <w:rsid w:val="000E02F8"/>
    <w:rsid w:val="000E0635"/>
    <w:rsid w:val="000E0F4C"/>
    <w:rsid w:val="000E104E"/>
    <w:rsid w:val="000E117A"/>
    <w:rsid w:val="000E13DE"/>
    <w:rsid w:val="000E142C"/>
    <w:rsid w:val="000E149C"/>
    <w:rsid w:val="000E15B0"/>
    <w:rsid w:val="000E1819"/>
    <w:rsid w:val="000E227B"/>
    <w:rsid w:val="000E22A6"/>
    <w:rsid w:val="000E23BE"/>
    <w:rsid w:val="000E2582"/>
    <w:rsid w:val="000E3555"/>
    <w:rsid w:val="000E3A2E"/>
    <w:rsid w:val="000E4217"/>
    <w:rsid w:val="000E4358"/>
    <w:rsid w:val="000E45DC"/>
    <w:rsid w:val="000E480D"/>
    <w:rsid w:val="000E4ED8"/>
    <w:rsid w:val="000E5585"/>
    <w:rsid w:val="000E575B"/>
    <w:rsid w:val="000E57B9"/>
    <w:rsid w:val="000E58CD"/>
    <w:rsid w:val="000E58CE"/>
    <w:rsid w:val="000E5CDD"/>
    <w:rsid w:val="000E5ECD"/>
    <w:rsid w:val="000E608B"/>
    <w:rsid w:val="000E61E0"/>
    <w:rsid w:val="000E645A"/>
    <w:rsid w:val="000E65FD"/>
    <w:rsid w:val="000E661A"/>
    <w:rsid w:val="000E6684"/>
    <w:rsid w:val="000E69EE"/>
    <w:rsid w:val="000E6A48"/>
    <w:rsid w:val="000E6C72"/>
    <w:rsid w:val="000E6D70"/>
    <w:rsid w:val="000E73AE"/>
    <w:rsid w:val="000E73E7"/>
    <w:rsid w:val="000E74D5"/>
    <w:rsid w:val="000E771D"/>
    <w:rsid w:val="000E7ABE"/>
    <w:rsid w:val="000E7DF6"/>
    <w:rsid w:val="000F0820"/>
    <w:rsid w:val="000F0880"/>
    <w:rsid w:val="000F0A5A"/>
    <w:rsid w:val="000F0F68"/>
    <w:rsid w:val="000F1361"/>
    <w:rsid w:val="000F13F1"/>
    <w:rsid w:val="000F1484"/>
    <w:rsid w:val="000F1549"/>
    <w:rsid w:val="000F17D0"/>
    <w:rsid w:val="000F18D5"/>
    <w:rsid w:val="000F1D0E"/>
    <w:rsid w:val="000F1F3E"/>
    <w:rsid w:val="000F1FBA"/>
    <w:rsid w:val="000F2368"/>
    <w:rsid w:val="000F27C5"/>
    <w:rsid w:val="000F2F47"/>
    <w:rsid w:val="000F3221"/>
    <w:rsid w:val="000F32F2"/>
    <w:rsid w:val="000F385A"/>
    <w:rsid w:val="000F3C81"/>
    <w:rsid w:val="000F4841"/>
    <w:rsid w:val="000F4E23"/>
    <w:rsid w:val="000F63A2"/>
    <w:rsid w:val="000F68DE"/>
    <w:rsid w:val="000F695F"/>
    <w:rsid w:val="000F6A29"/>
    <w:rsid w:val="000F6A84"/>
    <w:rsid w:val="000F6DCD"/>
    <w:rsid w:val="000F6E2D"/>
    <w:rsid w:val="000F6F24"/>
    <w:rsid w:val="000F70FA"/>
    <w:rsid w:val="000F73BF"/>
    <w:rsid w:val="000F742F"/>
    <w:rsid w:val="000F7664"/>
    <w:rsid w:val="000F7808"/>
    <w:rsid w:val="000F7FFC"/>
    <w:rsid w:val="001002FB"/>
    <w:rsid w:val="0010039A"/>
    <w:rsid w:val="00100590"/>
    <w:rsid w:val="001007DE"/>
    <w:rsid w:val="001009E5"/>
    <w:rsid w:val="00100B1F"/>
    <w:rsid w:val="00100C45"/>
    <w:rsid w:val="00100E51"/>
    <w:rsid w:val="00100F71"/>
    <w:rsid w:val="0010152D"/>
    <w:rsid w:val="00101889"/>
    <w:rsid w:val="00101E3E"/>
    <w:rsid w:val="00101FD7"/>
    <w:rsid w:val="00102217"/>
    <w:rsid w:val="0010240B"/>
    <w:rsid w:val="00102B51"/>
    <w:rsid w:val="00102EBE"/>
    <w:rsid w:val="001035D5"/>
    <w:rsid w:val="0010376C"/>
    <w:rsid w:val="0010421A"/>
    <w:rsid w:val="001045F8"/>
    <w:rsid w:val="00104E7B"/>
    <w:rsid w:val="001052E3"/>
    <w:rsid w:val="00105563"/>
    <w:rsid w:val="00105690"/>
    <w:rsid w:val="00105968"/>
    <w:rsid w:val="00105C44"/>
    <w:rsid w:val="00105C5D"/>
    <w:rsid w:val="00105D1F"/>
    <w:rsid w:val="0010605C"/>
    <w:rsid w:val="0010663D"/>
    <w:rsid w:val="0010676D"/>
    <w:rsid w:val="0010686B"/>
    <w:rsid w:val="00106963"/>
    <w:rsid w:val="00106D2E"/>
    <w:rsid w:val="00106DF4"/>
    <w:rsid w:val="001070CA"/>
    <w:rsid w:val="001072A6"/>
    <w:rsid w:val="00107464"/>
    <w:rsid w:val="00107522"/>
    <w:rsid w:val="00107910"/>
    <w:rsid w:val="00107B15"/>
    <w:rsid w:val="00107E34"/>
    <w:rsid w:val="001101F1"/>
    <w:rsid w:val="0011048B"/>
    <w:rsid w:val="0011056F"/>
    <w:rsid w:val="0011071F"/>
    <w:rsid w:val="00110734"/>
    <w:rsid w:val="00110B5E"/>
    <w:rsid w:val="00110F93"/>
    <w:rsid w:val="00111030"/>
    <w:rsid w:val="00111376"/>
    <w:rsid w:val="001113D3"/>
    <w:rsid w:val="001114E8"/>
    <w:rsid w:val="001115C1"/>
    <w:rsid w:val="00111943"/>
    <w:rsid w:val="00111958"/>
    <w:rsid w:val="00112032"/>
    <w:rsid w:val="00112297"/>
    <w:rsid w:val="001122FE"/>
    <w:rsid w:val="001123EE"/>
    <w:rsid w:val="00112713"/>
    <w:rsid w:val="00112811"/>
    <w:rsid w:val="00112DF4"/>
    <w:rsid w:val="00112F14"/>
    <w:rsid w:val="00112FF3"/>
    <w:rsid w:val="001134CF"/>
    <w:rsid w:val="001138BF"/>
    <w:rsid w:val="00113B36"/>
    <w:rsid w:val="00113B80"/>
    <w:rsid w:val="001142F7"/>
    <w:rsid w:val="001143FF"/>
    <w:rsid w:val="00114708"/>
    <w:rsid w:val="00114CCB"/>
    <w:rsid w:val="001157A5"/>
    <w:rsid w:val="00115D04"/>
    <w:rsid w:val="00116267"/>
    <w:rsid w:val="00116662"/>
    <w:rsid w:val="00116BA9"/>
    <w:rsid w:val="00116CF2"/>
    <w:rsid w:val="00116D8C"/>
    <w:rsid w:val="00116EA1"/>
    <w:rsid w:val="00116EB2"/>
    <w:rsid w:val="001170CC"/>
    <w:rsid w:val="00117449"/>
    <w:rsid w:val="0011757B"/>
    <w:rsid w:val="00117A7A"/>
    <w:rsid w:val="00117C0D"/>
    <w:rsid w:val="00117C5A"/>
    <w:rsid w:val="0011F2F9"/>
    <w:rsid w:val="0012073C"/>
    <w:rsid w:val="001207CF"/>
    <w:rsid w:val="001210B6"/>
    <w:rsid w:val="001210DA"/>
    <w:rsid w:val="001210E8"/>
    <w:rsid w:val="001215E0"/>
    <w:rsid w:val="00121A50"/>
    <w:rsid w:val="00121DD4"/>
    <w:rsid w:val="00121E1B"/>
    <w:rsid w:val="0012214C"/>
    <w:rsid w:val="001223F7"/>
    <w:rsid w:val="00122532"/>
    <w:rsid w:val="00122743"/>
    <w:rsid w:val="001227E5"/>
    <w:rsid w:val="00122995"/>
    <w:rsid w:val="00122C5F"/>
    <w:rsid w:val="00122DFC"/>
    <w:rsid w:val="00122E73"/>
    <w:rsid w:val="00123022"/>
    <w:rsid w:val="001231BD"/>
    <w:rsid w:val="001231CA"/>
    <w:rsid w:val="00123568"/>
    <w:rsid w:val="0012356A"/>
    <w:rsid w:val="001235ED"/>
    <w:rsid w:val="001235F5"/>
    <w:rsid w:val="0012362D"/>
    <w:rsid w:val="00123A16"/>
    <w:rsid w:val="00123A75"/>
    <w:rsid w:val="00123AB7"/>
    <w:rsid w:val="00123ABA"/>
    <w:rsid w:val="00123C91"/>
    <w:rsid w:val="00123E1B"/>
    <w:rsid w:val="00123F94"/>
    <w:rsid w:val="00124263"/>
    <w:rsid w:val="001243AB"/>
    <w:rsid w:val="001245FD"/>
    <w:rsid w:val="00124609"/>
    <w:rsid w:val="00124AA5"/>
    <w:rsid w:val="00124B30"/>
    <w:rsid w:val="00124EC6"/>
    <w:rsid w:val="00125849"/>
    <w:rsid w:val="00125B1C"/>
    <w:rsid w:val="00125D83"/>
    <w:rsid w:val="0012615E"/>
    <w:rsid w:val="00126217"/>
    <w:rsid w:val="0012630A"/>
    <w:rsid w:val="0012674A"/>
    <w:rsid w:val="00126CF2"/>
    <w:rsid w:val="00126E2E"/>
    <w:rsid w:val="00126EAA"/>
    <w:rsid w:val="00126EF1"/>
    <w:rsid w:val="00127563"/>
    <w:rsid w:val="00127AE5"/>
    <w:rsid w:val="00127EA9"/>
    <w:rsid w:val="00130698"/>
    <w:rsid w:val="00131017"/>
    <w:rsid w:val="0013105A"/>
    <w:rsid w:val="001312FF"/>
    <w:rsid w:val="00131367"/>
    <w:rsid w:val="00131BB4"/>
    <w:rsid w:val="00131FB5"/>
    <w:rsid w:val="00131FC2"/>
    <w:rsid w:val="00132016"/>
    <w:rsid w:val="0013236C"/>
    <w:rsid w:val="001325F7"/>
    <w:rsid w:val="00133906"/>
    <w:rsid w:val="0013394D"/>
    <w:rsid w:val="00133C98"/>
    <w:rsid w:val="00134127"/>
    <w:rsid w:val="001343BE"/>
    <w:rsid w:val="001344FB"/>
    <w:rsid w:val="001348AA"/>
    <w:rsid w:val="00134AEA"/>
    <w:rsid w:val="00134C62"/>
    <w:rsid w:val="00134CC8"/>
    <w:rsid w:val="0013503A"/>
    <w:rsid w:val="0013515D"/>
    <w:rsid w:val="00135396"/>
    <w:rsid w:val="001353FA"/>
    <w:rsid w:val="00135533"/>
    <w:rsid w:val="00135A5B"/>
    <w:rsid w:val="00135D64"/>
    <w:rsid w:val="00135E47"/>
    <w:rsid w:val="00135F0D"/>
    <w:rsid w:val="00136147"/>
    <w:rsid w:val="001363DD"/>
    <w:rsid w:val="001366A6"/>
    <w:rsid w:val="00136711"/>
    <w:rsid w:val="00136795"/>
    <w:rsid w:val="00136B0C"/>
    <w:rsid w:val="001372CC"/>
    <w:rsid w:val="00137542"/>
    <w:rsid w:val="00137726"/>
    <w:rsid w:val="00137883"/>
    <w:rsid w:val="001378A0"/>
    <w:rsid w:val="00137A0D"/>
    <w:rsid w:val="00137A2F"/>
    <w:rsid w:val="00137D85"/>
    <w:rsid w:val="00137DD3"/>
    <w:rsid w:val="001401A7"/>
    <w:rsid w:val="00140503"/>
    <w:rsid w:val="00140ABC"/>
    <w:rsid w:val="0014125D"/>
    <w:rsid w:val="00141828"/>
    <w:rsid w:val="0014188E"/>
    <w:rsid w:val="00141BF1"/>
    <w:rsid w:val="00141DD2"/>
    <w:rsid w:val="001422E0"/>
    <w:rsid w:val="00142949"/>
    <w:rsid w:val="00142991"/>
    <w:rsid w:val="00142DFE"/>
    <w:rsid w:val="00142FAF"/>
    <w:rsid w:val="0014338A"/>
    <w:rsid w:val="0014381A"/>
    <w:rsid w:val="0014488A"/>
    <w:rsid w:val="0014494B"/>
    <w:rsid w:val="0014498D"/>
    <w:rsid w:val="00144CF8"/>
    <w:rsid w:val="0014518D"/>
    <w:rsid w:val="00145190"/>
    <w:rsid w:val="001453DF"/>
    <w:rsid w:val="00145823"/>
    <w:rsid w:val="00145945"/>
    <w:rsid w:val="00146005"/>
    <w:rsid w:val="00146894"/>
    <w:rsid w:val="00146B17"/>
    <w:rsid w:val="00146C76"/>
    <w:rsid w:val="00146D3D"/>
    <w:rsid w:val="001470E4"/>
    <w:rsid w:val="0014799E"/>
    <w:rsid w:val="00147BF5"/>
    <w:rsid w:val="00147CEE"/>
    <w:rsid w:val="00150202"/>
    <w:rsid w:val="0015041F"/>
    <w:rsid w:val="001506AB"/>
    <w:rsid w:val="00150706"/>
    <w:rsid w:val="00150956"/>
    <w:rsid w:val="00150A19"/>
    <w:rsid w:val="00150B21"/>
    <w:rsid w:val="00150BF6"/>
    <w:rsid w:val="00150D67"/>
    <w:rsid w:val="00150D69"/>
    <w:rsid w:val="0015141C"/>
    <w:rsid w:val="0015157E"/>
    <w:rsid w:val="001518A3"/>
    <w:rsid w:val="00151AAA"/>
    <w:rsid w:val="00151C86"/>
    <w:rsid w:val="00151F4E"/>
    <w:rsid w:val="0015233A"/>
    <w:rsid w:val="001527A8"/>
    <w:rsid w:val="0015281C"/>
    <w:rsid w:val="00152B1F"/>
    <w:rsid w:val="00152F09"/>
    <w:rsid w:val="0015308D"/>
    <w:rsid w:val="00153253"/>
    <w:rsid w:val="001532E1"/>
    <w:rsid w:val="00153876"/>
    <w:rsid w:val="001539B6"/>
    <w:rsid w:val="00153B0F"/>
    <w:rsid w:val="00153E89"/>
    <w:rsid w:val="001548B7"/>
    <w:rsid w:val="00154DB2"/>
    <w:rsid w:val="0015511F"/>
    <w:rsid w:val="00155353"/>
    <w:rsid w:val="0015549A"/>
    <w:rsid w:val="001557BD"/>
    <w:rsid w:val="00155884"/>
    <w:rsid w:val="00155AC7"/>
    <w:rsid w:val="00155D6D"/>
    <w:rsid w:val="00155DB9"/>
    <w:rsid w:val="00156027"/>
    <w:rsid w:val="0015622B"/>
    <w:rsid w:val="00156350"/>
    <w:rsid w:val="0015660A"/>
    <w:rsid w:val="00156AF9"/>
    <w:rsid w:val="00156BF1"/>
    <w:rsid w:val="00156D5A"/>
    <w:rsid w:val="001572F1"/>
    <w:rsid w:val="001573E4"/>
    <w:rsid w:val="0015793B"/>
    <w:rsid w:val="00157A04"/>
    <w:rsid w:val="00160184"/>
    <w:rsid w:val="00160227"/>
    <w:rsid w:val="00160299"/>
    <w:rsid w:val="001602DC"/>
    <w:rsid w:val="00160351"/>
    <w:rsid w:val="00160756"/>
    <w:rsid w:val="001609D3"/>
    <w:rsid w:val="00160F19"/>
    <w:rsid w:val="00161410"/>
    <w:rsid w:val="00161474"/>
    <w:rsid w:val="00161530"/>
    <w:rsid w:val="001616DD"/>
    <w:rsid w:val="00161A22"/>
    <w:rsid w:val="00161A9C"/>
    <w:rsid w:val="00161E7A"/>
    <w:rsid w:val="0016207D"/>
    <w:rsid w:val="00162176"/>
    <w:rsid w:val="001622BF"/>
    <w:rsid w:val="001623CB"/>
    <w:rsid w:val="001624A0"/>
    <w:rsid w:val="00162985"/>
    <w:rsid w:val="00162AC4"/>
    <w:rsid w:val="00162B26"/>
    <w:rsid w:val="00162C42"/>
    <w:rsid w:val="001630BC"/>
    <w:rsid w:val="001630E5"/>
    <w:rsid w:val="001630F7"/>
    <w:rsid w:val="001631DB"/>
    <w:rsid w:val="001633FD"/>
    <w:rsid w:val="001634A4"/>
    <w:rsid w:val="00163711"/>
    <w:rsid w:val="00163B7D"/>
    <w:rsid w:val="00164173"/>
    <w:rsid w:val="001647AE"/>
    <w:rsid w:val="00164B0C"/>
    <w:rsid w:val="00164FAD"/>
    <w:rsid w:val="0016566D"/>
    <w:rsid w:val="001656D5"/>
    <w:rsid w:val="001657FD"/>
    <w:rsid w:val="001658FA"/>
    <w:rsid w:val="00165981"/>
    <w:rsid w:val="00165B6C"/>
    <w:rsid w:val="00165BC0"/>
    <w:rsid w:val="00165DB5"/>
    <w:rsid w:val="001661F7"/>
    <w:rsid w:val="0016624C"/>
    <w:rsid w:val="00166275"/>
    <w:rsid w:val="001667AF"/>
    <w:rsid w:val="00166953"/>
    <w:rsid w:val="00166ADC"/>
    <w:rsid w:val="00166F83"/>
    <w:rsid w:val="001672B8"/>
    <w:rsid w:val="001674C2"/>
    <w:rsid w:val="0017024A"/>
    <w:rsid w:val="00170273"/>
    <w:rsid w:val="001703EB"/>
    <w:rsid w:val="001706E8"/>
    <w:rsid w:val="001708E2"/>
    <w:rsid w:val="00170A72"/>
    <w:rsid w:val="00170B72"/>
    <w:rsid w:val="00170BDE"/>
    <w:rsid w:val="00170F3D"/>
    <w:rsid w:val="0017103E"/>
    <w:rsid w:val="001710FB"/>
    <w:rsid w:val="00171393"/>
    <w:rsid w:val="0017204A"/>
    <w:rsid w:val="0017232E"/>
    <w:rsid w:val="001723C0"/>
    <w:rsid w:val="00172756"/>
    <w:rsid w:val="00172A01"/>
    <w:rsid w:val="00172A44"/>
    <w:rsid w:val="00172AA8"/>
    <w:rsid w:val="00172B86"/>
    <w:rsid w:val="00172B92"/>
    <w:rsid w:val="00172BA4"/>
    <w:rsid w:val="00172EF8"/>
    <w:rsid w:val="00172FC4"/>
    <w:rsid w:val="00172FF6"/>
    <w:rsid w:val="001731AB"/>
    <w:rsid w:val="001736C2"/>
    <w:rsid w:val="00173B86"/>
    <w:rsid w:val="00173CBB"/>
    <w:rsid w:val="00173D87"/>
    <w:rsid w:val="00173E3A"/>
    <w:rsid w:val="001740A1"/>
    <w:rsid w:val="00174102"/>
    <w:rsid w:val="00174144"/>
    <w:rsid w:val="00174444"/>
    <w:rsid w:val="00174479"/>
    <w:rsid w:val="0017459C"/>
    <w:rsid w:val="0017474E"/>
    <w:rsid w:val="00174E39"/>
    <w:rsid w:val="00174EBF"/>
    <w:rsid w:val="001755B8"/>
    <w:rsid w:val="001757B7"/>
    <w:rsid w:val="00175981"/>
    <w:rsid w:val="00175E4C"/>
    <w:rsid w:val="0017601A"/>
    <w:rsid w:val="0017616C"/>
    <w:rsid w:val="0017631B"/>
    <w:rsid w:val="001764CC"/>
    <w:rsid w:val="001766DE"/>
    <w:rsid w:val="00176AAF"/>
    <w:rsid w:val="0017747E"/>
    <w:rsid w:val="00177606"/>
    <w:rsid w:val="00177661"/>
    <w:rsid w:val="00177697"/>
    <w:rsid w:val="001777C8"/>
    <w:rsid w:val="0017797D"/>
    <w:rsid w:val="00177E60"/>
    <w:rsid w:val="0018014D"/>
    <w:rsid w:val="00180157"/>
    <w:rsid w:val="0018027B"/>
    <w:rsid w:val="00180405"/>
    <w:rsid w:val="001804DE"/>
    <w:rsid w:val="00180619"/>
    <w:rsid w:val="00180665"/>
    <w:rsid w:val="00180B60"/>
    <w:rsid w:val="00180B7A"/>
    <w:rsid w:val="00180C38"/>
    <w:rsid w:val="00180C4B"/>
    <w:rsid w:val="00181025"/>
    <w:rsid w:val="001810FE"/>
    <w:rsid w:val="00181223"/>
    <w:rsid w:val="0018124A"/>
    <w:rsid w:val="00181410"/>
    <w:rsid w:val="00181450"/>
    <w:rsid w:val="00181596"/>
    <w:rsid w:val="0018184D"/>
    <w:rsid w:val="00181916"/>
    <w:rsid w:val="00181BA4"/>
    <w:rsid w:val="00181E62"/>
    <w:rsid w:val="0018223D"/>
    <w:rsid w:val="0018279D"/>
    <w:rsid w:val="00182D65"/>
    <w:rsid w:val="001834E4"/>
    <w:rsid w:val="00183573"/>
    <w:rsid w:val="00183670"/>
    <w:rsid w:val="00183D04"/>
    <w:rsid w:val="00183F62"/>
    <w:rsid w:val="00183F66"/>
    <w:rsid w:val="00184116"/>
    <w:rsid w:val="001843C2"/>
    <w:rsid w:val="00184835"/>
    <w:rsid w:val="00184C10"/>
    <w:rsid w:val="0018505F"/>
    <w:rsid w:val="00185151"/>
    <w:rsid w:val="001853B4"/>
    <w:rsid w:val="001856EC"/>
    <w:rsid w:val="00185C03"/>
    <w:rsid w:val="00185E46"/>
    <w:rsid w:val="001861F9"/>
    <w:rsid w:val="0018620D"/>
    <w:rsid w:val="0018622B"/>
    <w:rsid w:val="0018626F"/>
    <w:rsid w:val="00186469"/>
    <w:rsid w:val="0018652F"/>
    <w:rsid w:val="00186C11"/>
    <w:rsid w:val="00186E0C"/>
    <w:rsid w:val="00186E1C"/>
    <w:rsid w:val="00186EC3"/>
    <w:rsid w:val="00186F77"/>
    <w:rsid w:val="00187062"/>
    <w:rsid w:val="00187132"/>
    <w:rsid w:val="001871A4"/>
    <w:rsid w:val="001873D8"/>
    <w:rsid w:val="00187426"/>
    <w:rsid w:val="001875AF"/>
    <w:rsid w:val="001875BA"/>
    <w:rsid w:val="00187947"/>
    <w:rsid w:val="00187CCC"/>
    <w:rsid w:val="00187DEC"/>
    <w:rsid w:val="001893CD"/>
    <w:rsid w:val="0019035C"/>
    <w:rsid w:val="0019035F"/>
    <w:rsid w:val="001904D3"/>
    <w:rsid w:val="001906CF"/>
    <w:rsid w:val="00190C02"/>
    <w:rsid w:val="0019127E"/>
    <w:rsid w:val="0019156F"/>
    <w:rsid w:val="0019181C"/>
    <w:rsid w:val="00191823"/>
    <w:rsid w:val="00191AD4"/>
    <w:rsid w:val="00191B37"/>
    <w:rsid w:val="00191D2C"/>
    <w:rsid w:val="00191D79"/>
    <w:rsid w:val="00192033"/>
    <w:rsid w:val="001924D6"/>
    <w:rsid w:val="00192538"/>
    <w:rsid w:val="001926A4"/>
    <w:rsid w:val="00192754"/>
    <w:rsid w:val="0019275A"/>
    <w:rsid w:val="001929A7"/>
    <w:rsid w:val="00192C38"/>
    <w:rsid w:val="00192CCC"/>
    <w:rsid w:val="00192DC8"/>
    <w:rsid w:val="00192E2F"/>
    <w:rsid w:val="0019300F"/>
    <w:rsid w:val="001935EE"/>
    <w:rsid w:val="00194201"/>
    <w:rsid w:val="0019442D"/>
    <w:rsid w:val="00194679"/>
    <w:rsid w:val="001948CA"/>
    <w:rsid w:val="00194C7F"/>
    <w:rsid w:val="00194E72"/>
    <w:rsid w:val="001952B3"/>
    <w:rsid w:val="0019539D"/>
    <w:rsid w:val="001958B5"/>
    <w:rsid w:val="0019592E"/>
    <w:rsid w:val="00195CFF"/>
    <w:rsid w:val="001960EF"/>
    <w:rsid w:val="001961AE"/>
    <w:rsid w:val="0019635A"/>
    <w:rsid w:val="0019671C"/>
    <w:rsid w:val="00196724"/>
    <w:rsid w:val="00196935"/>
    <w:rsid w:val="00197358"/>
    <w:rsid w:val="00197665"/>
    <w:rsid w:val="001976EF"/>
    <w:rsid w:val="001979C9"/>
    <w:rsid w:val="00197A7D"/>
    <w:rsid w:val="00197B1D"/>
    <w:rsid w:val="00197D3B"/>
    <w:rsid w:val="00197F16"/>
    <w:rsid w:val="00197FBB"/>
    <w:rsid w:val="001A0332"/>
    <w:rsid w:val="001A04D3"/>
    <w:rsid w:val="001A082D"/>
    <w:rsid w:val="001A09B9"/>
    <w:rsid w:val="001A0F89"/>
    <w:rsid w:val="001A1015"/>
    <w:rsid w:val="001A1374"/>
    <w:rsid w:val="001A159B"/>
    <w:rsid w:val="001A1991"/>
    <w:rsid w:val="001A1AC6"/>
    <w:rsid w:val="001A1E2D"/>
    <w:rsid w:val="001A1F73"/>
    <w:rsid w:val="001A2C42"/>
    <w:rsid w:val="001A2C70"/>
    <w:rsid w:val="001A2EB6"/>
    <w:rsid w:val="001A3247"/>
    <w:rsid w:val="001A3738"/>
    <w:rsid w:val="001A3962"/>
    <w:rsid w:val="001A3B1B"/>
    <w:rsid w:val="001A3C40"/>
    <w:rsid w:val="001A3C9F"/>
    <w:rsid w:val="001A40CF"/>
    <w:rsid w:val="001A48A3"/>
    <w:rsid w:val="001A4AD0"/>
    <w:rsid w:val="001A4C69"/>
    <w:rsid w:val="001A4FE3"/>
    <w:rsid w:val="001A5201"/>
    <w:rsid w:val="001A527F"/>
    <w:rsid w:val="001A580E"/>
    <w:rsid w:val="001A5B8A"/>
    <w:rsid w:val="001A5C4F"/>
    <w:rsid w:val="001A5E97"/>
    <w:rsid w:val="001A600A"/>
    <w:rsid w:val="001A617A"/>
    <w:rsid w:val="001A61E7"/>
    <w:rsid w:val="001A689A"/>
    <w:rsid w:val="001A6D78"/>
    <w:rsid w:val="001A6E38"/>
    <w:rsid w:val="001A6EA8"/>
    <w:rsid w:val="001A70D9"/>
    <w:rsid w:val="001A72AA"/>
    <w:rsid w:val="001A7DA0"/>
    <w:rsid w:val="001A7E03"/>
    <w:rsid w:val="001A7E41"/>
    <w:rsid w:val="001A7EC5"/>
    <w:rsid w:val="001A7F46"/>
    <w:rsid w:val="001B013C"/>
    <w:rsid w:val="001B0330"/>
    <w:rsid w:val="001B03E4"/>
    <w:rsid w:val="001B066E"/>
    <w:rsid w:val="001B0684"/>
    <w:rsid w:val="001B081F"/>
    <w:rsid w:val="001B1277"/>
    <w:rsid w:val="001B1948"/>
    <w:rsid w:val="001B1C74"/>
    <w:rsid w:val="001B1FD6"/>
    <w:rsid w:val="001B2086"/>
    <w:rsid w:val="001B20B4"/>
    <w:rsid w:val="001B2359"/>
    <w:rsid w:val="001B2366"/>
    <w:rsid w:val="001B26F9"/>
    <w:rsid w:val="001B27F4"/>
    <w:rsid w:val="001B2C3F"/>
    <w:rsid w:val="001B2C80"/>
    <w:rsid w:val="001B30FB"/>
    <w:rsid w:val="001B3445"/>
    <w:rsid w:val="001B3561"/>
    <w:rsid w:val="001B3698"/>
    <w:rsid w:val="001B3B34"/>
    <w:rsid w:val="001B3BDB"/>
    <w:rsid w:val="001B3EA4"/>
    <w:rsid w:val="001B3F8F"/>
    <w:rsid w:val="001B440C"/>
    <w:rsid w:val="001B4475"/>
    <w:rsid w:val="001B453B"/>
    <w:rsid w:val="001B45A0"/>
    <w:rsid w:val="001B4FE9"/>
    <w:rsid w:val="001B504D"/>
    <w:rsid w:val="001B5151"/>
    <w:rsid w:val="001B526C"/>
    <w:rsid w:val="001B54C2"/>
    <w:rsid w:val="001B55A1"/>
    <w:rsid w:val="001B5ADA"/>
    <w:rsid w:val="001B5DF8"/>
    <w:rsid w:val="001B658B"/>
    <w:rsid w:val="001B66F0"/>
    <w:rsid w:val="001B721C"/>
    <w:rsid w:val="001B7C7E"/>
    <w:rsid w:val="001B7EBC"/>
    <w:rsid w:val="001C0218"/>
    <w:rsid w:val="001C02D5"/>
    <w:rsid w:val="001C0452"/>
    <w:rsid w:val="001C04A6"/>
    <w:rsid w:val="001C054F"/>
    <w:rsid w:val="001C0681"/>
    <w:rsid w:val="001C08A9"/>
    <w:rsid w:val="001C093A"/>
    <w:rsid w:val="001C0CB4"/>
    <w:rsid w:val="001C0DB9"/>
    <w:rsid w:val="001C0E17"/>
    <w:rsid w:val="001C100A"/>
    <w:rsid w:val="001C1206"/>
    <w:rsid w:val="001C147E"/>
    <w:rsid w:val="001C1816"/>
    <w:rsid w:val="001C1896"/>
    <w:rsid w:val="001C18EE"/>
    <w:rsid w:val="001C1D23"/>
    <w:rsid w:val="001C1FB3"/>
    <w:rsid w:val="001C2141"/>
    <w:rsid w:val="001C243C"/>
    <w:rsid w:val="001C2497"/>
    <w:rsid w:val="001C29AB"/>
    <w:rsid w:val="001C2A64"/>
    <w:rsid w:val="001C2AA0"/>
    <w:rsid w:val="001C2B9A"/>
    <w:rsid w:val="001C2E99"/>
    <w:rsid w:val="001C2F36"/>
    <w:rsid w:val="001C3096"/>
    <w:rsid w:val="001C354C"/>
    <w:rsid w:val="001C3693"/>
    <w:rsid w:val="001C378B"/>
    <w:rsid w:val="001C3E66"/>
    <w:rsid w:val="001C3EF0"/>
    <w:rsid w:val="001C3F9B"/>
    <w:rsid w:val="001C4103"/>
    <w:rsid w:val="001C41D1"/>
    <w:rsid w:val="001C427A"/>
    <w:rsid w:val="001C450B"/>
    <w:rsid w:val="001C45E3"/>
    <w:rsid w:val="001C46D0"/>
    <w:rsid w:val="001C4952"/>
    <w:rsid w:val="001C4FAA"/>
    <w:rsid w:val="001C51D6"/>
    <w:rsid w:val="001C5908"/>
    <w:rsid w:val="001C5CEB"/>
    <w:rsid w:val="001C5D30"/>
    <w:rsid w:val="001C5D6F"/>
    <w:rsid w:val="001C5F45"/>
    <w:rsid w:val="001C6255"/>
    <w:rsid w:val="001C62E0"/>
    <w:rsid w:val="001C63DF"/>
    <w:rsid w:val="001C6608"/>
    <w:rsid w:val="001C68E7"/>
    <w:rsid w:val="001C6BCE"/>
    <w:rsid w:val="001C705E"/>
    <w:rsid w:val="001C7363"/>
    <w:rsid w:val="001C765E"/>
    <w:rsid w:val="001C770D"/>
    <w:rsid w:val="001C7734"/>
    <w:rsid w:val="001C7833"/>
    <w:rsid w:val="001C794F"/>
    <w:rsid w:val="001C7BB8"/>
    <w:rsid w:val="001C7F1F"/>
    <w:rsid w:val="001D001F"/>
    <w:rsid w:val="001D02B1"/>
    <w:rsid w:val="001D0342"/>
    <w:rsid w:val="001D0391"/>
    <w:rsid w:val="001D055E"/>
    <w:rsid w:val="001D0647"/>
    <w:rsid w:val="001D07D4"/>
    <w:rsid w:val="001D0808"/>
    <w:rsid w:val="001D085C"/>
    <w:rsid w:val="001D0991"/>
    <w:rsid w:val="001D1115"/>
    <w:rsid w:val="001D1320"/>
    <w:rsid w:val="001D1658"/>
    <w:rsid w:val="001D183F"/>
    <w:rsid w:val="001D1EB3"/>
    <w:rsid w:val="001D1F26"/>
    <w:rsid w:val="001D1F9E"/>
    <w:rsid w:val="001D2109"/>
    <w:rsid w:val="001D2203"/>
    <w:rsid w:val="001D2370"/>
    <w:rsid w:val="001D2399"/>
    <w:rsid w:val="001D2765"/>
    <w:rsid w:val="001D2898"/>
    <w:rsid w:val="001D297A"/>
    <w:rsid w:val="001D2986"/>
    <w:rsid w:val="001D2C9F"/>
    <w:rsid w:val="001D2E85"/>
    <w:rsid w:val="001D2F63"/>
    <w:rsid w:val="001D31A3"/>
    <w:rsid w:val="001D32F2"/>
    <w:rsid w:val="001D36B1"/>
    <w:rsid w:val="001D3948"/>
    <w:rsid w:val="001D3AE3"/>
    <w:rsid w:val="001D3DD6"/>
    <w:rsid w:val="001D3FE1"/>
    <w:rsid w:val="001D41F2"/>
    <w:rsid w:val="001D46E7"/>
    <w:rsid w:val="001D4C30"/>
    <w:rsid w:val="001D4F38"/>
    <w:rsid w:val="001D4FCF"/>
    <w:rsid w:val="001D5216"/>
    <w:rsid w:val="001D58CF"/>
    <w:rsid w:val="001D58DF"/>
    <w:rsid w:val="001D59AE"/>
    <w:rsid w:val="001D611C"/>
    <w:rsid w:val="001D675C"/>
    <w:rsid w:val="001D6823"/>
    <w:rsid w:val="001D6C45"/>
    <w:rsid w:val="001D74BA"/>
    <w:rsid w:val="001D770A"/>
    <w:rsid w:val="001D7A4A"/>
    <w:rsid w:val="001D7CCC"/>
    <w:rsid w:val="001D7F4E"/>
    <w:rsid w:val="001E0017"/>
    <w:rsid w:val="001E0CA0"/>
    <w:rsid w:val="001E0E9A"/>
    <w:rsid w:val="001E1039"/>
    <w:rsid w:val="001E104F"/>
    <w:rsid w:val="001E1E50"/>
    <w:rsid w:val="001E1FF2"/>
    <w:rsid w:val="001E2062"/>
    <w:rsid w:val="001E2AE5"/>
    <w:rsid w:val="001E2D09"/>
    <w:rsid w:val="001E30BA"/>
    <w:rsid w:val="001E32DC"/>
    <w:rsid w:val="001E3423"/>
    <w:rsid w:val="001E3622"/>
    <w:rsid w:val="001E3875"/>
    <w:rsid w:val="001E3A1E"/>
    <w:rsid w:val="001E3B08"/>
    <w:rsid w:val="001E3BBA"/>
    <w:rsid w:val="001E3CAB"/>
    <w:rsid w:val="001E4109"/>
    <w:rsid w:val="001E462C"/>
    <w:rsid w:val="001E46DD"/>
    <w:rsid w:val="001E4B34"/>
    <w:rsid w:val="001E4D15"/>
    <w:rsid w:val="001E4E1C"/>
    <w:rsid w:val="001E4E93"/>
    <w:rsid w:val="001E50DA"/>
    <w:rsid w:val="001E521F"/>
    <w:rsid w:val="001E52F9"/>
    <w:rsid w:val="001E56D1"/>
    <w:rsid w:val="001E5944"/>
    <w:rsid w:val="001E5E19"/>
    <w:rsid w:val="001E5EF8"/>
    <w:rsid w:val="001E5FBA"/>
    <w:rsid w:val="001E6240"/>
    <w:rsid w:val="001E63AF"/>
    <w:rsid w:val="001E646E"/>
    <w:rsid w:val="001E64D1"/>
    <w:rsid w:val="001E687D"/>
    <w:rsid w:val="001E6B6B"/>
    <w:rsid w:val="001E701B"/>
    <w:rsid w:val="001E71BE"/>
    <w:rsid w:val="001E71C5"/>
    <w:rsid w:val="001E730D"/>
    <w:rsid w:val="001E73D4"/>
    <w:rsid w:val="001E75AF"/>
    <w:rsid w:val="001E76F2"/>
    <w:rsid w:val="001E7A55"/>
    <w:rsid w:val="001E7DAA"/>
    <w:rsid w:val="001F0301"/>
    <w:rsid w:val="001F037B"/>
    <w:rsid w:val="001F081C"/>
    <w:rsid w:val="001F0872"/>
    <w:rsid w:val="001F0DBE"/>
    <w:rsid w:val="001F123D"/>
    <w:rsid w:val="001F13DE"/>
    <w:rsid w:val="001F150C"/>
    <w:rsid w:val="001F159B"/>
    <w:rsid w:val="001F1A2F"/>
    <w:rsid w:val="001F1AFB"/>
    <w:rsid w:val="001F1D5D"/>
    <w:rsid w:val="001F1EBA"/>
    <w:rsid w:val="001F1FB3"/>
    <w:rsid w:val="001F203A"/>
    <w:rsid w:val="001F2147"/>
    <w:rsid w:val="001F21BE"/>
    <w:rsid w:val="001F22FA"/>
    <w:rsid w:val="001F2333"/>
    <w:rsid w:val="001F23A2"/>
    <w:rsid w:val="001F2483"/>
    <w:rsid w:val="001F2491"/>
    <w:rsid w:val="001F259F"/>
    <w:rsid w:val="001F27B3"/>
    <w:rsid w:val="001F2D79"/>
    <w:rsid w:val="001F311D"/>
    <w:rsid w:val="001F3238"/>
    <w:rsid w:val="001F353D"/>
    <w:rsid w:val="001F35B9"/>
    <w:rsid w:val="001F3680"/>
    <w:rsid w:val="001F373C"/>
    <w:rsid w:val="001F3B67"/>
    <w:rsid w:val="001F3C3E"/>
    <w:rsid w:val="001F3F33"/>
    <w:rsid w:val="001F40B0"/>
    <w:rsid w:val="001F45DC"/>
    <w:rsid w:val="001F492E"/>
    <w:rsid w:val="001F4C42"/>
    <w:rsid w:val="001F4C68"/>
    <w:rsid w:val="001F4C86"/>
    <w:rsid w:val="001F4EBE"/>
    <w:rsid w:val="001F4F49"/>
    <w:rsid w:val="001F50F3"/>
    <w:rsid w:val="001F5637"/>
    <w:rsid w:val="001F56BE"/>
    <w:rsid w:val="001F56EF"/>
    <w:rsid w:val="001F608F"/>
    <w:rsid w:val="001F60D5"/>
    <w:rsid w:val="001F61C1"/>
    <w:rsid w:val="001F647E"/>
    <w:rsid w:val="001F6483"/>
    <w:rsid w:val="001F679B"/>
    <w:rsid w:val="001F6C61"/>
    <w:rsid w:val="001F6DA3"/>
    <w:rsid w:val="001F6DE7"/>
    <w:rsid w:val="001F6FAB"/>
    <w:rsid w:val="001F70A5"/>
    <w:rsid w:val="001F71E0"/>
    <w:rsid w:val="001F7290"/>
    <w:rsid w:val="001F72B5"/>
    <w:rsid w:val="001F73C8"/>
    <w:rsid w:val="001F74E3"/>
    <w:rsid w:val="001F7716"/>
    <w:rsid w:val="001F7883"/>
    <w:rsid w:val="001F78BA"/>
    <w:rsid w:val="001F7D92"/>
    <w:rsid w:val="001F7FD6"/>
    <w:rsid w:val="0020032E"/>
    <w:rsid w:val="00200350"/>
    <w:rsid w:val="00200456"/>
    <w:rsid w:val="002004F5"/>
    <w:rsid w:val="0020053F"/>
    <w:rsid w:val="00200DAA"/>
    <w:rsid w:val="002014D9"/>
    <w:rsid w:val="00201C90"/>
    <w:rsid w:val="00201D20"/>
    <w:rsid w:val="00202007"/>
    <w:rsid w:val="0020229A"/>
    <w:rsid w:val="00202373"/>
    <w:rsid w:val="0020251F"/>
    <w:rsid w:val="00202872"/>
    <w:rsid w:val="00202B0E"/>
    <w:rsid w:val="00202EB2"/>
    <w:rsid w:val="00202F05"/>
    <w:rsid w:val="00202F96"/>
    <w:rsid w:val="002030A9"/>
    <w:rsid w:val="0020340D"/>
    <w:rsid w:val="00203706"/>
    <w:rsid w:val="002037FF"/>
    <w:rsid w:val="00203C07"/>
    <w:rsid w:val="00203E0A"/>
    <w:rsid w:val="0020424F"/>
    <w:rsid w:val="0020456D"/>
    <w:rsid w:val="00204940"/>
    <w:rsid w:val="00204A74"/>
    <w:rsid w:val="00204D49"/>
    <w:rsid w:val="00204E7E"/>
    <w:rsid w:val="002051BA"/>
    <w:rsid w:val="00205281"/>
    <w:rsid w:val="00205439"/>
    <w:rsid w:val="00205612"/>
    <w:rsid w:val="00205846"/>
    <w:rsid w:val="0020586E"/>
    <w:rsid w:val="0020599B"/>
    <w:rsid w:val="00205A1A"/>
    <w:rsid w:val="00205EFD"/>
    <w:rsid w:val="00206036"/>
    <w:rsid w:val="00206100"/>
    <w:rsid w:val="00206176"/>
    <w:rsid w:val="0020655C"/>
    <w:rsid w:val="00206906"/>
    <w:rsid w:val="00206A01"/>
    <w:rsid w:val="00206AB5"/>
    <w:rsid w:val="00206BE0"/>
    <w:rsid w:val="00206D79"/>
    <w:rsid w:val="00207026"/>
    <w:rsid w:val="00207268"/>
    <w:rsid w:val="00207335"/>
    <w:rsid w:val="00207391"/>
    <w:rsid w:val="002076BA"/>
    <w:rsid w:val="00207D98"/>
    <w:rsid w:val="0020E184"/>
    <w:rsid w:val="002101A8"/>
    <w:rsid w:val="00210429"/>
    <w:rsid w:val="00210775"/>
    <w:rsid w:val="00210962"/>
    <w:rsid w:val="00210A26"/>
    <w:rsid w:val="00210F63"/>
    <w:rsid w:val="00211022"/>
    <w:rsid w:val="00211664"/>
    <w:rsid w:val="00211CD4"/>
    <w:rsid w:val="00211DF5"/>
    <w:rsid w:val="0021218B"/>
    <w:rsid w:val="00212737"/>
    <w:rsid w:val="002127BC"/>
    <w:rsid w:val="00212B12"/>
    <w:rsid w:val="00212BCA"/>
    <w:rsid w:val="0021311C"/>
    <w:rsid w:val="002131E4"/>
    <w:rsid w:val="0021387B"/>
    <w:rsid w:val="00213D26"/>
    <w:rsid w:val="00214159"/>
    <w:rsid w:val="002149A6"/>
    <w:rsid w:val="00214B0E"/>
    <w:rsid w:val="00214BBF"/>
    <w:rsid w:val="00214F02"/>
    <w:rsid w:val="0021523A"/>
    <w:rsid w:val="00215414"/>
    <w:rsid w:val="002156C3"/>
    <w:rsid w:val="00215867"/>
    <w:rsid w:val="00215917"/>
    <w:rsid w:val="002159D2"/>
    <w:rsid w:val="00215F02"/>
    <w:rsid w:val="00215FB0"/>
    <w:rsid w:val="002162D1"/>
    <w:rsid w:val="002165A0"/>
    <w:rsid w:val="002166F0"/>
    <w:rsid w:val="00216955"/>
    <w:rsid w:val="00216A74"/>
    <w:rsid w:val="0021753F"/>
    <w:rsid w:val="00217910"/>
    <w:rsid w:val="00217A32"/>
    <w:rsid w:val="00217B73"/>
    <w:rsid w:val="00217BA1"/>
    <w:rsid w:val="00217E32"/>
    <w:rsid w:val="00217E3F"/>
    <w:rsid w:val="002202B6"/>
    <w:rsid w:val="00220549"/>
    <w:rsid w:val="00220886"/>
    <w:rsid w:val="00220952"/>
    <w:rsid w:val="00220AAE"/>
    <w:rsid w:val="00220E71"/>
    <w:rsid w:val="00220F82"/>
    <w:rsid w:val="002211E3"/>
    <w:rsid w:val="002212A1"/>
    <w:rsid w:val="00221465"/>
    <w:rsid w:val="002218A6"/>
    <w:rsid w:val="00221B43"/>
    <w:rsid w:val="002227B6"/>
    <w:rsid w:val="002227DF"/>
    <w:rsid w:val="00222F56"/>
    <w:rsid w:val="00223417"/>
    <w:rsid w:val="00223710"/>
    <w:rsid w:val="002237AC"/>
    <w:rsid w:val="00223A61"/>
    <w:rsid w:val="00223C84"/>
    <w:rsid w:val="00224886"/>
    <w:rsid w:val="00224B55"/>
    <w:rsid w:val="00224C83"/>
    <w:rsid w:val="00224DB9"/>
    <w:rsid w:val="00224E95"/>
    <w:rsid w:val="00224F55"/>
    <w:rsid w:val="00224FEB"/>
    <w:rsid w:val="00225BAF"/>
    <w:rsid w:val="00225C5E"/>
    <w:rsid w:val="00225E14"/>
    <w:rsid w:val="00225FA5"/>
    <w:rsid w:val="00225FBB"/>
    <w:rsid w:val="0022610B"/>
    <w:rsid w:val="0022657B"/>
    <w:rsid w:val="0022672F"/>
    <w:rsid w:val="002268D3"/>
    <w:rsid w:val="00226B96"/>
    <w:rsid w:val="00226DA7"/>
    <w:rsid w:val="00226E77"/>
    <w:rsid w:val="00227479"/>
    <w:rsid w:val="002275B2"/>
    <w:rsid w:val="0022793B"/>
    <w:rsid w:val="002307CE"/>
    <w:rsid w:val="00230B7B"/>
    <w:rsid w:val="00230CAE"/>
    <w:rsid w:val="00230CE6"/>
    <w:rsid w:val="00230D44"/>
    <w:rsid w:val="002311CA"/>
    <w:rsid w:val="00231975"/>
    <w:rsid w:val="00232435"/>
    <w:rsid w:val="002325F2"/>
    <w:rsid w:val="002325FB"/>
    <w:rsid w:val="00232659"/>
    <w:rsid w:val="002326B5"/>
    <w:rsid w:val="00233BF1"/>
    <w:rsid w:val="00233C0E"/>
    <w:rsid w:val="00233D52"/>
    <w:rsid w:val="002342B1"/>
    <w:rsid w:val="0023448B"/>
    <w:rsid w:val="0023460C"/>
    <w:rsid w:val="0023471E"/>
    <w:rsid w:val="00234930"/>
    <w:rsid w:val="00234CA9"/>
    <w:rsid w:val="00234CCF"/>
    <w:rsid w:val="00234D74"/>
    <w:rsid w:val="00235296"/>
    <w:rsid w:val="002355E3"/>
    <w:rsid w:val="0023581A"/>
    <w:rsid w:val="00235A98"/>
    <w:rsid w:val="00235CAA"/>
    <w:rsid w:val="00235D39"/>
    <w:rsid w:val="00235D93"/>
    <w:rsid w:val="00235DE8"/>
    <w:rsid w:val="00236085"/>
    <w:rsid w:val="00236110"/>
    <w:rsid w:val="00236164"/>
    <w:rsid w:val="00236756"/>
    <w:rsid w:val="00236851"/>
    <w:rsid w:val="0023685D"/>
    <w:rsid w:val="0023692D"/>
    <w:rsid w:val="0023698E"/>
    <w:rsid w:val="002369CA"/>
    <w:rsid w:val="00236DC9"/>
    <w:rsid w:val="00236E5F"/>
    <w:rsid w:val="0023749D"/>
    <w:rsid w:val="002374FD"/>
    <w:rsid w:val="0023760F"/>
    <w:rsid w:val="002377AE"/>
    <w:rsid w:val="002402CA"/>
    <w:rsid w:val="0024062A"/>
    <w:rsid w:val="002407C7"/>
    <w:rsid w:val="00240806"/>
    <w:rsid w:val="0024091E"/>
    <w:rsid w:val="00240928"/>
    <w:rsid w:val="00240C1B"/>
    <w:rsid w:val="00240D9C"/>
    <w:rsid w:val="00240E80"/>
    <w:rsid w:val="00240EF6"/>
    <w:rsid w:val="00241198"/>
    <w:rsid w:val="0024170F"/>
    <w:rsid w:val="00241929"/>
    <w:rsid w:val="00241BE1"/>
    <w:rsid w:val="00241BE7"/>
    <w:rsid w:val="00241CEE"/>
    <w:rsid w:val="00241F61"/>
    <w:rsid w:val="002423FD"/>
    <w:rsid w:val="00242491"/>
    <w:rsid w:val="00242498"/>
    <w:rsid w:val="00242557"/>
    <w:rsid w:val="002429DA"/>
    <w:rsid w:val="00242B00"/>
    <w:rsid w:val="00242CE5"/>
    <w:rsid w:val="00242E9D"/>
    <w:rsid w:val="00243703"/>
    <w:rsid w:val="00243747"/>
    <w:rsid w:val="00243C4F"/>
    <w:rsid w:val="00243CC8"/>
    <w:rsid w:val="0024416D"/>
    <w:rsid w:val="0024478C"/>
    <w:rsid w:val="002447FD"/>
    <w:rsid w:val="002448F7"/>
    <w:rsid w:val="00244A7C"/>
    <w:rsid w:val="00245193"/>
    <w:rsid w:val="002453E5"/>
    <w:rsid w:val="00245591"/>
    <w:rsid w:val="002455D0"/>
    <w:rsid w:val="00245A47"/>
    <w:rsid w:val="00245B51"/>
    <w:rsid w:val="00245CED"/>
    <w:rsid w:val="00246097"/>
    <w:rsid w:val="002461FC"/>
    <w:rsid w:val="00246554"/>
    <w:rsid w:val="00246695"/>
    <w:rsid w:val="002468FD"/>
    <w:rsid w:val="00246B1D"/>
    <w:rsid w:val="00246B35"/>
    <w:rsid w:val="00246C29"/>
    <w:rsid w:val="00246E4C"/>
    <w:rsid w:val="00246E7C"/>
    <w:rsid w:val="00246F3E"/>
    <w:rsid w:val="00246F68"/>
    <w:rsid w:val="0024731A"/>
    <w:rsid w:val="00247359"/>
    <w:rsid w:val="0024744B"/>
    <w:rsid w:val="002474E7"/>
    <w:rsid w:val="002475C8"/>
    <w:rsid w:val="0024792F"/>
    <w:rsid w:val="00247A8B"/>
    <w:rsid w:val="0025028A"/>
    <w:rsid w:val="002506C0"/>
    <w:rsid w:val="0025077F"/>
    <w:rsid w:val="002507FA"/>
    <w:rsid w:val="00250D9D"/>
    <w:rsid w:val="0025115B"/>
    <w:rsid w:val="00251458"/>
    <w:rsid w:val="00251745"/>
    <w:rsid w:val="0025192F"/>
    <w:rsid w:val="0025193C"/>
    <w:rsid w:val="002519EF"/>
    <w:rsid w:val="00251CBA"/>
    <w:rsid w:val="00252139"/>
    <w:rsid w:val="00252460"/>
    <w:rsid w:val="002525A6"/>
    <w:rsid w:val="00252650"/>
    <w:rsid w:val="00252912"/>
    <w:rsid w:val="00252A2D"/>
    <w:rsid w:val="00252AB8"/>
    <w:rsid w:val="00252C5A"/>
    <w:rsid w:val="002531EE"/>
    <w:rsid w:val="002534DE"/>
    <w:rsid w:val="00253804"/>
    <w:rsid w:val="00253952"/>
    <w:rsid w:val="00253A85"/>
    <w:rsid w:val="00253C21"/>
    <w:rsid w:val="00253E0B"/>
    <w:rsid w:val="00253E3F"/>
    <w:rsid w:val="002541D9"/>
    <w:rsid w:val="002542B8"/>
    <w:rsid w:val="002542C4"/>
    <w:rsid w:val="0025452C"/>
    <w:rsid w:val="002546D7"/>
    <w:rsid w:val="002547AA"/>
    <w:rsid w:val="0025481E"/>
    <w:rsid w:val="002548A3"/>
    <w:rsid w:val="00254999"/>
    <w:rsid w:val="00254A21"/>
    <w:rsid w:val="00254D94"/>
    <w:rsid w:val="00254DB3"/>
    <w:rsid w:val="00254E76"/>
    <w:rsid w:val="00255157"/>
    <w:rsid w:val="00255227"/>
    <w:rsid w:val="00255287"/>
    <w:rsid w:val="00255305"/>
    <w:rsid w:val="0025532C"/>
    <w:rsid w:val="002553B0"/>
    <w:rsid w:val="00255403"/>
    <w:rsid w:val="00255608"/>
    <w:rsid w:val="00255644"/>
    <w:rsid w:val="0025577D"/>
    <w:rsid w:val="00255930"/>
    <w:rsid w:val="00255DAD"/>
    <w:rsid w:val="00255E80"/>
    <w:rsid w:val="002562E9"/>
    <w:rsid w:val="00256E86"/>
    <w:rsid w:val="00260103"/>
    <w:rsid w:val="00260381"/>
    <w:rsid w:val="002606EC"/>
    <w:rsid w:val="00260712"/>
    <w:rsid w:val="00260773"/>
    <w:rsid w:val="00260966"/>
    <w:rsid w:val="002612AB"/>
    <w:rsid w:val="002612F9"/>
    <w:rsid w:val="0026158D"/>
    <w:rsid w:val="002617E1"/>
    <w:rsid w:val="00261977"/>
    <w:rsid w:val="00261994"/>
    <w:rsid w:val="00261B05"/>
    <w:rsid w:val="00262017"/>
    <w:rsid w:val="002620AB"/>
    <w:rsid w:val="002624F5"/>
    <w:rsid w:val="00262808"/>
    <w:rsid w:val="0026292D"/>
    <w:rsid w:val="00262AFA"/>
    <w:rsid w:val="00262F6F"/>
    <w:rsid w:val="00263265"/>
    <w:rsid w:val="0026388A"/>
    <w:rsid w:val="0026390C"/>
    <w:rsid w:val="00263AC0"/>
    <w:rsid w:val="0026479A"/>
    <w:rsid w:val="002647DC"/>
    <w:rsid w:val="002649C4"/>
    <w:rsid w:val="00264B83"/>
    <w:rsid w:val="00264CC0"/>
    <w:rsid w:val="00264E8B"/>
    <w:rsid w:val="002655D6"/>
    <w:rsid w:val="0026583B"/>
    <w:rsid w:val="00265A2F"/>
    <w:rsid w:val="00265B01"/>
    <w:rsid w:val="00265F03"/>
    <w:rsid w:val="00266002"/>
    <w:rsid w:val="002660CE"/>
    <w:rsid w:val="002662E3"/>
    <w:rsid w:val="00266932"/>
    <w:rsid w:val="00266FFD"/>
    <w:rsid w:val="0026721E"/>
    <w:rsid w:val="002673AF"/>
    <w:rsid w:val="0026757B"/>
    <w:rsid w:val="0026772D"/>
    <w:rsid w:val="00267884"/>
    <w:rsid w:val="00267BCC"/>
    <w:rsid w:val="00267C14"/>
    <w:rsid w:val="00267F7C"/>
    <w:rsid w:val="0026D78E"/>
    <w:rsid w:val="00270004"/>
    <w:rsid w:val="002704FA"/>
    <w:rsid w:val="00270FBB"/>
    <w:rsid w:val="00271310"/>
    <w:rsid w:val="002715F3"/>
    <w:rsid w:val="00271D6C"/>
    <w:rsid w:val="00271DD4"/>
    <w:rsid w:val="00271EC0"/>
    <w:rsid w:val="002722B6"/>
    <w:rsid w:val="002724D4"/>
    <w:rsid w:val="002724D9"/>
    <w:rsid w:val="002724F2"/>
    <w:rsid w:val="00272795"/>
    <w:rsid w:val="00272922"/>
    <w:rsid w:val="00272A1A"/>
    <w:rsid w:val="00272A5A"/>
    <w:rsid w:val="00272A92"/>
    <w:rsid w:val="00272B1E"/>
    <w:rsid w:val="00272EC7"/>
    <w:rsid w:val="002732D3"/>
    <w:rsid w:val="00273366"/>
    <w:rsid w:val="00273522"/>
    <w:rsid w:val="00273662"/>
    <w:rsid w:val="002736A8"/>
    <w:rsid w:val="002739EE"/>
    <w:rsid w:val="00273AE5"/>
    <w:rsid w:val="00273B62"/>
    <w:rsid w:val="00273B6B"/>
    <w:rsid w:val="00273B7A"/>
    <w:rsid w:val="002741AA"/>
    <w:rsid w:val="00274249"/>
    <w:rsid w:val="002747C0"/>
    <w:rsid w:val="00274E38"/>
    <w:rsid w:val="00274F95"/>
    <w:rsid w:val="00274FC2"/>
    <w:rsid w:val="002750FB"/>
    <w:rsid w:val="002751A3"/>
    <w:rsid w:val="00275830"/>
    <w:rsid w:val="002758CB"/>
    <w:rsid w:val="002759F2"/>
    <w:rsid w:val="00275B1D"/>
    <w:rsid w:val="00275EC1"/>
    <w:rsid w:val="0027604A"/>
    <w:rsid w:val="00276074"/>
    <w:rsid w:val="00276AA7"/>
    <w:rsid w:val="00276C33"/>
    <w:rsid w:val="002772B6"/>
    <w:rsid w:val="0027745A"/>
    <w:rsid w:val="00277539"/>
    <w:rsid w:val="0027753F"/>
    <w:rsid w:val="0027784C"/>
    <w:rsid w:val="00277B09"/>
    <w:rsid w:val="00277DE9"/>
    <w:rsid w:val="00280254"/>
    <w:rsid w:val="00280388"/>
    <w:rsid w:val="00280688"/>
    <w:rsid w:val="002807FA"/>
    <w:rsid w:val="00280841"/>
    <w:rsid w:val="00280A07"/>
    <w:rsid w:val="00280C7D"/>
    <w:rsid w:val="00280DE8"/>
    <w:rsid w:val="00280E3C"/>
    <w:rsid w:val="0028125B"/>
    <w:rsid w:val="002816BC"/>
    <w:rsid w:val="002816C8"/>
    <w:rsid w:val="0028171E"/>
    <w:rsid w:val="002817EF"/>
    <w:rsid w:val="00281E1F"/>
    <w:rsid w:val="00282153"/>
    <w:rsid w:val="0028243E"/>
    <w:rsid w:val="00282469"/>
    <w:rsid w:val="002827C0"/>
    <w:rsid w:val="00282DD0"/>
    <w:rsid w:val="002831BF"/>
    <w:rsid w:val="00283495"/>
    <w:rsid w:val="0028379B"/>
    <w:rsid w:val="002838F3"/>
    <w:rsid w:val="00283948"/>
    <w:rsid w:val="00283D94"/>
    <w:rsid w:val="00283DCC"/>
    <w:rsid w:val="002840B5"/>
    <w:rsid w:val="00284113"/>
    <w:rsid w:val="00284292"/>
    <w:rsid w:val="00284667"/>
    <w:rsid w:val="002847E6"/>
    <w:rsid w:val="002853F8"/>
    <w:rsid w:val="002857BD"/>
    <w:rsid w:val="00285C5A"/>
    <w:rsid w:val="00285DED"/>
    <w:rsid w:val="00286326"/>
    <w:rsid w:val="00286362"/>
    <w:rsid w:val="002863A3"/>
    <w:rsid w:val="002864A6"/>
    <w:rsid w:val="002865C8"/>
    <w:rsid w:val="00286874"/>
    <w:rsid w:val="002868AD"/>
    <w:rsid w:val="002869D0"/>
    <w:rsid w:val="00286B46"/>
    <w:rsid w:val="00286B91"/>
    <w:rsid w:val="00286C08"/>
    <w:rsid w:val="00286D4B"/>
    <w:rsid w:val="0028702B"/>
    <w:rsid w:val="0028712A"/>
    <w:rsid w:val="0028748E"/>
    <w:rsid w:val="00287638"/>
    <w:rsid w:val="002901B4"/>
    <w:rsid w:val="00290289"/>
    <w:rsid w:val="00290A12"/>
    <w:rsid w:val="00290B16"/>
    <w:rsid w:val="00290C7B"/>
    <w:rsid w:val="00290CF1"/>
    <w:rsid w:val="00290E1A"/>
    <w:rsid w:val="00291322"/>
    <w:rsid w:val="0029144A"/>
    <w:rsid w:val="002914D1"/>
    <w:rsid w:val="00291556"/>
    <w:rsid w:val="00291A2E"/>
    <w:rsid w:val="00291E2A"/>
    <w:rsid w:val="002923B1"/>
    <w:rsid w:val="002924E3"/>
    <w:rsid w:val="00292662"/>
    <w:rsid w:val="00292CA8"/>
    <w:rsid w:val="00292F93"/>
    <w:rsid w:val="002934EC"/>
    <w:rsid w:val="002936D6"/>
    <w:rsid w:val="002938C9"/>
    <w:rsid w:val="0029397F"/>
    <w:rsid w:val="00293E3A"/>
    <w:rsid w:val="00293F55"/>
    <w:rsid w:val="00294111"/>
    <w:rsid w:val="00294711"/>
    <w:rsid w:val="00294882"/>
    <w:rsid w:val="002948E7"/>
    <w:rsid w:val="0029497D"/>
    <w:rsid w:val="0029503E"/>
    <w:rsid w:val="0029557A"/>
    <w:rsid w:val="00295E31"/>
    <w:rsid w:val="00295F53"/>
    <w:rsid w:val="0029644C"/>
    <w:rsid w:val="002965F6"/>
    <w:rsid w:val="00296B65"/>
    <w:rsid w:val="00296BEE"/>
    <w:rsid w:val="00296D7B"/>
    <w:rsid w:val="00296E92"/>
    <w:rsid w:val="00296F44"/>
    <w:rsid w:val="00297399"/>
    <w:rsid w:val="0029763A"/>
    <w:rsid w:val="00297666"/>
    <w:rsid w:val="0029786D"/>
    <w:rsid w:val="00297BA9"/>
    <w:rsid w:val="00297C8D"/>
    <w:rsid w:val="00297E0B"/>
    <w:rsid w:val="00297E29"/>
    <w:rsid w:val="00297F4D"/>
    <w:rsid w:val="00297F91"/>
    <w:rsid w:val="002A087C"/>
    <w:rsid w:val="002A0D7B"/>
    <w:rsid w:val="002A1437"/>
    <w:rsid w:val="002A1AC1"/>
    <w:rsid w:val="002A1BB3"/>
    <w:rsid w:val="002A2168"/>
    <w:rsid w:val="002A2262"/>
    <w:rsid w:val="002A23F6"/>
    <w:rsid w:val="002A243D"/>
    <w:rsid w:val="002A31F1"/>
    <w:rsid w:val="002A32F2"/>
    <w:rsid w:val="002A348D"/>
    <w:rsid w:val="002A34B6"/>
    <w:rsid w:val="002A3818"/>
    <w:rsid w:val="002A3878"/>
    <w:rsid w:val="002A3B76"/>
    <w:rsid w:val="002A3D96"/>
    <w:rsid w:val="002A3EE6"/>
    <w:rsid w:val="002A3F5F"/>
    <w:rsid w:val="002A3FC3"/>
    <w:rsid w:val="002A41E2"/>
    <w:rsid w:val="002A4282"/>
    <w:rsid w:val="002A4411"/>
    <w:rsid w:val="002A452C"/>
    <w:rsid w:val="002A452F"/>
    <w:rsid w:val="002A462D"/>
    <w:rsid w:val="002A488D"/>
    <w:rsid w:val="002A4B61"/>
    <w:rsid w:val="002A5029"/>
    <w:rsid w:val="002A5069"/>
    <w:rsid w:val="002A50BF"/>
    <w:rsid w:val="002A5891"/>
    <w:rsid w:val="002A5D20"/>
    <w:rsid w:val="002A5FDC"/>
    <w:rsid w:val="002A6006"/>
    <w:rsid w:val="002A68DB"/>
    <w:rsid w:val="002A6C3A"/>
    <w:rsid w:val="002A6C76"/>
    <w:rsid w:val="002A6F39"/>
    <w:rsid w:val="002A716F"/>
    <w:rsid w:val="002A7461"/>
    <w:rsid w:val="002A74CD"/>
    <w:rsid w:val="002A7C09"/>
    <w:rsid w:val="002A7DEF"/>
    <w:rsid w:val="002A7F83"/>
    <w:rsid w:val="002B03E5"/>
    <w:rsid w:val="002B03E9"/>
    <w:rsid w:val="002B0722"/>
    <w:rsid w:val="002B153C"/>
    <w:rsid w:val="002B17AE"/>
    <w:rsid w:val="002B1AD5"/>
    <w:rsid w:val="002B1AE4"/>
    <w:rsid w:val="002B1BFF"/>
    <w:rsid w:val="002B1C8B"/>
    <w:rsid w:val="002B1FBB"/>
    <w:rsid w:val="002B201E"/>
    <w:rsid w:val="002B21F4"/>
    <w:rsid w:val="002B2365"/>
    <w:rsid w:val="002B2585"/>
    <w:rsid w:val="002B27F7"/>
    <w:rsid w:val="002B2AA4"/>
    <w:rsid w:val="002B2C94"/>
    <w:rsid w:val="002B2D23"/>
    <w:rsid w:val="002B3058"/>
    <w:rsid w:val="002B3159"/>
    <w:rsid w:val="002B33D0"/>
    <w:rsid w:val="002B3ECB"/>
    <w:rsid w:val="002B4068"/>
    <w:rsid w:val="002B40D2"/>
    <w:rsid w:val="002B4C48"/>
    <w:rsid w:val="002B4DCF"/>
    <w:rsid w:val="002B4F84"/>
    <w:rsid w:val="002B5C56"/>
    <w:rsid w:val="002B5CF9"/>
    <w:rsid w:val="002B5DF8"/>
    <w:rsid w:val="002B625E"/>
    <w:rsid w:val="002B65F9"/>
    <w:rsid w:val="002B66BE"/>
    <w:rsid w:val="002B70AC"/>
    <w:rsid w:val="002B70F7"/>
    <w:rsid w:val="002B7270"/>
    <w:rsid w:val="002B72B7"/>
    <w:rsid w:val="002B7615"/>
    <w:rsid w:val="002B7742"/>
    <w:rsid w:val="002B7880"/>
    <w:rsid w:val="002B79AF"/>
    <w:rsid w:val="002B7AAA"/>
    <w:rsid w:val="002B7AB3"/>
    <w:rsid w:val="002C0083"/>
    <w:rsid w:val="002C015B"/>
    <w:rsid w:val="002C02F3"/>
    <w:rsid w:val="002C09F6"/>
    <w:rsid w:val="002C0CF7"/>
    <w:rsid w:val="002C0E4F"/>
    <w:rsid w:val="002C0E67"/>
    <w:rsid w:val="002C1071"/>
    <w:rsid w:val="002C113E"/>
    <w:rsid w:val="002C17A4"/>
    <w:rsid w:val="002C18D6"/>
    <w:rsid w:val="002C19AE"/>
    <w:rsid w:val="002C19F8"/>
    <w:rsid w:val="002C1CDF"/>
    <w:rsid w:val="002C1F7B"/>
    <w:rsid w:val="002C1FDE"/>
    <w:rsid w:val="002C2683"/>
    <w:rsid w:val="002C2C2C"/>
    <w:rsid w:val="002C2DB9"/>
    <w:rsid w:val="002C2E6F"/>
    <w:rsid w:val="002C2F5D"/>
    <w:rsid w:val="002C3313"/>
    <w:rsid w:val="002C33B5"/>
    <w:rsid w:val="002C33F5"/>
    <w:rsid w:val="002C387F"/>
    <w:rsid w:val="002C3E34"/>
    <w:rsid w:val="002C4888"/>
    <w:rsid w:val="002C4925"/>
    <w:rsid w:val="002C4B5F"/>
    <w:rsid w:val="002C50E3"/>
    <w:rsid w:val="002C559A"/>
    <w:rsid w:val="002C5ACA"/>
    <w:rsid w:val="002C5BDE"/>
    <w:rsid w:val="002C6251"/>
    <w:rsid w:val="002C6499"/>
    <w:rsid w:val="002C665B"/>
    <w:rsid w:val="002C66C5"/>
    <w:rsid w:val="002C689D"/>
    <w:rsid w:val="002C69F0"/>
    <w:rsid w:val="002C6E57"/>
    <w:rsid w:val="002C734F"/>
    <w:rsid w:val="002C7697"/>
    <w:rsid w:val="002C789E"/>
    <w:rsid w:val="002C7BCE"/>
    <w:rsid w:val="002C7D93"/>
    <w:rsid w:val="002C7E52"/>
    <w:rsid w:val="002D0132"/>
    <w:rsid w:val="002D0202"/>
    <w:rsid w:val="002D06A6"/>
    <w:rsid w:val="002D0844"/>
    <w:rsid w:val="002D0A3A"/>
    <w:rsid w:val="002D0D79"/>
    <w:rsid w:val="002D0DCE"/>
    <w:rsid w:val="002D0E1E"/>
    <w:rsid w:val="002D1058"/>
    <w:rsid w:val="002D1314"/>
    <w:rsid w:val="002D18D2"/>
    <w:rsid w:val="002D1A26"/>
    <w:rsid w:val="002D1B0E"/>
    <w:rsid w:val="002D1B1D"/>
    <w:rsid w:val="002D2024"/>
    <w:rsid w:val="002D2BDE"/>
    <w:rsid w:val="002D2D7D"/>
    <w:rsid w:val="002D2DBD"/>
    <w:rsid w:val="002D2E83"/>
    <w:rsid w:val="002D2F86"/>
    <w:rsid w:val="002D3A34"/>
    <w:rsid w:val="002D3CE3"/>
    <w:rsid w:val="002D3CE6"/>
    <w:rsid w:val="002D3E9D"/>
    <w:rsid w:val="002D3EA9"/>
    <w:rsid w:val="002D4020"/>
    <w:rsid w:val="002D4059"/>
    <w:rsid w:val="002D45C4"/>
    <w:rsid w:val="002D4675"/>
    <w:rsid w:val="002D46ED"/>
    <w:rsid w:val="002D4AA9"/>
    <w:rsid w:val="002D4B1D"/>
    <w:rsid w:val="002D5111"/>
    <w:rsid w:val="002D5143"/>
    <w:rsid w:val="002D5355"/>
    <w:rsid w:val="002D54E9"/>
    <w:rsid w:val="002D57EE"/>
    <w:rsid w:val="002D5FE5"/>
    <w:rsid w:val="002D693D"/>
    <w:rsid w:val="002D702A"/>
    <w:rsid w:val="002D737B"/>
    <w:rsid w:val="002D76D7"/>
    <w:rsid w:val="002D7783"/>
    <w:rsid w:val="002D79CC"/>
    <w:rsid w:val="002D7D78"/>
    <w:rsid w:val="002E02AB"/>
    <w:rsid w:val="002E07A4"/>
    <w:rsid w:val="002E08B5"/>
    <w:rsid w:val="002E0BB5"/>
    <w:rsid w:val="002E0DA1"/>
    <w:rsid w:val="002E1213"/>
    <w:rsid w:val="002E1437"/>
    <w:rsid w:val="002E1493"/>
    <w:rsid w:val="002E151F"/>
    <w:rsid w:val="002E18C0"/>
    <w:rsid w:val="002E1CC9"/>
    <w:rsid w:val="002E1E86"/>
    <w:rsid w:val="002E238F"/>
    <w:rsid w:val="002E26B9"/>
    <w:rsid w:val="002E3182"/>
    <w:rsid w:val="002E369D"/>
    <w:rsid w:val="002E3845"/>
    <w:rsid w:val="002E3BE8"/>
    <w:rsid w:val="002E3E97"/>
    <w:rsid w:val="002E3EE9"/>
    <w:rsid w:val="002E423C"/>
    <w:rsid w:val="002E4277"/>
    <w:rsid w:val="002E42D8"/>
    <w:rsid w:val="002E442E"/>
    <w:rsid w:val="002E4AA7"/>
    <w:rsid w:val="002E4B7C"/>
    <w:rsid w:val="002E4DAA"/>
    <w:rsid w:val="002E51F9"/>
    <w:rsid w:val="002E53F4"/>
    <w:rsid w:val="002E5451"/>
    <w:rsid w:val="002E5644"/>
    <w:rsid w:val="002E589E"/>
    <w:rsid w:val="002E5D25"/>
    <w:rsid w:val="002E5D3E"/>
    <w:rsid w:val="002E5E11"/>
    <w:rsid w:val="002E5E4B"/>
    <w:rsid w:val="002E5F4E"/>
    <w:rsid w:val="002E6B41"/>
    <w:rsid w:val="002E6D84"/>
    <w:rsid w:val="002E6D9C"/>
    <w:rsid w:val="002E721D"/>
    <w:rsid w:val="002E7344"/>
    <w:rsid w:val="002E74B2"/>
    <w:rsid w:val="002E7884"/>
    <w:rsid w:val="002E78CF"/>
    <w:rsid w:val="002E7D28"/>
    <w:rsid w:val="002F056F"/>
    <w:rsid w:val="002F0727"/>
    <w:rsid w:val="002F0751"/>
    <w:rsid w:val="002F07B1"/>
    <w:rsid w:val="002F08DE"/>
    <w:rsid w:val="002F0AD6"/>
    <w:rsid w:val="002F10E1"/>
    <w:rsid w:val="002F1ABD"/>
    <w:rsid w:val="002F1E8A"/>
    <w:rsid w:val="002F27A9"/>
    <w:rsid w:val="002F30FD"/>
    <w:rsid w:val="002F3176"/>
    <w:rsid w:val="002F31F3"/>
    <w:rsid w:val="002F3557"/>
    <w:rsid w:val="002F374C"/>
    <w:rsid w:val="002F3909"/>
    <w:rsid w:val="002F3B39"/>
    <w:rsid w:val="002F3C03"/>
    <w:rsid w:val="002F3C1D"/>
    <w:rsid w:val="002F3CA0"/>
    <w:rsid w:val="002F4455"/>
    <w:rsid w:val="002F4550"/>
    <w:rsid w:val="002F4B4C"/>
    <w:rsid w:val="002F4BCF"/>
    <w:rsid w:val="002F4F95"/>
    <w:rsid w:val="002F5051"/>
    <w:rsid w:val="002F556C"/>
    <w:rsid w:val="002F5716"/>
    <w:rsid w:val="002F5B51"/>
    <w:rsid w:val="002F5F7C"/>
    <w:rsid w:val="002F61D9"/>
    <w:rsid w:val="002F64BE"/>
    <w:rsid w:val="002F6A2A"/>
    <w:rsid w:val="002F6DF2"/>
    <w:rsid w:val="002F7144"/>
    <w:rsid w:val="002F73E4"/>
    <w:rsid w:val="002F74DA"/>
    <w:rsid w:val="002F7719"/>
    <w:rsid w:val="002F7986"/>
    <w:rsid w:val="002F79B5"/>
    <w:rsid w:val="002F7B88"/>
    <w:rsid w:val="002F7EEA"/>
    <w:rsid w:val="003004AD"/>
    <w:rsid w:val="003005C3"/>
    <w:rsid w:val="00300687"/>
    <w:rsid w:val="003006EA"/>
    <w:rsid w:val="0030084C"/>
    <w:rsid w:val="00300AFD"/>
    <w:rsid w:val="00300B4A"/>
    <w:rsid w:val="00300D4A"/>
    <w:rsid w:val="00300DE6"/>
    <w:rsid w:val="00301078"/>
    <w:rsid w:val="003011C8"/>
    <w:rsid w:val="003011E5"/>
    <w:rsid w:val="00301290"/>
    <w:rsid w:val="0030139D"/>
    <w:rsid w:val="0030187D"/>
    <w:rsid w:val="00301B7F"/>
    <w:rsid w:val="00301E42"/>
    <w:rsid w:val="00301F31"/>
    <w:rsid w:val="00301FC9"/>
    <w:rsid w:val="0030248F"/>
    <w:rsid w:val="0030292A"/>
    <w:rsid w:val="00302A12"/>
    <w:rsid w:val="00302ECF"/>
    <w:rsid w:val="00302FAE"/>
    <w:rsid w:val="00303087"/>
    <w:rsid w:val="00303171"/>
    <w:rsid w:val="003031CE"/>
    <w:rsid w:val="00303580"/>
    <w:rsid w:val="0030358E"/>
    <w:rsid w:val="0030377F"/>
    <w:rsid w:val="00303897"/>
    <w:rsid w:val="00303902"/>
    <w:rsid w:val="00303C4A"/>
    <w:rsid w:val="00303EF7"/>
    <w:rsid w:val="0030411D"/>
    <w:rsid w:val="003045EE"/>
    <w:rsid w:val="00305072"/>
    <w:rsid w:val="003050D0"/>
    <w:rsid w:val="00305284"/>
    <w:rsid w:val="00305747"/>
    <w:rsid w:val="00306093"/>
    <w:rsid w:val="003062CC"/>
    <w:rsid w:val="00306390"/>
    <w:rsid w:val="003063E3"/>
    <w:rsid w:val="003073BB"/>
    <w:rsid w:val="00307F14"/>
    <w:rsid w:val="00307F6D"/>
    <w:rsid w:val="0031001C"/>
    <w:rsid w:val="0031085C"/>
    <w:rsid w:val="0031093A"/>
    <w:rsid w:val="00310B9B"/>
    <w:rsid w:val="00310D5F"/>
    <w:rsid w:val="0031117B"/>
    <w:rsid w:val="0031136D"/>
    <w:rsid w:val="0031144F"/>
    <w:rsid w:val="003114DE"/>
    <w:rsid w:val="00311793"/>
    <w:rsid w:val="00311E03"/>
    <w:rsid w:val="00311E2C"/>
    <w:rsid w:val="00312ADD"/>
    <w:rsid w:val="00312B30"/>
    <w:rsid w:val="00313095"/>
    <w:rsid w:val="0031334C"/>
    <w:rsid w:val="003133C6"/>
    <w:rsid w:val="00313950"/>
    <w:rsid w:val="003139EA"/>
    <w:rsid w:val="00313BC3"/>
    <w:rsid w:val="00313C20"/>
    <w:rsid w:val="00313DCF"/>
    <w:rsid w:val="00313E20"/>
    <w:rsid w:val="00314760"/>
    <w:rsid w:val="00314C80"/>
    <w:rsid w:val="00314F5A"/>
    <w:rsid w:val="00315089"/>
    <w:rsid w:val="0031540A"/>
    <w:rsid w:val="003156B9"/>
    <w:rsid w:val="003158A4"/>
    <w:rsid w:val="00315CDA"/>
    <w:rsid w:val="00315E41"/>
    <w:rsid w:val="00316124"/>
    <w:rsid w:val="00316308"/>
    <w:rsid w:val="00316323"/>
    <w:rsid w:val="003166EF"/>
    <w:rsid w:val="00316776"/>
    <w:rsid w:val="003167ED"/>
    <w:rsid w:val="0031686C"/>
    <w:rsid w:val="003168BA"/>
    <w:rsid w:val="00316BE2"/>
    <w:rsid w:val="0031725A"/>
    <w:rsid w:val="00317282"/>
    <w:rsid w:val="003177A2"/>
    <w:rsid w:val="00317836"/>
    <w:rsid w:val="00317A1A"/>
    <w:rsid w:val="00317BC4"/>
    <w:rsid w:val="00317CC3"/>
    <w:rsid w:val="00317EEF"/>
    <w:rsid w:val="00320311"/>
    <w:rsid w:val="003209DD"/>
    <w:rsid w:val="00320BEE"/>
    <w:rsid w:val="0032135B"/>
    <w:rsid w:val="003219F7"/>
    <w:rsid w:val="00321BE1"/>
    <w:rsid w:val="00321CFA"/>
    <w:rsid w:val="00321D5C"/>
    <w:rsid w:val="00321DF7"/>
    <w:rsid w:val="00321FB6"/>
    <w:rsid w:val="003220DE"/>
    <w:rsid w:val="003224B4"/>
    <w:rsid w:val="003224F8"/>
    <w:rsid w:val="00322AEA"/>
    <w:rsid w:val="00322C2F"/>
    <w:rsid w:val="00322CB9"/>
    <w:rsid w:val="00322DC2"/>
    <w:rsid w:val="00322DE4"/>
    <w:rsid w:val="00323036"/>
    <w:rsid w:val="00323097"/>
    <w:rsid w:val="00323489"/>
    <w:rsid w:val="00323960"/>
    <w:rsid w:val="003247C6"/>
    <w:rsid w:val="003249CC"/>
    <w:rsid w:val="00324A06"/>
    <w:rsid w:val="00324A78"/>
    <w:rsid w:val="00324D18"/>
    <w:rsid w:val="00324D35"/>
    <w:rsid w:val="00324E12"/>
    <w:rsid w:val="00325628"/>
    <w:rsid w:val="00326001"/>
    <w:rsid w:val="003260BE"/>
    <w:rsid w:val="00326744"/>
    <w:rsid w:val="00326F27"/>
    <w:rsid w:val="0032709A"/>
    <w:rsid w:val="003271B5"/>
    <w:rsid w:val="003277F4"/>
    <w:rsid w:val="00327BB3"/>
    <w:rsid w:val="00327C9D"/>
    <w:rsid w:val="003300BF"/>
    <w:rsid w:val="003301F7"/>
    <w:rsid w:val="00330217"/>
    <w:rsid w:val="00330358"/>
    <w:rsid w:val="00330504"/>
    <w:rsid w:val="00330582"/>
    <w:rsid w:val="0033060A"/>
    <w:rsid w:val="00330985"/>
    <w:rsid w:val="00330BF1"/>
    <w:rsid w:val="00330DF3"/>
    <w:rsid w:val="00330F33"/>
    <w:rsid w:val="00330F7D"/>
    <w:rsid w:val="003310F5"/>
    <w:rsid w:val="00331264"/>
    <w:rsid w:val="00331598"/>
    <w:rsid w:val="003316B7"/>
    <w:rsid w:val="003316BC"/>
    <w:rsid w:val="003316C3"/>
    <w:rsid w:val="003317B0"/>
    <w:rsid w:val="003318A6"/>
    <w:rsid w:val="00332480"/>
    <w:rsid w:val="00332731"/>
    <w:rsid w:val="00332BC0"/>
    <w:rsid w:val="00332C01"/>
    <w:rsid w:val="00332D82"/>
    <w:rsid w:val="00332F2D"/>
    <w:rsid w:val="00332FB5"/>
    <w:rsid w:val="0033333C"/>
    <w:rsid w:val="00333369"/>
    <w:rsid w:val="0033342C"/>
    <w:rsid w:val="003334B3"/>
    <w:rsid w:val="003334DA"/>
    <w:rsid w:val="003334DF"/>
    <w:rsid w:val="003335A0"/>
    <w:rsid w:val="003335F4"/>
    <w:rsid w:val="003336B1"/>
    <w:rsid w:val="0033383A"/>
    <w:rsid w:val="00333E10"/>
    <w:rsid w:val="0033410D"/>
    <w:rsid w:val="00334279"/>
    <w:rsid w:val="003342D7"/>
    <w:rsid w:val="0033444B"/>
    <w:rsid w:val="00334C8D"/>
    <w:rsid w:val="00334D30"/>
    <w:rsid w:val="00334EBF"/>
    <w:rsid w:val="00334F07"/>
    <w:rsid w:val="00335316"/>
    <w:rsid w:val="003355B4"/>
    <w:rsid w:val="003358C3"/>
    <w:rsid w:val="00335DF3"/>
    <w:rsid w:val="00336471"/>
    <w:rsid w:val="00336B1B"/>
    <w:rsid w:val="003372A3"/>
    <w:rsid w:val="003372CA"/>
    <w:rsid w:val="0033770A"/>
    <w:rsid w:val="00337856"/>
    <w:rsid w:val="003378C4"/>
    <w:rsid w:val="00337C50"/>
    <w:rsid w:val="00337CF5"/>
    <w:rsid w:val="00337D4C"/>
    <w:rsid w:val="00337D72"/>
    <w:rsid w:val="00337FF8"/>
    <w:rsid w:val="003405F5"/>
    <w:rsid w:val="0034060F"/>
    <w:rsid w:val="00340655"/>
    <w:rsid w:val="00340883"/>
    <w:rsid w:val="00340A11"/>
    <w:rsid w:val="00340D77"/>
    <w:rsid w:val="00341364"/>
    <w:rsid w:val="00341C97"/>
    <w:rsid w:val="0034224F"/>
    <w:rsid w:val="00342A27"/>
    <w:rsid w:val="00342D45"/>
    <w:rsid w:val="00342DB3"/>
    <w:rsid w:val="00343538"/>
    <w:rsid w:val="00343B97"/>
    <w:rsid w:val="00343F26"/>
    <w:rsid w:val="00343FE8"/>
    <w:rsid w:val="00344406"/>
    <w:rsid w:val="00344411"/>
    <w:rsid w:val="0034461D"/>
    <w:rsid w:val="00344897"/>
    <w:rsid w:val="003448AB"/>
    <w:rsid w:val="00344A36"/>
    <w:rsid w:val="00344A86"/>
    <w:rsid w:val="00344FF8"/>
    <w:rsid w:val="00345026"/>
    <w:rsid w:val="003451F2"/>
    <w:rsid w:val="0034523F"/>
    <w:rsid w:val="00345243"/>
    <w:rsid w:val="003453D6"/>
    <w:rsid w:val="003455F3"/>
    <w:rsid w:val="003456D5"/>
    <w:rsid w:val="00345726"/>
    <w:rsid w:val="00345878"/>
    <w:rsid w:val="00345889"/>
    <w:rsid w:val="003459E6"/>
    <w:rsid w:val="00345AF2"/>
    <w:rsid w:val="00345B46"/>
    <w:rsid w:val="00345CF3"/>
    <w:rsid w:val="0034611E"/>
    <w:rsid w:val="003461F3"/>
    <w:rsid w:val="00346415"/>
    <w:rsid w:val="00346584"/>
    <w:rsid w:val="00346656"/>
    <w:rsid w:val="00346932"/>
    <w:rsid w:val="0034693C"/>
    <w:rsid w:val="00346D2B"/>
    <w:rsid w:val="00346D55"/>
    <w:rsid w:val="00346DE4"/>
    <w:rsid w:val="003470F3"/>
    <w:rsid w:val="003477CF"/>
    <w:rsid w:val="00347B3E"/>
    <w:rsid w:val="00347CE8"/>
    <w:rsid w:val="0035004C"/>
    <w:rsid w:val="00350143"/>
    <w:rsid w:val="003502A9"/>
    <w:rsid w:val="00350322"/>
    <w:rsid w:val="0035039F"/>
    <w:rsid w:val="003506B4"/>
    <w:rsid w:val="003509A7"/>
    <w:rsid w:val="00350A39"/>
    <w:rsid w:val="00350A42"/>
    <w:rsid w:val="00350C68"/>
    <w:rsid w:val="00350DF1"/>
    <w:rsid w:val="00350EC6"/>
    <w:rsid w:val="003511EF"/>
    <w:rsid w:val="00351210"/>
    <w:rsid w:val="00351713"/>
    <w:rsid w:val="00351724"/>
    <w:rsid w:val="003517AB"/>
    <w:rsid w:val="00351835"/>
    <w:rsid w:val="003518B3"/>
    <w:rsid w:val="00351A83"/>
    <w:rsid w:val="00351C74"/>
    <w:rsid w:val="00351D5E"/>
    <w:rsid w:val="0035224A"/>
    <w:rsid w:val="0035239E"/>
    <w:rsid w:val="00352483"/>
    <w:rsid w:val="00352A8C"/>
    <w:rsid w:val="00352BE8"/>
    <w:rsid w:val="00352EAC"/>
    <w:rsid w:val="003538E0"/>
    <w:rsid w:val="00353C57"/>
    <w:rsid w:val="00353CD7"/>
    <w:rsid w:val="00354297"/>
    <w:rsid w:val="00354B86"/>
    <w:rsid w:val="00354DA9"/>
    <w:rsid w:val="00355011"/>
    <w:rsid w:val="0035510F"/>
    <w:rsid w:val="0035535E"/>
    <w:rsid w:val="003554D7"/>
    <w:rsid w:val="003554DD"/>
    <w:rsid w:val="003555AE"/>
    <w:rsid w:val="003556F0"/>
    <w:rsid w:val="00356143"/>
    <w:rsid w:val="003569A5"/>
    <w:rsid w:val="00356B03"/>
    <w:rsid w:val="00356B6E"/>
    <w:rsid w:val="00356C52"/>
    <w:rsid w:val="00356FBD"/>
    <w:rsid w:val="003571D6"/>
    <w:rsid w:val="00357656"/>
    <w:rsid w:val="00357D11"/>
    <w:rsid w:val="00360176"/>
    <w:rsid w:val="00360358"/>
    <w:rsid w:val="0036043E"/>
    <w:rsid w:val="00360687"/>
    <w:rsid w:val="00360B2A"/>
    <w:rsid w:val="00360D36"/>
    <w:rsid w:val="00360F79"/>
    <w:rsid w:val="00361773"/>
    <w:rsid w:val="0036179A"/>
    <w:rsid w:val="00361C77"/>
    <w:rsid w:val="00361F95"/>
    <w:rsid w:val="0036212D"/>
    <w:rsid w:val="00362337"/>
    <w:rsid w:val="00362452"/>
    <w:rsid w:val="00362899"/>
    <w:rsid w:val="00362AEB"/>
    <w:rsid w:val="00362BD9"/>
    <w:rsid w:val="00363090"/>
    <w:rsid w:val="00363527"/>
    <w:rsid w:val="0036358B"/>
    <w:rsid w:val="003635E7"/>
    <w:rsid w:val="00363625"/>
    <w:rsid w:val="00363988"/>
    <w:rsid w:val="003639DB"/>
    <w:rsid w:val="00363EA1"/>
    <w:rsid w:val="00364549"/>
    <w:rsid w:val="003646F0"/>
    <w:rsid w:val="003648F2"/>
    <w:rsid w:val="00364B72"/>
    <w:rsid w:val="00364CBF"/>
    <w:rsid w:val="00364E21"/>
    <w:rsid w:val="00364F44"/>
    <w:rsid w:val="0036523F"/>
    <w:rsid w:val="00365241"/>
    <w:rsid w:val="00365455"/>
    <w:rsid w:val="00365567"/>
    <w:rsid w:val="00365789"/>
    <w:rsid w:val="00365802"/>
    <w:rsid w:val="00365809"/>
    <w:rsid w:val="00365C10"/>
    <w:rsid w:val="00366117"/>
    <w:rsid w:val="00366B71"/>
    <w:rsid w:val="00366E79"/>
    <w:rsid w:val="00366EC9"/>
    <w:rsid w:val="00367280"/>
    <w:rsid w:val="00367423"/>
    <w:rsid w:val="0036787E"/>
    <w:rsid w:val="003678C1"/>
    <w:rsid w:val="003678F0"/>
    <w:rsid w:val="003679CC"/>
    <w:rsid w:val="00367AA4"/>
    <w:rsid w:val="00367D5E"/>
    <w:rsid w:val="00367F6D"/>
    <w:rsid w:val="00370448"/>
    <w:rsid w:val="00370A7C"/>
    <w:rsid w:val="00370D3A"/>
    <w:rsid w:val="003711D4"/>
    <w:rsid w:val="003712BA"/>
    <w:rsid w:val="0037134C"/>
    <w:rsid w:val="003717E6"/>
    <w:rsid w:val="0037193E"/>
    <w:rsid w:val="00371F3B"/>
    <w:rsid w:val="00372080"/>
    <w:rsid w:val="003723BF"/>
    <w:rsid w:val="003723F7"/>
    <w:rsid w:val="003727B5"/>
    <w:rsid w:val="00373102"/>
    <w:rsid w:val="003738CF"/>
    <w:rsid w:val="00373E18"/>
    <w:rsid w:val="00373E5C"/>
    <w:rsid w:val="00374150"/>
    <w:rsid w:val="0037417F"/>
    <w:rsid w:val="0037454B"/>
    <w:rsid w:val="003745EF"/>
    <w:rsid w:val="00374E0D"/>
    <w:rsid w:val="0037597E"/>
    <w:rsid w:val="00375C8C"/>
    <w:rsid w:val="00375D37"/>
    <w:rsid w:val="00376096"/>
    <w:rsid w:val="0037617F"/>
    <w:rsid w:val="0037646F"/>
    <w:rsid w:val="00376508"/>
    <w:rsid w:val="003768E3"/>
    <w:rsid w:val="00376C2E"/>
    <w:rsid w:val="003772DE"/>
    <w:rsid w:val="00377762"/>
    <w:rsid w:val="003778F8"/>
    <w:rsid w:val="00377F93"/>
    <w:rsid w:val="003802DD"/>
    <w:rsid w:val="00380331"/>
    <w:rsid w:val="00380335"/>
    <w:rsid w:val="00380435"/>
    <w:rsid w:val="00380436"/>
    <w:rsid w:val="00380531"/>
    <w:rsid w:val="00380573"/>
    <w:rsid w:val="00380685"/>
    <w:rsid w:val="003806CC"/>
    <w:rsid w:val="00380DAB"/>
    <w:rsid w:val="003810DC"/>
    <w:rsid w:val="00381305"/>
    <w:rsid w:val="003816AC"/>
    <w:rsid w:val="00381A97"/>
    <w:rsid w:val="00381BCC"/>
    <w:rsid w:val="00381D0E"/>
    <w:rsid w:val="00381DDA"/>
    <w:rsid w:val="00381FB7"/>
    <w:rsid w:val="00382794"/>
    <w:rsid w:val="00382968"/>
    <w:rsid w:val="00382997"/>
    <w:rsid w:val="00382B01"/>
    <w:rsid w:val="00383062"/>
    <w:rsid w:val="0038311A"/>
    <w:rsid w:val="00383602"/>
    <w:rsid w:val="003836D3"/>
    <w:rsid w:val="00383752"/>
    <w:rsid w:val="00383793"/>
    <w:rsid w:val="00383876"/>
    <w:rsid w:val="00383A26"/>
    <w:rsid w:val="00383A5F"/>
    <w:rsid w:val="00383D20"/>
    <w:rsid w:val="00384081"/>
    <w:rsid w:val="003840EC"/>
    <w:rsid w:val="0038432B"/>
    <w:rsid w:val="003844D6"/>
    <w:rsid w:val="003846F1"/>
    <w:rsid w:val="003847C8"/>
    <w:rsid w:val="00384F22"/>
    <w:rsid w:val="0038500E"/>
    <w:rsid w:val="00385347"/>
    <w:rsid w:val="0038560C"/>
    <w:rsid w:val="003858E8"/>
    <w:rsid w:val="003859DF"/>
    <w:rsid w:val="00386072"/>
    <w:rsid w:val="003862B9"/>
    <w:rsid w:val="003863DB"/>
    <w:rsid w:val="003865AA"/>
    <w:rsid w:val="00386637"/>
    <w:rsid w:val="003866CA"/>
    <w:rsid w:val="00386943"/>
    <w:rsid w:val="003869EA"/>
    <w:rsid w:val="00386A2C"/>
    <w:rsid w:val="00386BA5"/>
    <w:rsid w:val="00387030"/>
    <w:rsid w:val="0038732B"/>
    <w:rsid w:val="00387AB3"/>
    <w:rsid w:val="00387F40"/>
    <w:rsid w:val="0039011F"/>
    <w:rsid w:val="0039013D"/>
    <w:rsid w:val="0039014D"/>
    <w:rsid w:val="003904D3"/>
    <w:rsid w:val="003907F7"/>
    <w:rsid w:val="0039089E"/>
    <w:rsid w:val="00390988"/>
    <w:rsid w:val="00390C4F"/>
    <w:rsid w:val="00390CB5"/>
    <w:rsid w:val="00390E03"/>
    <w:rsid w:val="00391213"/>
    <w:rsid w:val="003912ED"/>
    <w:rsid w:val="0039130B"/>
    <w:rsid w:val="003914FD"/>
    <w:rsid w:val="00392085"/>
    <w:rsid w:val="00392182"/>
    <w:rsid w:val="0039229A"/>
    <w:rsid w:val="0039235D"/>
    <w:rsid w:val="0039286C"/>
    <w:rsid w:val="00392D9C"/>
    <w:rsid w:val="00392F3C"/>
    <w:rsid w:val="0039302E"/>
    <w:rsid w:val="003931EB"/>
    <w:rsid w:val="00393264"/>
    <w:rsid w:val="00393546"/>
    <w:rsid w:val="003937BB"/>
    <w:rsid w:val="00393C0B"/>
    <w:rsid w:val="00393DD7"/>
    <w:rsid w:val="003941C0"/>
    <w:rsid w:val="003942AB"/>
    <w:rsid w:val="00394797"/>
    <w:rsid w:val="003949D6"/>
    <w:rsid w:val="00394C53"/>
    <w:rsid w:val="00394EE5"/>
    <w:rsid w:val="00394FFD"/>
    <w:rsid w:val="00395875"/>
    <w:rsid w:val="00395A71"/>
    <w:rsid w:val="00395F66"/>
    <w:rsid w:val="003964E7"/>
    <w:rsid w:val="00396775"/>
    <w:rsid w:val="00396977"/>
    <w:rsid w:val="003969C4"/>
    <w:rsid w:val="00396AF8"/>
    <w:rsid w:val="00396D24"/>
    <w:rsid w:val="003970F3"/>
    <w:rsid w:val="00397198"/>
    <w:rsid w:val="00397753"/>
    <w:rsid w:val="00397950"/>
    <w:rsid w:val="00397B6B"/>
    <w:rsid w:val="0039DA69"/>
    <w:rsid w:val="003A013E"/>
    <w:rsid w:val="003A034A"/>
    <w:rsid w:val="003A0446"/>
    <w:rsid w:val="003A06E3"/>
    <w:rsid w:val="003A0BFD"/>
    <w:rsid w:val="003A1271"/>
    <w:rsid w:val="003A15FB"/>
    <w:rsid w:val="003A183D"/>
    <w:rsid w:val="003A190B"/>
    <w:rsid w:val="003A1EB1"/>
    <w:rsid w:val="003A2315"/>
    <w:rsid w:val="003A2494"/>
    <w:rsid w:val="003A2CC2"/>
    <w:rsid w:val="003A2EA7"/>
    <w:rsid w:val="003A3126"/>
    <w:rsid w:val="003A3224"/>
    <w:rsid w:val="003A3795"/>
    <w:rsid w:val="003A3C1B"/>
    <w:rsid w:val="003A3EF6"/>
    <w:rsid w:val="003A3F22"/>
    <w:rsid w:val="003A3F3E"/>
    <w:rsid w:val="003A44B1"/>
    <w:rsid w:val="003A4584"/>
    <w:rsid w:val="003A45D0"/>
    <w:rsid w:val="003A46CD"/>
    <w:rsid w:val="003A4813"/>
    <w:rsid w:val="003A491B"/>
    <w:rsid w:val="003A4DD4"/>
    <w:rsid w:val="003A53F2"/>
    <w:rsid w:val="003A5417"/>
    <w:rsid w:val="003A5696"/>
    <w:rsid w:val="003A5864"/>
    <w:rsid w:val="003A5A73"/>
    <w:rsid w:val="003A5F90"/>
    <w:rsid w:val="003A60FE"/>
    <w:rsid w:val="003A6542"/>
    <w:rsid w:val="003A6686"/>
    <w:rsid w:val="003A673F"/>
    <w:rsid w:val="003A6743"/>
    <w:rsid w:val="003A6856"/>
    <w:rsid w:val="003A6A7B"/>
    <w:rsid w:val="003A6E09"/>
    <w:rsid w:val="003A7019"/>
    <w:rsid w:val="003A7060"/>
    <w:rsid w:val="003A70D4"/>
    <w:rsid w:val="003A725D"/>
    <w:rsid w:val="003A75A8"/>
    <w:rsid w:val="003A76E0"/>
    <w:rsid w:val="003A77FD"/>
    <w:rsid w:val="003A7988"/>
    <w:rsid w:val="003A7B33"/>
    <w:rsid w:val="003A7D54"/>
    <w:rsid w:val="003A7D87"/>
    <w:rsid w:val="003A7DB0"/>
    <w:rsid w:val="003B00ED"/>
    <w:rsid w:val="003B0199"/>
    <w:rsid w:val="003B0212"/>
    <w:rsid w:val="003B0503"/>
    <w:rsid w:val="003B082D"/>
    <w:rsid w:val="003B0E66"/>
    <w:rsid w:val="003B10F5"/>
    <w:rsid w:val="003B11E1"/>
    <w:rsid w:val="003B129A"/>
    <w:rsid w:val="003B1302"/>
    <w:rsid w:val="003B1326"/>
    <w:rsid w:val="003B1368"/>
    <w:rsid w:val="003B16CB"/>
    <w:rsid w:val="003B1854"/>
    <w:rsid w:val="003B1878"/>
    <w:rsid w:val="003B1A24"/>
    <w:rsid w:val="003B1CC5"/>
    <w:rsid w:val="003B23D3"/>
    <w:rsid w:val="003B287A"/>
    <w:rsid w:val="003B2BA8"/>
    <w:rsid w:val="003B2D65"/>
    <w:rsid w:val="003B3182"/>
    <w:rsid w:val="003B36FD"/>
    <w:rsid w:val="003B3978"/>
    <w:rsid w:val="003B3EF2"/>
    <w:rsid w:val="003B44AE"/>
    <w:rsid w:val="003B48EA"/>
    <w:rsid w:val="003B4CC4"/>
    <w:rsid w:val="003B4F5D"/>
    <w:rsid w:val="003B4F7E"/>
    <w:rsid w:val="003B5112"/>
    <w:rsid w:val="003B5519"/>
    <w:rsid w:val="003B55E9"/>
    <w:rsid w:val="003B574B"/>
    <w:rsid w:val="003B5A70"/>
    <w:rsid w:val="003B605D"/>
    <w:rsid w:val="003B6234"/>
    <w:rsid w:val="003B6280"/>
    <w:rsid w:val="003B6327"/>
    <w:rsid w:val="003B64F0"/>
    <w:rsid w:val="003B6892"/>
    <w:rsid w:val="003B6BDD"/>
    <w:rsid w:val="003B6CC1"/>
    <w:rsid w:val="003B795A"/>
    <w:rsid w:val="003B7F88"/>
    <w:rsid w:val="003C08FC"/>
    <w:rsid w:val="003C0AB2"/>
    <w:rsid w:val="003C12E6"/>
    <w:rsid w:val="003C1A58"/>
    <w:rsid w:val="003C1C61"/>
    <w:rsid w:val="003C1CF8"/>
    <w:rsid w:val="003C26B3"/>
    <w:rsid w:val="003C28C5"/>
    <w:rsid w:val="003C2C40"/>
    <w:rsid w:val="003C2E4F"/>
    <w:rsid w:val="003C305B"/>
    <w:rsid w:val="003C310E"/>
    <w:rsid w:val="003C36C0"/>
    <w:rsid w:val="003C3726"/>
    <w:rsid w:val="003C3771"/>
    <w:rsid w:val="003C38B8"/>
    <w:rsid w:val="003C3949"/>
    <w:rsid w:val="003C3C8B"/>
    <w:rsid w:val="003C4066"/>
    <w:rsid w:val="003C416D"/>
    <w:rsid w:val="003C4339"/>
    <w:rsid w:val="003C44FD"/>
    <w:rsid w:val="003C4847"/>
    <w:rsid w:val="003C4C10"/>
    <w:rsid w:val="003C4CE8"/>
    <w:rsid w:val="003C53FA"/>
    <w:rsid w:val="003C5B3C"/>
    <w:rsid w:val="003C64B8"/>
    <w:rsid w:val="003C651A"/>
    <w:rsid w:val="003C6601"/>
    <w:rsid w:val="003C68EA"/>
    <w:rsid w:val="003C69A3"/>
    <w:rsid w:val="003C6AF5"/>
    <w:rsid w:val="003C77D4"/>
    <w:rsid w:val="003C79B6"/>
    <w:rsid w:val="003C7A62"/>
    <w:rsid w:val="003C7E37"/>
    <w:rsid w:val="003C7EA7"/>
    <w:rsid w:val="003C7EC9"/>
    <w:rsid w:val="003D0121"/>
    <w:rsid w:val="003D03B6"/>
    <w:rsid w:val="003D06EE"/>
    <w:rsid w:val="003D0CAC"/>
    <w:rsid w:val="003D1233"/>
    <w:rsid w:val="003D1290"/>
    <w:rsid w:val="003D1325"/>
    <w:rsid w:val="003D15A5"/>
    <w:rsid w:val="003D1813"/>
    <w:rsid w:val="003D18F5"/>
    <w:rsid w:val="003D1B13"/>
    <w:rsid w:val="003D25A1"/>
    <w:rsid w:val="003D27CB"/>
    <w:rsid w:val="003D2878"/>
    <w:rsid w:val="003D3723"/>
    <w:rsid w:val="003D378E"/>
    <w:rsid w:val="003D3863"/>
    <w:rsid w:val="003D42ED"/>
    <w:rsid w:val="003D4CCC"/>
    <w:rsid w:val="003D4E4B"/>
    <w:rsid w:val="003D4EEC"/>
    <w:rsid w:val="003D4FA2"/>
    <w:rsid w:val="003D5123"/>
    <w:rsid w:val="003D5258"/>
    <w:rsid w:val="003D5429"/>
    <w:rsid w:val="003D58B3"/>
    <w:rsid w:val="003D5942"/>
    <w:rsid w:val="003D5F06"/>
    <w:rsid w:val="003D6400"/>
    <w:rsid w:val="003D650D"/>
    <w:rsid w:val="003D6DE0"/>
    <w:rsid w:val="003D6F18"/>
    <w:rsid w:val="003D7304"/>
    <w:rsid w:val="003D744F"/>
    <w:rsid w:val="003D7892"/>
    <w:rsid w:val="003D7F0A"/>
    <w:rsid w:val="003E04F1"/>
    <w:rsid w:val="003E0AF6"/>
    <w:rsid w:val="003E0B2E"/>
    <w:rsid w:val="003E0E5D"/>
    <w:rsid w:val="003E0F36"/>
    <w:rsid w:val="003E0F6C"/>
    <w:rsid w:val="003E0FC2"/>
    <w:rsid w:val="003E115E"/>
    <w:rsid w:val="003E1266"/>
    <w:rsid w:val="003E1362"/>
    <w:rsid w:val="003E1746"/>
    <w:rsid w:val="003E17CA"/>
    <w:rsid w:val="003E1981"/>
    <w:rsid w:val="003E1C52"/>
    <w:rsid w:val="003E1D72"/>
    <w:rsid w:val="003E1F7F"/>
    <w:rsid w:val="003E2180"/>
    <w:rsid w:val="003E2432"/>
    <w:rsid w:val="003E26B1"/>
    <w:rsid w:val="003E2B42"/>
    <w:rsid w:val="003E2FD9"/>
    <w:rsid w:val="003E30DF"/>
    <w:rsid w:val="003E33B4"/>
    <w:rsid w:val="003E33E9"/>
    <w:rsid w:val="003E3622"/>
    <w:rsid w:val="003E3A5D"/>
    <w:rsid w:val="003E3BC7"/>
    <w:rsid w:val="003E3BF9"/>
    <w:rsid w:val="003E3C4F"/>
    <w:rsid w:val="003E3C51"/>
    <w:rsid w:val="003E3CAA"/>
    <w:rsid w:val="003E3D9A"/>
    <w:rsid w:val="003E3E04"/>
    <w:rsid w:val="003E3E7F"/>
    <w:rsid w:val="003E4189"/>
    <w:rsid w:val="003E4319"/>
    <w:rsid w:val="003E45DA"/>
    <w:rsid w:val="003E46CF"/>
    <w:rsid w:val="003E48BD"/>
    <w:rsid w:val="003E4E56"/>
    <w:rsid w:val="003E520E"/>
    <w:rsid w:val="003E53CA"/>
    <w:rsid w:val="003E5A6D"/>
    <w:rsid w:val="003E5A79"/>
    <w:rsid w:val="003E5CC1"/>
    <w:rsid w:val="003E5CEA"/>
    <w:rsid w:val="003E5F47"/>
    <w:rsid w:val="003E631C"/>
    <w:rsid w:val="003E633B"/>
    <w:rsid w:val="003E652D"/>
    <w:rsid w:val="003E67D0"/>
    <w:rsid w:val="003E6BC3"/>
    <w:rsid w:val="003E6F12"/>
    <w:rsid w:val="003E71A6"/>
    <w:rsid w:val="003E7237"/>
    <w:rsid w:val="003E7500"/>
    <w:rsid w:val="003E75FA"/>
    <w:rsid w:val="003E76B3"/>
    <w:rsid w:val="003E79D5"/>
    <w:rsid w:val="003E7F13"/>
    <w:rsid w:val="003F0263"/>
    <w:rsid w:val="003F0514"/>
    <w:rsid w:val="003F05E3"/>
    <w:rsid w:val="003F06EF"/>
    <w:rsid w:val="003F07F6"/>
    <w:rsid w:val="003F0B67"/>
    <w:rsid w:val="003F0B7C"/>
    <w:rsid w:val="003F0CC9"/>
    <w:rsid w:val="003F0D2B"/>
    <w:rsid w:val="003F0E1C"/>
    <w:rsid w:val="003F0EFC"/>
    <w:rsid w:val="003F12EB"/>
    <w:rsid w:val="003F150F"/>
    <w:rsid w:val="003F1620"/>
    <w:rsid w:val="003F171D"/>
    <w:rsid w:val="003F194F"/>
    <w:rsid w:val="003F1A89"/>
    <w:rsid w:val="003F1AB7"/>
    <w:rsid w:val="003F1AF8"/>
    <w:rsid w:val="003F1D6C"/>
    <w:rsid w:val="003F21CF"/>
    <w:rsid w:val="003F21EC"/>
    <w:rsid w:val="003F241D"/>
    <w:rsid w:val="003F2553"/>
    <w:rsid w:val="003F2DF0"/>
    <w:rsid w:val="003F2DF6"/>
    <w:rsid w:val="003F2E0C"/>
    <w:rsid w:val="003F3089"/>
    <w:rsid w:val="003F3335"/>
    <w:rsid w:val="003F3358"/>
    <w:rsid w:val="003F3B90"/>
    <w:rsid w:val="003F3C67"/>
    <w:rsid w:val="003F3D8D"/>
    <w:rsid w:val="003F3FCA"/>
    <w:rsid w:val="003F40B9"/>
    <w:rsid w:val="003F430D"/>
    <w:rsid w:val="003F47DA"/>
    <w:rsid w:val="003F4967"/>
    <w:rsid w:val="003F5771"/>
    <w:rsid w:val="003F5D3C"/>
    <w:rsid w:val="003F5FFF"/>
    <w:rsid w:val="003F657A"/>
    <w:rsid w:val="003F666E"/>
    <w:rsid w:val="003F6999"/>
    <w:rsid w:val="003F6AE5"/>
    <w:rsid w:val="003F6B36"/>
    <w:rsid w:val="003F6BD6"/>
    <w:rsid w:val="003F6BDC"/>
    <w:rsid w:val="003F6D10"/>
    <w:rsid w:val="003F6DDD"/>
    <w:rsid w:val="003F6DEB"/>
    <w:rsid w:val="003F7191"/>
    <w:rsid w:val="003F724C"/>
    <w:rsid w:val="003F72BB"/>
    <w:rsid w:val="003F764A"/>
    <w:rsid w:val="003F7911"/>
    <w:rsid w:val="003F7AC1"/>
    <w:rsid w:val="003F7B34"/>
    <w:rsid w:val="003F7B47"/>
    <w:rsid w:val="004000EC"/>
    <w:rsid w:val="00400731"/>
    <w:rsid w:val="0040088E"/>
    <w:rsid w:val="004008D2"/>
    <w:rsid w:val="00400BC2"/>
    <w:rsid w:val="00400C47"/>
    <w:rsid w:val="00401082"/>
    <w:rsid w:val="004026B4"/>
    <w:rsid w:val="004028C4"/>
    <w:rsid w:val="00402BFC"/>
    <w:rsid w:val="0040310E"/>
    <w:rsid w:val="004035CF"/>
    <w:rsid w:val="0040363F"/>
    <w:rsid w:val="0040370B"/>
    <w:rsid w:val="00403889"/>
    <w:rsid w:val="004041B4"/>
    <w:rsid w:val="004041D3"/>
    <w:rsid w:val="00404771"/>
    <w:rsid w:val="00404882"/>
    <w:rsid w:val="00404EDB"/>
    <w:rsid w:val="004050CC"/>
    <w:rsid w:val="00405180"/>
    <w:rsid w:val="00405323"/>
    <w:rsid w:val="0040552F"/>
    <w:rsid w:val="00405621"/>
    <w:rsid w:val="004056B7"/>
    <w:rsid w:val="004056C7"/>
    <w:rsid w:val="00405901"/>
    <w:rsid w:val="00405B31"/>
    <w:rsid w:val="00405FB7"/>
    <w:rsid w:val="004062F8"/>
    <w:rsid w:val="004064BC"/>
    <w:rsid w:val="0040660C"/>
    <w:rsid w:val="0040678C"/>
    <w:rsid w:val="004068D2"/>
    <w:rsid w:val="0040690A"/>
    <w:rsid w:val="00406EAE"/>
    <w:rsid w:val="00406FB6"/>
    <w:rsid w:val="00406FED"/>
    <w:rsid w:val="00407230"/>
    <w:rsid w:val="004076A2"/>
    <w:rsid w:val="00407C2C"/>
    <w:rsid w:val="00407FBD"/>
    <w:rsid w:val="00410287"/>
    <w:rsid w:val="00410341"/>
    <w:rsid w:val="0041034F"/>
    <w:rsid w:val="00410B6C"/>
    <w:rsid w:val="00410F6C"/>
    <w:rsid w:val="004117EE"/>
    <w:rsid w:val="004119C9"/>
    <w:rsid w:val="00411C86"/>
    <w:rsid w:val="00411E00"/>
    <w:rsid w:val="00411F90"/>
    <w:rsid w:val="004122F6"/>
    <w:rsid w:val="0041273C"/>
    <w:rsid w:val="00412B7B"/>
    <w:rsid w:val="00412D45"/>
    <w:rsid w:val="00412E36"/>
    <w:rsid w:val="00413189"/>
    <w:rsid w:val="00413280"/>
    <w:rsid w:val="004133D3"/>
    <w:rsid w:val="00413521"/>
    <w:rsid w:val="004139C7"/>
    <w:rsid w:val="00413B3F"/>
    <w:rsid w:val="00413CA0"/>
    <w:rsid w:val="00413DC1"/>
    <w:rsid w:val="00414137"/>
    <w:rsid w:val="004141BA"/>
    <w:rsid w:val="00414244"/>
    <w:rsid w:val="00414959"/>
    <w:rsid w:val="00414A75"/>
    <w:rsid w:val="00414E7C"/>
    <w:rsid w:val="004150B8"/>
    <w:rsid w:val="004152F5"/>
    <w:rsid w:val="004159AB"/>
    <w:rsid w:val="00415A5B"/>
    <w:rsid w:val="00415A83"/>
    <w:rsid w:val="00415A90"/>
    <w:rsid w:val="004162A6"/>
    <w:rsid w:val="00416412"/>
    <w:rsid w:val="0041643E"/>
    <w:rsid w:val="00416742"/>
    <w:rsid w:val="00416D93"/>
    <w:rsid w:val="00416F6D"/>
    <w:rsid w:val="0041703B"/>
    <w:rsid w:val="004172AF"/>
    <w:rsid w:val="00417383"/>
    <w:rsid w:val="0041766F"/>
    <w:rsid w:val="004176A7"/>
    <w:rsid w:val="00417921"/>
    <w:rsid w:val="00417E8F"/>
    <w:rsid w:val="00417F40"/>
    <w:rsid w:val="004201D2"/>
    <w:rsid w:val="00420217"/>
    <w:rsid w:val="00420244"/>
    <w:rsid w:val="004206D2"/>
    <w:rsid w:val="00420A66"/>
    <w:rsid w:val="00420D8E"/>
    <w:rsid w:val="00420EB0"/>
    <w:rsid w:val="0042125D"/>
    <w:rsid w:val="0042145E"/>
    <w:rsid w:val="00421487"/>
    <w:rsid w:val="00421858"/>
    <w:rsid w:val="004218B0"/>
    <w:rsid w:val="004219B0"/>
    <w:rsid w:val="004219F3"/>
    <w:rsid w:val="00421A08"/>
    <w:rsid w:val="00421CA8"/>
    <w:rsid w:val="00421D9E"/>
    <w:rsid w:val="00421DB1"/>
    <w:rsid w:val="00421E76"/>
    <w:rsid w:val="004222E0"/>
    <w:rsid w:val="00422671"/>
    <w:rsid w:val="00422878"/>
    <w:rsid w:val="00422936"/>
    <w:rsid w:val="00422CE0"/>
    <w:rsid w:val="00422E8F"/>
    <w:rsid w:val="00422EA6"/>
    <w:rsid w:val="00423211"/>
    <w:rsid w:val="0042324B"/>
    <w:rsid w:val="004235DB"/>
    <w:rsid w:val="004235F2"/>
    <w:rsid w:val="00423761"/>
    <w:rsid w:val="00423794"/>
    <w:rsid w:val="004238DC"/>
    <w:rsid w:val="00423A73"/>
    <w:rsid w:val="0042486F"/>
    <w:rsid w:val="00424A1B"/>
    <w:rsid w:val="004251D7"/>
    <w:rsid w:val="00425335"/>
    <w:rsid w:val="00425351"/>
    <w:rsid w:val="0042576C"/>
    <w:rsid w:val="00425AF2"/>
    <w:rsid w:val="00425B05"/>
    <w:rsid w:val="004261D6"/>
    <w:rsid w:val="0042675B"/>
    <w:rsid w:val="00426ABF"/>
    <w:rsid w:val="00426DF5"/>
    <w:rsid w:val="00426FDB"/>
    <w:rsid w:val="004272A7"/>
    <w:rsid w:val="00427347"/>
    <w:rsid w:val="004279D2"/>
    <w:rsid w:val="00427A3A"/>
    <w:rsid w:val="00427A88"/>
    <w:rsid w:val="00427F78"/>
    <w:rsid w:val="004309CA"/>
    <w:rsid w:val="00430DD1"/>
    <w:rsid w:val="00430ECE"/>
    <w:rsid w:val="00431188"/>
    <w:rsid w:val="0043119C"/>
    <w:rsid w:val="0043128D"/>
    <w:rsid w:val="00431532"/>
    <w:rsid w:val="00431800"/>
    <w:rsid w:val="00431AC0"/>
    <w:rsid w:val="00432154"/>
    <w:rsid w:val="004321D4"/>
    <w:rsid w:val="004323CF"/>
    <w:rsid w:val="00432741"/>
    <w:rsid w:val="00432A2F"/>
    <w:rsid w:val="00432B08"/>
    <w:rsid w:val="00432B2C"/>
    <w:rsid w:val="00432BCF"/>
    <w:rsid w:val="00432DE0"/>
    <w:rsid w:val="00433111"/>
    <w:rsid w:val="004335A2"/>
    <w:rsid w:val="00433FA1"/>
    <w:rsid w:val="004340A7"/>
    <w:rsid w:val="004342DF"/>
    <w:rsid w:val="0043462F"/>
    <w:rsid w:val="00434691"/>
    <w:rsid w:val="004348CD"/>
    <w:rsid w:val="004349D2"/>
    <w:rsid w:val="0043531B"/>
    <w:rsid w:val="00435837"/>
    <w:rsid w:val="004358B0"/>
    <w:rsid w:val="00435D37"/>
    <w:rsid w:val="00435FDD"/>
    <w:rsid w:val="004360A2"/>
    <w:rsid w:val="004362C4"/>
    <w:rsid w:val="0043662E"/>
    <w:rsid w:val="0043668A"/>
    <w:rsid w:val="00436A6E"/>
    <w:rsid w:val="004377BC"/>
    <w:rsid w:val="00437833"/>
    <w:rsid w:val="00437CB1"/>
    <w:rsid w:val="00437F9D"/>
    <w:rsid w:val="00437FDF"/>
    <w:rsid w:val="00440519"/>
    <w:rsid w:val="0044051B"/>
    <w:rsid w:val="00440555"/>
    <w:rsid w:val="004405A4"/>
    <w:rsid w:val="004405F2"/>
    <w:rsid w:val="004406A3"/>
    <w:rsid w:val="00440B44"/>
    <w:rsid w:val="00440E05"/>
    <w:rsid w:val="004412CF"/>
    <w:rsid w:val="004415E5"/>
    <w:rsid w:val="0044171C"/>
    <w:rsid w:val="00441726"/>
    <w:rsid w:val="004417AE"/>
    <w:rsid w:val="004417E0"/>
    <w:rsid w:val="00441A55"/>
    <w:rsid w:val="00441BCC"/>
    <w:rsid w:val="00441BDB"/>
    <w:rsid w:val="00441C8C"/>
    <w:rsid w:val="00441CC7"/>
    <w:rsid w:val="00441EE4"/>
    <w:rsid w:val="0044218F"/>
    <w:rsid w:val="004421CA"/>
    <w:rsid w:val="00442BF9"/>
    <w:rsid w:val="00442CE3"/>
    <w:rsid w:val="00442D4A"/>
    <w:rsid w:val="00442D76"/>
    <w:rsid w:val="00442E37"/>
    <w:rsid w:val="00442E71"/>
    <w:rsid w:val="00442F0B"/>
    <w:rsid w:val="0044301B"/>
    <w:rsid w:val="00443082"/>
    <w:rsid w:val="0044338C"/>
    <w:rsid w:val="004433F0"/>
    <w:rsid w:val="0044354F"/>
    <w:rsid w:val="0044365C"/>
    <w:rsid w:val="004436D2"/>
    <w:rsid w:val="00443DBC"/>
    <w:rsid w:val="00443EB8"/>
    <w:rsid w:val="004441BA"/>
    <w:rsid w:val="00444F8C"/>
    <w:rsid w:val="00445325"/>
    <w:rsid w:val="00445538"/>
    <w:rsid w:val="004455A4"/>
    <w:rsid w:val="004457E4"/>
    <w:rsid w:val="00445A5A"/>
    <w:rsid w:val="00445AB4"/>
    <w:rsid w:val="00445B6D"/>
    <w:rsid w:val="00445B88"/>
    <w:rsid w:val="00445C5F"/>
    <w:rsid w:val="00445CE0"/>
    <w:rsid w:val="00445E07"/>
    <w:rsid w:val="00445EBA"/>
    <w:rsid w:val="00446045"/>
    <w:rsid w:val="00446072"/>
    <w:rsid w:val="0044610C"/>
    <w:rsid w:val="004461EA"/>
    <w:rsid w:val="00446737"/>
    <w:rsid w:val="004472C9"/>
    <w:rsid w:val="0044748C"/>
    <w:rsid w:val="00447728"/>
    <w:rsid w:val="0044786F"/>
    <w:rsid w:val="00447AC0"/>
    <w:rsid w:val="00447ADA"/>
    <w:rsid w:val="00447DFF"/>
    <w:rsid w:val="004501FA"/>
    <w:rsid w:val="004502C5"/>
    <w:rsid w:val="004507E6"/>
    <w:rsid w:val="00450917"/>
    <w:rsid w:val="00450C37"/>
    <w:rsid w:val="00451098"/>
    <w:rsid w:val="00451289"/>
    <w:rsid w:val="00451345"/>
    <w:rsid w:val="00451365"/>
    <w:rsid w:val="00451568"/>
    <w:rsid w:val="0045234A"/>
    <w:rsid w:val="00452523"/>
    <w:rsid w:val="00452609"/>
    <w:rsid w:val="0045261D"/>
    <w:rsid w:val="00452910"/>
    <w:rsid w:val="0045298A"/>
    <w:rsid w:val="00452B0A"/>
    <w:rsid w:val="00452C29"/>
    <w:rsid w:val="00452E03"/>
    <w:rsid w:val="00452E58"/>
    <w:rsid w:val="0045339C"/>
    <w:rsid w:val="0045373C"/>
    <w:rsid w:val="00453757"/>
    <w:rsid w:val="00453A3F"/>
    <w:rsid w:val="00453C34"/>
    <w:rsid w:val="00453C6F"/>
    <w:rsid w:val="004543C8"/>
    <w:rsid w:val="004543DE"/>
    <w:rsid w:val="00454B25"/>
    <w:rsid w:val="00454E0F"/>
    <w:rsid w:val="00455047"/>
    <w:rsid w:val="00455449"/>
    <w:rsid w:val="004562AA"/>
    <w:rsid w:val="004564B1"/>
    <w:rsid w:val="00456811"/>
    <w:rsid w:val="00456A5A"/>
    <w:rsid w:val="0045712E"/>
    <w:rsid w:val="00457175"/>
    <w:rsid w:val="00457202"/>
    <w:rsid w:val="004573D1"/>
    <w:rsid w:val="00457432"/>
    <w:rsid w:val="00457475"/>
    <w:rsid w:val="004574AB"/>
    <w:rsid w:val="00457A35"/>
    <w:rsid w:val="00457C44"/>
    <w:rsid w:val="00457D08"/>
    <w:rsid w:val="004603D3"/>
    <w:rsid w:val="004603FD"/>
    <w:rsid w:val="00460E50"/>
    <w:rsid w:val="00461023"/>
    <w:rsid w:val="0046128D"/>
    <w:rsid w:val="0046174E"/>
    <w:rsid w:val="00461750"/>
    <w:rsid w:val="004617AD"/>
    <w:rsid w:val="004619EC"/>
    <w:rsid w:val="00461D38"/>
    <w:rsid w:val="00461F5F"/>
    <w:rsid w:val="004621E5"/>
    <w:rsid w:val="00462758"/>
    <w:rsid w:val="00462788"/>
    <w:rsid w:val="004627AA"/>
    <w:rsid w:val="004628AB"/>
    <w:rsid w:val="00462BCE"/>
    <w:rsid w:val="0046301F"/>
    <w:rsid w:val="00463242"/>
    <w:rsid w:val="004632D0"/>
    <w:rsid w:val="00463526"/>
    <w:rsid w:val="004635C4"/>
    <w:rsid w:val="00463626"/>
    <w:rsid w:val="004636D5"/>
    <w:rsid w:val="0046377C"/>
    <w:rsid w:val="00463BA7"/>
    <w:rsid w:val="00463DD1"/>
    <w:rsid w:val="00464014"/>
    <w:rsid w:val="00464363"/>
    <w:rsid w:val="004643C1"/>
    <w:rsid w:val="00464822"/>
    <w:rsid w:val="00464C64"/>
    <w:rsid w:val="004651CC"/>
    <w:rsid w:val="00465270"/>
    <w:rsid w:val="004653D8"/>
    <w:rsid w:val="004656AE"/>
    <w:rsid w:val="00465B36"/>
    <w:rsid w:val="00465CDB"/>
    <w:rsid w:val="00465E9B"/>
    <w:rsid w:val="0046609A"/>
    <w:rsid w:val="0046611E"/>
    <w:rsid w:val="0046645D"/>
    <w:rsid w:val="00466579"/>
    <w:rsid w:val="00466848"/>
    <w:rsid w:val="00466BD3"/>
    <w:rsid w:val="00466D9E"/>
    <w:rsid w:val="00467550"/>
    <w:rsid w:val="00467ADC"/>
    <w:rsid w:val="00467CC2"/>
    <w:rsid w:val="00467CD8"/>
    <w:rsid w:val="00467D40"/>
    <w:rsid w:val="00467F66"/>
    <w:rsid w:val="00467FB9"/>
    <w:rsid w:val="00470033"/>
    <w:rsid w:val="00470478"/>
    <w:rsid w:val="00470579"/>
    <w:rsid w:val="004705A3"/>
    <w:rsid w:val="004707AC"/>
    <w:rsid w:val="00470DC3"/>
    <w:rsid w:val="00470F3B"/>
    <w:rsid w:val="00471C0F"/>
    <w:rsid w:val="00471E91"/>
    <w:rsid w:val="00471ED1"/>
    <w:rsid w:val="004722EE"/>
    <w:rsid w:val="00472334"/>
    <w:rsid w:val="00472391"/>
    <w:rsid w:val="0047260E"/>
    <w:rsid w:val="00472AE1"/>
    <w:rsid w:val="00472B00"/>
    <w:rsid w:val="00472B98"/>
    <w:rsid w:val="00472C7F"/>
    <w:rsid w:val="00472D3A"/>
    <w:rsid w:val="004731C9"/>
    <w:rsid w:val="004736A7"/>
    <w:rsid w:val="00473801"/>
    <w:rsid w:val="00473A3A"/>
    <w:rsid w:val="00473DC2"/>
    <w:rsid w:val="004741FD"/>
    <w:rsid w:val="00474476"/>
    <w:rsid w:val="00474A3B"/>
    <w:rsid w:val="00474C33"/>
    <w:rsid w:val="00474E86"/>
    <w:rsid w:val="004750B8"/>
    <w:rsid w:val="00475247"/>
    <w:rsid w:val="0047585D"/>
    <w:rsid w:val="00475DDE"/>
    <w:rsid w:val="00475DF2"/>
    <w:rsid w:val="00476367"/>
    <w:rsid w:val="0047666F"/>
    <w:rsid w:val="004767B6"/>
    <w:rsid w:val="00476A25"/>
    <w:rsid w:val="00476B30"/>
    <w:rsid w:val="00476CBE"/>
    <w:rsid w:val="00476CF9"/>
    <w:rsid w:val="00476CFF"/>
    <w:rsid w:val="00476DCF"/>
    <w:rsid w:val="004770B0"/>
    <w:rsid w:val="004772F1"/>
    <w:rsid w:val="00477531"/>
    <w:rsid w:val="0047759F"/>
    <w:rsid w:val="004801F7"/>
    <w:rsid w:val="00480223"/>
    <w:rsid w:val="004803C7"/>
    <w:rsid w:val="00480674"/>
    <w:rsid w:val="00480803"/>
    <w:rsid w:val="00480A35"/>
    <w:rsid w:val="00480AF6"/>
    <w:rsid w:val="00480B44"/>
    <w:rsid w:val="00480B4B"/>
    <w:rsid w:val="00480B6E"/>
    <w:rsid w:val="00480EB5"/>
    <w:rsid w:val="004816BD"/>
    <w:rsid w:val="0048193B"/>
    <w:rsid w:val="00481D55"/>
    <w:rsid w:val="00482264"/>
    <w:rsid w:val="0048235B"/>
    <w:rsid w:val="00482370"/>
    <w:rsid w:val="0048250B"/>
    <w:rsid w:val="00482919"/>
    <w:rsid w:val="0048298D"/>
    <w:rsid w:val="004829A1"/>
    <w:rsid w:val="00482A3B"/>
    <w:rsid w:val="00482E29"/>
    <w:rsid w:val="00482F88"/>
    <w:rsid w:val="00483028"/>
    <w:rsid w:val="00483145"/>
    <w:rsid w:val="004835DB"/>
    <w:rsid w:val="004835DD"/>
    <w:rsid w:val="00483629"/>
    <w:rsid w:val="00483D0F"/>
    <w:rsid w:val="00483F8A"/>
    <w:rsid w:val="00484C3C"/>
    <w:rsid w:val="00484D3E"/>
    <w:rsid w:val="00485012"/>
    <w:rsid w:val="00485520"/>
    <w:rsid w:val="004855E4"/>
    <w:rsid w:val="004855E9"/>
    <w:rsid w:val="0048564E"/>
    <w:rsid w:val="004857DE"/>
    <w:rsid w:val="00485B49"/>
    <w:rsid w:val="00485D20"/>
    <w:rsid w:val="00485DC4"/>
    <w:rsid w:val="00485E29"/>
    <w:rsid w:val="00486683"/>
    <w:rsid w:val="0048671E"/>
    <w:rsid w:val="00486A43"/>
    <w:rsid w:val="00486ABD"/>
    <w:rsid w:val="0048707C"/>
    <w:rsid w:val="00487235"/>
    <w:rsid w:val="0048725A"/>
    <w:rsid w:val="00487448"/>
    <w:rsid w:val="0048787F"/>
    <w:rsid w:val="00487A0B"/>
    <w:rsid w:val="00487ADD"/>
    <w:rsid w:val="00487FA0"/>
    <w:rsid w:val="0048DA8F"/>
    <w:rsid w:val="00490046"/>
    <w:rsid w:val="004900D3"/>
    <w:rsid w:val="0049094D"/>
    <w:rsid w:val="00490A8B"/>
    <w:rsid w:val="00490CC5"/>
    <w:rsid w:val="0049114C"/>
    <w:rsid w:val="00491194"/>
    <w:rsid w:val="0049122C"/>
    <w:rsid w:val="00491574"/>
    <w:rsid w:val="0049174A"/>
    <w:rsid w:val="0049177E"/>
    <w:rsid w:val="00491A27"/>
    <w:rsid w:val="00491B38"/>
    <w:rsid w:val="00491E1B"/>
    <w:rsid w:val="00491EC6"/>
    <w:rsid w:val="00491FAC"/>
    <w:rsid w:val="0049233F"/>
    <w:rsid w:val="004923F8"/>
    <w:rsid w:val="00492603"/>
    <w:rsid w:val="0049260A"/>
    <w:rsid w:val="004928FC"/>
    <w:rsid w:val="00492976"/>
    <w:rsid w:val="00492E7B"/>
    <w:rsid w:val="00492F47"/>
    <w:rsid w:val="0049300B"/>
    <w:rsid w:val="004931E6"/>
    <w:rsid w:val="00493339"/>
    <w:rsid w:val="00493394"/>
    <w:rsid w:val="004937F0"/>
    <w:rsid w:val="00493AD4"/>
    <w:rsid w:val="00493FC2"/>
    <w:rsid w:val="00494066"/>
    <w:rsid w:val="004940BE"/>
    <w:rsid w:val="004942D0"/>
    <w:rsid w:val="0049449F"/>
    <w:rsid w:val="0049450B"/>
    <w:rsid w:val="00494552"/>
    <w:rsid w:val="004945BF"/>
    <w:rsid w:val="00494D0D"/>
    <w:rsid w:val="00494E42"/>
    <w:rsid w:val="004950CE"/>
    <w:rsid w:val="004960E9"/>
    <w:rsid w:val="00496A26"/>
    <w:rsid w:val="00496AAC"/>
    <w:rsid w:val="00496B17"/>
    <w:rsid w:val="00496C9D"/>
    <w:rsid w:val="00496D26"/>
    <w:rsid w:val="00497399"/>
    <w:rsid w:val="004974A0"/>
    <w:rsid w:val="0049785A"/>
    <w:rsid w:val="00497AF4"/>
    <w:rsid w:val="004A00A8"/>
    <w:rsid w:val="004A06D0"/>
    <w:rsid w:val="004A0B3E"/>
    <w:rsid w:val="004A1258"/>
    <w:rsid w:val="004A12F4"/>
    <w:rsid w:val="004A1436"/>
    <w:rsid w:val="004A152A"/>
    <w:rsid w:val="004A1937"/>
    <w:rsid w:val="004A19F2"/>
    <w:rsid w:val="004A1EA1"/>
    <w:rsid w:val="004A2504"/>
    <w:rsid w:val="004A2543"/>
    <w:rsid w:val="004A255E"/>
    <w:rsid w:val="004A2B09"/>
    <w:rsid w:val="004A2DCB"/>
    <w:rsid w:val="004A2F75"/>
    <w:rsid w:val="004A31F7"/>
    <w:rsid w:val="004A36A0"/>
    <w:rsid w:val="004A3F81"/>
    <w:rsid w:val="004A41FB"/>
    <w:rsid w:val="004A4400"/>
    <w:rsid w:val="004A46E0"/>
    <w:rsid w:val="004A46F5"/>
    <w:rsid w:val="004A4703"/>
    <w:rsid w:val="004A4924"/>
    <w:rsid w:val="004A5041"/>
    <w:rsid w:val="004A54EA"/>
    <w:rsid w:val="004A5E55"/>
    <w:rsid w:val="004A6178"/>
    <w:rsid w:val="004A6272"/>
    <w:rsid w:val="004A646E"/>
    <w:rsid w:val="004A68F6"/>
    <w:rsid w:val="004A6B3D"/>
    <w:rsid w:val="004A709B"/>
    <w:rsid w:val="004A78E8"/>
    <w:rsid w:val="004A78F8"/>
    <w:rsid w:val="004A7C1D"/>
    <w:rsid w:val="004A7CA6"/>
    <w:rsid w:val="004B007A"/>
    <w:rsid w:val="004B03F2"/>
    <w:rsid w:val="004B0439"/>
    <w:rsid w:val="004B0766"/>
    <w:rsid w:val="004B0810"/>
    <w:rsid w:val="004B0E8E"/>
    <w:rsid w:val="004B0FF6"/>
    <w:rsid w:val="004B130D"/>
    <w:rsid w:val="004B13CB"/>
    <w:rsid w:val="004B164B"/>
    <w:rsid w:val="004B1A0C"/>
    <w:rsid w:val="004B1AC2"/>
    <w:rsid w:val="004B1ADA"/>
    <w:rsid w:val="004B1C64"/>
    <w:rsid w:val="004B1D01"/>
    <w:rsid w:val="004B1ECF"/>
    <w:rsid w:val="004B2434"/>
    <w:rsid w:val="004B24DB"/>
    <w:rsid w:val="004B256F"/>
    <w:rsid w:val="004B27A4"/>
    <w:rsid w:val="004B2E39"/>
    <w:rsid w:val="004B3156"/>
    <w:rsid w:val="004B3320"/>
    <w:rsid w:val="004B35AA"/>
    <w:rsid w:val="004B377E"/>
    <w:rsid w:val="004B3AE4"/>
    <w:rsid w:val="004B3E56"/>
    <w:rsid w:val="004B419B"/>
    <w:rsid w:val="004B4412"/>
    <w:rsid w:val="004B4C39"/>
    <w:rsid w:val="004B4F84"/>
    <w:rsid w:val="004B502B"/>
    <w:rsid w:val="004B5C3E"/>
    <w:rsid w:val="004B6505"/>
    <w:rsid w:val="004B69E8"/>
    <w:rsid w:val="004B6FB6"/>
    <w:rsid w:val="004B7076"/>
    <w:rsid w:val="004B70F4"/>
    <w:rsid w:val="004B7174"/>
    <w:rsid w:val="004B729E"/>
    <w:rsid w:val="004B7312"/>
    <w:rsid w:val="004B7420"/>
    <w:rsid w:val="004B744C"/>
    <w:rsid w:val="004B74B5"/>
    <w:rsid w:val="004B7897"/>
    <w:rsid w:val="004B7934"/>
    <w:rsid w:val="004C0160"/>
    <w:rsid w:val="004C01DB"/>
    <w:rsid w:val="004C0748"/>
    <w:rsid w:val="004C0B52"/>
    <w:rsid w:val="004C0BFB"/>
    <w:rsid w:val="004C0D1D"/>
    <w:rsid w:val="004C1010"/>
    <w:rsid w:val="004C122D"/>
    <w:rsid w:val="004C1339"/>
    <w:rsid w:val="004C19AE"/>
    <w:rsid w:val="004C1C5B"/>
    <w:rsid w:val="004C1F8B"/>
    <w:rsid w:val="004C20D0"/>
    <w:rsid w:val="004C24DA"/>
    <w:rsid w:val="004C2605"/>
    <w:rsid w:val="004C2A95"/>
    <w:rsid w:val="004C2D39"/>
    <w:rsid w:val="004C3046"/>
    <w:rsid w:val="004C3161"/>
    <w:rsid w:val="004C322F"/>
    <w:rsid w:val="004C32A4"/>
    <w:rsid w:val="004C348C"/>
    <w:rsid w:val="004C3496"/>
    <w:rsid w:val="004C3508"/>
    <w:rsid w:val="004C3551"/>
    <w:rsid w:val="004C3730"/>
    <w:rsid w:val="004C3A2B"/>
    <w:rsid w:val="004C3CDA"/>
    <w:rsid w:val="004C3D26"/>
    <w:rsid w:val="004C425A"/>
    <w:rsid w:val="004C441E"/>
    <w:rsid w:val="004C4BEB"/>
    <w:rsid w:val="004C4D3C"/>
    <w:rsid w:val="004C4D85"/>
    <w:rsid w:val="004C4DAE"/>
    <w:rsid w:val="004C4FFC"/>
    <w:rsid w:val="004C51BA"/>
    <w:rsid w:val="004C52B9"/>
    <w:rsid w:val="004C53D1"/>
    <w:rsid w:val="004C55D9"/>
    <w:rsid w:val="004C5798"/>
    <w:rsid w:val="004C6121"/>
    <w:rsid w:val="004C649F"/>
    <w:rsid w:val="004C6911"/>
    <w:rsid w:val="004C69A2"/>
    <w:rsid w:val="004C6A9A"/>
    <w:rsid w:val="004C6D82"/>
    <w:rsid w:val="004C6EFB"/>
    <w:rsid w:val="004C7023"/>
    <w:rsid w:val="004C7475"/>
    <w:rsid w:val="004C75FB"/>
    <w:rsid w:val="004C76F5"/>
    <w:rsid w:val="004C79E2"/>
    <w:rsid w:val="004C7C07"/>
    <w:rsid w:val="004C7C69"/>
    <w:rsid w:val="004C7EFC"/>
    <w:rsid w:val="004D00D1"/>
    <w:rsid w:val="004D0139"/>
    <w:rsid w:val="004D06EC"/>
    <w:rsid w:val="004D0BE2"/>
    <w:rsid w:val="004D1363"/>
    <w:rsid w:val="004D1389"/>
    <w:rsid w:val="004D1A2F"/>
    <w:rsid w:val="004D22C7"/>
    <w:rsid w:val="004D23AF"/>
    <w:rsid w:val="004D2472"/>
    <w:rsid w:val="004D248C"/>
    <w:rsid w:val="004D261A"/>
    <w:rsid w:val="004D2A24"/>
    <w:rsid w:val="004D324E"/>
    <w:rsid w:val="004D331E"/>
    <w:rsid w:val="004D35E4"/>
    <w:rsid w:val="004D394F"/>
    <w:rsid w:val="004D3AFE"/>
    <w:rsid w:val="004D3CF5"/>
    <w:rsid w:val="004D3FF5"/>
    <w:rsid w:val="004D403C"/>
    <w:rsid w:val="004D4974"/>
    <w:rsid w:val="004D4C07"/>
    <w:rsid w:val="004D4DF3"/>
    <w:rsid w:val="004D54AF"/>
    <w:rsid w:val="004D54F5"/>
    <w:rsid w:val="004D55BA"/>
    <w:rsid w:val="004D586E"/>
    <w:rsid w:val="004D5874"/>
    <w:rsid w:val="004D5A28"/>
    <w:rsid w:val="004D5F1A"/>
    <w:rsid w:val="004D61F8"/>
    <w:rsid w:val="004D6289"/>
    <w:rsid w:val="004D628A"/>
    <w:rsid w:val="004D633E"/>
    <w:rsid w:val="004D66CD"/>
    <w:rsid w:val="004D6941"/>
    <w:rsid w:val="004D7641"/>
    <w:rsid w:val="004D7CD8"/>
    <w:rsid w:val="004D7EFD"/>
    <w:rsid w:val="004E02C8"/>
    <w:rsid w:val="004E0F74"/>
    <w:rsid w:val="004E104A"/>
    <w:rsid w:val="004E1321"/>
    <w:rsid w:val="004E13AA"/>
    <w:rsid w:val="004E1805"/>
    <w:rsid w:val="004E182E"/>
    <w:rsid w:val="004E1E84"/>
    <w:rsid w:val="004E2040"/>
    <w:rsid w:val="004E2391"/>
    <w:rsid w:val="004E244C"/>
    <w:rsid w:val="004E29AB"/>
    <w:rsid w:val="004E3090"/>
    <w:rsid w:val="004E34E6"/>
    <w:rsid w:val="004E3B15"/>
    <w:rsid w:val="004E3EF6"/>
    <w:rsid w:val="004E3F26"/>
    <w:rsid w:val="004E41EC"/>
    <w:rsid w:val="004E471B"/>
    <w:rsid w:val="004E4746"/>
    <w:rsid w:val="004E49C9"/>
    <w:rsid w:val="004E51EB"/>
    <w:rsid w:val="004E52F5"/>
    <w:rsid w:val="004E5354"/>
    <w:rsid w:val="004E551B"/>
    <w:rsid w:val="004E56AD"/>
    <w:rsid w:val="004E57F6"/>
    <w:rsid w:val="004E5A8E"/>
    <w:rsid w:val="004E5E96"/>
    <w:rsid w:val="004E6121"/>
    <w:rsid w:val="004E6781"/>
    <w:rsid w:val="004E69EB"/>
    <w:rsid w:val="004E6A42"/>
    <w:rsid w:val="004E700C"/>
    <w:rsid w:val="004E70CA"/>
    <w:rsid w:val="004E714B"/>
    <w:rsid w:val="004E7154"/>
    <w:rsid w:val="004E722D"/>
    <w:rsid w:val="004E75F4"/>
    <w:rsid w:val="004E790E"/>
    <w:rsid w:val="004E7B75"/>
    <w:rsid w:val="004E7C55"/>
    <w:rsid w:val="004E7F49"/>
    <w:rsid w:val="004F0267"/>
    <w:rsid w:val="004F0854"/>
    <w:rsid w:val="004F08B9"/>
    <w:rsid w:val="004F0D1B"/>
    <w:rsid w:val="004F0E1A"/>
    <w:rsid w:val="004F1243"/>
    <w:rsid w:val="004F165D"/>
    <w:rsid w:val="004F1B65"/>
    <w:rsid w:val="004F2424"/>
    <w:rsid w:val="004F24A6"/>
    <w:rsid w:val="004F2626"/>
    <w:rsid w:val="004F26CA"/>
    <w:rsid w:val="004F2BDF"/>
    <w:rsid w:val="004F3039"/>
    <w:rsid w:val="004F36E3"/>
    <w:rsid w:val="004F3D9D"/>
    <w:rsid w:val="004F42DE"/>
    <w:rsid w:val="004F438F"/>
    <w:rsid w:val="004F4883"/>
    <w:rsid w:val="004F49D1"/>
    <w:rsid w:val="004F4DBF"/>
    <w:rsid w:val="004F4DCE"/>
    <w:rsid w:val="004F5409"/>
    <w:rsid w:val="004F55AE"/>
    <w:rsid w:val="004F55FF"/>
    <w:rsid w:val="004F588F"/>
    <w:rsid w:val="004F597A"/>
    <w:rsid w:val="004F5B1F"/>
    <w:rsid w:val="004F5CD2"/>
    <w:rsid w:val="004F5E17"/>
    <w:rsid w:val="004F63A6"/>
    <w:rsid w:val="004F6653"/>
    <w:rsid w:val="004F682E"/>
    <w:rsid w:val="004F6B18"/>
    <w:rsid w:val="004F6F38"/>
    <w:rsid w:val="004F7035"/>
    <w:rsid w:val="004F725F"/>
    <w:rsid w:val="004F776E"/>
    <w:rsid w:val="004F77A7"/>
    <w:rsid w:val="004F795A"/>
    <w:rsid w:val="004F7C22"/>
    <w:rsid w:val="004F7D94"/>
    <w:rsid w:val="004F7D9C"/>
    <w:rsid w:val="004F7E09"/>
    <w:rsid w:val="00500010"/>
    <w:rsid w:val="0050083F"/>
    <w:rsid w:val="00500A52"/>
    <w:rsid w:val="00500AC8"/>
    <w:rsid w:val="00500C87"/>
    <w:rsid w:val="00500F7A"/>
    <w:rsid w:val="00501277"/>
    <w:rsid w:val="005012BD"/>
    <w:rsid w:val="00501639"/>
    <w:rsid w:val="00501C10"/>
    <w:rsid w:val="005024A4"/>
    <w:rsid w:val="005028C0"/>
    <w:rsid w:val="005028F0"/>
    <w:rsid w:val="00502BB3"/>
    <w:rsid w:val="005032F5"/>
    <w:rsid w:val="005038DB"/>
    <w:rsid w:val="0050396A"/>
    <w:rsid w:val="005039C9"/>
    <w:rsid w:val="005039F3"/>
    <w:rsid w:val="00503BB2"/>
    <w:rsid w:val="00503CF9"/>
    <w:rsid w:val="00503DAE"/>
    <w:rsid w:val="00504166"/>
    <w:rsid w:val="00504239"/>
    <w:rsid w:val="0050489F"/>
    <w:rsid w:val="00504AEB"/>
    <w:rsid w:val="00504C91"/>
    <w:rsid w:val="00505017"/>
    <w:rsid w:val="00505229"/>
    <w:rsid w:val="005052CF"/>
    <w:rsid w:val="00505367"/>
    <w:rsid w:val="00505424"/>
    <w:rsid w:val="0050599C"/>
    <w:rsid w:val="00505BF1"/>
    <w:rsid w:val="00505EFE"/>
    <w:rsid w:val="00506580"/>
    <w:rsid w:val="00506744"/>
    <w:rsid w:val="005067B0"/>
    <w:rsid w:val="005071AA"/>
    <w:rsid w:val="0050720B"/>
    <w:rsid w:val="005074A4"/>
    <w:rsid w:val="0050756E"/>
    <w:rsid w:val="0050789B"/>
    <w:rsid w:val="00507992"/>
    <w:rsid w:val="005100C3"/>
    <w:rsid w:val="00510490"/>
    <w:rsid w:val="0051060C"/>
    <w:rsid w:val="00510865"/>
    <w:rsid w:val="005108A3"/>
    <w:rsid w:val="00510AEA"/>
    <w:rsid w:val="00511057"/>
    <w:rsid w:val="005113E9"/>
    <w:rsid w:val="005114AB"/>
    <w:rsid w:val="005116A5"/>
    <w:rsid w:val="005119BA"/>
    <w:rsid w:val="00511BC2"/>
    <w:rsid w:val="00512730"/>
    <w:rsid w:val="00512973"/>
    <w:rsid w:val="00512B6A"/>
    <w:rsid w:val="00512C4C"/>
    <w:rsid w:val="00512DEA"/>
    <w:rsid w:val="00513917"/>
    <w:rsid w:val="005139FD"/>
    <w:rsid w:val="00513AEC"/>
    <w:rsid w:val="00513B08"/>
    <w:rsid w:val="00513F88"/>
    <w:rsid w:val="00514169"/>
    <w:rsid w:val="00514204"/>
    <w:rsid w:val="005142E3"/>
    <w:rsid w:val="0051430A"/>
    <w:rsid w:val="00514F74"/>
    <w:rsid w:val="0051502A"/>
    <w:rsid w:val="00515043"/>
    <w:rsid w:val="005152F7"/>
    <w:rsid w:val="005159F3"/>
    <w:rsid w:val="00515B5E"/>
    <w:rsid w:val="0051649B"/>
    <w:rsid w:val="00516516"/>
    <w:rsid w:val="00516554"/>
    <w:rsid w:val="005166AC"/>
    <w:rsid w:val="005167B2"/>
    <w:rsid w:val="00516C1E"/>
    <w:rsid w:val="00516D86"/>
    <w:rsid w:val="005177B5"/>
    <w:rsid w:val="005179E6"/>
    <w:rsid w:val="00517FFE"/>
    <w:rsid w:val="0052005A"/>
    <w:rsid w:val="00520B7E"/>
    <w:rsid w:val="00520D55"/>
    <w:rsid w:val="00521214"/>
    <w:rsid w:val="0052140E"/>
    <w:rsid w:val="0052160B"/>
    <w:rsid w:val="005216B4"/>
    <w:rsid w:val="00521761"/>
    <w:rsid w:val="0052195A"/>
    <w:rsid w:val="00521965"/>
    <w:rsid w:val="005224A9"/>
    <w:rsid w:val="00522685"/>
    <w:rsid w:val="00522C20"/>
    <w:rsid w:val="00522C2E"/>
    <w:rsid w:val="00522EC3"/>
    <w:rsid w:val="00522F13"/>
    <w:rsid w:val="00522FD0"/>
    <w:rsid w:val="0052322E"/>
    <w:rsid w:val="005232BE"/>
    <w:rsid w:val="0052395D"/>
    <w:rsid w:val="0052398A"/>
    <w:rsid w:val="00523CFA"/>
    <w:rsid w:val="00523F0D"/>
    <w:rsid w:val="00523FC3"/>
    <w:rsid w:val="00524000"/>
    <w:rsid w:val="005246D9"/>
    <w:rsid w:val="005249A8"/>
    <w:rsid w:val="00524AF1"/>
    <w:rsid w:val="00524B67"/>
    <w:rsid w:val="00524C64"/>
    <w:rsid w:val="0052530F"/>
    <w:rsid w:val="00525331"/>
    <w:rsid w:val="00525387"/>
    <w:rsid w:val="0052563C"/>
    <w:rsid w:val="00525670"/>
    <w:rsid w:val="0052573D"/>
    <w:rsid w:val="00525913"/>
    <w:rsid w:val="00525B64"/>
    <w:rsid w:val="00525B95"/>
    <w:rsid w:val="00525E3E"/>
    <w:rsid w:val="00525E99"/>
    <w:rsid w:val="005263A8"/>
    <w:rsid w:val="005263C2"/>
    <w:rsid w:val="005264D5"/>
    <w:rsid w:val="00526814"/>
    <w:rsid w:val="00526D1B"/>
    <w:rsid w:val="00526F11"/>
    <w:rsid w:val="00527060"/>
    <w:rsid w:val="00527178"/>
    <w:rsid w:val="00527AEC"/>
    <w:rsid w:val="00527CBF"/>
    <w:rsid w:val="00530019"/>
    <w:rsid w:val="005300AD"/>
    <w:rsid w:val="00530128"/>
    <w:rsid w:val="005303E8"/>
    <w:rsid w:val="00530450"/>
    <w:rsid w:val="0053062F"/>
    <w:rsid w:val="005306E9"/>
    <w:rsid w:val="0053081B"/>
    <w:rsid w:val="00530949"/>
    <w:rsid w:val="005309E4"/>
    <w:rsid w:val="00530AB3"/>
    <w:rsid w:val="00530F87"/>
    <w:rsid w:val="0053103F"/>
    <w:rsid w:val="00531520"/>
    <w:rsid w:val="00531552"/>
    <w:rsid w:val="00531A81"/>
    <w:rsid w:val="00531B94"/>
    <w:rsid w:val="00531CB2"/>
    <w:rsid w:val="00531E75"/>
    <w:rsid w:val="00531F5E"/>
    <w:rsid w:val="0053220D"/>
    <w:rsid w:val="00532467"/>
    <w:rsid w:val="00532764"/>
    <w:rsid w:val="00532986"/>
    <w:rsid w:val="00532ADF"/>
    <w:rsid w:val="00532B67"/>
    <w:rsid w:val="00532BEA"/>
    <w:rsid w:val="00532C82"/>
    <w:rsid w:val="00532D85"/>
    <w:rsid w:val="00532F5A"/>
    <w:rsid w:val="0053325E"/>
    <w:rsid w:val="00533659"/>
    <w:rsid w:val="00533D6F"/>
    <w:rsid w:val="00533D79"/>
    <w:rsid w:val="00533FDA"/>
    <w:rsid w:val="0053408B"/>
    <w:rsid w:val="005341AA"/>
    <w:rsid w:val="00534262"/>
    <w:rsid w:val="0053427B"/>
    <w:rsid w:val="00534ED2"/>
    <w:rsid w:val="005352AB"/>
    <w:rsid w:val="00535425"/>
    <w:rsid w:val="0053552B"/>
    <w:rsid w:val="005357F6"/>
    <w:rsid w:val="00535A5F"/>
    <w:rsid w:val="00535E9B"/>
    <w:rsid w:val="00535F6B"/>
    <w:rsid w:val="00535F76"/>
    <w:rsid w:val="0053649F"/>
    <w:rsid w:val="00536670"/>
    <w:rsid w:val="00536780"/>
    <w:rsid w:val="005368D0"/>
    <w:rsid w:val="00536B26"/>
    <w:rsid w:val="00536D4C"/>
    <w:rsid w:val="00536F4D"/>
    <w:rsid w:val="0053706C"/>
    <w:rsid w:val="005370F9"/>
    <w:rsid w:val="0053721B"/>
    <w:rsid w:val="005377B0"/>
    <w:rsid w:val="00537830"/>
    <w:rsid w:val="00537F4C"/>
    <w:rsid w:val="0054006F"/>
    <w:rsid w:val="00540171"/>
    <w:rsid w:val="005402A4"/>
    <w:rsid w:val="005405FC"/>
    <w:rsid w:val="0054084B"/>
    <w:rsid w:val="005409B1"/>
    <w:rsid w:val="005413FB"/>
    <w:rsid w:val="00541675"/>
    <w:rsid w:val="005416C5"/>
    <w:rsid w:val="005416DA"/>
    <w:rsid w:val="005417B0"/>
    <w:rsid w:val="005417BB"/>
    <w:rsid w:val="00541890"/>
    <w:rsid w:val="00541CF6"/>
    <w:rsid w:val="00541EA7"/>
    <w:rsid w:val="00542408"/>
    <w:rsid w:val="005429C8"/>
    <w:rsid w:val="00542A7B"/>
    <w:rsid w:val="00542B1F"/>
    <w:rsid w:val="00542F10"/>
    <w:rsid w:val="00542F34"/>
    <w:rsid w:val="00543237"/>
    <w:rsid w:val="0054358F"/>
    <w:rsid w:val="0054390D"/>
    <w:rsid w:val="00543A81"/>
    <w:rsid w:val="00543ABF"/>
    <w:rsid w:val="00543ADD"/>
    <w:rsid w:val="00543D95"/>
    <w:rsid w:val="00543F42"/>
    <w:rsid w:val="0054421D"/>
    <w:rsid w:val="005444C2"/>
    <w:rsid w:val="005446F7"/>
    <w:rsid w:val="00544868"/>
    <w:rsid w:val="005448F5"/>
    <w:rsid w:val="00544CFB"/>
    <w:rsid w:val="00544DAD"/>
    <w:rsid w:val="00544F70"/>
    <w:rsid w:val="00545383"/>
    <w:rsid w:val="00545428"/>
    <w:rsid w:val="00545951"/>
    <w:rsid w:val="005459FB"/>
    <w:rsid w:val="00545DFA"/>
    <w:rsid w:val="005463CE"/>
    <w:rsid w:val="00546428"/>
    <w:rsid w:val="005467A9"/>
    <w:rsid w:val="005469C1"/>
    <w:rsid w:val="00546A19"/>
    <w:rsid w:val="00546D8D"/>
    <w:rsid w:val="00546EC7"/>
    <w:rsid w:val="00546F1D"/>
    <w:rsid w:val="00546FDA"/>
    <w:rsid w:val="005470B3"/>
    <w:rsid w:val="0054725D"/>
    <w:rsid w:val="00547761"/>
    <w:rsid w:val="00547CCF"/>
    <w:rsid w:val="00547F4D"/>
    <w:rsid w:val="0055014D"/>
    <w:rsid w:val="00550302"/>
    <w:rsid w:val="0055049C"/>
    <w:rsid w:val="00550595"/>
    <w:rsid w:val="005507B3"/>
    <w:rsid w:val="00550CF4"/>
    <w:rsid w:val="00550F78"/>
    <w:rsid w:val="00550F98"/>
    <w:rsid w:val="00551297"/>
    <w:rsid w:val="00551389"/>
    <w:rsid w:val="0055152E"/>
    <w:rsid w:val="0055192D"/>
    <w:rsid w:val="00551A1D"/>
    <w:rsid w:val="00551A48"/>
    <w:rsid w:val="00551A78"/>
    <w:rsid w:val="00551AF0"/>
    <w:rsid w:val="00551B09"/>
    <w:rsid w:val="00551B4D"/>
    <w:rsid w:val="00552478"/>
    <w:rsid w:val="00552697"/>
    <w:rsid w:val="005526EA"/>
    <w:rsid w:val="00552908"/>
    <w:rsid w:val="005529BA"/>
    <w:rsid w:val="00552B4D"/>
    <w:rsid w:val="00552DF6"/>
    <w:rsid w:val="00552E10"/>
    <w:rsid w:val="00552E2F"/>
    <w:rsid w:val="00553069"/>
    <w:rsid w:val="005530D9"/>
    <w:rsid w:val="00553137"/>
    <w:rsid w:val="0055349E"/>
    <w:rsid w:val="00553545"/>
    <w:rsid w:val="0055370A"/>
    <w:rsid w:val="00553743"/>
    <w:rsid w:val="00553973"/>
    <w:rsid w:val="00553F55"/>
    <w:rsid w:val="00553F99"/>
    <w:rsid w:val="00554036"/>
    <w:rsid w:val="00554352"/>
    <w:rsid w:val="00554365"/>
    <w:rsid w:val="005543C4"/>
    <w:rsid w:val="005549DE"/>
    <w:rsid w:val="00554BA9"/>
    <w:rsid w:val="00554D30"/>
    <w:rsid w:val="00554FBB"/>
    <w:rsid w:val="00555016"/>
    <w:rsid w:val="005550B0"/>
    <w:rsid w:val="005550BB"/>
    <w:rsid w:val="0055524E"/>
    <w:rsid w:val="005555CF"/>
    <w:rsid w:val="00555679"/>
    <w:rsid w:val="00555806"/>
    <w:rsid w:val="00555ABB"/>
    <w:rsid w:val="00555D30"/>
    <w:rsid w:val="00555ECC"/>
    <w:rsid w:val="00556144"/>
    <w:rsid w:val="00556260"/>
    <w:rsid w:val="00556498"/>
    <w:rsid w:val="005564BD"/>
    <w:rsid w:val="00556505"/>
    <w:rsid w:val="00556A7C"/>
    <w:rsid w:val="00556A85"/>
    <w:rsid w:val="0055701B"/>
    <w:rsid w:val="005570F2"/>
    <w:rsid w:val="00557105"/>
    <w:rsid w:val="00557BD6"/>
    <w:rsid w:val="00557E64"/>
    <w:rsid w:val="00557EA0"/>
    <w:rsid w:val="00557FDD"/>
    <w:rsid w:val="00560050"/>
    <w:rsid w:val="005602D3"/>
    <w:rsid w:val="0056053C"/>
    <w:rsid w:val="005605D7"/>
    <w:rsid w:val="00560A13"/>
    <w:rsid w:val="00560D02"/>
    <w:rsid w:val="005611BA"/>
    <w:rsid w:val="005613B7"/>
    <w:rsid w:val="00561910"/>
    <w:rsid w:val="00561A4A"/>
    <w:rsid w:val="00561AEA"/>
    <w:rsid w:val="00561C3D"/>
    <w:rsid w:val="005622B9"/>
    <w:rsid w:val="0056262C"/>
    <w:rsid w:val="00563019"/>
    <w:rsid w:val="0056315F"/>
    <w:rsid w:val="00563937"/>
    <w:rsid w:val="00563AAB"/>
    <w:rsid w:val="00563E47"/>
    <w:rsid w:val="00564150"/>
    <w:rsid w:val="00564201"/>
    <w:rsid w:val="005643AF"/>
    <w:rsid w:val="005648DA"/>
    <w:rsid w:val="005649D0"/>
    <w:rsid w:val="00564A4D"/>
    <w:rsid w:val="00564C2A"/>
    <w:rsid w:val="00564E63"/>
    <w:rsid w:val="00564EB4"/>
    <w:rsid w:val="00564FFA"/>
    <w:rsid w:val="00565534"/>
    <w:rsid w:val="005659AB"/>
    <w:rsid w:val="00565A67"/>
    <w:rsid w:val="00565D8C"/>
    <w:rsid w:val="00565E26"/>
    <w:rsid w:val="00565EA5"/>
    <w:rsid w:val="00566028"/>
    <w:rsid w:val="005660B0"/>
    <w:rsid w:val="005662EA"/>
    <w:rsid w:val="005664A7"/>
    <w:rsid w:val="00566B82"/>
    <w:rsid w:val="0056702A"/>
    <w:rsid w:val="00567490"/>
    <w:rsid w:val="0056776E"/>
    <w:rsid w:val="005677B6"/>
    <w:rsid w:val="00567818"/>
    <w:rsid w:val="00567946"/>
    <w:rsid w:val="00567A9E"/>
    <w:rsid w:val="00567C14"/>
    <w:rsid w:val="0057021B"/>
    <w:rsid w:val="0057063C"/>
    <w:rsid w:val="00570C0D"/>
    <w:rsid w:val="00570DF3"/>
    <w:rsid w:val="00570E31"/>
    <w:rsid w:val="00570FA0"/>
    <w:rsid w:val="00571179"/>
    <w:rsid w:val="005716CC"/>
    <w:rsid w:val="00571815"/>
    <w:rsid w:val="00571980"/>
    <w:rsid w:val="00571A4B"/>
    <w:rsid w:val="00571B35"/>
    <w:rsid w:val="00571C07"/>
    <w:rsid w:val="00571C9F"/>
    <w:rsid w:val="00571DEC"/>
    <w:rsid w:val="005720A4"/>
    <w:rsid w:val="00572122"/>
    <w:rsid w:val="005721E8"/>
    <w:rsid w:val="0057221B"/>
    <w:rsid w:val="00572768"/>
    <w:rsid w:val="00572E60"/>
    <w:rsid w:val="0057317E"/>
    <w:rsid w:val="005732E7"/>
    <w:rsid w:val="00573C1A"/>
    <w:rsid w:val="005741AA"/>
    <w:rsid w:val="00574261"/>
    <w:rsid w:val="00574289"/>
    <w:rsid w:val="005743BA"/>
    <w:rsid w:val="0057441E"/>
    <w:rsid w:val="005748AE"/>
    <w:rsid w:val="0057494D"/>
    <w:rsid w:val="005749A4"/>
    <w:rsid w:val="005758CD"/>
    <w:rsid w:val="00575DCF"/>
    <w:rsid w:val="0057663D"/>
    <w:rsid w:val="00576FB1"/>
    <w:rsid w:val="0057783A"/>
    <w:rsid w:val="00577992"/>
    <w:rsid w:val="00577A09"/>
    <w:rsid w:val="00577B85"/>
    <w:rsid w:val="00577B90"/>
    <w:rsid w:val="00577E32"/>
    <w:rsid w:val="005801E7"/>
    <w:rsid w:val="00580EEF"/>
    <w:rsid w:val="00581080"/>
    <w:rsid w:val="005814CF"/>
    <w:rsid w:val="0058150C"/>
    <w:rsid w:val="0058166A"/>
    <w:rsid w:val="0058195A"/>
    <w:rsid w:val="00581E2C"/>
    <w:rsid w:val="00581FC1"/>
    <w:rsid w:val="00582306"/>
    <w:rsid w:val="0058242D"/>
    <w:rsid w:val="00582797"/>
    <w:rsid w:val="005827C8"/>
    <w:rsid w:val="00582CCA"/>
    <w:rsid w:val="00582F62"/>
    <w:rsid w:val="00582FAD"/>
    <w:rsid w:val="00583079"/>
    <w:rsid w:val="005831D4"/>
    <w:rsid w:val="00583268"/>
    <w:rsid w:val="005834A0"/>
    <w:rsid w:val="00583533"/>
    <w:rsid w:val="005838A6"/>
    <w:rsid w:val="00583A6B"/>
    <w:rsid w:val="00583F05"/>
    <w:rsid w:val="0058460C"/>
    <w:rsid w:val="00584708"/>
    <w:rsid w:val="0058479D"/>
    <w:rsid w:val="005849AB"/>
    <w:rsid w:val="00584D8F"/>
    <w:rsid w:val="00585507"/>
    <w:rsid w:val="00585679"/>
    <w:rsid w:val="00585BCB"/>
    <w:rsid w:val="00585DEF"/>
    <w:rsid w:val="00585E82"/>
    <w:rsid w:val="00586182"/>
    <w:rsid w:val="005861AC"/>
    <w:rsid w:val="00586403"/>
    <w:rsid w:val="0058688B"/>
    <w:rsid w:val="00586A70"/>
    <w:rsid w:val="00587292"/>
    <w:rsid w:val="00587CF8"/>
    <w:rsid w:val="00590179"/>
    <w:rsid w:val="00590328"/>
    <w:rsid w:val="005905B1"/>
    <w:rsid w:val="00590D0A"/>
    <w:rsid w:val="005911C4"/>
    <w:rsid w:val="0059124D"/>
    <w:rsid w:val="0059188F"/>
    <w:rsid w:val="00591EF0"/>
    <w:rsid w:val="005922C7"/>
    <w:rsid w:val="005923EE"/>
    <w:rsid w:val="00592CC8"/>
    <w:rsid w:val="00592CE0"/>
    <w:rsid w:val="00592EA2"/>
    <w:rsid w:val="0059322B"/>
    <w:rsid w:val="00593EF5"/>
    <w:rsid w:val="005940F3"/>
    <w:rsid w:val="00594398"/>
    <w:rsid w:val="005943EA"/>
    <w:rsid w:val="0059460F"/>
    <w:rsid w:val="00594AC1"/>
    <w:rsid w:val="00594DB8"/>
    <w:rsid w:val="00594E5B"/>
    <w:rsid w:val="00594F3F"/>
    <w:rsid w:val="00595153"/>
    <w:rsid w:val="00595192"/>
    <w:rsid w:val="00595357"/>
    <w:rsid w:val="00595597"/>
    <w:rsid w:val="0059572A"/>
    <w:rsid w:val="005959E5"/>
    <w:rsid w:val="00595A9A"/>
    <w:rsid w:val="0059626A"/>
    <w:rsid w:val="0059642F"/>
    <w:rsid w:val="005969E8"/>
    <w:rsid w:val="00596B51"/>
    <w:rsid w:val="00596B5E"/>
    <w:rsid w:val="00596CEE"/>
    <w:rsid w:val="00596CFD"/>
    <w:rsid w:val="00596D42"/>
    <w:rsid w:val="00597263"/>
    <w:rsid w:val="0059763D"/>
    <w:rsid w:val="005976E5"/>
    <w:rsid w:val="00597949"/>
    <w:rsid w:val="00597B39"/>
    <w:rsid w:val="00597D94"/>
    <w:rsid w:val="00597EA8"/>
    <w:rsid w:val="005A035D"/>
    <w:rsid w:val="005A03B1"/>
    <w:rsid w:val="005A03E2"/>
    <w:rsid w:val="005A048B"/>
    <w:rsid w:val="005A0CDC"/>
    <w:rsid w:val="005A1147"/>
    <w:rsid w:val="005A14C8"/>
    <w:rsid w:val="005A1700"/>
    <w:rsid w:val="005A1AFB"/>
    <w:rsid w:val="005A22E7"/>
    <w:rsid w:val="005A2326"/>
    <w:rsid w:val="005A2599"/>
    <w:rsid w:val="005A28E7"/>
    <w:rsid w:val="005A2AFE"/>
    <w:rsid w:val="005A2BB0"/>
    <w:rsid w:val="005A2DA0"/>
    <w:rsid w:val="005A2F3E"/>
    <w:rsid w:val="005A2FB2"/>
    <w:rsid w:val="005A311F"/>
    <w:rsid w:val="005A31D1"/>
    <w:rsid w:val="005A32D4"/>
    <w:rsid w:val="005A3BF0"/>
    <w:rsid w:val="005A3E65"/>
    <w:rsid w:val="005A404D"/>
    <w:rsid w:val="005A4156"/>
    <w:rsid w:val="005A4540"/>
    <w:rsid w:val="005A49F4"/>
    <w:rsid w:val="005A4A1A"/>
    <w:rsid w:val="005A4CFF"/>
    <w:rsid w:val="005A52D6"/>
    <w:rsid w:val="005A52E9"/>
    <w:rsid w:val="005A537E"/>
    <w:rsid w:val="005A56C0"/>
    <w:rsid w:val="005A5735"/>
    <w:rsid w:val="005A579E"/>
    <w:rsid w:val="005A57FC"/>
    <w:rsid w:val="005A59B9"/>
    <w:rsid w:val="005A5F17"/>
    <w:rsid w:val="005A62F5"/>
    <w:rsid w:val="005A63FB"/>
    <w:rsid w:val="005A6642"/>
    <w:rsid w:val="005A6A64"/>
    <w:rsid w:val="005A6C4C"/>
    <w:rsid w:val="005A6D52"/>
    <w:rsid w:val="005A7117"/>
    <w:rsid w:val="005A71EC"/>
    <w:rsid w:val="005A7290"/>
    <w:rsid w:val="005A75CA"/>
    <w:rsid w:val="005A765E"/>
    <w:rsid w:val="005A7B12"/>
    <w:rsid w:val="005A7B92"/>
    <w:rsid w:val="005B0053"/>
    <w:rsid w:val="005B02F3"/>
    <w:rsid w:val="005B0325"/>
    <w:rsid w:val="005B0417"/>
    <w:rsid w:val="005B0DCE"/>
    <w:rsid w:val="005B0DF6"/>
    <w:rsid w:val="005B105D"/>
    <w:rsid w:val="005B1224"/>
    <w:rsid w:val="005B12AB"/>
    <w:rsid w:val="005B13C9"/>
    <w:rsid w:val="005B144B"/>
    <w:rsid w:val="005B1954"/>
    <w:rsid w:val="005B1C5A"/>
    <w:rsid w:val="005B1E3C"/>
    <w:rsid w:val="005B24A9"/>
    <w:rsid w:val="005B27CF"/>
    <w:rsid w:val="005B2EA9"/>
    <w:rsid w:val="005B3030"/>
    <w:rsid w:val="005B30DC"/>
    <w:rsid w:val="005B32D0"/>
    <w:rsid w:val="005B371D"/>
    <w:rsid w:val="005B3919"/>
    <w:rsid w:val="005B3A2F"/>
    <w:rsid w:val="005B3C3A"/>
    <w:rsid w:val="005B3C54"/>
    <w:rsid w:val="005B3D52"/>
    <w:rsid w:val="005B3DBD"/>
    <w:rsid w:val="005B45AE"/>
    <w:rsid w:val="005B469D"/>
    <w:rsid w:val="005B4A1A"/>
    <w:rsid w:val="005B4A89"/>
    <w:rsid w:val="005B4C62"/>
    <w:rsid w:val="005B4EC9"/>
    <w:rsid w:val="005B4EEF"/>
    <w:rsid w:val="005B5245"/>
    <w:rsid w:val="005B5350"/>
    <w:rsid w:val="005B5499"/>
    <w:rsid w:val="005B5764"/>
    <w:rsid w:val="005B5A40"/>
    <w:rsid w:val="005B5DC2"/>
    <w:rsid w:val="005B6007"/>
    <w:rsid w:val="005B63DF"/>
    <w:rsid w:val="005B66B2"/>
    <w:rsid w:val="005B68F0"/>
    <w:rsid w:val="005B6C90"/>
    <w:rsid w:val="005B6D95"/>
    <w:rsid w:val="005B6FF0"/>
    <w:rsid w:val="005B72C2"/>
    <w:rsid w:val="005B7878"/>
    <w:rsid w:val="005B7CDE"/>
    <w:rsid w:val="005C001A"/>
    <w:rsid w:val="005C01AD"/>
    <w:rsid w:val="005C0938"/>
    <w:rsid w:val="005C0CCD"/>
    <w:rsid w:val="005C0CE4"/>
    <w:rsid w:val="005C0EFF"/>
    <w:rsid w:val="005C0F2C"/>
    <w:rsid w:val="005C1133"/>
    <w:rsid w:val="005C12E9"/>
    <w:rsid w:val="005C15F5"/>
    <w:rsid w:val="005C16A1"/>
    <w:rsid w:val="005C19F2"/>
    <w:rsid w:val="005C2152"/>
    <w:rsid w:val="005C229B"/>
    <w:rsid w:val="005C26CC"/>
    <w:rsid w:val="005C2749"/>
    <w:rsid w:val="005C29ED"/>
    <w:rsid w:val="005C2D23"/>
    <w:rsid w:val="005C2FCE"/>
    <w:rsid w:val="005C368F"/>
    <w:rsid w:val="005C3766"/>
    <w:rsid w:val="005C3852"/>
    <w:rsid w:val="005C3C3D"/>
    <w:rsid w:val="005C4566"/>
    <w:rsid w:val="005C46F6"/>
    <w:rsid w:val="005C4A25"/>
    <w:rsid w:val="005C4B9D"/>
    <w:rsid w:val="005C5304"/>
    <w:rsid w:val="005C5378"/>
    <w:rsid w:val="005C5593"/>
    <w:rsid w:val="005C59BF"/>
    <w:rsid w:val="005C5D1D"/>
    <w:rsid w:val="005C5E47"/>
    <w:rsid w:val="005C61A0"/>
    <w:rsid w:val="005C61CB"/>
    <w:rsid w:val="005C63BB"/>
    <w:rsid w:val="005C63CD"/>
    <w:rsid w:val="005C64AF"/>
    <w:rsid w:val="005C6917"/>
    <w:rsid w:val="005C6AF2"/>
    <w:rsid w:val="005C6D1C"/>
    <w:rsid w:val="005C6DA6"/>
    <w:rsid w:val="005C6DA7"/>
    <w:rsid w:val="005C7207"/>
    <w:rsid w:val="005C79E3"/>
    <w:rsid w:val="005C7A8C"/>
    <w:rsid w:val="005C7B5C"/>
    <w:rsid w:val="005D02A0"/>
    <w:rsid w:val="005D02F9"/>
    <w:rsid w:val="005D038A"/>
    <w:rsid w:val="005D0741"/>
    <w:rsid w:val="005D087A"/>
    <w:rsid w:val="005D0C45"/>
    <w:rsid w:val="005D0F6A"/>
    <w:rsid w:val="005D0FC3"/>
    <w:rsid w:val="005D11FF"/>
    <w:rsid w:val="005D1274"/>
    <w:rsid w:val="005D13B0"/>
    <w:rsid w:val="005D154C"/>
    <w:rsid w:val="005D1652"/>
    <w:rsid w:val="005D170B"/>
    <w:rsid w:val="005D1915"/>
    <w:rsid w:val="005D1993"/>
    <w:rsid w:val="005D1B50"/>
    <w:rsid w:val="005D1CB1"/>
    <w:rsid w:val="005D1DFB"/>
    <w:rsid w:val="005D2035"/>
    <w:rsid w:val="005D223F"/>
    <w:rsid w:val="005D22AC"/>
    <w:rsid w:val="005D26AF"/>
    <w:rsid w:val="005D2CF6"/>
    <w:rsid w:val="005D3217"/>
    <w:rsid w:val="005D3246"/>
    <w:rsid w:val="005D38DD"/>
    <w:rsid w:val="005D3932"/>
    <w:rsid w:val="005D3C87"/>
    <w:rsid w:val="005D3C9E"/>
    <w:rsid w:val="005D3E34"/>
    <w:rsid w:val="005D3E52"/>
    <w:rsid w:val="005D3E82"/>
    <w:rsid w:val="005D3FB2"/>
    <w:rsid w:val="005D4202"/>
    <w:rsid w:val="005D4432"/>
    <w:rsid w:val="005D4669"/>
    <w:rsid w:val="005D46DC"/>
    <w:rsid w:val="005D4743"/>
    <w:rsid w:val="005D47D3"/>
    <w:rsid w:val="005D48F0"/>
    <w:rsid w:val="005D4987"/>
    <w:rsid w:val="005D4CA3"/>
    <w:rsid w:val="005D4DAB"/>
    <w:rsid w:val="005D4F47"/>
    <w:rsid w:val="005D5108"/>
    <w:rsid w:val="005D5295"/>
    <w:rsid w:val="005D5581"/>
    <w:rsid w:val="005D5E32"/>
    <w:rsid w:val="005D5EC9"/>
    <w:rsid w:val="005D63BB"/>
    <w:rsid w:val="005D63E0"/>
    <w:rsid w:val="005D6538"/>
    <w:rsid w:val="005D6670"/>
    <w:rsid w:val="005D67F3"/>
    <w:rsid w:val="005D6BE8"/>
    <w:rsid w:val="005D747E"/>
    <w:rsid w:val="005D7DE1"/>
    <w:rsid w:val="005E000B"/>
    <w:rsid w:val="005E063C"/>
    <w:rsid w:val="005E0655"/>
    <w:rsid w:val="005E07F2"/>
    <w:rsid w:val="005E083C"/>
    <w:rsid w:val="005E0871"/>
    <w:rsid w:val="005E0993"/>
    <w:rsid w:val="005E0EBD"/>
    <w:rsid w:val="005E0FD7"/>
    <w:rsid w:val="005E128F"/>
    <w:rsid w:val="005E15A1"/>
    <w:rsid w:val="005E1989"/>
    <w:rsid w:val="005E1AC9"/>
    <w:rsid w:val="005E1BD0"/>
    <w:rsid w:val="005E1BF4"/>
    <w:rsid w:val="005E209F"/>
    <w:rsid w:val="005E2573"/>
    <w:rsid w:val="005E2616"/>
    <w:rsid w:val="005E2864"/>
    <w:rsid w:val="005E2987"/>
    <w:rsid w:val="005E309B"/>
    <w:rsid w:val="005E339F"/>
    <w:rsid w:val="005E3567"/>
    <w:rsid w:val="005E39F1"/>
    <w:rsid w:val="005E4102"/>
    <w:rsid w:val="005E429B"/>
    <w:rsid w:val="005E4660"/>
    <w:rsid w:val="005E489B"/>
    <w:rsid w:val="005E4D1D"/>
    <w:rsid w:val="005E4E94"/>
    <w:rsid w:val="005E4ED4"/>
    <w:rsid w:val="005E5C5B"/>
    <w:rsid w:val="005E5DA1"/>
    <w:rsid w:val="005E5E12"/>
    <w:rsid w:val="005E6115"/>
    <w:rsid w:val="005E65EC"/>
    <w:rsid w:val="005E6B2B"/>
    <w:rsid w:val="005E6C0E"/>
    <w:rsid w:val="005E70B9"/>
    <w:rsid w:val="005E7759"/>
    <w:rsid w:val="005E7795"/>
    <w:rsid w:val="005E78A9"/>
    <w:rsid w:val="005E7A04"/>
    <w:rsid w:val="005E7A1A"/>
    <w:rsid w:val="005F045C"/>
    <w:rsid w:val="005F04D1"/>
    <w:rsid w:val="005F074D"/>
    <w:rsid w:val="005F0869"/>
    <w:rsid w:val="005F0971"/>
    <w:rsid w:val="005F0A02"/>
    <w:rsid w:val="005F0FF7"/>
    <w:rsid w:val="005F11AA"/>
    <w:rsid w:val="005F133D"/>
    <w:rsid w:val="005F1361"/>
    <w:rsid w:val="005F1642"/>
    <w:rsid w:val="005F17E9"/>
    <w:rsid w:val="005F1885"/>
    <w:rsid w:val="005F1A3C"/>
    <w:rsid w:val="005F2287"/>
    <w:rsid w:val="005F28B8"/>
    <w:rsid w:val="005F2913"/>
    <w:rsid w:val="005F3124"/>
    <w:rsid w:val="005F3395"/>
    <w:rsid w:val="005F34AD"/>
    <w:rsid w:val="005F352E"/>
    <w:rsid w:val="005F3639"/>
    <w:rsid w:val="005F3C09"/>
    <w:rsid w:val="005F3CB6"/>
    <w:rsid w:val="005F40C5"/>
    <w:rsid w:val="005F47C3"/>
    <w:rsid w:val="005F485F"/>
    <w:rsid w:val="005F4B5C"/>
    <w:rsid w:val="005F5165"/>
    <w:rsid w:val="005F516A"/>
    <w:rsid w:val="005F5465"/>
    <w:rsid w:val="005F5601"/>
    <w:rsid w:val="005F5887"/>
    <w:rsid w:val="005F5A7E"/>
    <w:rsid w:val="005F5DF2"/>
    <w:rsid w:val="005F628C"/>
    <w:rsid w:val="005F6328"/>
    <w:rsid w:val="005F661D"/>
    <w:rsid w:val="005F6B8C"/>
    <w:rsid w:val="005F6C4A"/>
    <w:rsid w:val="005F6E02"/>
    <w:rsid w:val="005F7168"/>
    <w:rsid w:val="005F7279"/>
    <w:rsid w:val="005F7635"/>
    <w:rsid w:val="005F7803"/>
    <w:rsid w:val="005F78D3"/>
    <w:rsid w:val="005F792D"/>
    <w:rsid w:val="005F796F"/>
    <w:rsid w:val="005F7A16"/>
    <w:rsid w:val="005F7AC7"/>
    <w:rsid w:val="005F7D6B"/>
    <w:rsid w:val="005F7DEB"/>
    <w:rsid w:val="005F7E86"/>
    <w:rsid w:val="005F7F1A"/>
    <w:rsid w:val="0060067B"/>
    <w:rsid w:val="006007F0"/>
    <w:rsid w:val="0060125F"/>
    <w:rsid w:val="006017A3"/>
    <w:rsid w:val="00601868"/>
    <w:rsid w:val="0060195F"/>
    <w:rsid w:val="00601A1A"/>
    <w:rsid w:val="00601B11"/>
    <w:rsid w:val="00601BE0"/>
    <w:rsid w:val="00601FBF"/>
    <w:rsid w:val="00601FD3"/>
    <w:rsid w:val="0060234B"/>
    <w:rsid w:val="00602373"/>
    <w:rsid w:val="0060245E"/>
    <w:rsid w:val="0060283B"/>
    <w:rsid w:val="00602985"/>
    <w:rsid w:val="00602988"/>
    <w:rsid w:val="00602E4C"/>
    <w:rsid w:val="006030F2"/>
    <w:rsid w:val="00603214"/>
    <w:rsid w:val="00603589"/>
    <w:rsid w:val="0060364F"/>
    <w:rsid w:val="006039A4"/>
    <w:rsid w:val="00603F52"/>
    <w:rsid w:val="00604073"/>
    <w:rsid w:val="00604959"/>
    <w:rsid w:val="006049E4"/>
    <w:rsid w:val="00604F9B"/>
    <w:rsid w:val="006054C0"/>
    <w:rsid w:val="00605520"/>
    <w:rsid w:val="00605B13"/>
    <w:rsid w:val="006060E4"/>
    <w:rsid w:val="006061BF"/>
    <w:rsid w:val="006063FF"/>
    <w:rsid w:val="00606689"/>
    <w:rsid w:val="0060691E"/>
    <w:rsid w:val="00606BED"/>
    <w:rsid w:val="00607064"/>
    <w:rsid w:val="00607081"/>
    <w:rsid w:val="00607233"/>
    <w:rsid w:val="006075F0"/>
    <w:rsid w:val="0060776D"/>
    <w:rsid w:val="006077E2"/>
    <w:rsid w:val="00610443"/>
    <w:rsid w:val="00610BF8"/>
    <w:rsid w:val="00610CE6"/>
    <w:rsid w:val="00611D41"/>
    <w:rsid w:val="00611F8A"/>
    <w:rsid w:val="00612083"/>
    <w:rsid w:val="006120A0"/>
    <w:rsid w:val="006121F2"/>
    <w:rsid w:val="00612466"/>
    <w:rsid w:val="00612469"/>
    <w:rsid w:val="0061268E"/>
    <w:rsid w:val="006128D2"/>
    <w:rsid w:val="00612B71"/>
    <w:rsid w:val="00612D03"/>
    <w:rsid w:val="00612E2F"/>
    <w:rsid w:val="00612E8D"/>
    <w:rsid w:val="00612FD3"/>
    <w:rsid w:val="00613079"/>
    <w:rsid w:val="006130C8"/>
    <w:rsid w:val="006132E0"/>
    <w:rsid w:val="0061358E"/>
    <w:rsid w:val="00613ABF"/>
    <w:rsid w:val="00613CA9"/>
    <w:rsid w:val="00613F1D"/>
    <w:rsid w:val="006140CB"/>
    <w:rsid w:val="0061422C"/>
    <w:rsid w:val="00614651"/>
    <w:rsid w:val="00614A6C"/>
    <w:rsid w:val="00614DC2"/>
    <w:rsid w:val="00614E0E"/>
    <w:rsid w:val="00614E7B"/>
    <w:rsid w:val="00614F4E"/>
    <w:rsid w:val="0061531F"/>
    <w:rsid w:val="00615417"/>
    <w:rsid w:val="00615670"/>
    <w:rsid w:val="00615754"/>
    <w:rsid w:val="006159B6"/>
    <w:rsid w:val="006159B7"/>
    <w:rsid w:val="00615A19"/>
    <w:rsid w:val="00615A49"/>
    <w:rsid w:val="00615AC0"/>
    <w:rsid w:val="00615AF5"/>
    <w:rsid w:val="00615C6B"/>
    <w:rsid w:val="006161ED"/>
    <w:rsid w:val="006162F3"/>
    <w:rsid w:val="006163A7"/>
    <w:rsid w:val="0061650B"/>
    <w:rsid w:val="00616681"/>
    <w:rsid w:val="00616A88"/>
    <w:rsid w:val="00616AAB"/>
    <w:rsid w:val="00616FA7"/>
    <w:rsid w:val="0061728E"/>
    <w:rsid w:val="0061733B"/>
    <w:rsid w:val="00617478"/>
    <w:rsid w:val="0061751B"/>
    <w:rsid w:val="00617661"/>
    <w:rsid w:val="006178F8"/>
    <w:rsid w:val="00617A78"/>
    <w:rsid w:val="00617DC8"/>
    <w:rsid w:val="00620248"/>
    <w:rsid w:val="00620313"/>
    <w:rsid w:val="006204F2"/>
    <w:rsid w:val="0062061E"/>
    <w:rsid w:val="00620AF5"/>
    <w:rsid w:val="00620C8F"/>
    <w:rsid w:val="00620CB1"/>
    <w:rsid w:val="00620F7A"/>
    <w:rsid w:val="00620FE2"/>
    <w:rsid w:val="00621374"/>
    <w:rsid w:val="006213FC"/>
    <w:rsid w:val="00621546"/>
    <w:rsid w:val="00621772"/>
    <w:rsid w:val="006218F8"/>
    <w:rsid w:val="0062190C"/>
    <w:rsid w:val="00621FA7"/>
    <w:rsid w:val="00621FB8"/>
    <w:rsid w:val="006220D1"/>
    <w:rsid w:val="006226AD"/>
    <w:rsid w:val="006228C1"/>
    <w:rsid w:val="00622950"/>
    <w:rsid w:val="00622CAD"/>
    <w:rsid w:val="00622DAA"/>
    <w:rsid w:val="0062314A"/>
    <w:rsid w:val="00623490"/>
    <w:rsid w:val="00623DF0"/>
    <w:rsid w:val="00623E4F"/>
    <w:rsid w:val="006241A5"/>
    <w:rsid w:val="0062420B"/>
    <w:rsid w:val="006242DD"/>
    <w:rsid w:val="0062458B"/>
    <w:rsid w:val="00624797"/>
    <w:rsid w:val="006247C5"/>
    <w:rsid w:val="00624965"/>
    <w:rsid w:val="00624A2F"/>
    <w:rsid w:val="00624C5A"/>
    <w:rsid w:val="00624EF2"/>
    <w:rsid w:val="006251B8"/>
    <w:rsid w:val="0062560D"/>
    <w:rsid w:val="006256BD"/>
    <w:rsid w:val="006257BD"/>
    <w:rsid w:val="00625837"/>
    <w:rsid w:val="0062586E"/>
    <w:rsid w:val="00625B18"/>
    <w:rsid w:val="00625C7F"/>
    <w:rsid w:val="00625F3A"/>
    <w:rsid w:val="00626167"/>
    <w:rsid w:val="006261E4"/>
    <w:rsid w:val="0062620E"/>
    <w:rsid w:val="00626448"/>
    <w:rsid w:val="006266A3"/>
    <w:rsid w:val="00626B48"/>
    <w:rsid w:val="00626BEB"/>
    <w:rsid w:val="00626C2A"/>
    <w:rsid w:val="00626CE4"/>
    <w:rsid w:val="006273B0"/>
    <w:rsid w:val="006274F7"/>
    <w:rsid w:val="00627550"/>
    <w:rsid w:val="00627779"/>
    <w:rsid w:val="00627782"/>
    <w:rsid w:val="00627B34"/>
    <w:rsid w:val="00627CD7"/>
    <w:rsid w:val="00627EE7"/>
    <w:rsid w:val="00627FC2"/>
    <w:rsid w:val="00630874"/>
    <w:rsid w:val="00630A5A"/>
    <w:rsid w:val="00630ABF"/>
    <w:rsid w:val="00630B52"/>
    <w:rsid w:val="00630CE9"/>
    <w:rsid w:val="00631279"/>
    <w:rsid w:val="00631432"/>
    <w:rsid w:val="0063143E"/>
    <w:rsid w:val="0063153A"/>
    <w:rsid w:val="00631894"/>
    <w:rsid w:val="0063195A"/>
    <w:rsid w:val="00631C8E"/>
    <w:rsid w:val="00631C9A"/>
    <w:rsid w:val="0063221F"/>
    <w:rsid w:val="00632569"/>
    <w:rsid w:val="0063266D"/>
    <w:rsid w:val="00632770"/>
    <w:rsid w:val="00632D6D"/>
    <w:rsid w:val="0063332F"/>
    <w:rsid w:val="006333B8"/>
    <w:rsid w:val="00633A78"/>
    <w:rsid w:val="00634452"/>
    <w:rsid w:val="006345BF"/>
    <w:rsid w:val="00634E68"/>
    <w:rsid w:val="0063513A"/>
    <w:rsid w:val="006351C2"/>
    <w:rsid w:val="006354D3"/>
    <w:rsid w:val="00635D7F"/>
    <w:rsid w:val="00635F61"/>
    <w:rsid w:val="006362AD"/>
    <w:rsid w:val="006362B9"/>
    <w:rsid w:val="00636462"/>
    <w:rsid w:val="0063673E"/>
    <w:rsid w:val="00636ABD"/>
    <w:rsid w:val="00636E64"/>
    <w:rsid w:val="00636EC5"/>
    <w:rsid w:val="00636EEA"/>
    <w:rsid w:val="006373A7"/>
    <w:rsid w:val="006373D8"/>
    <w:rsid w:val="0063785A"/>
    <w:rsid w:val="00637977"/>
    <w:rsid w:val="00637E28"/>
    <w:rsid w:val="0064000E"/>
    <w:rsid w:val="00640486"/>
    <w:rsid w:val="006407FE"/>
    <w:rsid w:val="00640B5E"/>
    <w:rsid w:val="00640C03"/>
    <w:rsid w:val="0064108A"/>
    <w:rsid w:val="00641236"/>
    <w:rsid w:val="006417EA"/>
    <w:rsid w:val="006419E1"/>
    <w:rsid w:val="00641B38"/>
    <w:rsid w:val="00641BD1"/>
    <w:rsid w:val="00641E25"/>
    <w:rsid w:val="00641EFF"/>
    <w:rsid w:val="0064208B"/>
    <w:rsid w:val="00642202"/>
    <w:rsid w:val="00642397"/>
    <w:rsid w:val="006423FD"/>
    <w:rsid w:val="00642485"/>
    <w:rsid w:val="00642514"/>
    <w:rsid w:val="0064273E"/>
    <w:rsid w:val="00642C3E"/>
    <w:rsid w:val="00642E91"/>
    <w:rsid w:val="00643023"/>
    <w:rsid w:val="006430E4"/>
    <w:rsid w:val="0064315B"/>
    <w:rsid w:val="0064381E"/>
    <w:rsid w:val="00643D05"/>
    <w:rsid w:val="00643F54"/>
    <w:rsid w:val="0064403F"/>
    <w:rsid w:val="006441BE"/>
    <w:rsid w:val="006441C6"/>
    <w:rsid w:val="0064476E"/>
    <w:rsid w:val="006447B4"/>
    <w:rsid w:val="00644A21"/>
    <w:rsid w:val="00644ADC"/>
    <w:rsid w:val="00644B57"/>
    <w:rsid w:val="00644B88"/>
    <w:rsid w:val="00644CF0"/>
    <w:rsid w:val="00644D06"/>
    <w:rsid w:val="00644F87"/>
    <w:rsid w:val="006455A4"/>
    <w:rsid w:val="006455C0"/>
    <w:rsid w:val="00645657"/>
    <w:rsid w:val="00645820"/>
    <w:rsid w:val="0064601A"/>
    <w:rsid w:val="00646039"/>
    <w:rsid w:val="0064606B"/>
    <w:rsid w:val="006461AF"/>
    <w:rsid w:val="006462F0"/>
    <w:rsid w:val="006466FE"/>
    <w:rsid w:val="00646AD5"/>
    <w:rsid w:val="00646BDF"/>
    <w:rsid w:val="00646FF2"/>
    <w:rsid w:val="00647009"/>
    <w:rsid w:val="0064748C"/>
    <w:rsid w:val="0064751C"/>
    <w:rsid w:val="006475D1"/>
    <w:rsid w:val="00647930"/>
    <w:rsid w:val="00647BC4"/>
    <w:rsid w:val="00647E95"/>
    <w:rsid w:val="00650B85"/>
    <w:rsid w:val="00650EC6"/>
    <w:rsid w:val="00650F1D"/>
    <w:rsid w:val="00650FE6"/>
    <w:rsid w:val="006511E9"/>
    <w:rsid w:val="00651478"/>
    <w:rsid w:val="00651654"/>
    <w:rsid w:val="00651988"/>
    <w:rsid w:val="00651D2A"/>
    <w:rsid w:val="00651D32"/>
    <w:rsid w:val="006523F0"/>
    <w:rsid w:val="00652988"/>
    <w:rsid w:val="00652D85"/>
    <w:rsid w:val="00653447"/>
    <w:rsid w:val="0065350D"/>
    <w:rsid w:val="0065352A"/>
    <w:rsid w:val="006536B7"/>
    <w:rsid w:val="006536DD"/>
    <w:rsid w:val="006537D6"/>
    <w:rsid w:val="006539B6"/>
    <w:rsid w:val="00653DDD"/>
    <w:rsid w:val="00653EE6"/>
    <w:rsid w:val="006542A5"/>
    <w:rsid w:val="006543AB"/>
    <w:rsid w:val="006546C6"/>
    <w:rsid w:val="006547F5"/>
    <w:rsid w:val="00654814"/>
    <w:rsid w:val="006549BD"/>
    <w:rsid w:val="006549E0"/>
    <w:rsid w:val="00654F75"/>
    <w:rsid w:val="00655186"/>
    <w:rsid w:val="0065538F"/>
    <w:rsid w:val="00655690"/>
    <w:rsid w:val="00655703"/>
    <w:rsid w:val="00655790"/>
    <w:rsid w:val="006558C7"/>
    <w:rsid w:val="00655CDD"/>
    <w:rsid w:val="00655CE9"/>
    <w:rsid w:val="0065616A"/>
    <w:rsid w:val="006564D5"/>
    <w:rsid w:val="00656715"/>
    <w:rsid w:val="006567A5"/>
    <w:rsid w:val="00656940"/>
    <w:rsid w:val="00656BEE"/>
    <w:rsid w:val="00656C9B"/>
    <w:rsid w:val="00656D7B"/>
    <w:rsid w:val="0065738E"/>
    <w:rsid w:val="006576CD"/>
    <w:rsid w:val="006576D0"/>
    <w:rsid w:val="00657BF5"/>
    <w:rsid w:val="00657CF8"/>
    <w:rsid w:val="00657E0B"/>
    <w:rsid w:val="0066033E"/>
    <w:rsid w:val="00660DD7"/>
    <w:rsid w:val="006612BE"/>
    <w:rsid w:val="006613AD"/>
    <w:rsid w:val="00661432"/>
    <w:rsid w:val="00661461"/>
    <w:rsid w:val="00661805"/>
    <w:rsid w:val="00661B6A"/>
    <w:rsid w:val="006620A8"/>
    <w:rsid w:val="006623B7"/>
    <w:rsid w:val="0066298A"/>
    <w:rsid w:val="0066318D"/>
    <w:rsid w:val="00663924"/>
    <w:rsid w:val="00663CA1"/>
    <w:rsid w:val="00663DAD"/>
    <w:rsid w:val="00663DF1"/>
    <w:rsid w:val="00664065"/>
    <w:rsid w:val="00664086"/>
    <w:rsid w:val="006640B0"/>
    <w:rsid w:val="006640BB"/>
    <w:rsid w:val="00664243"/>
    <w:rsid w:val="0066433C"/>
    <w:rsid w:val="006649B7"/>
    <w:rsid w:val="00664DF0"/>
    <w:rsid w:val="00664EC1"/>
    <w:rsid w:val="00665143"/>
    <w:rsid w:val="00665957"/>
    <w:rsid w:val="00665967"/>
    <w:rsid w:val="00665A25"/>
    <w:rsid w:val="00665B9A"/>
    <w:rsid w:val="00666245"/>
    <w:rsid w:val="0066665E"/>
    <w:rsid w:val="00666673"/>
    <w:rsid w:val="006666B4"/>
    <w:rsid w:val="006667AD"/>
    <w:rsid w:val="00666893"/>
    <w:rsid w:val="006669A7"/>
    <w:rsid w:val="00666A1E"/>
    <w:rsid w:val="00666CB8"/>
    <w:rsid w:val="00666D0D"/>
    <w:rsid w:val="00666D83"/>
    <w:rsid w:val="00666E80"/>
    <w:rsid w:val="00667043"/>
    <w:rsid w:val="00667235"/>
    <w:rsid w:val="0066764D"/>
    <w:rsid w:val="006677A8"/>
    <w:rsid w:val="00667883"/>
    <w:rsid w:val="006679BB"/>
    <w:rsid w:val="00667EE7"/>
    <w:rsid w:val="00667EEF"/>
    <w:rsid w:val="00667F47"/>
    <w:rsid w:val="00670144"/>
    <w:rsid w:val="0067014B"/>
    <w:rsid w:val="006703D6"/>
    <w:rsid w:val="0067044F"/>
    <w:rsid w:val="006704F0"/>
    <w:rsid w:val="00671082"/>
    <w:rsid w:val="00671446"/>
    <w:rsid w:val="00671621"/>
    <w:rsid w:val="0067162A"/>
    <w:rsid w:val="00671679"/>
    <w:rsid w:val="00671AE7"/>
    <w:rsid w:val="00671C3D"/>
    <w:rsid w:val="00672364"/>
    <w:rsid w:val="0067254F"/>
    <w:rsid w:val="006727CD"/>
    <w:rsid w:val="0067288B"/>
    <w:rsid w:val="00672C28"/>
    <w:rsid w:val="006737C9"/>
    <w:rsid w:val="006738A2"/>
    <w:rsid w:val="00673C2B"/>
    <w:rsid w:val="0067414C"/>
    <w:rsid w:val="006748E5"/>
    <w:rsid w:val="00674ACD"/>
    <w:rsid w:val="00674BAE"/>
    <w:rsid w:val="00674D37"/>
    <w:rsid w:val="0067585E"/>
    <w:rsid w:val="00675878"/>
    <w:rsid w:val="00675986"/>
    <w:rsid w:val="006759D2"/>
    <w:rsid w:val="00675A89"/>
    <w:rsid w:val="00675D94"/>
    <w:rsid w:val="00675FE4"/>
    <w:rsid w:val="006760C7"/>
    <w:rsid w:val="006761A5"/>
    <w:rsid w:val="006761A8"/>
    <w:rsid w:val="006762BA"/>
    <w:rsid w:val="00676317"/>
    <w:rsid w:val="00676388"/>
    <w:rsid w:val="00676448"/>
    <w:rsid w:val="0067656B"/>
    <w:rsid w:val="00676679"/>
    <w:rsid w:val="006768FE"/>
    <w:rsid w:val="00676AD5"/>
    <w:rsid w:val="00677184"/>
    <w:rsid w:val="006773AD"/>
    <w:rsid w:val="00677497"/>
    <w:rsid w:val="006777B1"/>
    <w:rsid w:val="006779BE"/>
    <w:rsid w:val="00677AF3"/>
    <w:rsid w:val="00677D78"/>
    <w:rsid w:val="00677D7C"/>
    <w:rsid w:val="00677E8C"/>
    <w:rsid w:val="0068024A"/>
    <w:rsid w:val="006802D1"/>
    <w:rsid w:val="00680484"/>
    <w:rsid w:val="0068054F"/>
    <w:rsid w:val="00680C6E"/>
    <w:rsid w:val="00680E44"/>
    <w:rsid w:val="00680E4B"/>
    <w:rsid w:val="00680F40"/>
    <w:rsid w:val="006813E2"/>
    <w:rsid w:val="00681837"/>
    <w:rsid w:val="00681965"/>
    <w:rsid w:val="00681A93"/>
    <w:rsid w:val="00681BC8"/>
    <w:rsid w:val="00681EF7"/>
    <w:rsid w:val="00682670"/>
    <w:rsid w:val="006826FE"/>
    <w:rsid w:val="00682BD4"/>
    <w:rsid w:val="00682C4C"/>
    <w:rsid w:val="00682C52"/>
    <w:rsid w:val="00682D83"/>
    <w:rsid w:val="00682FDE"/>
    <w:rsid w:val="006832DB"/>
    <w:rsid w:val="006834BA"/>
    <w:rsid w:val="0068353E"/>
    <w:rsid w:val="006836F2"/>
    <w:rsid w:val="00683A17"/>
    <w:rsid w:val="006844EF"/>
    <w:rsid w:val="00684660"/>
    <w:rsid w:val="00684C74"/>
    <w:rsid w:val="00684E38"/>
    <w:rsid w:val="00684F2C"/>
    <w:rsid w:val="00685040"/>
    <w:rsid w:val="0068554B"/>
    <w:rsid w:val="0068557B"/>
    <w:rsid w:val="00685A12"/>
    <w:rsid w:val="00685A85"/>
    <w:rsid w:val="00685D35"/>
    <w:rsid w:val="00686076"/>
    <w:rsid w:val="0068640C"/>
    <w:rsid w:val="00686649"/>
    <w:rsid w:val="00686710"/>
    <w:rsid w:val="00686759"/>
    <w:rsid w:val="0068681A"/>
    <w:rsid w:val="0068697F"/>
    <w:rsid w:val="006869C1"/>
    <w:rsid w:val="00686C40"/>
    <w:rsid w:val="00686F7B"/>
    <w:rsid w:val="00687A28"/>
    <w:rsid w:val="00687E35"/>
    <w:rsid w:val="00687EDA"/>
    <w:rsid w:val="00687F39"/>
    <w:rsid w:val="006903C6"/>
    <w:rsid w:val="006904C0"/>
    <w:rsid w:val="00690551"/>
    <w:rsid w:val="00690668"/>
    <w:rsid w:val="0069071C"/>
    <w:rsid w:val="0069079F"/>
    <w:rsid w:val="00691033"/>
    <w:rsid w:val="006912BF"/>
    <w:rsid w:val="0069146D"/>
    <w:rsid w:val="006915C6"/>
    <w:rsid w:val="006916F7"/>
    <w:rsid w:val="006919D3"/>
    <w:rsid w:val="00691AD6"/>
    <w:rsid w:val="00691D15"/>
    <w:rsid w:val="00691DB5"/>
    <w:rsid w:val="006924F3"/>
    <w:rsid w:val="00692926"/>
    <w:rsid w:val="00692BF7"/>
    <w:rsid w:val="00692C28"/>
    <w:rsid w:val="006930F8"/>
    <w:rsid w:val="00693629"/>
    <w:rsid w:val="00693988"/>
    <w:rsid w:val="00693EFC"/>
    <w:rsid w:val="0069447D"/>
    <w:rsid w:val="0069460D"/>
    <w:rsid w:val="00694B57"/>
    <w:rsid w:val="00694EBF"/>
    <w:rsid w:val="006950AC"/>
    <w:rsid w:val="00695131"/>
    <w:rsid w:val="006951C1"/>
    <w:rsid w:val="006953D7"/>
    <w:rsid w:val="00695714"/>
    <w:rsid w:val="006957B4"/>
    <w:rsid w:val="00695BD6"/>
    <w:rsid w:val="00695D8B"/>
    <w:rsid w:val="00696011"/>
    <w:rsid w:val="006960AF"/>
    <w:rsid w:val="006966BC"/>
    <w:rsid w:val="006967F6"/>
    <w:rsid w:val="00696D27"/>
    <w:rsid w:val="00696DAE"/>
    <w:rsid w:val="00696E3E"/>
    <w:rsid w:val="00696F8B"/>
    <w:rsid w:val="0069702C"/>
    <w:rsid w:val="0069705E"/>
    <w:rsid w:val="00697170"/>
    <w:rsid w:val="0069717D"/>
    <w:rsid w:val="006972F4"/>
    <w:rsid w:val="0069734D"/>
    <w:rsid w:val="006973D5"/>
    <w:rsid w:val="00697462"/>
    <w:rsid w:val="00697526"/>
    <w:rsid w:val="006975EB"/>
    <w:rsid w:val="006975FB"/>
    <w:rsid w:val="0069782C"/>
    <w:rsid w:val="006978A0"/>
    <w:rsid w:val="00697A2A"/>
    <w:rsid w:val="00697CAA"/>
    <w:rsid w:val="00697D8A"/>
    <w:rsid w:val="006A03F5"/>
    <w:rsid w:val="006A08CE"/>
    <w:rsid w:val="006A0AC3"/>
    <w:rsid w:val="006A0BBF"/>
    <w:rsid w:val="006A0DE2"/>
    <w:rsid w:val="006A0E29"/>
    <w:rsid w:val="006A109B"/>
    <w:rsid w:val="006A11DA"/>
    <w:rsid w:val="006A12C7"/>
    <w:rsid w:val="006A151C"/>
    <w:rsid w:val="006A1535"/>
    <w:rsid w:val="006A17C8"/>
    <w:rsid w:val="006A1813"/>
    <w:rsid w:val="006A1DB4"/>
    <w:rsid w:val="006A22B0"/>
    <w:rsid w:val="006A26A5"/>
    <w:rsid w:val="006A2BEB"/>
    <w:rsid w:val="006A321C"/>
    <w:rsid w:val="006A3298"/>
    <w:rsid w:val="006A3471"/>
    <w:rsid w:val="006A34FA"/>
    <w:rsid w:val="006A375C"/>
    <w:rsid w:val="006A3823"/>
    <w:rsid w:val="006A3B0F"/>
    <w:rsid w:val="006A3D0D"/>
    <w:rsid w:val="006A5102"/>
    <w:rsid w:val="006A510E"/>
    <w:rsid w:val="006A5374"/>
    <w:rsid w:val="006A53AC"/>
    <w:rsid w:val="006A53F0"/>
    <w:rsid w:val="006A55A3"/>
    <w:rsid w:val="006A5BCB"/>
    <w:rsid w:val="006A5C81"/>
    <w:rsid w:val="006A6042"/>
    <w:rsid w:val="006A60E2"/>
    <w:rsid w:val="006A6211"/>
    <w:rsid w:val="006A63B6"/>
    <w:rsid w:val="006A6566"/>
    <w:rsid w:val="006A65FA"/>
    <w:rsid w:val="006A672C"/>
    <w:rsid w:val="006A6B9F"/>
    <w:rsid w:val="006A6D58"/>
    <w:rsid w:val="006A6F0C"/>
    <w:rsid w:val="006A6FB8"/>
    <w:rsid w:val="006A751B"/>
    <w:rsid w:val="006A7589"/>
    <w:rsid w:val="006A786A"/>
    <w:rsid w:val="006A7877"/>
    <w:rsid w:val="006A7B5E"/>
    <w:rsid w:val="006A7C2C"/>
    <w:rsid w:val="006A7C3C"/>
    <w:rsid w:val="006B0005"/>
    <w:rsid w:val="006B007D"/>
    <w:rsid w:val="006B02E9"/>
    <w:rsid w:val="006B03F4"/>
    <w:rsid w:val="006B06E0"/>
    <w:rsid w:val="006B0B04"/>
    <w:rsid w:val="006B0C35"/>
    <w:rsid w:val="006B0D4A"/>
    <w:rsid w:val="006B0E57"/>
    <w:rsid w:val="006B14E1"/>
    <w:rsid w:val="006B16CF"/>
    <w:rsid w:val="006B1768"/>
    <w:rsid w:val="006B18C2"/>
    <w:rsid w:val="006B1910"/>
    <w:rsid w:val="006B1A36"/>
    <w:rsid w:val="006B1BC9"/>
    <w:rsid w:val="006B1EBD"/>
    <w:rsid w:val="006B1F59"/>
    <w:rsid w:val="006B230A"/>
    <w:rsid w:val="006B2447"/>
    <w:rsid w:val="006B28E2"/>
    <w:rsid w:val="006B299F"/>
    <w:rsid w:val="006B2B5F"/>
    <w:rsid w:val="006B2DC2"/>
    <w:rsid w:val="006B2E52"/>
    <w:rsid w:val="006B300A"/>
    <w:rsid w:val="006B346A"/>
    <w:rsid w:val="006B3A4B"/>
    <w:rsid w:val="006B3AFB"/>
    <w:rsid w:val="006B3B2B"/>
    <w:rsid w:val="006B3B45"/>
    <w:rsid w:val="006B3BF6"/>
    <w:rsid w:val="006B3DBA"/>
    <w:rsid w:val="006B4108"/>
    <w:rsid w:val="006B4360"/>
    <w:rsid w:val="006B444B"/>
    <w:rsid w:val="006B453D"/>
    <w:rsid w:val="006B46AF"/>
    <w:rsid w:val="006B4CF9"/>
    <w:rsid w:val="006B4E8A"/>
    <w:rsid w:val="006B529F"/>
    <w:rsid w:val="006B532A"/>
    <w:rsid w:val="006B56AD"/>
    <w:rsid w:val="006B5C2C"/>
    <w:rsid w:val="006B5DF1"/>
    <w:rsid w:val="006B6000"/>
    <w:rsid w:val="006B62DC"/>
    <w:rsid w:val="006B63A4"/>
    <w:rsid w:val="006B641B"/>
    <w:rsid w:val="006B69B4"/>
    <w:rsid w:val="006B6AA8"/>
    <w:rsid w:val="006B6E4D"/>
    <w:rsid w:val="006B706E"/>
    <w:rsid w:val="006B71CD"/>
    <w:rsid w:val="006B753D"/>
    <w:rsid w:val="006B75C3"/>
    <w:rsid w:val="006B75CF"/>
    <w:rsid w:val="006B76C6"/>
    <w:rsid w:val="006B7846"/>
    <w:rsid w:val="006B7924"/>
    <w:rsid w:val="006B7977"/>
    <w:rsid w:val="006B7AC8"/>
    <w:rsid w:val="006C039C"/>
    <w:rsid w:val="006C05D4"/>
    <w:rsid w:val="006C05F3"/>
    <w:rsid w:val="006C08CE"/>
    <w:rsid w:val="006C08E6"/>
    <w:rsid w:val="006C0A1B"/>
    <w:rsid w:val="006C0B02"/>
    <w:rsid w:val="006C0B94"/>
    <w:rsid w:val="006C0C14"/>
    <w:rsid w:val="006C0C81"/>
    <w:rsid w:val="006C14BE"/>
    <w:rsid w:val="006C17D3"/>
    <w:rsid w:val="006C18C4"/>
    <w:rsid w:val="006C1D0A"/>
    <w:rsid w:val="006C1D8F"/>
    <w:rsid w:val="006C1E1B"/>
    <w:rsid w:val="006C2C29"/>
    <w:rsid w:val="006C2FCB"/>
    <w:rsid w:val="006C34DC"/>
    <w:rsid w:val="006C38D0"/>
    <w:rsid w:val="006C3F2E"/>
    <w:rsid w:val="006C407C"/>
    <w:rsid w:val="006C469C"/>
    <w:rsid w:val="006C48B2"/>
    <w:rsid w:val="006C49CA"/>
    <w:rsid w:val="006C4B1D"/>
    <w:rsid w:val="006C4CF9"/>
    <w:rsid w:val="006C4E6A"/>
    <w:rsid w:val="006C5284"/>
    <w:rsid w:val="006C572B"/>
    <w:rsid w:val="006C5747"/>
    <w:rsid w:val="006C5D8D"/>
    <w:rsid w:val="006C62EF"/>
    <w:rsid w:val="006C6559"/>
    <w:rsid w:val="006C66EE"/>
    <w:rsid w:val="006C6778"/>
    <w:rsid w:val="006C6F62"/>
    <w:rsid w:val="006C70AC"/>
    <w:rsid w:val="006C734E"/>
    <w:rsid w:val="006C74C9"/>
    <w:rsid w:val="006C74E1"/>
    <w:rsid w:val="006C7520"/>
    <w:rsid w:val="006C7AA6"/>
    <w:rsid w:val="006C7BCA"/>
    <w:rsid w:val="006D0049"/>
    <w:rsid w:val="006D015F"/>
    <w:rsid w:val="006D019B"/>
    <w:rsid w:val="006D01B5"/>
    <w:rsid w:val="006D0257"/>
    <w:rsid w:val="006D02CB"/>
    <w:rsid w:val="006D0371"/>
    <w:rsid w:val="006D09C2"/>
    <w:rsid w:val="006D0FAF"/>
    <w:rsid w:val="006D1091"/>
    <w:rsid w:val="006D12A4"/>
    <w:rsid w:val="006D1593"/>
    <w:rsid w:val="006D1659"/>
    <w:rsid w:val="006D186F"/>
    <w:rsid w:val="006D1950"/>
    <w:rsid w:val="006D1BA1"/>
    <w:rsid w:val="006D1FC6"/>
    <w:rsid w:val="006D1FCA"/>
    <w:rsid w:val="006D2262"/>
    <w:rsid w:val="006D228D"/>
    <w:rsid w:val="006D27CE"/>
    <w:rsid w:val="006D27DB"/>
    <w:rsid w:val="006D2A73"/>
    <w:rsid w:val="006D2ABC"/>
    <w:rsid w:val="006D2AE5"/>
    <w:rsid w:val="006D2E21"/>
    <w:rsid w:val="006D2E2A"/>
    <w:rsid w:val="006D2E6C"/>
    <w:rsid w:val="006D3295"/>
    <w:rsid w:val="006D3707"/>
    <w:rsid w:val="006D3872"/>
    <w:rsid w:val="006D38C1"/>
    <w:rsid w:val="006D392C"/>
    <w:rsid w:val="006D3D23"/>
    <w:rsid w:val="006D3D95"/>
    <w:rsid w:val="006D405C"/>
    <w:rsid w:val="006D4500"/>
    <w:rsid w:val="006D49D0"/>
    <w:rsid w:val="006D4BB3"/>
    <w:rsid w:val="006D4BB8"/>
    <w:rsid w:val="006D512D"/>
    <w:rsid w:val="006D5187"/>
    <w:rsid w:val="006D550F"/>
    <w:rsid w:val="006D57B6"/>
    <w:rsid w:val="006D5867"/>
    <w:rsid w:val="006D5B22"/>
    <w:rsid w:val="006D5B2D"/>
    <w:rsid w:val="006D5DDD"/>
    <w:rsid w:val="006D5E50"/>
    <w:rsid w:val="006D634E"/>
    <w:rsid w:val="006D641A"/>
    <w:rsid w:val="006D6D88"/>
    <w:rsid w:val="006D7053"/>
    <w:rsid w:val="006D719F"/>
    <w:rsid w:val="006D7259"/>
    <w:rsid w:val="006D74EF"/>
    <w:rsid w:val="006D7723"/>
    <w:rsid w:val="006D77F3"/>
    <w:rsid w:val="006D7804"/>
    <w:rsid w:val="006D7874"/>
    <w:rsid w:val="006D7B47"/>
    <w:rsid w:val="006D7D0A"/>
    <w:rsid w:val="006D7DEE"/>
    <w:rsid w:val="006D7E55"/>
    <w:rsid w:val="006D7FA4"/>
    <w:rsid w:val="006D7FCE"/>
    <w:rsid w:val="006E005D"/>
    <w:rsid w:val="006E047D"/>
    <w:rsid w:val="006E05B9"/>
    <w:rsid w:val="006E06FA"/>
    <w:rsid w:val="006E0852"/>
    <w:rsid w:val="006E0ADB"/>
    <w:rsid w:val="006E0D6E"/>
    <w:rsid w:val="006E0DBF"/>
    <w:rsid w:val="006E0DC5"/>
    <w:rsid w:val="006E10BA"/>
    <w:rsid w:val="006E13BE"/>
    <w:rsid w:val="006E13C0"/>
    <w:rsid w:val="006E1690"/>
    <w:rsid w:val="006E17DE"/>
    <w:rsid w:val="006E1CDE"/>
    <w:rsid w:val="006E2142"/>
    <w:rsid w:val="006E2174"/>
    <w:rsid w:val="006E22E3"/>
    <w:rsid w:val="006E2300"/>
    <w:rsid w:val="006E249B"/>
    <w:rsid w:val="006E2E32"/>
    <w:rsid w:val="006E2E4C"/>
    <w:rsid w:val="006E3760"/>
    <w:rsid w:val="006E37C6"/>
    <w:rsid w:val="006E3A5F"/>
    <w:rsid w:val="006E3CC4"/>
    <w:rsid w:val="006E3E0D"/>
    <w:rsid w:val="006E3EA6"/>
    <w:rsid w:val="006E448D"/>
    <w:rsid w:val="006E4525"/>
    <w:rsid w:val="006E457B"/>
    <w:rsid w:val="006E4994"/>
    <w:rsid w:val="006E4ACE"/>
    <w:rsid w:val="006E4AED"/>
    <w:rsid w:val="006E4C57"/>
    <w:rsid w:val="006E4D46"/>
    <w:rsid w:val="006E5358"/>
    <w:rsid w:val="006E550D"/>
    <w:rsid w:val="006E5AEA"/>
    <w:rsid w:val="006E5D47"/>
    <w:rsid w:val="006E6776"/>
    <w:rsid w:val="006E68E6"/>
    <w:rsid w:val="006E6C20"/>
    <w:rsid w:val="006E7001"/>
    <w:rsid w:val="006E7988"/>
    <w:rsid w:val="006E7A52"/>
    <w:rsid w:val="006E7ADF"/>
    <w:rsid w:val="006E7C18"/>
    <w:rsid w:val="006E7E83"/>
    <w:rsid w:val="006E7FC6"/>
    <w:rsid w:val="006F01B5"/>
    <w:rsid w:val="006F04BF"/>
    <w:rsid w:val="006F0692"/>
    <w:rsid w:val="006F0743"/>
    <w:rsid w:val="006F07CB"/>
    <w:rsid w:val="006F09D2"/>
    <w:rsid w:val="006F0C57"/>
    <w:rsid w:val="006F0F18"/>
    <w:rsid w:val="006F107F"/>
    <w:rsid w:val="006F1577"/>
    <w:rsid w:val="006F1819"/>
    <w:rsid w:val="006F1A8D"/>
    <w:rsid w:val="006F1C96"/>
    <w:rsid w:val="006F229F"/>
    <w:rsid w:val="006F2620"/>
    <w:rsid w:val="006F2B5A"/>
    <w:rsid w:val="006F2D95"/>
    <w:rsid w:val="006F2DC6"/>
    <w:rsid w:val="006F332E"/>
    <w:rsid w:val="006F385B"/>
    <w:rsid w:val="006F3DCC"/>
    <w:rsid w:val="006F4171"/>
    <w:rsid w:val="006F426D"/>
    <w:rsid w:val="006F4344"/>
    <w:rsid w:val="006F4479"/>
    <w:rsid w:val="006F4BD4"/>
    <w:rsid w:val="006F4C12"/>
    <w:rsid w:val="006F5008"/>
    <w:rsid w:val="006F530E"/>
    <w:rsid w:val="006F56D3"/>
    <w:rsid w:val="006F6189"/>
    <w:rsid w:val="006F6A3A"/>
    <w:rsid w:val="006F6D48"/>
    <w:rsid w:val="006F6F56"/>
    <w:rsid w:val="006F726B"/>
    <w:rsid w:val="006F746A"/>
    <w:rsid w:val="006F776E"/>
    <w:rsid w:val="006F7DEC"/>
    <w:rsid w:val="006F7FA1"/>
    <w:rsid w:val="006F7FB0"/>
    <w:rsid w:val="007000C3"/>
    <w:rsid w:val="007000C7"/>
    <w:rsid w:val="00700793"/>
    <w:rsid w:val="00700811"/>
    <w:rsid w:val="00700EE5"/>
    <w:rsid w:val="00701424"/>
    <w:rsid w:val="007014F8"/>
    <w:rsid w:val="00701662"/>
    <w:rsid w:val="00701872"/>
    <w:rsid w:val="00701CAB"/>
    <w:rsid w:val="00701D6F"/>
    <w:rsid w:val="00701ED8"/>
    <w:rsid w:val="0070204A"/>
    <w:rsid w:val="00702054"/>
    <w:rsid w:val="007022FC"/>
    <w:rsid w:val="007027BC"/>
    <w:rsid w:val="0070375A"/>
    <w:rsid w:val="007037C0"/>
    <w:rsid w:val="00703A26"/>
    <w:rsid w:val="00703E0C"/>
    <w:rsid w:val="00703F1B"/>
    <w:rsid w:val="0070415C"/>
    <w:rsid w:val="0070421D"/>
    <w:rsid w:val="007047E5"/>
    <w:rsid w:val="00704CC4"/>
    <w:rsid w:val="00704CE6"/>
    <w:rsid w:val="0070533B"/>
    <w:rsid w:val="0070544C"/>
    <w:rsid w:val="00705458"/>
    <w:rsid w:val="0070550E"/>
    <w:rsid w:val="007056F3"/>
    <w:rsid w:val="007057C7"/>
    <w:rsid w:val="00705D71"/>
    <w:rsid w:val="00705F16"/>
    <w:rsid w:val="007060BD"/>
    <w:rsid w:val="007063D1"/>
    <w:rsid w:val="0070654F"/>
    <w:rsid w:val="00706646"/>
    <w:rsid w:val="007066CC"/>
    <w:rsid w:val="007067E5"/>
    <w:rsid w:val="007068FF"/>
    <w:rsid w:val="00706AD2"/>
    <w:rsid w:val="00706C64"/>
    <w:rsid w:val="00706DCC"/>
    <w:rsid w:val="00706EBD"/>
    <w:rsid w:val="00706FC3"/>
    <w:rsid w:val="00707094"/>
    <w:rsid w:val="00707558"/>
    <w:rsid w:val="00707563"/>
    <w:rsid w:val="00707A25"/>
    <w:rsid w:val="00707AFC"/>
    <w:rsid w:val="0071024C"/>
    <w:rsid w:val="007105AA"/>
    <w:rsid w:val="00710796"/>
    <w:rsid w:val="00710815"/>
    <w:rsid w:val="007108C6"/>
    <w:rsid w:val="007109DC"/>
    <w:rsid w:val="007109EA"/>
    <w:rsid w:val="00710D2C"/>
    <w:rsid w:val="00711327"/>
    <w:rsid w:val="0071143C"/>
    <w:rsid w:val="00711579"/>
    <w:rsid w:val="00711649"/>
    <w:rsid w:val="0071185C"/>
    <w:rsid w:val="00711A6F"/>
    <w:rsid w:val="00711ED9"/>
    <w:rsid w:val="00712196"/>
    <w:rsid w:val="00712725"/>
    <w:rsid w:val="00712D15"/>
    <w:rsid w:val="00712EF8"/>
    <w:rsid w:val="00712F70"/>
    <w:rsid w:val="00713565"/>
    <w:rsid w:val="0071368D"/>
    <w:rsid w:val="00713B2E"/>
    <w:rsid w:val="00713B85"/>
    <w:rsid w:val="00713E6E"/>
    <w:rsid w:val="00713F3C"/>
    <w:rsid w:val="0071421B"/>
    <w:rsid w:val="00714450"/>
    <w:rsid w:val="00714BAC"/>
    <w:rsid w:val="00714C8D"/>
    <w:rsid w:val="00714CDC"/>
    <w:rsid w:val="00714D37"/>
    <w:rsid w:val="007150F8"/>
    <w:rsid w:val="007152FE"/>
    <w:rsid w:val="00715821"/>
    <w:rsid w:val="007158F1"/>
    <w:rsid w:val="007159A5"/>
    <w:rsid w:val="00715C4D"/>
    <w:rsid w:val="00715CDC"/>
    <w:rsid w:val="00715D13"/>
    <w:rsid w:val="00715F09"/>
    <w:rsid w:val="00716090"/>
    <w:rsid w:val="0071632A"/>
    <w:rsid w:val="007167C3"/>
    <w:rsid w:val="00716A39"/>
    <w:rsid w:val="00716F62"/>
    <w:rsid w:val="0071752A"/>
    <w:rsid w:val="0071792F"/>
    <w:rsid w:val="00717A0B"/>
    <w:rsid w:val="00717F28"/>
    <w:rsid w:val="0072024B"/>
    <w:rsid w:val="00720BF9"/>
    <w:rsid w:val="0072100A"/>
    <w:rsid w:val="007210E6"/>
    <w:rsid w:val="00721170"/>
    <w:rsid w:val="00721CAB"/>
    <w:rsid w:val="00721D21"/>
    <w:rsid w:val="00721DCB"/>
    <w:rsid w:val="00721E63"/>
    <w:rsid w:val="00722138"/>
    <w:rsid w:val="00722196"/>
    <w:rsid w:val="00722612"/>
    <w:rsid w:val="00722898"/>
    <w:rsid w:val="007228EC"/>
    <w:rsid w:val="00722BA0"/>
    <w:rsid w:val="00722C49"/>
    <w:rsid w:val="00722C80"/>
    <w:rsid w:val="0072348C"/>
    <w:rsid w:val="00723782"/>
    <w:rsid w:val="007239CF"/>
    <w:rsid w:val="00723EFE"/>
    <w:rsid w:val="0072405F"/>
    <w:rsid w:val="007240C5"/>
    <w:rsid w:val="0072414D"/>
    <w:rsid w:val="007248E3"/>
    <w:rsid w:val="00724929"/>
    <w:rsid w:val="00724A37"/>
    <w:rsid w:val="00724CBA"/>
    <w:rsid w:val="00725473"/>
    <w:rsid w:val="0072574C"/>
    <w:rsid w:val="00725964"/>
    <w:rsid w:val="00725EC8"/>
    <w:rsid w:val="007261E4"/>
    <w:rsid w:val="00726A78"/>
    <w:rsid w:val="00726F0E"/>
    <w:rsid w:val="00726F78"/>
    <w:rsid w:val="007273F9"/>
    <w:rsid w:val="00727A02"/>
    <w:rsid w:val="00727AC8"/>
    <w:rsid w:val="00727AD4"/>
    <w:rsid w:val="00727BAF"/>
    <w:rsid w:val="00727D41"/>
    <w:rsid w:val="007302A8"/>
    <w:rsid w:val="007303C3"/>
    <w:rsid w:val="00730410"/>
    <w:rsid w:val="007309AB"/>
    <w:rsid w:val="00730CBC"/>
    <w:rsid w:val="00730F04"/>
    <w:rsid w:val="00730F5D"/>
    <w:rsid w:val="00731161"/>
    <w:rsid w:val="00731D88"/>
    <w:rsid w:val="007321FD"/>
    <w:rsid w:val="00732288"/>
    <w:rsid w:val="0073238E"/>
    <w:rsid w:val="00732488"/>
    <w:rsid w:val="007328AE"/>
    <w:rsid w:val="00732D5E"/>
    <w:rsid w:val="00733041"/>
    <w:rsid w:val="007331C4"/>
    <w:rsid w:val="00733217"/>
    <w:rsid w:val="007335B8"/>
    <w:rsid w:val="007338A7"/>
    <w:rsid w:val="00734067"/>
    <w:rsid w:val="007342AC"/>
    <w:rsid w:val="007343B7"/>
    <w:rsid w:val="007348C0"/>
    <w:rsid w:val="00735533"/>
    <w:rsid w:val="007355E3"/>
    <w:rsid w:val="00735960"/>
    <w:rsid w:val="00735BAF"/>
    <w:rsid w:val="00735F8A"/>
    <w:rsid w:val="00736063"/>
    <w:rsid w:val="007361D4"/>
    <w:rsid w:val="0073620B"/>
    <w:rsid w:val="007362C1"/>
    <w:rsid w:val="007364AD"/>
    <w:rsid w:val="00736AB9"/>
    <w:rsid w:val="00736DBC"/>
    <w:rsid w:val="00737004"/>
    <w:rsid w:val="00737158"/>
    <w:rsid w:val="00737487"/>
    <w:rsid w:val="007377EA"/>
    <w:rsid w:val="00737A2C"/>
    <w:rsid w:val="00737AD0"/>
    <w:rsid w:val="00737BDA"/>
    <w:rsid w:val="00737D01"/>
    <w:rsid w:val="0074069D"/>
    <w:rsid w:val="007409A7"/>
    <w:rsid w:val="00740B11"/>
    <w:rsid w:val="00740B1F"/>
    <w:rsid w:val="00741690"/>
    <w:rsid w:val="0074185B"/>
    <w:rsid w:val="007418E3"/>
    <w:rsid w:val="00741970"/>
    <w:rsid w:val="007419CA"/>
    <w:rsid w:val="00741C33"/>
    <w:rsid w:val="00741C69"/>
    <w:rsid w:val="00741CBB"/>
    <w:rsid w:val="00741FB5"/>
    <w:rsid w:val="00741FF6"/>
    <w:rsid w:val="007420BC"/>
    <w:rsid w:val="007420E0"/>
    <w:rsid w:val="0074210F"/>
    <w:rsid w:val="007423CD"/>
    <w:rsid w:val="00742729"/>
    <w:rsid w:val="00742F0F"/>
    <w:rsid w:val="0074310E"/>
    <w:rsid w:val="00743223"/>
    <w:rsid w:val="0074339C"/>
    <w:rsid w:val="00743A86"/>
    <w:rsid w:val="00743D2C"/>
    <w:rsid w:val="00743D72"/>
    <w:rsid w:val="00743F11"/>
    <w:rsid w:val="00743F8E"/>
    <w:rsid w:val="0074436F"/>
    <w:rsid w:val="0074466D"/>
    <w:rsid w:val="00744A29"/>
    <w:rsid w:val="00745198"/>
    <w:rsid w:val="007454A1"/>
    <w:rsid w:val="007455EE"/>
    <w:rsid w:val="007457EA"/>
    <w:rsid w:val="007458C9"/>
    <w:rsid w:val="0074592B"/>
    <w:rsid w:val="00745B91"/>
    <w:rsid w:val="00745CD9"/>
    <w:rsid w:val="00745EAC"/>
    <w:rsid w:val="0074630A"/>
    <w:rsid w:val="007463A3"/>
    <w:rsid w:val="007465E0"/>
    <w:rsid w:val="00746857"/>
    <w:rsid w:val="00746B64"/>
    <w:rsid w:val="00746BB8"/>
    <w:rsid w:val="00746CC6"/>
    <w:rsid w:val="00746E01"/>
    <w:rsid w:val="00747041"/>
    <w:rsid w:val="00747B2A"/>
    <w:rsid w:val="00747CAD"/>
    <w:rsid w:val="00747EA9"/>
    <w:rsid w:val="00747EEF"/>
    <w:rsid w:val="00750B3A"/>
    <w:rsid w:val="00750B9C"/>
    <w:rsid w:val="00750E84"/>
    <w:rsid w:val="00750FEA"/>
    <w:rsid w:val="00751288"/>
    <w:rsid w:val="007517FD"/>
    <w:rsid w:val="00751899"/>
    <w:rsid w:val="007519A7"/>
    <w:rsid w:val="00751D3C"/>
    <w:rsid w:val="00751E4D"/>
    <w:rsid w:val="00751EA7"/>
    <w:rsid w:val="00751F98"/>
    <w:rsid w:val="00752309"/>
    <w:rsid w:val="007526E8"/>
    <w:rsid w:val="00752BB5"/>
    <w:rsid w:val="00752D3C"/>
    <w:rsid w:val="00752E41"/>
    <w:rsid w:val="00752E5A"/>
    <w:rsid w:val="007532D2"/>
    <w:rsid w:val="00753351"/>
    <w:rsid w:val="007538F2"/>
    <w:rsid w:val="00753AA4"/>
    <w:rsid w:val="00753C76"/>
    <w:rsid w:val="00753D62"/>
    <w:rsid w:val="00753ECA"/>
    <w:rsid w:val="00753F61"/>
    <w:rsid w:val="00754029"/>
    <w:rsid w:val="0075404B"/>
    <w:rsid w:val="00754117"/>
    <w:rsid w:val="0075478A"/>
    <w:rsid w:val="007549CD"/>
    <w:rsid w:val="00754CDB"/>
    <w:rsid w:val="00754F73"/>
    <w:rsid w:val="00755317"/>
    <w:rsid w:val="007555FA"/>
    <w:rsid w:val="00755905"/>
    <w:rsid w:val="00755A28"/>
    <w:rsid w:val="00755C64"/>
    <w:rsid w:val="00755CB2"/>
    <w:rsid w:val="00756117"/>
    <w:rsid w:val="00756538"/>
    <w:rsid w:val="007565FC"/>
    <w:rsid w:val="00756E18"/>
    <w:rsid w:val="00757089"/>
    <w:rsid w:val="0075767A"/>
    <w:rsid w:val="00757F0D"/>
    <w:rsid w:val="0076030B"/>
    <w:rsid w:val="0076061E"/>
    <w:rsid w:val="007608A3"/>
    <w:rsid w:val="007609AE"/>
    <w:rsid w:val="00760CAC"/>
    <w:rsid w:val="00761DC1"/>
    <w:rsid w:val="00761E80"/>
    <w:rsid w:val="00761F82"/>
    <w:rsid w:val="0076222C"/>
    <w:rsid w:val="0076233F"/>
    <w:rsid w:val="007624BC"/>
    <w:rsid w:val="007632E3"/>
    <w:rsid w:val="007637E7"/>
    <w:rsid w:val="00763C31"/>
    <w:rsid w:val="00763E35"/>
    <w:rsid w:val="00763E5D"/>
    <w:rsid w:val="0076450B"/>
    <w:rsid w:val="00764635"/>
    <w:rsid w:val="007648BB"/>
    <w:rsid w:val="007649F1"/>
    <w:rsid w:val="00764B36"/>
    <w:rsid w:val="00764D5D"/>
    <w:rsid w:val="00764DF2"/>
    <w:rsid w:val="00764E46"/>
    <w:rsid w:val="00764EF1"/>
    <w:rsid w:val="007653C3"/>
    <w:rsid w:val="00765643"/>
    <w:rsid w:val="007656C3"/>
    <w:rsid w:val="0076575F"/>
    <w:rsid w:val="007659BF"/>
    <w:rsid w:val="00765B24"/>
    <w:rsid w:val="00765C56"/>
    <w:rsid w:val="00765F85"/>
    <w:rsid w:val="00766221"/>
    <w:rsid w:val="007663C3"/>
    <w:rsid w:val="00766610"/>
    <w:rsid w:val="0076670D"/>
    <w:rsid w:val="007667A1"/>
    <w:rsid w:val="007667FD"/>
    <w:rsid w:val="0076692D"/>
    <w:rsid w:val="00766C60"/>
    <w:rsid w:val="00766EA3"/>
    <w:rsid w:val="00767181"/>
    <w:rsid w:val="007673C2"/>
    <w:rsid w:val="007675A6"/>
    <w:rsid w:val="007676CF"/>
    <w:rsid w:val="00767740"/>
    <w:rsid w:val="007677B9"/>
    <w:rsid w:val="007678CC"/>
    <w:rsid w:val="007678F4"/>
    <w:rsid w:val="00767B08"/>
    <w:rsid w:val="00767E3C"/>
    <w:rsid w:val="00767EBE"/>
    <w:rsid w:val="00767FF6"/>
    <w:rsid w:val="007702D8"/>
    <w:rsid w:val="007706DA"/>
    <w:rsid w:val="0077071E"/>
    <w:rsid w:val="0077072C"/>
    <w:rsid w:val="00770858"/>
    <w:rsid w:val="00770A47"/>
    <w:rsid w:val="00770AFA"/>
    <w:rsid w:val="00770B6E"/>
    <w:rsid w:val="00770BFF"/>
    <w:rsid w:val="00770E61"/>
    <w:rsid w:val="00770FB8"/>
    <w:rsid w:val="00771492"/>
    <w:rsid w:val="00771651"/>
    <w:rsid w:val="00771866"/>
    <w:rsid w:val="00771BF3"/>
    <w:rsid w:val="00771C82"/>
    <w:rsid w:val="00771D37"/>
    <w:rsid w:val="00771F89"/>
    <w:rsid w:val="00771FAC"/>
    <w:rsid w:val="007723AC"/>
    <w:rsid w:val="007726CA"/>
    <w:rsid w:val="00772862"/>
    <w:rsid w:val="00772869"/>
    <w:rsid w:val="00772E64"/>
    <w:rsid w:val="00772E9B"/>
    <w:rsid w:val="00773104"/>
    <w:rsid w:val="007738B2"/>
    <w:rsid w:val="0077401B"/>
    <w:rsid w:val="00774299"/>
    <w:rsid w:val="007743BE"/>
    <w:rsid w:val="0077448E"/>
    <w:rsid w:val="0077464D"/>
    <w:rsid w:val="0077467D"/>
    <w:rsid w:val="00774847"/>
    <w:rsid w:val="00774DA9"/>
    <w:rsid w:val="00775523"/>
    <w:rsid w:val="007755CD"/>
    <w:rsid w:val="00775601"/>
    <w:rsid w:val="0077587E"/>
    <w:rsid w:val="0077591D"/>
    <w:rsid w:val="007759A5"/>
    <w:rsid w:val="007763A7"/>
    <w:rsid w:val="007766C4"/>
    <w:rsid w:val="0077701A"/>
    <w:rsid w:val="007771B7"/>
    <w:rsid w:val="0077740C"/>
    <w:rsid w:val="00777496"/>
    <w:rsid w:val="007774E0"/>
    <w:rsid w:val="007776F7"/>
    <w:rsid w:val="00777728"/>
    <w:rsid w:val="00777D62"/>
    <w:rsid w:val="00777EE6"/>
    <w:rsid w:val="0078027B"/>
    <w:rsid w:val="00780384"/>
    <w:rsid w:val="007806DD"/>
    <w:rsid w:val="00780847"/>
    <w:rsid w:val="00780A82"/>
    <w:rsid w:val="00780D74"/>
    <w:rsid w:val="00780F53"/>
    <w:rsid w:val="00781264"/>
    <w:rsid w:val="00781412"/>
    <w:rsid w:val="00781503"/>
    <w:rsid w:val="0078154C"/>
    <w:rsid w:val="007816D5"/>
    <w:rsid w:val="00781860"/>
    <w:rsid w:val="00781BDF"/>
    <w:rsid w:val="00782276"/>
    <w:rsid w:val="00782B3B"/>
    <w:rsid w:val="00782EEA"/>
    <w:rsid w:val="00783414"/>
    <w:rsid w:val="00783699"/>
    <w:rsid w:val="00783877"/>
    <w:rsid w:val="00783B7F"/>
    <w:rsid w:val="00783FCC"/>
    <w:rsid w:val="00784261"/>
    <w:rsid w:val="0078441A"/>
    <w:rsid w:val="007846A5"/>
    <w:rsid w:val="00784A33"/>
    <w:rsid w:val="00784AD9"/>
    <w:rsid w:val="00784BF8"/>
    <w:rsid w:val="007850E4"/>
    <w:rsid w:val="00785522"/>
    <w:rsid w:val="007855E2"/>
    <w:rsid w:val="007855E6"/>
    <w:rsid w:val="00785649"/>
    <w:rsid w:val="00785832"/>
    <w:rsid w:val="0078587D"/>
    <w:rsid w:val="007860F4"/>
    <w:rsid w:val="0078616E"/>
    <w:rsid w:val="00786399"/>
    <w:rsid w:val="0078677B"/>
    <w:rsid w:val="00787D12"/>
    <w:rsid w:val="00787E85"/>
    <w:rsid w:val="00787EA4"/>
    <w:rsid w:val="00790145"/>
    <w:rsid w:val="00790328"/>
    <w:rsid w:val="007903AB"/>
    <w:rsid w:val="00790784"/>
    <w:rsid w:val="0079098B"/>
    <w:rsid w:val="00790A02"/>
    <w:rsid w:val="00790F04"/>
    <w:rsid w:val="0079100D"/>
    <w:rsid w:val="00791790"/>
    <w:rsid w:val="0079180F"/>
    <w:rsid w:val="00791900"/>
    <w:rsid w:val="007919E3"/>
    <w:rsid w:val="00791BE5"/>
    <w:rsid w:val="00791F1C"/>
    <w:rsid w:val="00792223"/>
    <w:rsid w:val="00792640"/>
    <w:rsid w:val="0079269A"/>
    <w:rsid w:val="00793277"/>
    <w:rsid w:val="007934AD"/>
    <w:rsid w:val="007935A6"/>
    <w:rsid w:val="007938E5"/>
    <w:rsid w:val="00793991"/>
    <w:rsid w:val="0079455A"/>
    <w:rsid w:val="00794619"/>
    <w:rsid w:val="00794751"/>
    <w:rsid w:val="0079482D"/>
    <w:rsid w:val="00794DCC"/>
    <w:rsid w:val="0079534B"/>
    <w:rsid w:val="0079588C"/>
    <w:rsid w:val="00796275"/>
    <w:rsid w:val="0079628C"/>
    <w:rsid w:val="007969F0"/>
    <w:rsid w:val="00797284"/>
    <w:rsid w:val="0079747E"/>
    <w:rsid w:val="00797682"/>
    <w:rsid w:val="007977CB"/>
    <w:rsid w:val="00797B26"/>
    <w:rsid w:val="00797BF6"/>
    <w:rsid w:val="00797DC4"/>
    <w:rsid w:val="007A00A6"/>
    <w:rsid w:val="007A01D9"/>
    <w:rsid w:val="007A09D6"/>
    <w:rsid w:val="007A0FD4"/>
    <w:rsid w:val="007A1267"/>
    <w:rsid w:val="007A1733"/>
    <w:rsid w:val="007A1875"/>
    <w:rsid w:val="007A1964"/>
    <w:rsid w:val="007A19EF"/>
    <w:rsid w:val="007A1DD3"/>
    <w:rsid w:val="007A1E4E"/>
    <w:rsid w:val="007A1F16"/>
    <w:rsid w:val="007A21B5"/>
    <w:rsid w:val="007A2276"/>
    <w:rsid w:val="007A24AE"/>
    <w:rsid w:val="007A25AE"/>
    <w:rsid w:val="007A2858"/>
    <w:rsid w:val="007A2990"/>
    <w:rsid w:val="007A2A5D"/>
    <w:rsid w:val="007A2AD5"/>
    <w:rsid w:val="007A2ADF"/>
    <w:rsid w:val="007A2C26"/>
    <w:rsid w:val="007A2CC7"/>
    <w:rsid w:val="007A2DB1"/>
    <w:rsid w:val="007A2DD9"/>
    <w:rsid w:val="007A30D9"/>
    <w:rsid w:val="007A328F"/>
    <w:rsid w:val="007A3389"/>
    <w:rsid w:val="007A35B0"/>
    <w:rsid w:val="007A3685"/>
    <w:rsid w:val="007A3B36"/>
    <w:rsid w:val="007A3BA0"/>
    <w:rsid w:val="007A3DBD"/>
    <w:rsid w:val="007A3DD9"/>
    <w:rsid w:val="007A3FEB"/>
    <w:rsid w:val="007A40A4"/>
    <w:rsid w:val="007A43EF"/>
    <w:rsid w:val="007A4B86"/>
    <w:rsid w:val="007A4D32"/>
    <w:rsid w:val="007A52CF"/>
    <w:rsid w:val="007A5485"/>
    <w:rsid w:val="007A5576"/>
    <w:rsid w:val="007A5786"/>
    <w:rsid w:val="007A5865"/>
    <w:rsid w:val="007A5971"/>
    <w:rsid w:val="007A5987"/>
    <w:rsid w:val="007A5A1E"/>
    <w:rsid w:val="007A5B9D"/>
    <w:rsid w:val="007A5CCA"/>
    <w:rsid w:val="007A6071"/>
    <w:rsid w:val="007A6D71"/>
    <w:rsid w:val="007A70DF"/>
    <w:rsid w:val="007A71F1"/>
    <w:rsid w:val="007A72BB"/>
    <w:rsid w:val="007A7392"/>
    <w:rsid w:val="007A73D8"/>
    <w:rsid w:val="007A7421"/>
    <w:rsid w:val="007A7518"/>
    <w:rsid w:val="007A7A27"/>
    <w:rsid w:val="007B0446"/>
    <w:rsid w:val="007B0A3F"/>
    <w:rsid w:val="007B0D25"/>
    <w:rsid w:val="007B1412"/>
    <w:rsid w:val="007B1422"/>
    <w:rsid w:val="007B143D"/>
    <w:rsid w:val="007B14AC"/>
    <w:rsid w:val="007B17F4"/>
    <w:rsid w:val="007B1A84"/>
    <w:rsid w:val="007B1B10"/>
    <w:rsid w:val="007B1CB9"/>
    <w:rsid w:val="007B1E47"/>
    <w:rsid w:val="007B233F"/>
    <w:rsid w:val="007B25EC"/>
    <w:rsid w:val="007B282F"/>
    <w:rsid w:val="007B2C2B"/>
    <w:rsid w:val="007B2C72"/>
    <w:rsid w:val="007B2D77"/>
    <w:rsid w:val="007B2D97"/>
    <w:rsid w:val="007B2F11"/>
    <w:rsid w:val="007B2F4F"/>
    <w:rsid w:val="007B3140"/>
    <w:rsid w:val="007B339F"/>
    <w:rsid w:val="007B3635"/>
    <w:rsid w:val="007B3682"/>
    <w:rsid w:val="007B3863"/>
    <w:rsid w:val="007B3889"/>
    <w:rsid w:val="007B3A02"/>
    <w:rsid w:val="007B3D39"/>
    <w:rsid w:val="007B447C"/>
    <w:rsid w:val="007B470B"/>
    <w:rsid w:val="007B49A1"/>
    <w:rsid w:val="007B49F4"/>
    <w:rsid w:val="007B4A69"/>
    <w:rsid w:val="007B4B9A"/>
    <w:rsid w:val="007B4BF4"/>
    <w:rsid w:val="007B4FF4"/>
    <w:rsid w:val="007B589E"/>
    <w:rsid w:val="007B5AD7"/>
    <w:rsid w:val="007B5B36"/>
    <w:rsid w:val="007B5B9E"/>
    <w:rsid w:val="007B5FE6"/>
    <w:rsid w:val="007B620C"/>
    <w:rsid w:val="007B67B4"/>
    <w:rsid w:val="007B6BDA"/>
    <w:rsid w:val="007B6C20"/>
    <w:rsid w:val="007B6C97"/>
    <w:rsid w:val="007B6C98"/>
    <w:rsid w:val="007B6C9F"/>
    <w:rsid w:val="007B71E2"/>
    <w:rsid w:val="007B77C0"/>
    <w:rsid w:val="007B7B91"/>
    <w:rsid w:val="007B7E95"/>
    <w:rsid w:val="007C01C5"/>
    <w:rsid w:val="007C048C"/>
    <w:rsid w:val="007C0621"/>
    <w:rsid w:val="007C0928"/>
    <w:rsid w:val="007C0A04"/>
    <w:rsid w:val="007C0B77"/>
    <w:rsid w:val="007C11AC"/>
    <w:rsid w:val="007C11E4"/>
    <w:rsid w:val="007C1335"/>
    <w:rsid w:val="007C139B"/>
    <w:rsid w:val="007C1404"/>
    <w:rsid w:val="007C1456"/>
    <w:rsid w:val="007C15B5"/>
    <w:rsid w:val="007C1AA3"/>
    <w:rsid w:val="007C1C53"/>
    <w:rsid w:val="007C2270"/>
    <w:rsid w:val="007C2557"/>
    <w:rsid w:val="007C25EA"/>
    <w:rsid w:val="007C260F"/>
    <w:rsid w:val="007C26FB"/>
    <w:rsid w:val="007C2A48"/>
    <w:rsid w:val="007C2B34"/>
    <w:rsid w:val="007C2EE9"/>
    <w:rsid w:val="007C303D"/>
    <w:rsid w:val="007C3281"/>
    <w:rsid w:val="007C3314"/>
    <w:rsid w:val="007C3869"/>
    <w:rsid w:val="007C39B8"/>
    <w:rsid w:val="007C3B55"/>
    <w:rsid w:val="007C3B93"/>
    <w:rsid w:val="007C3E34"/>
    <w:rsid w:val="007C3E8B"/>
    <w:rsid w:val="007C407F"/>
    <w:rsid w:val="007C435A"/>
    <w:rsid w:val="007C43E5"/>
    <w:rsid w:val="007C46CB"/>
    <w:rsid w:val="007C4B47"/>
    <w:rsid w:val="007C5185"/>
    <w:rsid w:val="007C5531"/>
    <w:rsid w:val="007C5696"/>
    <w:rsid w:val="007C57E0"/>
    <w:rsid w:val="007C6366"/>
    <w:rsid w:val="007C6400"/>
    <w:rsid w:val="007C643D"/>
    <w:rsid w:val="007C66A6"/>
    <w:rsid w:val="007C6733"/>
    <w:rsid w:val="007C6F01"/>
    <w:rsid w:val="007C751C"/>
    <w:rsid w:val="007C7528"/>
    <w:rsid w:val="007C79D3"/>
    <w:rsid w:val="007C7DC0"/>
    <w:rsid w:val="007C7F06"/>
    <w:rsid w:val="007D01E5"/>
    <w:rsid w:val="007D03CF"/>
    <w:rsid w:val="007D05CF"/>
    <w:rsid w:val="007D0718"/>
    <w:rsid w:val="007D073C"/>
    <w:rsid w:val="007D108E"/>
    <w:rsid w:val="007D115C"/>
    <w:rsid w:val="007D1437"/>
    <w:rsid w:val="007D1455"/>
    <w:rsid w:val="007D19D5"/>
    <w:rsid w:val="007D1B42"/>
    <w:rsid w:val="007D1DA8"/>
    <w:rsid w:val="007D2018"/>
    <w:rsid w:val="007D22B4"/>
    <w:rsid w:val="007D2467"/>
    <w:rsid w:val="007D2AB9"/>
    <w:rsid w:val="007D2CAC"/>
    <w:rsid w:val="007D2D8F"/>
    <w:rsid w:val="007D31B0"/>
    <w:rsid w:val="007D32FC"/>
    <w:rsid w:val="007D3785"/>
    <w:rsid w:val="007D3F1B"/>
    <w:rsid w:val="007D407E"/>
    <w:rsid w:val="007D40A9"/>
    <w:rsid w:val="007D41B5"/>
    <w:rsid w:val="007D4308"/>
    <w:rsid w:val="007D4441"/>
    <w:rsid w:val="007D4462"/>
    <w:rsid w:val="007D4568"/>
    <w:rsid w:val="007D4EEB"/>
    <w:rsid w:val="007D5600"/>
    <w:rsid w:val="007D560A"/>
    <w:rsid w:val="007D5BDD"/>
    <w:rsid w:val="007D5E48"/>
    <w:rsid w:val="007D5EE0"/>
    <w:rsid w:val="007D6117"/>
    <w:rsid w:val="007D6514"/>
    <w:rsid w:val="007D6F92"/>
    <w:rsid w:val="007D70F9"/>
    <w:rsid w:val="007D7203"/>
    <w:rsid w:val="007D7231"/>
    <w:rsid w:val="007D7464"/>
    <w:rsid w:val="007D7983"/>
    <w:rsid w:val="007D7E35"/>
    <w:rsid w:val="007D7EE1"/>
    <w:rsid w:val="007D7F73"/>
    <w:rsid w:val="007E0072"/>
    <w:rsid w:val="007E0251"/>
    <w:rsid w:val="007E02B0"/>
    <w:rsid w:val="007E034E"/>
    <w:rsid w:val="007E039C"/>
    <w:rsid w:val="007E0667"/>
    <w:rsid w:val="007E078F"/>
    <w:rsid w:val="007E0A81"/>
    <w:rsid w:val="007E0F28"/>
    <w:rsid w:val="007E101A"/>
    <w:rsid w:val="007E12E2"/>
    <w:rsid w:val="007E1418"/>
    <w:rsid w:val="007E14E3"/>
    <w:rsid w:val="007E1919"/>
    <w:rsid w:val="007E1DC8"/>
    <w:rsid w:val="007E2125"/>
    <w:rsid w:val="007E2312"/>
    <w:rsid w:val="007E236D"/>
    <w:rsid w:val="007E2443"/>
    <w:rsid w:val="007E24C6"/>
    <w:rsid w:val="007E253F"/>
    <w:rsid w:val="007E2586"/>
    <w:rsid w:val="007E25E1"/>
    <w:rsid w:val="007E26A9"/>
    <w:rsid w:val="007E2E96"/>
    <w:rsid w:val="007E2F74"/>
    <w:rsid w:val="007E305A"/>
    <w:rsid w:val="007E31C3"/>
    <w:rsid w:val="007E356C"/>
    <w:rsid w:val="007E3883"/>
    <w:rsid w:val="007E3997"/>
    <w:rsid w:val="007E3A55"/>
    <w:rsid w:val="007E3ABD"/>
    <w:rsid w:val="007E3E60"/>
    <w:rsid w:val="007E4032"/>
    <w:rsid w:val="007E41F7"/>
    <w:rsid w:val="007E4479"/>
    <w:rsid w:val="007E4521"/>
    <w:rsid w:val="007E4683"/>
    <w:rsid w:val="007E4904"/>
    <w:rsid w:val="007E4A36"/>
    <w:rsid w:val="007E4CB5"/>
    <w:rsid w:val="007E4D2E"/>
    <w:rsid w:val="007E5075"/>
    <w:rsid w:val="007E53E9"/>
    <w:rsid w:val="007E5AF1"/>
    <w:rsid w:val="007E5F3F"/>
    <w:rsid w:val="007E60AF"/>
    <w:rsid w:val="007E617F"/>
    <w:rsid w:val="007E65D1"/>
    <w:rsid w:val="007E6632"/>
    <w:rsid w:val="007E6671"/>
    <w:rsid w:val="007E66B1"/>
    <w:rsid w:val="007E6A76"/>
    <w:rsid w:val="007E6B84"/>
    <w:rsid w:val="007E6FC2"/>
    <w:rsid w:val="007E730B"/>
    <w:rsid w:val="007E7A5C"/>
    <w:rsid w:val="007E7B0E"/>
    <w:rsid w:val="007E7BC4"/>
    <w:rsid w:val="007E7BDD"/>
    <w:rsid w:val="007F000E"/>
    <w:rsid w:val="007F0259"/>
    <w:rsid w:val="007F0262"/>
    <w:rsid w:val="007F04EA"/>
    <w:rsid w:val="007F066B"/>
    <w:rsid w:val="007F0A2C"/>
    <w:rsid w:val="007F0B46"/>
    <w:rsid w:val="007F1004"/>
    <w:rsid w:val="007F1459"/>
    <w:rsid w:val="007F1488"/>
    <w:rsid w:val="007F215B"/>
    <w:rsid w:val="007F2444"/>
    <w:rsid w:val="007F24C4"/>
    <w:rsid w:val="007F251E"/>
    <w:rsid w:val="007F2981"/>
    <w:rsid w:val="007F2B92"/>
    <w:rsid w:val="007F3052"/>
    <w:rsid w:val="007F3453"/>
    <w:rsid w:val="007F371F"/>
    <w:rsid w:val="007F3872"/>
    <w:rsid w:val="007F3E40"/>
    <w:rsid w:val="007F3FAA"/>
    <w:rsid w:val="007F44BE"/>
    <w:rsid w:val="007F4738"/>
    <w:rsid w:val="007F489C"/>
    <w:rsid w:val="007F4959"/>
    <w:rsid w:val="007F4A21"/>
    <w:rsid w:val="007F4BCF"/>
    <w:rsid w:val="007F4CB9"/>
    <w:rsid w:val="007F529A"/>
    <w:rsid w:val="007F59DA"/>
    <w:rsid w:val="007F5AC4"/>
    <w:rsid w:val="007F5B92"/>
    <w:rsid w:val="007F5D36"/>
    <w:rsid w:val="007F5DB7"/>
    <w:rsid w:val="007F641A"/>
    <w:rsid w:val="007F644B"/>
    <w:rsid w:val="007F644F"/>
    <w:rsid w:val="007F6865"/>
    <w:rsid w:val="007F68EA"/>
    <w:rsid w:val="007F6959"/>
    <w:rsid w:val="007F6A3A"/>
    <w:rsid w:val="007F6B0E"/>
    <w:rsid w:val="007F6CAE"/>
    <w:rsid w:val="007F6CEE"/>
    <w:rsid w:val="007F709A"/>
    <w:rsid w:val="007F718D"/>
    <w:rsid w:val="007F723B"/>
    <w:rsid w:val="007F7720"/>
    <w:rsid w:val="007F7F09"/>
    <w:rsid w:val="0080005A"/>
    <w:rsid w:val="0080062B"/>
    <w:rsid w:val="00800F0B"/>
    <w:rsid w:val="00800F45"/>
    <w:rsid w:val="008012E9"/>
    <w:rsid w:val="00801543"/>
    <w:rsid w:val="0080167B"/>
    <w:rsid w:val="0080184B"/>
    <w:rsid w:val="0080187C"/>
    <w:rsid w:val="00801ADE"/>
    <w:rsid w:val="00801D06"/>
    <w:rsid w:val="0080202D"/>
    <w:rsid w:val="008029E9"/>
    <w:rsid w:val="00802C24"/>
    <w:rsid w:val="00802F7A"/>
    <w:rsid w:val="00803368"/>
    <w:rsid w:val="008033C4"/>
    <w:rsid w:val="00803418"/>
    <w:rsid w:val="0080361B"/>
    <w:rsid w:val="00803687"/>
    <w:rsid w:val="008036FA"/>
    <w:rsid w:val="00803B03"/>
    <w:rsid w:val="00803E58"/>
    <w:rsid w:val="00803F0D"/>
    <w:rsid w:val="008040E0"/>
    <w:rsid w:val="0080415C"/>
    <w:rsid w:val="00804387"/>
    <w:rsid w:val="0080473D"/>
    <w:rsid w:val="00804B52"/>
    <w:rsid w:val="00804CDC"/>
    <w:rsid w:val="00804F88"/>
    <w:rsid w:val="00804FC9"/>
    <w:rsid w:val="0080535F"/>
    <w:rsid w:val="00805375"/>
    <w:rsid w:val="008053B8"/>
    <w:rsid w:val="00805520"/>
    <w:rsid w:val="00805BC6"/>
    <w:rsid w:val="0080612F"/>
    <w:rsid w:val="008062B7"/>
    <w:rsid w:val="0080677A"/>
    <w:rsid w:val="00806A38"/>
    <w:rsid w:val="00806B8C"/>
    <w:rsid w:val="00806C88"/>
    <w:rsid w:val="00806CA7"/>
    <w:rsid w:val="00807273"/>
    <w:rsid w:val="008075DD"/>
    <w:rsid w:val="00807BB9"/>
    <w:rsid w:val="00807D79"/>
    <w:rsid w:val="0081034E"/>
    <w:rsid w:val="008104AA"/>
    <w:rsid w:val="008109E0"/>
    <w:rsid w:val="00810AAD"/>
    <w:rsid w:val="00810AF9"/>
    <w:rsid w:val="0081116C"/>
    <w:rsid w:val="0081146B"/>
    <w:rsid w:val="00811E86"/>
    <w:rsid w:val="008120F0"/>
    <w:rsid w:val="00812633"/>
    <w:rsid w:val="00812637"/>
    <w:rsid w:val="00812649"/>
    <w:rsid w:val="0081295B"/>
    <w:rsid w:val="00812B77"/>
    <w:rsid w:val="00812FF6"/>
    <w:rsid w:val="00813657"/>
    <w:rsid w:val="008138FA"/>
    <w:rsid w:val="00813DE9"/>
    <w:rsid w:val="00813EC4"/>
    <w:rsid w:val="008144EC"/>
    <w:rsid w:val="0081455E"/>
    <w:rsid w:val="008149B5"/>
    <w:rsid w:val="0081559C"/>
    <w:rsid w:val="00815A21"/>
    <w:rsid w:val="00815BF1"/>
    <w:rsid w:val="00815BFB"/>
    <w:rsid w:val="00815C99"/>
    <w:rsid w:val="0081651A"/>
    <w:rsid w:val="008166B9"/>
    <w:rsid w:val="00816D8B"/>
    <w:rsid w:val="0081707D"/>
    <w:rsid w:val="00817188"/>
    <w:rsid w:val="00817564"/>
    <w:rsid w:val="00817AE6"/>
    <w:rsid w:val="00820627"/>
    <w:rsid w:val="00820905"/>
    <w:rsid w:val="00820A8F"/>
    <w:rsid w:val="00820C44"/>
    <w:rsid w:val="00820F40"/>
    <w:rsid w:val="008210E5"/>
    <w:rsid w:val="00821309"/>
    <w:rsid w:val="008213F6"/>
    <w:rsid w:val="00821BCD"/>
    <w:rsid w:val="00821D51"/>
    <w:rsid w:val="00821E65"/>
    <w:rsid w:val="00821FE3"/>
    <w:rsid w:val="00822070"/>
    <w:rsid w:val="0082220E"/>
    <w:rsid w:val="008223A9"/>
    <w:rsid w:val="00822960"/>
    <w:rsid w:val="00822BA0"/>
    <w:rsid w:val="00822C55"/>
    <w:rsid w:val="00822DB0"/>
    <w:rsid w:val="00822F8D"/>
    <w:rsid w:val="00823486"/>
    <w:rsid w:val="00823849"/>
    <w:rsid w:val="00823A08"/>
    <w:rsid w:val="00823C5F"/>
    <w:rsid w:val="00823E2A"/>
    <w:rsid w:val="008240E4"/>
    <w:rsid w:val="008243F8"/>
    <w:rsid w:val="00824422"/>
    <w:rsid w:val="0082442D"/>
    <w:rsid w:val="008245D7"/>
    <w:rsid w:val="00825818"/>
    <w:rsid w:val="00825A14"/>
    <w:rsid w:val="00825AA2"/>
    <w:rsid w:val="00825D82"/>
    <w:rsid w:val="008264FD"/>
    <w:rsid w:val="00826801"/>
    <w:rsid w:val="00826A2B"/>
    <w:rsid w:val="00826AA5"/>
    <w:rsid w:val="00826BFC"/>
    <w:rsid w:val="00826FAC"/>
    <w:rsid w:val="0082701F"/>
    <w:rsid w:val="00827292"/>
    <w:rsid w:val="0082777A"/>
    <w:rsid w:val="00827945"/>
    <w:rsid w:val="00827F8C"/>
    <w:rsid w:val="00830100"/>
    <w:rsid w:val="008305DF"/>
    <w:rsid w:val="00830CF1"/>
    <w:rsid w:val="00830D56"/>
    <w:rsid w:val="0083152E"/>
    <w:rsid w:val="008317D8"/>
    <w:rsid w:val="008318D8"/>
    <w:rsid w:val="00831B21"/>
    <w:rsid w:val="00831C18"/>
    <w:rsid w:val="00831F90"/>
    <w:rsid w:val="00831FA4"/>
    <w:rsid w:val="00832299"/>
    <w:rsid w:val="0083231E"/>
    <w:rsid w:val="008323D2"/>
    <w:rsid w:val="008325DA"/>
    <w:rsid w:val="00832652"/>
    <w:rsid w:val="00832842"/>
    <w:rsid w:val="00832A29"/>
    <w:rsid w:val="00832A32"/>
    <w:rsid w:val="00832C66"/>
    <w:rsid w:val="00832C70"/>
    <w:rsid w:val="00833A0D"/>
    <w:rsid w:val="00833BAD"/>
    <w:rsid w:val="00833C4E"/>
    <w:rsid w:val="00833CB2"/>
    <w:rsid w:val="00833D9B"/>
    <w:rsid w:val="0083425A"/>
    <w:rsid w:val="008344F6"/>
    <w:rsid w:val="00834551"/>
    <w:rsid w:val="00834944"/>
    <w:rsid w:val="00834AC1"/>
    <w:rsid w:val="0083510F"/>
    <w:rsid w:val="008351DD"/>
    <w:rsid w:val="0083549E"/>
    <w:rsid w:val="008359A6"/>
    <w:rsid w:val="008359BE"/>
    <w:rsid w:val="00835A12"/>
    <w:rsid w:val="00835CFC"/>
    <w:rsid w:val="00835F5F"/>
    <w:rsid w:val="00836391"/>
    <w:rsid w:val="00836707"/>
    <w:rsid w:val="00836952"/>
    <w:rsid w:val="00836C04"/>
    <w:rsid w:val="00836DCD"/>
    <w:rsid w:val="0083739D"/>
    <w:rsid w:val="008374DD"/>
    <w:rsid w:val="00837804"/>
    <w:rsid w:val="008378D6"/>
    <w:rsid w:val="00837F58"/>
    <w:rsid w:val="00837FBE"/>
    <w:rsid w:val="008401B7"/>
    <w:rsid w:val="008406FE"/>
    <w:rsid w:val="00840721"/>
    <w:rsid w:val="00840AE9"/>
    <w:rsid w:val="00840B85"/>
    <w:rsid w:val="00840D7F"/>
    <w:rsid w:val="00840DC9"/>
    <w:rsid w:val="00841351"/>
    <w:rsid w:val="00841563"/>
    <w:rsid w:val="008416DE"/>
    <w:rsid w:val="00841A1E"/>
    <w:rsid w:val="00841E1F"/>
    <w:rsid w:val="0084288A"/>
    <w:rsid w:val="0084293A"/>
    <w:rsid w:val="008429C2"/>
    <w:rsid w:val="008429E7"/>
    <w:rsid w:val="00842A6B"/>
    <w:rsid w:val="00843041"/>
    <w:rsid w:val="00843057"/>
    <w:rsid w:val="0084313D"/>
    <w:rsid w:val="008431C3"/>
    <w:rsid w:val="00843753"/>
    <w:rsid w:val="00843953"/>
    <w:rsid w:val="00843A85"/>
    <w:rsid w:val="0084477B"/>
    <w:rsid w:val="00844844"/>
    <w:rsid w:val="00844A31"/>
    <w:rsid w:val="00844BC1"/>
    <w:rsid w:val="00844E44"/>
    <w:rsid w:val="0084524B"/>
    <w:rsid w:val="008454B5"/>
    <w:rsid w:val="00845839"/>
    <w:rsid w:val="00845AD4"/>
    <w:rsid w:val="00845DFD"/>
    <w:rsid w:val="00846656"/>
    <w:rsid w:val="008466E3"/>
    <w:rsid w:val="00846DC6"/>
    <w:rsid w:val="00846F68"/>
    <w:rsid w:val="00847908"/>
    <w:rsid w:val="00847B5A"/>
    <w:rsid w:val="00847D6E"/>
    <w:rsid w:val="00847DC7"/>
    <w:rsid w:val="00847FA5"/>
    <w:rsid w:val="00850167"/>
    <w:rsid w:val="00850722"/>
    <w:rsid w:val="00850AEB"/>
    <w:rsid w:val="00850DBF"/>
    <w:rsid w:val="00850FB0"/>
    <w:rsid w:val="008511D3"/>
    <w:rsid w:val="00851209"/>
    <w:rsid w:val="0085176C"/>
    <w:rsid w:val="0085182E"/>
    <w:rsid w:val="00851AE1"/>
    <w:rsid w:val="00851B81"/>
    <w:rsid w:val="008521BC"/>
    <w:rsid w:val="008521E1"/>
    <w:rsid w:val="00852334"/>
    <w:rsid w:val="0085259B"/>
    <w:rsid w:val="00852672"/>
    <w:rsid w:val="008528FF"/>
    <w:rsid w:val="00852B05"/>
    <w:rsid w:val="00852B63"/>
    <w:rsid w:val="008531CA"/>
    <w:rsid w:val="00853279"/>
    <w:rsid w:val="00853361"/>
    <w:rsid w:val="00853478"/>
    <w:rsid w:val="0085373A"/>
    <w:rsid w:val="00853944"/>
    <w:rsid w:val="00853C72"/>
    <w:rsid w:val="00853CAC"/>
    <w:rsid w:val="00853F81"/>
    <w:rsid w:val="008544C2"/>
    <w:rsid w:val="008545F2"/>
    <w:rsid w:val="008547A8"/>
    <w:rsid w:val="0085485E"/>
    <w:rsid w:val="00854D35"/>
    <w:rsid w:val="00854F32"/>
    <w:rsid w:val="00854F98"/>
    <w:rsid w:val="00855299"/>
    <w:rsid w:val="0085559D"/>
    <w:rsid w:val="00855AAD"/>
    <w:rsid w:val="00855C6B"/>
    <w:rsid w:val="00855DC9"/>
    <w:rsid w:val="00856051"/>
    <w:rsid w:val="008561F1"/>
    <w:rsid w:val="00856293"/>
    <w:rsid w:val="00856572"/>
    <w:rsid w:val="00856A9B"/>
    <w:rsid w:val="00856F1E"/>
    <w:rsid w:val="00856F49"/>
    <w:rsid w:val="00856FC9"/>
    <w:rsid w:val="00857233"/>
    <w:rsid w:val="00857611"/>
    <w:rsid w:val="00857D2C"/>
    <w:rsid w:val="00857D6F"/>
    <w:rsid w:val="00857E39"/>
    <w:rsid w:val="008600B1"/>
    <w:rsid w:val="00860214"/>
    <w:rsid w:val="008603F1"/>
    <w:rsid w:val="008603FB"/>
    <w:rsid w:val="00860825"/>
    <w:rsid w:val="00860AD6"/>
    <w:rsid w:val="008610FD"/>
    <w:rsid w:val="00861302"/>
    <w:rsid w:val="008614FF"/>
    <w:rsid w:val="008617F8"/>
    <w:rsid w:val="00861873"/>
    <w:rsid w:val="00861969"/>
    <w:rsid w:val="00861A72"/>
    <w:rsid w:val="00861F06"/>
    <w:rsid w:val="008620EE"/>
    <w:rsid w:val="0086228D"/>
    <w:rsid w:val="00862327"/>
    <w:rsid w:val="00862852"/>
    <w:rsid w:val="00862991"/>
    <w:rsid w:val="00862B77"/>
    <w:rsid w:val="00862EFB"/>
    <w:rsid w:val="0086324A"/>
    <w:rsid w:val="0086335E"/>
    <w:rsid w:val="008633BC"/>
    <w:rsid w:val="00863493"/>
    <w:rsid w:val="00863775"/>
    <w:rsid w:val="00863AA0"/>
    <w:rsid w:val="00864459"/>
    <w:rsid w:val="0086479F"/>
    <w:rsid w:val="00864812"/>
    <w:rsid w:val="008649A6"/>
    <w:rsid w:val="00864A1E"/>
    <w:rsid w:val="00864A2D"/>
    <w:rsid w:val="00864ADA"/>
    <w:rsid w:val="00864C60"/>
    <w:rsid w:val="00865069"/>
    <w:rsid w:val="00865436"/>
    <w:rsid w:val="0086549B"/>
    <w:rsid w:val="0086568F"/>
    <w:rsid w:val="00865765"/>
    <w:rsid w:val="008657C9"/>
    <w:rsid w:val="00865EF1"/>
    <w:rsid w:val="00866184"/>
    <w:rsid w:val="00866457"/>
    <w:rsid w:val="00866BB0"/>
    <w:rsid w:val="00866C16"/>
    <w:rsid w:val="00866E3B"/>
    <w:rsid w:val="008671A4"/>
    <w:rsid w:val="00867448"/>
    <w:rsid w:val="0086752C"/>
    <w:rsid w:val="0086759D"/>
    <w:rsid w:val="008675BC"/>
    <w:rsid w:val="0086785F"/>
    <w:rsid w:val="00867A48"/>
    <w:rsid w:val="00867DBC"/>
    <w:rsid w:val="0087014B"/>
    <w:rsid w:val="0087051E"/>
    <w:rsid w:val="0087066D"/>
    <w:rsid w:val="008707F6"/>
    <w:rsid w:val="00870D21"/>
    <w:rsid w:val="0087106D"/>
    <w:rsid w:val="00871214"/>
    <w:rsid w:val="008712D9"/>
    <w:rsid w:val="008713A3"/>
    <w:rsid w:val="00871A88"/>
    <w:rsid w:val="00872384"/>
    <w:rsid w:val="00872864"/>
    <w:rsid w:val="008736DA"/>
    <w:rsid w:val="008737EC"/>
    <w:rsid w:val="00873878"/>
    <w:rsid w:val="00873981"/>
    <w:rsid w:val="00873BC5"/>
    <w:rsid w:val="00873C94"/>
    <w:rsid w:val="00874064"/>
    <w:rsid w:val="008740F6"/>
    <w:rsid w:val="0087444D"/>
    <w:rsid w:val="00874739"/>
    <w:rsid w:val="0087475E"/>
    <w:rsid w:val="00874788"/>
    <w:rsid w:val="008749E3"/>
    <w:rsid w:val="00874F78"/>
    <w:rsid w:val="00875083"/>
    <w:rsid w:val="008752E4"/>
    <w:rsid w:val="008754FB"/>
    <w:rsid w:val="008759DC"/>
    <w:rsid w:val="00875B45"/>
    <w:rsid w:val="00876031"/>
    <w:rsid w:val="00876704"/>
    <w:rsid w:val="00876809"/>
    <w:rsid w:val="008769EC"/>
    <w:rsid w:val="00877398"/>
    <w:rsid w:val="0087757D"/>
    <w:rsid w:val="008779AB"/>
    <w:rsid w:val="00877A78"/>
    <w:rsid w:val="00877B05"/>
    <w:rsid w:val="00877CAC"/>
    <w:rsid w:val="00877DA7"/>
    <w:rsid w:val="00877E5F"/>
    <w:rsid w:val="0088007E"/>
    <w:rsid w:val="00880259"/>
    <w:rsid w:val="00880604"/>
    <w:rsid w:val="00881199"/>
    <w:rsid w:val="00881269"/>
    <w:rsid w:val="00881507"/>
    <w:rsid w:val="00881643"/>
    <w:rsid w:val="008816B8"/>
    <w:rsid w:val="00881B1A"/>
    <w:rsid w:val="00881B38"/>
    <w:rsid w:val="00881BFE"/>
    <w:rsid w:val="00881C46"/>
    <w:rsid w:val="00881D16"/>
    <w:rsid w:val="00882132"/>
    <w:rsid w:val="0088269E"/>
    <w:rsid w:val="00882958"/>
    <w:rsid w:val="00882C50"/>
    <w:rsid w:val="008834A1"/>
    <w:rsid w:val="0088354B"/>
    <w:rsid w:val="008837AC"/>
    <w:rsid w:val="00883A08"/>
    <w:rsid w:val="00883A5D"/>
    <w:rsid w:val="00883B02"/>
    <w:rsid w:val="00883B93"/>
    <w:rsid w:val="00883DB5"/>
    <w:rsid w:val="00883F07"/>
    <w:rsid w:val="00884036"/>
    <w:rsid w:val="00884AD5"/>
    <w:rsid w:val="00884C79"/>
    <w:rsid w:val="00884CD0"/>
    <w:rsid w:val="00884FAA"/>
    <w:rsid w:val="00884FAE"/>
    <w:rsid w:val="0088500C"/>
    <w:rsid w:val="00885202"/>
    <w:rsid w:val="008854CC"/>
    <w:rsid w:val="008859AC"/>
    <w:rsid w:val="00885D59"/>
    <w:rsid w:val="00885E1B"/>
    <w:rsid w:val="00886057"/>
    <w:rsid w:val="0088618F"/>
    <w:rsid w:val="00886413"/>
    <w:rsid w:val="00886444"/>
    <w:rsid w:val="008865CD"/>
    <w:rsid w:val="0088669E"/>
    <w:rsid w:val="00886812"/>
    <w:rsid w:val="00886F8E"/>
    <w:rsid w:val="00886FD9"/>
    <w:rsid w:val="00887043"/>
    <w:rsid w:val="00887053"/>
    <w:rsid w:val="0088729B"/>
    <w:rsid w:val="00887982"/>
    <w:rsid w:val="00887BFE"/>
    <w:rsid w:val="00887CE1"/>
    <w:rsid w:val="00887DFB"/>
    <w:rsid w:val="0089034D"/>
    <w:rsid w:val="008903E6"/>
    <w:rsid w:val="00890469"/>
    <w:rsid w:val="0089071E"/>
    <w:rsid w:val="008907FD"/>
    <w:rsid w:val="008908F0"/>
    <w:rsid w:val="00890B05"/>
    <w:rsid w:val="00890BB1"/>
    <w:rsid w:val="00890F69"/>
    <w:rsid w:val="0089126E"/>
    <w:rsid w:val="008912FD"/>
    <w:rsid w:val="008913DB"/>
    <w:rsid w:val="00891433"/>
    <w:rsid w:val="008914CF"/>
    <w:rsid w:val="0089156F"/>
    <w:rsid w:val="008918FB"/>
    <w:rsid w:val="008919A1"/>
    <w:rsid w:val="00891D15"/>
    <w:rsid w:val="00891E50"/>
    <w:rsid w:val="00891E5E"/>
    <w:rsid w:val="00891E8C"/>
    <w:rsid w:val="008920AA"/>
    <w:rsid w:val="0089250B"/>
    <w:rsid w:val="00892EE3"/>
    <w:rsid w:val="008933E8"/>
    <w:rsid w:val="00893BB2"/>
    <w:rsid w:val="00893D91"/>
    <w:rsid w:val="00894164"/>
    <w:rsid w:val="008945B4"/>
    <w:rsid w:val="008947D7"/>
    <w:rsid w:val="00894824"/>
    <w:rsid w:val="0089492B"/>
    <w:rsid w:val="00894B53"/>
    <w:rsid w:val="00894B8A"/>
    <w:rsid w:val="00894C14"/>
    <w:rsid w:val="00894D81"/>
    <w:rsid w:val="008950DB"/>
    <w:rsid w:val="0089534B"/>
    <w:rsid w:val="00895A1E"/>
    <w:rsid w:val="0089615D"/>
    <w:rsid w:val="008962C2"/>
    <w:rsid w:val="0089632F"/>
    <w:rsid w:val="0089654A"/>
    <w:rsid w:val="008965BF"/>
    <w:rsid w:val="008965D3"/>
    <w:rsid w:val="00896603"/>
    <w:rsid w:val="0089661A"/>
    <w:rsid w:val="008967AF"/>
    <w:rsid w:val="00896919"/>
    <w:rsid w:val="008969BF"/>
    <w:rsid w:val="00896CC2"/>
    <w:rsid w:val="0089765A"/>
    <w:rsid w:val="0089779E"/>
    <w:rsid w:val="008978EF"/>
    <w:rsid w:val="00897918"/>
    <w:rsid w:val="00897A2E"/>
    <w:rsid w:val="00897F1B"/>
    <w:rsid w:val="008A07CE"/>
    <w:rsid w:val="008A0BD6"/>
    <w:rsid w:val="008A0CEB"/>
    <w:rsid w:val="008A1024"/>
    <w:rsid w:val="008A12EA"/>
    <w:rsid w:val="008A1353"/>
    <w:rsid w:val="008A14B9"/>
    <w:rsid w:val="008A15D5"/>
    <w:rsid w:val="008A169A"/>
    <w:rsid w:val="008A16C4"/>
    <w:rsid w:val="008A1712"/>
    <w:rsid w:val="008A18A9"/>
    <w:rsid w:val="008A1A11"/>
    <w:rsid w:val="008A1A75"/>
    <w:rsid w:val="008A1B75"/>
    <w:rsid w:val="008A1C2D"/>
    <w:rsid w:val="008A1D82"/>
    <w:rsid w:val="008A1FEF"/>
    <w:rsid w:val="008A2057"/>
    <w:rsid w:val="008A2FC3"/>
    <w:rsid w:val="008A313E"/>
    <w:rsid w:val="008A3AA6"/>
    <w:rsid w:val="008A3BAA"/>
    <w:rsid w:val="008A3D7E"/>
    <w:rsid w:val="008A40A5"/>
    <w:rsid w:val="008A4119"/>
    <w:rsid w:val="008A4139"/>
    <w:rsid w:val="008A41F4"/>
    <w:rsid w:val="008A4217"/>
    <w:rsid w:val="008A42ED"/>
    <w:rsid w:val="008A4489"/>
    <w:rsid w:val="008A4A1E"/>
    <w:rsid w:val="008A4B38"/>
    <w:rsid w:val="008A4CC9"/>
    <w:rsid w:val="008A4E8E"/>
    <w:rsid w:val="008A5052"/>
    <w:rsid w:val="008A5058"/>
    <w:rsid w:val="008A524D"/>
    <w:rsid w:val="008A556E"/>
    <w:rsid w:val="008A578C"/>
    <w:rsid w:val="008A587D"/>
    <w:rsid w:val="008A5D25"/>
    <w:rsid w:val="008A64FB"/>
    <w:rsid w:val="008A6629"/>
    <w:rsid w:val="008A6847"/>
    <w:rsid w:val="008A686A"/>
    <w:rsid w:val="008A6973"/>
    <w:rsid w:val="008A6C99"/>
    <w:rsid w:val="008A6D81"/>
    <w:rsid w:val="008A6E0D"/>
    <w:rsid w:val="008A7456"/>
    <w:rsid w:val="008A7522"/>
    <w:rsid w:val="008A76A7"/>
    <w:rsid w:val="008A77CC"/>
    <w:rsid w:val="008A7B99"/>
    <w:rsid w:val="008A7CDC"/>
    <w:rsid w:val="008B01B6"/>
    <w:rsid w:val="008B04F7"/>
    <w:rsid w:val="008B0F92"/>
    <w:rsid w:val="008B0FBF"/>
    <w:rsid w:val="008B112F"/>
    <w:rsid w:val="008B1209"/>
    <w:rsid w:val="008B1544"/>
    <w:rsid w:val="008B1576"/>
    <w:rsid w:val="008B1613"/>
    <w:rsid w:val="008B16A2"/>
    <w:rsid w:val="008B1A49"/>
    <w:rsid w:val="008B1D2D"/>
    <w:rsid w:val="008B1E05"/>
    <w:rsid w:val="008B1FE7"/>
    <w:rsid w:val="008B20BC"/>
    <w:rsid w:val="008B2490"/>
    <w:rsid w:val="008B271D"/>
    <w:rsid w:val="008B2883"/>
    <w:rsid w:val="008B2FD9"/>
    <w:rsid w:val="008B3556"/>
    <w:rsid w:val="008B364B"/>
    <w:rsid w:val="008B378A"/>
    <w:rsid w:val="008B37C7"/>
    <w:rsid w:val="008B3A08"/>
    <w:rsid w:val="008B3B91"/>
    <w:rsid w:val="008B3BB7"/>
    <w:rsid w:val="008B3EA0"/>
    <w:rsid w:val="008B4301"/>
    <w:rsid w:val="008B44FD"/>
    <w:rsid w:val="008B483D"/>
    <w:rsid w:val="008B4BF9"/>
    <w:rsid w:val="008B4C93"/>
    <w:rsid w:val="008B4D07"/>
    <w:rsid w:val="008B4D43"/>
    <w:rsid w:val="008B5085"/>
    <w:rsid w:val="008B52F7"/>
    <w:rsid w:val="008B6027"/>
    <w:rsid w:val="008B6188"/>
    <w:rsid w:val="008B66D1"/>
    <w:rsid w:val="008B745E"/>
    <w:rsid w:val="008B7481"/>
    <w:rsid w:val="008B794F"/>
    <w:rsid w:val="008B7AF2"/>
    <w:rsid w:val="008B7DF6"/>
    <w:rsid w:val="008B7E00"/>
    <w:rsid w:val="008B7FE2"/>
    <w:rsid w:val="008C0457"/>
    <w:rsid w:val="008C061B"/>
    <w:rsid w:val="008C0641"/>
    <w:rsid w:val="008C09E1"/>
    <w:rsid w:val="008C0D09"/>
    <w:rsid w:val="008C0D74"/>
    <w:rsid w:val="008C0E75"/>
    <w:rsid w:val="008C0FFC"/>
    <w:rsid w:val="008C1342"/>
    <w:rsid w:val="008C1379"/>
    <w:rsid w:val="008C1454"/>
    <w:rsid w:val="008C1945"/>
    <w:rsid w:val="008C199D"/>
    <w:rsid w:val="008C1AE5"/>
    <w:rsid w:val="008C1C84"/>
    <w:rsid w:val="008C1D2A"/>
    <w:rsid w:val="008C26E9"/>
    <w:rsid w:val="008C2708"/>
    <w:rsid w:val="008C273A"/>
    <w:rsid w:val="008C286B"/>
    <w:rsid w:val="008C2C67"/>
    <w:rsid w:val="008C30B9"/>
    <w:rsid w:val="008C3180"/>
    <w:rsid w:val="008C35DC"/>
    <w:rsid w:val="008C361E"/>
    <w:rsid w:val="008C3D11"/>
    <w:rsid w:val="008C3F12"/>
    <w:rsid w:val="008C3FBD"/>
    <w:rsid w:val="008C3FF6"/>
    <w:rsid w:val="008C4170"/>
    <w:rsid w:val="008C4959"/>
    <w:rsid w:val="008C4B6E"/>
    <w:rsid w:val="008C4D1B"/>
    <w:rsid w:val="008C4D54"/>
    <w:rsid w:val="008C5095"/>
    <w:rsid w:val="008C50E4"/>
    <w:rsid w:val="008C5116"/>
    <w:rsid w:val="008C5486"/>
    <w:rsid w:val="008C567C"/>
    <w:rsid w:val="008C5BEC"/>
    <w:rsid w:val="008C5EEA"/>
    <w:rsid w:val="008C5F20"/>
    <w:rsid w:val="008C5F40"/>
    <w:rsid w:val="008C62B5"/>
    <w:rsid w:val="008C695A"/>
    <w:rsid w:val="008C6E2F"/>
    <w:rsid w:val="008C71AF"/>
    <w:rsid w:val="008C7319"/>
    <w:rsid w:val="008C73B3"/>
    <w:rsid w:val="008C73ED"/>
    <w:rsid w:val="008C77D3"/>
    <w:rsid w:val="008C7C03"/>
    <w:rsid w:val="008C7CEF"/>
    <w:rsid w:val="008CD3BB"/>
    <w:rsid w:val="008D051E"/>
    <w:rsid w:val="008D06F8"/>
    <w:rsid w:val="008D0AD8"/>
    <w:rsid w:val="008D1390"/>
    <w:rsid w:val="008D1D2D"/>
    <w:rsid w:val="008D2279"/>
    <w:rsid w:val="008D27B0"/>
    <w:rsid w:val="008D2A77"/>
    <w:rsid w:val="008D2BB7"/>
    <w:rsid w:val="008D30BB"/>
    <w:rsid w:val="008D3769"/>
    <w:rsid w:val="008D39DD"/>
    <w:rsid w:val="008D3A08"/>
    <w:rsid w:val="008D3AF1"/>
    <w:rsid w:val="008D3B0B"/>
    <w:rsid w:val="008D3D0E"/>
    <w:rsid w:val="008D3EB9"/>
    <w:rsid w:val="008D3EC2"/>
    <w:rsid w:val="008D43D6"/>
    <w:rsid w:val="008D457B"/>
    <w:rsid w:val="008D478D"/>
    <w:rsid w:val="008D4E9D"/>
    <w:rsid w:val="008D519A"/>
    <w:rsid w:val="008D52A2"/>
    <w:rsid w:val="008D5388"/>
    <w:rsid w:val="008D55F9"/>
    <w:rsid w:val="008D5695"/>
    <w:rsid w:val="008D5975"/>
    <w:rsid w:val="008D5C0E"/>
    <w:rsid w:val="008D5DF3"/>
    <w:rsid w:val="008D666F"/>
    <w:rsid w:val="008D6C66"/>
    <w:rsid w:val="008D6CEF"/>
    <w:rsid w:val="008D6F96"/>
    <w:rsid w:val="008D6FC0"/>
    <w:rsid w:val="008D73E4"/>
    <w:rsid w:val="008D773A"/>
    <w:rsid w:val="008D78E1"/>
    <w:rsid w:val="008D7928"/>
    <w:rsid w:val="008D7BEE"/>
    <w:rsid w:val="008E0BFE"/>
    <w:rsid w:val="008E0FEE"/>
    <w:rsid w:val="008E12A6"/>
    <w:rsid w:val="008E13E5"/>
    <w:rsid w:val="008E1732"/>
    <w:rsid w:val="008E18F5"/>
    <w:rsid w:val="008E199C"/>
    <w:rsid w:val="008E1AD7"/>
    <w:rsid w:val="008E1AEA"/>
    <w:rsid w:val="008E1CFF"/>
    <w:rsid w:val="008E20E3"/>
    <w:rsid w:val="008E2100"/>
    <w:rsid w:val="008E219F"/>
    <w:rsid w:val="008E2360"/>
    <w:rsid w:val="008E2533"/>
    <w:rsid w:val="008E256D"/>
    <w:rsid w:val="008E264B"/>
    <w:rsid w:val="008E2BF5"/>
    <w:rsid w:val="008E2EE3"/>
    <w:rsid w:val="008E2F11"/>
    <w:rsid w:val="008E2F5C"/>
    <w:rsid w:val="008E3033"/>
    <w:rsid w:val="008E3442"/>
    <w:rsid w:val="008E364C"/>
    <w:rsid w:val="008E37A5"/>
    <w:rsid w:val="008E37F8"/>
    <w:rsid w:val="008E3854"/>
    <w:rsid w:val="008E38D0"/>
    <w:rsid w:val="008E3A46"/>
    <w:rsid w:val="008E3D7D"/>
    <w:rsid w:val="008E4560"/>
    <w:rsid w:val="008E4849"/>
    <w:rsid w:val="008E4C57"/>
    <w:rsid w:val="008E4DCD"/>
    <w:rsid w:val="008E4F28"/>
    <w:rsid w:val="008E554C"/>
    <w:rsid w:val="008E5914"/>
    <w:rsid w:val="008E5BD9"/>
    <w:rsid w:val="008E5E7E"/>
    <w:rsid w:val="008E60E4"/>
    <w:rsid w:val="008E6205"/>
    <w:rsid w:val="008E67D6"/>
    <w:rsid w:val="008E67F3"/>
    <w:rsid w:val="008E6BA7"/>
    <w:rsid w:val="008E6C49"/>
    <w:rsid w:val="008E6C90"/>
    <w:rsid w:val="008E6D86"/>
    <w:rsid w:val="008E7031"/>
    <w:rsid w:val="008E712E"/>
    <w:rsid w:val="008E7461"/>
    <w:rsid w:val="008E7565"/>
    <w:rsid w:val="008E75E3"/>
    <w:rsid w:val="008E7D16"/>
    <w:rsid w:val="008F0171"/>
    <w:rsid w:val="008F01E9"/>
    <w:rsid w:val="008F026B"/>
    <w:rsid w:val="008F03CA"/>
    <w:rsid w:val="008F040D"/>
    <w:rsid w:val="008F043B"/>
    <w:rsid w:val="008F05B0"/>
    <w:rsid w:val="008F0863"/>
    <w:rsid w:val="008F0B5D"/>
    <w:rsid w:val="008F0BE3"/>
    <w:rsid w:val="008F0E7B"/>
    <w:rsid w:val="008F0FA7"/>
    <w:rsid w:val="008F13E1"/>
    <w:rsid w:val="008F16F5"/>
    <w:rsid w:val="008F1792"/>
    <w:rsid w:val="008F20F4"/>
    <w:rsid w:val="008F2479"/>
    <w:rsid w:val="008F24DC"/>
    <w:rsid w:val="008F25BC"/>
    <w:rsid w:val="008F261A"/>
    <w:rsid w:val="008F2BD9"/>
    <w:rsid w:val="008F2E54"/>
    <w:rsid w:val="008F3082"/>
    <w:rsid w:val="008F3676"/>
    <w:rsid w:val="008F3899"/>
    <w:rsid w:val="008F3BFC"/>
    <w:rsid w:val="008F4504"/>
    <w:rsid w:val="008F473F"/>
    <w:rsid w:val="008F4B4D"/>
    <w:rsid w:val="008F4DC3"/>
    <w:rsid w:val="008F4DC8"/>
    <w:rsid w:val="008F5344"/>
    <w:rsid w:val="008F57FB"/>
    <w:rsid w:val="008F591E"/>
    <w:rsid w:val="008F5AF3"/>
    <w:rsid w:val="008F5BC7"/>
    <w:rsid w:val="008F63CC"/>
    <w:rsid w:val="008F66CC"/>
    <w:rsid w:val="008F6AD1"/>
    <w:rsid w:val="008F6D3C"/>
    <w:rsid w:val="008F70E9"/>
    <w:rsid w:val="008F7687"/>
    <w:rsid w:val="008F7836"/>
    <w:rsid w:val="008F7E3C"/>
    <w:rsid w:val="008F7EED"/>
    <w:rsid w:val="008F7FA6"/>
    <w:rsid w:val="00900048"/>
    <w:rsid w:val="00900075"/>
    <w:rsid w:val="0090065E"/>
    <w:rsid w:val="00901220"/>
    <w:rsid w:val="00901928"/>
    <w:rsid w:val="00902468"/>
    <w:rsid w:val="00902535"/>
    <w:rsid w:val="00902AF4"/>
    <w:rsid w:val="00902F23"/>
    <w:rsid w:val="00903191"/>
    <w:rsid w:val="00903BBD"/>
    <w:rsid w:val="00903C5B"/>
    <w:rsid w:val="00903E93"/>
    <w:rsid w:val="009044B4"/>
    <w:rsid w:val="0090493B"/>
    <w:rsid w:val="00904AA9"/>
    <w:rsid w:val="00904BA6"/>
    <w:rsid w:val="00904DB8"/>
    <w:rsid w:val="00904FA4"/>
    <w:rsid w:val="00905387"/>
    <w:rsid w:val="009056CA"/>
    <w:rsid w:val="00905892"/>
    <w:rsid w:val="009059C3"/>
    <w:rsid w:val="00905F49"/>
    <w:rsid w:val="00906053"/>
    <w:rsid w:val="009060AB"/>
    <w:rsid w:val="009060DC"/>
    <w:rsid w:val="009061AC"/>
    <w:rsid w:val="00906219"/>
    <w:rsid w:val="00906307"/>
    <w:rsid w:val="009063B4"/>
    <w:rsid w:val="00906516"/>
    <w:rsid w:val="009065BE"/>
    <w:rsid w:val="009068F3"/>
    <w:rsid w:val="009069E6"/>
    <w:rsid w:val="00906C1D"/>
    <w:rsid w:val="00906C91"/>
    <w:rsid w:val="00907012"/>
    <w:rsid w:val="0090782B"/>
    <w:rsid w:val="00907C76"/>
    <w:rsid w:val="0091004F"/>
    <w:rsid w:val="00910105"/>
    <w:rsid w:val="00910111"/>
    <w:rsid w:val="00910182"/>
    <w:rsid w:val="0091034D"/>
    <w:rsid w:val="0091043C"/>
    <w:rsid w:val="0091099E"/>
    <w:rsid w:val="00910A4F"/>
    <w:rsid w:val="00910E77"/>
    <w:rsid w:val="00911187"/>
    <w:rsid w:val="0091140E"/>
    <w:rsid w:val="009115B8"/>
    <w:rsid w:val="009119B9"/>
    <w:rsid w:val="00912074"/>
    <w:rsid w:val="009121E1"/>
    <w:rsid w:val="0091235C"/>
    <w:rsid w:val="00912372"/>
    <w:rsid w:val="00912484"/>
    <w:rsid w:val="00912CD1"/>
    <w:rsid w:val="00912CF1"/>
    <w:rsid w:val="00912D7B"/>
    <w:rsid w:val="00912DCE"/>
    <w:rsid w:val="0091307E"/>
    <w:rsid w:val="009132CE"/>
    <w:rsid w:val="0091362A"/>
    <w:rsid w:val="0091383E"/>
    <w:rsid w:val="00913D2F"/>
    <w:rsid w:val="00913DB9"/>
    <w:rsid w:val="00913FA4"/>
    <w:rsid w:val="00913FFF"/>
    <w:rsid w:val="00914568"/>
    <w:rsid w:val="00914708"/>
    <w:rsid w:val="009147A3"/>
    <w:rsid w:val="00914A7B"/>
    <w:rsid w:val="009150D6"/>
    <w:rsid w:val="00915362"/>
    <w:rsid w:val="009153D8"/>
    <w:rsid w:val="009157F2"/>
    <w:rsid w:val="009158CF"/>
    <w:rsid w:val="00916251"/>
    <w:rsid w:val="00916280"/>
    <w:rsid w:val="00916489"/>
    <w:rsid w:val="00916970"/>
    <w:rsid w:val="00916D01"/>
    <w:rsid w:val="00916E5A"/>
    <w:rsid w:val="00916F86"/>
    <w:rsid w:val="009170D9"/>
    <w:rsid w:val="0091727E"/>
    <w:rsid w:val="009172EA"/>
    <w:rsid w:val="00917435"/>
    <w:rsid w:val="00917711"/>
    <w:rsid w:val="00917BC4"/>
    <w:rsid w:val="00917C58"/>
    <w:rsid w:val="00920360"/>
    <w:rsid w:val="0092072A"/>
    <w:rsid w:val="009207C1"/>
    <w:rsid w:val="009207EB"/>
    <w:rsid w:val="009208A2"/>
    <w:rsid w:val="00920B17"/>
    <w:rsid w:val="00920B66"/>
    <w:rsid w:val="00920CA8"/>
    <w:rsid w:val="00920CAB"/>
    <w:rsid w:val="00920F81"/>
    <w:rsid w:val="00921341"/>
    <w:rsid w:val="009215EE"/>
    <w:rsid w:val="009216C9"/>
    <w:rsid w:val="009218BC"/>
    <w:rsid w:val="00921B4E"/>
    <w:rsid w:val="0092244A"/>
    <w:rsid w:val="0092244C"/>
    <w:rsid w:val="00922527"/>
    <w:rsid w:val="009225B9"/>
    <w:rsid w:val="00922695"/>
    <w:rsid w:val="009228C0"/>
    <w:rsid w:val="00922AD2"/>
    <w:rsid w:val="00922B4F"/>
    <w:rsid w:val="00922C95"/>
    <w:rsid w:val="00922CF0"/>
    <w:rsid w:val="00922F52"/>
    <w:rsid w:val="009233EE"/>
    <w:rsid w:val="009237E8"/>
    <w:rsid w:val="009238C7"/>
    <w:rsid w:val="00923A4B"/>
    <w:rsid w:val="00923C55"/>
    <w:rsid w:val="00923F24"/>
    <w:rsid w:val="00924092"/>
    <w:rsid w:val="0092422B"/>
    <w:rsid w:val="00924339"/>
    <w:rsid w:val="0092483A"/>
    <w:rsid w:val="00924B5D"/>
    <w:rsid w:val="00924FF8"/>
    <w:rsid w:val="0092502B"/>
    <w:rsid w:val="009253E3"/>
    <w:rsid w:val="009255A0"/>
    <w:rsid w:val="00925649"/>
    <w:rsid w:val="00925972"/>
    <w:rsid w:val="00926126"/>
    <w:rsid w:val="009263BF"/>
    <w:rsid w:val="0092669C"/>
    <w:rsid w:val="009269ED"/>
    <w:rsid w:val="00926EFF"/>
    <w:rsid w:val="00926F73"/>
    <w:rsid w:val="009272D9"/>
    <w:rsid w:val="009279FD"/>
    <w:rsid w:val="0093001F"/>
    <w:rsid w:val="009304FE"/>
    <w:rsid w:val="009308DE"/>
    <w:rsid w:val="00930B89"/>
    <w:rsid w:val="00930CF3"/>
    <w:rsid w:val="009312E2"/>
    <w:rsid w:val="009316DB"/>
    <w:rsid w:val="00931942"/>
    <w:rsid w:val="00931DD1"/>
    <w:rsid w:val="00931E3C"/>
    <w:rsid w:val="00931FEC"/>
    <w:rsid w:val="0093203E"/>
    <w:rsid w:val="009322B0"/>
    <w:rsid w:val="0093230A"/>
    <w:rsid w:val="0093238D"/>
    <w:rsid w:val="00932697"/>
    <w:rsid w:val="00932AC8"/>
    <w:rsid w:val="00932BB7"/>
    <w:rsid w:val="00932C4F"/>
    <w:rsid w:val="009330F3"/>
    <w:rsid w:val="00933340"/>
    <w:rsid w:val="009337B1"/>
    <w:rsid w:val="00933B5F"/>
    <w:rsid w:val="00933EDA"/>
    <w:rsid w:val="0093416D"/>
    <w:rsid w:val="009342A8"/>
    <w:rsid w:val="009344E1"/>
    <w:rsid w:val="0093457E"/>
    <w:rsid w:val="00934C54"/>
    <w:rsid w:val="00935067"/>
    <w:rsid w:val="00935115"/>
    <w:rsid w:val="00935156"/>
    <w:rsid w:val="009357F2"/>
    <w:rsid w:val="00935A18"/>
    <w:rsid w:val="0093669E"/>
    <w:rsid w:val="00936C83"/>
    <w:rsid w:val="00936D02"/>
    <w:rsid w:val="00936EED"/>
    <w:rsid w:val="0093707A"/>
    <w:rsid w:val="00937459"/>
    <w:rsid w:val="00937486"/>
    <w:rsid w:val="00937625"/>
    <w:rsid w:val="00937746"/>
    <w:rsid w:val="00937A0C"/>
    <w:rsid w:val="00937D05"/>
    <w:rsid w:val="009407E5"/>
    <w:rsid w:val="009408F7"/>
    <w:rsid w:val="00940940"/>
    <w:rsid w:val="00940A5E"/>
    <w:rsid w:val="00940D12"/>
    <w:rsid w:val="009410AA"/>
    <w:rsid w:val="009410C0"/>
    <w:rsid w:val="009419A2"/>
    <w:rsid w:val="009420C6"/>
    <w:rsid w:val="009423A1"/>
    <w:rsid w:val="009425D3"/>
    <w:rsid w:val="0094273C"/>
    <w:rsid w:val="009429D9"/>
    <w:rsid w:val="00942F2D"/>
    <w:rsid w:val="009430C3"/>
    <w:rsid w:val="0094310A"/>
    <w:rsid w:val="00943290"/>
    <w:rsid w:val="00943A66"/>
    <w:rsid w:val="00943E79"/>
    <w:rsid w:val="0094404F"/>
    <w:rsid w:val="00944556"/>
    <w:rsid w:val="00944BED"/>
    <w:rsid w:val="00944D98"/>
    <w:rsid w:val="00945462"/>
    <w:rsid w:val="0094579B"/>
    <w:rsid w:val="009459CD"/>
    <w:rsid w:val="00945BC1"/>
    <w:rsid w:val="00945D6F"/>
    <w:rsid w:val="00945EA4"/>
    <w:rsid w:val="00945FB8"/>
    <w:rsid w:val="00946279"/>
    <w:rsid w:val="0094629E"/>
    <w:rsid w:val="00946B78"/>
    <w:rsid w:val="00946D88"/>
    <w:rsid w:val="00946E77"/>
    <w:rsid w:val="00946F4A"/>
    <w:rsid w:val="0094728A"/>
    <w:rsid w:val="009474E3"/>
    <w:rsid w:val="0094751D"/>
    <w:rsid w:val="0094782B"/>
    <w:rsid w:val="00950540"/>
    <w:rsid w:val="0095068A"/>
    <w:rsid w:val="00950B02"/>
    <w:rsid w:val="00950BF0"/>
    <w:rsid w:val="00950EBC"/>
    <w:rsid w:val="00950ED9"/>
    <w:rsid w:val="0095151F"/>
    <w:rsid w:val="00951712"/>
    <w:rsid w:val="009517DD"/>
    <w:rsid w:val="00951E07"/>
    <w:rsid w:val="00952058"/>
    <w:rsid w:val="009521B1"/>
    <w:rsid w:val="0095222E"/>
    <w:rsid w:val="00952517"/>
    <w:rsid w:val="00952739"/>
    <w:rsid w:val="009527EE"/>
    <w:rsid w:val="00952974"/>
    <w:rsid w:val="00952B90"/>
    <w:rsid w:val="00952C8F"/>
    <w:rsid w:val="00952CD6"/>
    <w:rsid w:val="00952F88"/>
    <w:rsid w:val="00953091"/>
    <w:rsid w:val="0095360B"/>
    <w:rsid w:val="00953646"/>
    <w:rsid w:val="0095390D"/>
    <w:rsid w:val="00953EBB"/>
    <w:rsid w:val="009544F9"/>
    <w:rsid w:val="00954E6D"/>
    <w:rsid w:val="00954F57"/>
    <w:rsid w:val="0095517E"/>
    <w:rsid w:val="0095522C"/>
    <w:rsid w:val="00955280"/>
    <w:rsid w:val="00955309"/>
    <w:rsid w:val="00955632"/>
    <w:rsid w:val="009558FB"/>
    <w:rsid w:val="00955B66"/>
    <w:rsid w:val="00955CDC"/>
    <w:rsid w:val="00955E49"/>
    <w:rsid w:val="00955FD0"/>
    <w:rsid w:val="009560E2"/>
    <w:rsid w:val="0095628F"/>
    <w:rsid w:val="00956319"/>
    <w:rsid w:val="00956564"/>
    <w:rsid w:val="00956880"/>
    <w:rsid w:val="00956CE0"/>
    <w:rsid w:val="00956D26"/>
    <w:rsid w:val="00956F74"/>
    <w:rsid w:val="00957220"/>
    <w:rsid w:val="00957AF3"/>
    <w:rsid w:val="00957B3F"/>
    <w:rsid w:val="00957E22"/>
    <w:rsid w:val="00957E9D"/>
    <w:rsid w:val="00957F5F"/>
    <w:rsid w:val="0096079E"/>
    <w:rsid w:val="0096089C"/>
    <w:rsid w:val="00960A78"/>
    <w:rsid w:val="00960D25"/>
    <w:rsid w:val="00960EA1"/>
    <w:rsid w:val="0096175D"/>
    <w:rsid w:val="00961B49"/>
    <w:rsid w:val="00961D99"/>
    <w:rsid w:val="0096212F"/>
    <w:rsid w:val="009621D2"/>
    <w:rsid w:val="0096263D"/>
    <w:rsid w:val="00962785"/>
    <w:rsid w:val="0096296E"/>
    <w:rsid w:val="00962D35"/>
    <w:rsid w:val="00962F30"/>
    <w:rsid w:val="0096322B"/>
    <w:rsid w:val="00963362"/>
    <w:rsid w:val="009633AD"/>
    <w:rsid w:val="00963722"/>
    <w:rsid w:val="009638E4"/>
    <w:rsid w:val="009638FD"/>
    <w:rsid w:val="0096390E"/>
    <w:rsid w:val="009639EE"/>
    <w:rsid w:val="00963A7A"/>
    <w:rsid w:val="00964175"/>
    <w:rsid w:val="009643FA"/>
    <w:rsid w:val="00964475"/>
    <w:rsid w:val="0096461F"/>
    <w:rsid w:val="009647D4"/>
    <w:rsid w:val="00964990"/>
    <w:rsid w:val="00964BD0"/>
    <w:rsid w:val="00964C79"/>
    <w:rsid w:val="00964D1C"/>
    <w:rsid w:val="009652FF"/>
    <w:rsid w:val="00965366"/>
    <w:rsid w:val="00965A66"/>
    <w:rsid w:val="00965ACF"/>
    <w:rsid w:val="00965D79"/>
    <w:rsid w:val="00966177"/>
    <w:rsid w:val="009661DE"/>
    <w:rsid w:val="00966651"/>
    <w:rsid w:val="00966B53"/>
    <w:rsid w:val="00966C5A"/>
    <w:rsid w:val="00966E74"/>
    <w:rsid w:val="00967522"/>
    <w:rsid w:val="0096796F"/>
    <w:rsid w:val="00967A08"/>
    <w:rsid w:val="00967B72"/>
    <w:rsid w:val="00967F92"/>
    <w:rsid w:val="00970C78"/>
    <w:rsid w:val="00970CA8"/>
    <w:rsid w:val="00970CE9"/>
    <w:rsid w:val="00970D42"/>
    <w:rsid w:val="00970D67"/>
    <w:rsid w:val="00971195"/>
    <w:rsid w:val="00971420"/>
    <w:rsid w:val="009719EE"/>
    <w:rsid w:val="0097200D"/>
    <w:rsid w:val="00972438"/>
    <w:rsid w:val="009725A9"/>
    <w:rsid w:val="00972734"/>
    <w:rsid w:val="00972D88"/>
    <w:rsid w:val="009733DD"/>
    <w:rsid w:val="009735F1"/>
    <w:rsid w:val="00973B40"/>
    <w:rsid w:val="00973C23"/>
    <w:rsid w:val="00973C95"/>
    <w:rsid w:val="00973DC2"/>
    <w:rsid w:val="009742CB"/>
    <w:rsid w:val="009743A0"/>
    <w:rsid w:val="00974603"/>
    <w:rsid w:val="0097482F"/>
    <w:rsid w:val="00974C11"/>
    <w:rsid w:val="00975010"/>
    <w:rsid w:val="00975545"/>
    <w:rsid w:val="00975790"/>
    <w:rsid w:val="0097585D"/>
    <w:rsid w:val="00975B0F"/>
    <w:rsid w:val="00976584"/>
    <w:rsid w:val="0097671E"/>
    <w:rsid w:val="00976C3A"/>
    <w:rsid w:val="00976D8E"/>
    <w:rsid w:val="00976DAD"/>
    <w:rsid w:val="00976DF5"/>
    <w:rsid w:val="009773BD"/>
    <w:rsid w:val="009775FE"/>
    <w:rsid w:val="00977698"/>
    <w:rsid w:val="009778F9"/>
    <w:rsid w:val="009779F1"/>
    <w:rsid w:val="00977EE8"/>
    <w:rsid w:val="009803FB"/>
    <w:rsid w:val="00980466"/>
    <w:rsid w:val="00980528"/>
    <w:rsid w:val="00980545"/>
    <w:rsid w:val="00980779"/>
    <w:rsid w:val="00980B2B"/>
    <w:rsid w:val="00980D82"/>
    <w:rsid w:val="00980DE6"/>
    <w:rsid w:val="00980E54"/>
    <w:rsid w:val="00980FEC"/>
    <w:rsid w:val="00981175"/>
    <w:rsid w:val="0098122B"/>
    <w:rsid w:val="009814A3"/>
    <w:rsid w:val="00981935"/>
    <w:rsid w:val="00982010"/>
    <w:rsid w:val="00982423"/>
    <w:rsid w:val="0098249B"/>
    <w:rsid w:val="0098251D"/>
    <w:rsid w:val="0098256D"/>
    <w:rsid w:val="0098263C"/>
    <w:rsid w:val="0098278C"/>
    <w:rsid w:val="00982918"/>
    <w:rsid w:val="009829F4"/>
    <w:rsid w:val="00982B5D"/>
    <w:rsid w:val="00982D0F"/>
    <w:rsid w:val="00982F48"/>
    <w:rsid w:val="00983198"/>
    <w:rsid w:val="00983842"/>
    <w:rsid w:val="00983980"/>
    <w:rsid w:val="009839CE"/>
    <w:rsid w:val="0098453D"/>
    <w:rsid w:val="009846B8"/>
    <w:rsid w:val="009847FF"/>
    <w:rsid w:val="00984989"/>
    <w:rsid w:val="00984E8C"/>
    <w:rsid w:val="00985614"/>
    <w:rsid w:val="009856A9"/>
    <w:rsid w:val="009856B7"/>
    <w:rsid w:val="009859F6"/>
    <w:rsid w:val="00985DA8"/>
    <w:rsid w:val="00985DCE"/>
    <w:rsid w:val="00985E70"/>
    <w:rsid w:val="0098602B"/>
    <w:rsid w:val="009860EF"/>
    <w:rsid w:val="00986301"/>
    <w:rsid w:val="00986892"/>
    <w:rsid w:val="00986985"/>
    <w:rsid w:val="00986E93"/>
    <w:rsid w:val="009875DF"/>
    <w:rsid w:val="009877F5"/>
    <w:rsid w:val="0098791E"/>
    <w:rsid w:val="00987A82"/>
    <w:rsid w:val="00987A95"/>
    <w:rsid w:val="00987DE8"/>
    <w:rsid w:val="00990119"/>
    <w:rsid w:val="0099039E"/>
    <w:rsid w:val="00990681"/>
    <w:rsid w:val="0099087F"/>
    <w:rsid w:val="00990895"/>
    <w:rsid w:val="00990E26"/>
    <w:rsid w:val="00990E6D"/>
    <w:rsid w:val="009914F0"/>
    <w:rsid w:val="009917ED"/>
    <w:rsid w:val="009918A8"/>
    <w:rsid w:val="00991924"/>
    <w:rsid w:val="00991993"/>
    <w:rsid w:val="009919F4"/>
    <w:rsid w:val="00991B13"/>
    <w:rsid w:val="00991B3B"/>
    <w:rsid w:val="00991C3A"/>
    <w:rsid w:val="00991EAF"/>
    <w:rsid w:val="00991EBD"/>
    <w:rsid w:val="00991F4A"/>
    <w:rsid w:val="00992235"/>
    <w:rsid w:val="0099269E"/>
    <w:rsid w:val="00992873"/>
    <w:rsid w:val="0099295E"/>
    <w:rsid w:val="009929ED"/>
    <w:rsid w:val="00992ACA"/>
    <w:rsid w:val="00992BFE"/>
    <w:rsid w:val="00992C8C"/>
    <w:rsid w:val="009930A7"/>
    <w:rsid w:val="00993684"/>
    <w:rsid w:val="009936D0"/>
    <w:rsid w:val="0099371F"/>
    <w:rsid w:val="00993BAE"/>
    <w:rsid w:val="00993C3C"/>
    <w:rsid w:val="009943B7"/>
    <w:rsid w:val="00994A97"/>
    <w:rsid w:val="00994B0F"/>
    <w:rsid w:val="00994BCE"/>
    <w:rsid w:val="00994BDE"/>
    <w:rsid w:val="009953CB"/>
    <w:rsid w:val="00995635"/>
    <w:rsid w:val="009961CA"/>
    <w:rsid w:val="009962BA"/>
    <w:rsid w:val="00996402"/>
    <w:rsid w:val="009964C8"/>
    <w:rsid w:val="00996CBA"/>
    <w:rsid w:val="00996CED"/>
    <w:rsid w:val="00996DA0"/>
    <w:rsid w:val="00996DF2"/>
    <w:rsid w:val="00996DFE"/>
    <w:rsid w:val="00996F81"/>
    <w:rsid w:val="009970EC"/>
    <w:rsid w:val="00997265"/>
    <w:rsid w:val="00997422"/>
    <w:rsid w:val="00997499"/>
    <w:rsid w:val="009975B3"/>
    <w:rsid w:val="00997CA5"/>
    <w:rsid w:val="00997DE8"/>
    <w:rsid w:val="00997DFE"/>
    <w:rsid w:val="0099833F"/>
    <w:rsid w:val="009A02E8"/>
    <w:rsid w:val="009A0B2E"/>
    <w:rsid w:val="009A0CA0"/>
    <w:rsid w:val="009A1014"/>
    <w:rsid w:val="009A135D"/>
    <w:rsid w:val="009A1C0C"/>
    <w:rsid w:val="009A1E2D"/>
    <w:rsid w:val="009A24FC"/>
    <w:rsid w:val="009A2589"/>
    <w:rsid w:val="009A29E4"/>
    <w:rsid w:val="009A367B"/>
    <w:rsid w:val="009A3886"/>
    <w:rsid w:val="009A41FF"/>
    <w:rsid w:val="009A42A1"/>
    <w:rsid w:val="009A4782"/>
    <w:rsid w:val="009A4BAA"/>
    <w:rsid w:val="009A4BF5"/>
    <w:rsid w:val="009A4D30"/>
    <w:rsid w:val="009A4DE7"/>
    <w:rsid w:val="009A4E35"/>
    <w:rsid w:val="009A551A"/>
    <w:rsid w:val="009A5562"/>
    <w:rsid w:val="009A57B9"/>
    <w:rsid w:val="009A5C14"/>
    <w:rsid w:val="009A5E27"/>
    <w:rsid w:val="009A66B6"/>
    <w:rsid w:val="009A679C"/>
    <w:rsid w:val="009A6A4B"/>
    <w:rsid w:val="009A7248"/>
    <w:rsid w:val="009A733C"/>
    <w:rsid w:val="009A74BC"/>
    <w:rsid w:val="009A76FC"/>
    <w:rsid w:val="009A77F3"/>
    <w:rsid w:val="009A7900"/>
    <w:rsid w:val="009A7A99"/>
    <w:rsid w:val="009A7BE4"/>
    <w:rsid w:val="009A7D13"/>
    <w:rsid w:val="009A7E21"/>
    <w:rsid w:val="009B0171"/>
    <w:rsid w:val="009B0423"/>
    <w:rsid w:val="009B0A4A"/>
    <w:rsid w:val="009B171D"/>
    <w:rsid w:val="009B1AD7"/>
    <w:rsid w:val="009B1FAB"/>
    <w:rsid w:val="009B2351"/>
    <w:rsid w:val="009B24B3"/>
    <w:rsid w:val="009B2539"/>
    <w:rsid w:val="009B2771"/>
    <w:rsid w:val="009B27EE"/>
    <w:rsid w:val="009B2AED"/>
    <w:rsid w:val="009B2C69"/>
    <w:rsid w:val="009B2D76"/>
    <w:rsid w:val="009B3022"/>
    <w:rsid w:val="009B303B"/>
    <w:rsid w:val="009B30BD"/>
    <w:rsid w:val="009B3615"/>
    <w:rsid w:val="009B399D"/>
    <w:rsid w:val="009B3C34"/>
    <w:rsid w:val="009B3FAB"/>
    <w:rsid w:val="009B412D"/>
    <w:rsid w:val="009B4450"/>
    <w:rsid w:val="009B45ED"/>
    <w:rsid w:val="009B47A6"/>
    <w:rsid w:val="009B4EFE"/>
    <w:rsid w:val="009B4F19"/>
    <w:rsid w:val="009B503A"/>
    <w:rsid w:val="009B51DE"/>
    <w:rsid w:val="009B554A"/>
    <w:rsid w:val="009B565E"/>
    <w:rsid w:val="009B5999"/>
    <w:rsid w:val="009B5DB9"/>
    <w:rsid w:val="009B62A4"/>
    <w:rsid w:val="009B62A6"/>
    <w:rsid w:val="009B6855"/>
    <w:rsid w:val="009B742D"/>
    <w:rsid w:val="009B74B0"/>
    <w:rsid w:val="009B77D2"/>
    <w:rsid w:val="009C023D"/>
    <w:rsid w:val="009C0505"/>
    <w:rsid w:val="009C0600"/>
    <w:rsid w:val="009C0BAB"/>
    <w:rsid w:val="009C0DD9"/>
    <w:rsid w:val="009C0E42"/>
    <w:rsid w:val="009C0E5D"/>
    <w:rsid w:val="009C0F13"/>
    <w:rsid w:val="009C0FC7"/>
    <w:rsid w:val="009C0FEA"/>
    <w:rsid w:val="009C10ED"/>
    <w:rsid w:val="009C1175"/>
    <w:rsid w:val="009C1226"/>
    <w:rsid w:val="009C14B6"/>
    <w:rsid w:val="009C1768"/>
    <w:rsid w:val="009C1B1C"/>
    <w:rsid w:val="009C27EC"/>
    <w:rsid w:val="009C2810"/>
    <w:rsid w:val="009C2853"/>
    <w:rsid w:val="009C28D1"/>
    <w:rsid w:val="009C2FC0"/>
    <w:rsid w:val="009C307D"/>
    <w:rsid w:val="009C313A"/>
    <w:rsid w:val="009C3524"/>
    <w:rsid w:val="009C3F1E"/>
    <w:rsid w:val="009C4073"/>
    <w:rsid w:val="009C4411"/>
    <w:rsid w:val="009C4E61"/>
    <w:rsid w:val="009C5349"/>
    <w:rsid w:val="009C5530"/>
    <w:rsid w:val="009C55B9"/>
    <w:rsid w:val="009C5A5E"/>
    <w:rsid w:val="009C5DE5"/>
    <w:rsid w:val="009C6101"/>
    <w:rsid w:val="009C6262"/>
    <w:rsid w:val="009C675A"/>
    <w:rsid w:val="009C6A9D"/>
    <w:rsid w:val="009C7187"/>
    <w:rsid w:val="009C7A41"/>
    <w:rsid w:val="009C7B71"/>
    <w:rsid w:val="009C7C98"/>
    <w:rsid w:val="009C7D41"/>
    <w:rsid w:val="009D0164"/>
    <w:rsid w:val="009D04EE"/>
    <w:rsid w:val="009D0A06"/>
    <w:rsid w:val="009D0FC2"/>
    <w:rsid w:val="009D100F"/>
    <w:rsid w:val="009D106D"/>
    <w:rsid w:val="009D1319"/>
    <w:rsid w:val="009D142B"/>
    <w:rsid w:val="009D16BC"/>
    <w:rsid w:val="009D170E"/>
    <w:rsid w:val="009D1985"/>
    <w:rsid w:val="009D2064"/>
    <w:rsid w:val="009D224F"/>
    <w:rsid w:val="009D2579"/>
    <w:rsid w:val="009D27BC"/>
    <w:rsid w:val="009D27D8"/>
    <w:rsid w:val="009D2953"/>
    <w:rsid w:val="009D2B11"/>
    <w:rsid w:val="009D330D"/>
    <w:rsid w:val="009D3389"/>
    <w:rsid w:val="009D3398"/>
    <w:rsid w:val="009D34BE"/>
    <w:rsid w:val="009D393F"/>
    <w:rsid w:val="009D3A81"/>
    <w:rsid w:val="009D3ABA"/>
    <w:rsid w:val="009D430E"/>
    <w:rsid w:val="009D4414"/>
    <w:rsid w:val="009D4791"/>
    <w:rsid w:val="009D49F1"/>
    <w:rsid w:val="009D4B7B"/>
    <w:rsid w:val="009D4E31"/>
    <w:rsid w:val="009D4F2F"/>
    <w:rsid w:val="009D5324"/>
    <w:rsid w:val="009D545C"/>
    <w:rsid w:val="009D5545"/>
    <w:rsid w:val="009D5578"/>
    <w:rsid w:val="009D564E"/>
    <w:rsid w:val="009D5826"/>
    <w:rsid w:val="009D5891"/>
    <w:rsid w:val="009D5A80"/>
    <w:rsid w:val="009D5C34"/>
    <w:rsid w:val="009D5ED5"/>
    <w:rsid w:val="009D607E"/>
    <w:rsid w:val="009D6253"/>
    <w:rsid w:val="009D62CF"/>
    <w:rsid w:val="009D64E2"/>
    <w:rsid w:val="009D6AE8"/>
    <w:rsid w:val="009D6B46"/>
    <w:rsid w:val="009D7057"/>
    <w:rsid w:val="009D70F6"/>
    <w:rsid w:val="009D71DD"/>
    <w:rsid w:val="009D7791"/>
    <w:rsid w:val="009D7813"/>
    <w:rsid w:val="009D7853"/>
    <w:rsid w:val="009D7987"/>
    <w:rsid w:val="009D7A13"/>
    <w:rsid w:val="009E00A8"/>
    <w:rsid w:val="009E019D"/>
    <w:rsid w:val="009E03AE"/>
    <w:rsid w:val="009E0443"/>
    <w:rsid w:val="009E073E"/>
    <w:rsid w:val="009E08A1"/>
    <w:rsid w:val="009E08A5"/>
    <w:rsid w:val="009E0B5D"/>
    <w:rsid w:val="009E0C11"/>
    <w:rsid w:val="009E0CBE"/>
    <w:rsid w:val="009E0F1F"/>
    <w:rsid w:val="009E1209"/>
    <w:rsid w:val="009E12F4"/>
    <w:rsid w:val="009E1348"/>
    <w:rsid w:val="009E1536"/>
    <w:rsid w:val="009E154E"/>
    <w:rsid w:val="009E17C3"/>
    <w:rsid w:val="009E1867"/>
    <w:rsid w:val="009E1DD5"/>
    <w:rsid w:val="009E2758"/>
    <w:rsid w:val="009E29D9"/>
    <w:rsid w:val="009E2B91"/>
    <w:rsid w:val="009E2CCE"/>
    <w:rsid w:val="009E3153"/>
    <w:rsid w:val="009E3231"/>
    <w:rsid w:val="009E3592"/>
    <w:rsid w:val="009E39F9"/>
    <w:rsid w:val="009E3DF0"/>
    <w:rsid w:val="009E3FD0"/>
    <w:rsid w:val="009E4664"/>
    <w:rsid w:val="009E475D"/>
    <w:rsid w:val="009E4915"/>
    <w:rsid w:val="009E5404"/>
    <w:rsid w:val="009E5765"/>
    <w:rsid w:val="009E6179"/>
    <w:rsid w:val="009E62B3"/>
    <w:rsid w:val="009E62BF"/>
    <w:rsid w:val="009E636F"/>
    <w:rsid w:val="009E639E"/>
    <w:rsid w:val="009E63A8"/>
    <w:rsid w:val="009E6410"/>
    <w:rsid w:val="009E68A2"/>
    <w:rsid w:val="009E6CE1"/>
    <w:rsid w:val="009E6DDD"/>
    <w:rsid w:val="009E716B"/>
    <w:rsid w:val="009E71A2"/>
    <w:rsid w:val="009E729A"/>
    <w:rsid w:val="009E737C"/>
    <w:rsid w:val="009E77AC"/>
    <w:rsid w:val="009E7F80"/>
    <w:rsid w:val="009E7FDF"/>
    <w:rsid w:val="009F02F9"/>
    <w:rsid w:val="009F0414"/>
    <w:rsid w:val="009F042B"/>
    <w:rsid w:val="009F0486"/>
    <w:rsid w:val="009F0B95"/>
    <w:rsid w:val="009F0BF7"/>
    <w:rsid w:val="009F0C84"/>
    <w:rsid w:val="009F0C85"/>
    <w:rsid w:val="009F0FB2"/>
    <w:rsid w:val="009F1298"/>
    <w:rsid w:val="009F1340"/>
    <w:rsid w:val="009F14CC"/>
    <w:rsid w:val="009F1628"/>
    <w:rsid w:val="009F182B"/>
    <w:rsid w:val="009F1C9E"/>
    <w:rsid w:val="009F2067"/>
    <w:rsid w:val="009F216D"/>
    <w:rsid w:val="009F21A1"/>
    <w:rsid w:val="009F22C2"/>
    <w:rsid w:val="009F238A"/>
    <w:rsid w:val="009F245B"/>
    <w:rsid w:val="009F24DF"/>
    <w:rsid w:val="009F28F1"/>
    <w:rsid w:val="009F2BE5"/>
    <w:rsid w:val="009F2CAF"/>
    <w:rsid w:val="009F2FD1"/>
    <w:rsid w:val="009F315D"/>
    <w:rsid w:val="009F3219"/>
    <w:rsid w:val="009F3386"/>
    <w:rsid w:val="009F359E"/>
    <w:rsid w:val="009F364F"/>
    <w:rsid w:val="009F36D2"/>
    <w:rsid w:val="009F3E3D"/>
    <w:rsid w:val="009F4617"/>
    <w:rsid w:val="009F4657"/>
    <w:rsid w:val="009F4940"/>
    <w:rsid w:val="009F4C07"/>
    <w:rsid w:val="009F4D32"/>
    <w:rsid w:val="009F4DF8"/>
    <w:rsid w:val="009F5181"/>
    <w:rsid w:val="009F5A28"/>
    <w:rsid w:val="009F5A43"/>
    <w:rsid w:val="009F5D10"/>
    <w:rsid w:val="009F5EEC"/>
    <w:rsid w:val="009F65B8"/>
    <w:rsid w:val="009F697C"/>
    <w:rsid w:val="009F6A80"/>
    <w:rsid w:val="009F7017"/>
    <w:rsid w:val="009F75C8"/>
    <w:rsid w:val="009F786E"/>
    <w:rsid w:val="009F79B6"/>
    <w:rsid w:val="00A003B2"/>
    <w:rsid w:val="00A0046A"/>
    <w:rsid w:val="00A00990"/>
    <w:rsid w:val="00A00C91"/>
    <w:rsid w:val="00A013BB"/>
    <w:rsid w:val="00A01525"/>
    <w:rsid w:val="00A0171E"/>
    <w:rsid w:val="00A019CD"/>
    <w:rsid w:val="00A01A3D"/>
    <w:rsid w:val="00A01B03"/>
    <w:rsid w:val="00A01C99"/>
    <w:rsid w:val="00A0235A"/>
    <w:rsid w:val="00A023E0"/>
    <w:rsid w:val="00A0265F"/>
    <w:rsid w:val="00A028BE"/>
    <w:rsid w:val="00A02AAC"/>
    <w:rsid w:val="00A02BE8"/>
    <w:rsid w:val="00A02E45"/>
    <w:rsid w:val="00A03219"/>
    <w:rsid w:val="00A03294"/>
    <w:rsid w:val="00A033C2"/>
    <w:rsid w:val="00A03632"/>
    <w:rsid w:val="00A03F4D"/>
    <w:rsid w:val="00A0414A"/>
    <w:rsid w:val="00A04207"/>
    <w:rsid w:val="00A042C7"/>
    <w:rsid w:val="00A045AC"/>
    <w:rsid w:val="00A04617"/>
    <w:rsid w:val="00A0461F"/>
    <w:rsid w:val="00A04717"/>
    <w:rsid w:val="00A04C70"/>
    <w:rsid w:val="00A050D6"/>
    <w:rsid w:val="00A050F4"/>
    <w:rsid w:val="00A052B3"/>
    <w:rsid w:val="00A0557B"/>
    <w:rsid w:val="00A05676"/>
    <w:rsid w:val="00A0579F"/>
    <w:rsid w:val="00A059FE"/>
    <w:rsid w:val="00A05A5F"/>
    <w:rsid w:val="00A06083"/>
    <w:rsid w:val="00A0611C"/>
    <w:rsid w:val="00A0649E"/>
    <w:rsid w:val="00A0673C"/>
    <w:rsid w:val="00A06984"/>
    <w:rsid w:val="00A06A11"/>
    <w:rsid w:val="00A0749C"/>
    <w:rsid w:val="00A07997"/>
    <w:rsid w:val="00A07A23"/>
    <w:rsid w:val="00A07FBF"/>
    <w:rsid w:val="00A0FA7B"/>
    <w:rsid w:val="00A1006C"/>
    <w:rsid w:val="00A10108"/>
    <w:rsid w:val="00A10454"/>
    <w:rsid w:val="00A104CE"/>
    <w:rsid w:val="00A10B3C"/>
    <w:rsid w:val="00A113BE"/>
    <w:rsid w:val="00A11870"/>
    <w:rsid w:val="00A11AF1"/>
    <w:rsid w:val="00A11CCF"/>
    <w:rsid w:val="00A11DE5"/>
    <w:rsid w:val="00A11E3D"/>
    <w:rsid w:val="00A11E76"/>
    <w:rsid w:val="00A12359"/>
    <w:rsid w:val="00A1259F"/>
    <w:rsid w:val="00A126C9"/>
    <w:rsid w:val="00A12866"/>
    <w:rsid w:val="00A1294A"/>
    <w:rsid w:val="00A129A9"/>
    <w:rsid w:val="00A12AAB"/>
    <w:rsid w:val="00A1308E"/>
    <w:rsid w:val="00A1323A"/>
    <w:rsid w:val="00A13441"/>
    <w:rsid w:val="00A135D3"/>
    <w:rsid w:val="00A13682"/>
    <w:rsid w:val="00A13993"/>
    <w:rsid w:val="00A13B6B"/>
    <w:rsid w:val="00A13D2E"/>
    <w:rsid w:val="00A142C2"/>
    <w:rsid w:val="00A14301"/>
    <w:rsid w:val="00A1448C"/>
    <w:rsid w:val="00A14915"/>
    <w:rsid w:val="00A14D42"/>
    <w:rsid w:val="00A14DC3"/>
    <w:rsid w:val="00A15243"/>
    <w:rsid w:val="00A154B8"/>
    <w:rsid w:val="00A158EF"/>
    <w:rsid w:val="00A159A9"/>
    <w:rsid w:val="00A159AC"/>
    <w:rsid w:val="00A15C2A"/>
    <w:rsid w:val="00A15CAA"/>
    <w:rsid w:val="00A16417"/>
    <w:rsid w:val="00A1665B"/>
    <w:rsid w:val="00A167D9"/>
    <w:rsid w:val="00A16A94"/>
    <w:rsid w:val="00A16AE9"/>
    <w:rsid w:val="00A16B99"/>
    <w:rsid w:val="00A17014"/>
    <w:rsid w:val="00A17341"/>
    <w:rsid w:val="00A173BA"/>
    <w:rsid w:val="00A177E4"/>
    <w:rsid w:val="00A17A21"/>
    <w:rsid w:val="00A17C3A"/>
    <w:rsid w:val="00A17CFF"/>
    <w:rsid w:val="00A17DA5"/>
    <w:rsid w:val="00A20488"/>
    <w:rsid w:val="00A205A0"/>
    <w:rsid w:val="00A2096C"/>
    <w:rsid w:val="00A20D16"/>
    <w:rsid w:val="00A20DB5"/>
    <w:rsid w:val="00A20F95"/>
    <w:rsid w:val="00A215BF"/>
    <w:rsid w:val="00A21945"/>
    <w:rsid w:val="00A21A2A"/>
    <w:rsid w:val="00A21B28"/>
    <w:rsid w:val="00A21BD7"/>
    <w:rsid w:val="00A21F1B"/>
    <w:rsid w:val="00A220A2"/>
    <w:rsid w:val="00A22BEB"/>
    <w:rsid w:val="00A22C22"/>
    <w:rsid w:val="00A22C42"/>
    <w:rsid w:val="00A22EC1"/>
    <w:rsid w:val="00A2306C"/>
    <w:rsid w:val="00A231BF"/>
    <w:rsid w:val="00A232E6"/>
    <w:rsid w:val="00A23417"/>
    <w:rsid w:val="00A234E9"/>
    <w:rsid w:val="00A237A2"/>
    <w:rsid w:val="00A237B3"/>
    <w:rsid w:val="00A23968"/>
    <w:rsid w:val="00A23A01"/>
    <w:rsid w:val="00A23A84"/>
    <w:rsid w:val="00A23AB4"/>
    <w:rsid w:val="00A23CB3"/>
    <w:rsid w:val="00A23CFB"/>
    <w:rsid w:val="00A23D5E"/>
    <w:rsid w:val="00A23F45"/>
    <w:rsid w:val="00A240F6"/>
    <w:rsid w:val="00A2414D"/>
    <w:rsid w:val="00A242FF"/>
    <w:rsid w:val="00A24969"/>
    <w:rsid w:val="00A25170"/>
    <w:rsid w:val="00A25A95"/>
    <w:rsid w:val="00A25EFA"/>
    <w:rsid w:val="00A260E6"/>
    <w:rsid w:val="00A26193"/>
    <w:rsid w:val="00A264F7"/>
    <w:rsid w:val="00A26B9D"/>
    <w:rsid w:val="00A26DE3"/>
    <w:rsid w:val="00A2726F"/>
    <w:rsid w:val="00A27365"/>
    <w:rsid w:val="00A2736D"/>
    <w:rsid w:val="00A27861"/>
    <w:rsid w:val="00A2798A"/>
    <w:rsid w:val="00A279CB"/>
    <w:rsid w:val="00A30084"/>
    <w:rsid w:val="00A30251"/>
    <w:rsid w:val="00A3065F"/>
    <w:rsid w:val="00A30E2B"/>
    <w:rsid w:val="00A31148"/>
    <w:rsid w:val="00A312F6"/>
    <w:rsid w:val="00A31776"/>
    <w:rsid w:val="00A317A3"/>
    <w:rsid w:val="00A31B82"/>
    <w:rsid w:val="00A31EE9"/>
    <w:rsid w:val="00A31F98"/>
    <w:rsid w:val="00A3206A"/>
    <w:rsid w:val="00A321DE"/>
    <w:rsid w:val="00A3237A"/>
    <w:rsid w:val="00A32534"/>
    <w:rsid w:val="00A33156"/>
    <w:rsid w:val="00A3316A"/>
    <w:rsid w:val="00A3325C"/>
    <w:rsid w:val="00A3353C"/>
    <w:rsid w:val="00A33715"/>
    <w:rsid w:val="00A33DD7"/>
    <w:rsid w:val="00A33F8F"/>
    <w:rsid w:val="00A341FB"/>
    <w:rsid w:val="00A34285"/>
    <w:rsid w:val="00A34AB6"/>
    <w:rsid w:val="00A34B11"/>
    <w:rsid w:val="00A35255"/>
    <w:rsid w:val="00A35268"/>
    <w:rsid w:val="00A356B3"/>
    <w:rsid w:val="00A35D78"/>
    <w:rsid w:val="00A360AA"/>
    <w:rsid w:val="00A3676F"/>
    <w:rsid w:val="00A368B3"/>
    <w:rsid w:val="00A36937"/>
    <w:rsid w:val="00A36D0C"/>
    <w:rsid w:val="00A36F77"/>
    <w:rsid w:val="00A373F2"/>
    <w:rsid w:val="00A3745F"/>
    <w:rsid w:val="00A37992"/>
    <w:rsid w:val="00A400B9"/>
    <w:rsid w:val="00A4037B"/>
    <w:rsid w:val="00A403B4"/>
    <w:rsid w:val="00A4041F"/>
    <w:rsid w:val="00A40605"/>
    <w:rsid w:val="00A406A1"/>
    <w:rsid w:val="00A406B2"/>
    <w:rsid w:val="00A407FC"/>
    <w:rsid w:val="00A40A4E"/>
    <w:rsid w:val="00A40B48"/>
    <w:rsid w:val="00A40C2A"/>
    <w:rsid w:val="00A40C31"/>
    <w:rsid w:val="00A40ECC"/>
    <w:rsid w:val="00A40FFD"/>
    <w:rsid w:val="00A41147"/>
    <w:rsid w:val="00A4118A"/>
    <w:rsid w:val="00A41218"/>
    <w:rsid w:val="00A41470"/>
    <w:rsid w:val="00A4161E"/>
    <w:rsid w:val="00A416E8"/>
    <w:rsid w:val="00A4171D"/>
    <w:rsid w:val="00A41892"/>
    <w:rsid w:val="00A41C4E"/>
    <w:rsid w:val="00A42140"/>
    <w:rsid w:val="00A421CF"/>
    <w:rsid w:val="00A424F4"/>
    <w:rsid w:val="00A4296B"/>
    <w:rsid w:val="00A4299D"/>
    <w:rsid w:val="00A42E52"/>
    <w:rsid w:val="00A43024"/>
    <w:rsid w:val="00A43196"/>
    <w:rsid w:val="00A437DD"/>
    <w:rsid w:val="00A43936"/>
    <w:rsid w:val="00A43B40"/>
    <w:rsid w:val="00A43C12"/>
    <w:rsid w:val="00A43E1F"/>
    <w:rsid w:val="00A4478A"/>
    <w:rsid w:val="00A44832"/>
    <w:rsid w:val="00A44852"/>
    <w:rsid w:val="00A44A1E"/>
    <w:rsid w:val="00A44DB8"/>
    <w:rsid w:val="00A44FE9"/>
    <w:rsid w:val="00A45190"/>
    <w:rsid w:val="00A453D4"/>
    <w:rsid w:val="00A45441"/>
    <w:rsid w:val="00A45472"/>
    <w:rsid w:val="00A4568C"/>
    <w:rsid w:val="00A459F6"/>
    <w:rsid w:val="00A45B0B"/>
    <w:rsid w:val="00A466D9"/>
    <w:rsid w:val="00A46B77"/>
    <w:rsid w:val="00A46BB6"/>
    <w:rsid w:val="00A47818"/>
    <w:rsid w:val="00A4798C"/>
    <w:rsid w:val="00A4798D"/>
    <w:rsid w:val="00A479B9"/>
    <w:rsid w:val="00A47C49"/>
    <w:rsid w:val="00A50187"/>
    <w:rsid w:val="00A50356"/>
    <w:rsid w:val="00A50484"/>
    <w:rsid w:val="00A505FE"/>
    <w:rsid w:val="00A5099E"/>
    <w:rsid w:val="00A50CF3"/>
    <w:rsid w:val="00A50D55"/>
    <w:rsid w:val="00A5134B"/>
    <w:rsid w:val="00A51412"/>
    <w:rsid w:val="00A517BC"/>
    <w:rsid w:val="00A51862"/>
    <w:rsid w:val="00A518C2"/>
    <w:rsid w:val="00A519C8"/>
    <w:rsid w:val="00A51AED"/>
    <w:rsid w:val="00A51D0A"/>
    <w:rsid w:val="00A51E93"/>
    <w:rsid w:val="00A5205B"/>
    <w:rsid w:val="00A525E1"/>
    <w:rsid w:val="00A526B0"/>
    <w:rsid w:val="00A52C32"/>
    <w:rsid w:val="00A52F17"/>
    <w:rsid w:val="00A52FE3"/>
    <w:rsid w:val="00A52FE8"/>
    <w:rsid w:val="00A53433"/>
    <w:rsid w:val="00A53461"/>
    <w:rsid w:val="00A5375D"/>
    <w:rsid w:val="00A53962"/>
    <w:rsid w:val="00A53BB3"/>
    <w:rsid w:val="00A53D19"/>
    <w:rsid w:val="00A53F67"/>
    <w:rsid w:val="00A54873"/>
    <w:rsid w:val="00A54B3B"/>
    <w:rsid w:val="00A54C2E"/>
    <w:rsid w:val="00A55156"/>
    <w:rsid w:val="00A555D5"/>
    <w:rsid w:val="00A55686"/>
    <w:rsid w:val="00A5571D"/>
    <w:rsid w:val="00A55A92"/>
    <w:rsid w:val="00A55B83"/>
    <w:rsid w:val="00A55C84"/>
    <w:rsid w:val="00A55D97"/>
    <w:rsid w:val="00A55DEB"/>
    <w:rsid w:val="00A565F6"/>
    <w:rsid w:val="00A5674A"/>
    <w:rsid w:val="00A56784"/>
    <w:rsid w:val="00A568CE"/>
    <w:rsid w:val="00A57832"/>
    <w:rsid w:val="00A57C7D"/>
    <w:rsid w:val="00A57D04"/>
    <w:rsid w:val="00A57E07"/>
    <w:rsid w:val="00A602D9"/>
    <w:rsid w:val="00A605DA"/>
    <w:rsid w:val="00A60A26"/>
    <w:rsid w:val="00A60F3D"/>
    <w:rsid w:val="00A6151E"/>
    <w:rsid w:val="00A61598"/>
    <w:rsid w:val="00A615B4"/>
    <w:rsid w:val="00A615D5"/>
    <w:rsid w:val="00A61845"/>
    <w:rsid w:val="00A619D6"/>
    <w:rsid w:val="00A61E20"/>
    <w:rsid w:val="00A62235"/>
    <w:rsid w:val="00A62282"/>
    <w:rsid w:val="00A62310"/>
    <w:rsid w:val="00A62723"/>
    <w:rsid w:val="00A6279D"/>
    <w:rsid w:val="00A6288F"/>
    <w:rsid w:val="00A628CF"/>
    <w:rsid w:val="00A62C17"/>
    <w:rsid w:val="00A62CDC"/>
    <w:rsid w:val="00A62ED2"/>
    <w:rsid w:val="00A62F69"/>
    <w:rsid w:val="00A630F3"/>
    <w:rsid w:val="00A632B6"/>
    <w:rsid w:val="00A63655"/>
    <w:rsid w:val="00A63AF9"/>
    <w:rsid w:val="00A63EB4"/>
    <w:rsid w:val="00A640A7"/>
    <w:rsid w:val="00A6412E"/>
    <w:rsid w:val="00A6460F"/>
    <w:rsid w:val="00A64B63"/>
    <w:rsid w:val="00A64E04"/>
    <w:rsid w:val="00A652B4"/>
    <w:rsid w:val="00A65363"/>
    <w:rsid w:val="00A654DC"/>
    <w:rsid w:val="00A656CB"/>
    <w:rsid w:val="00A65A07"/>
    <w:rsid w:val="00A65B63"/>
    <w:rsid w:val="00A65B82"/>
    <w:rsid w:val="00A65E80"/>
    <w:rsid w:val="00A6616D"/>
    <w:rsid w:val="00A661FB"/>
    <w:rsid w:val="00A66264"/>
    <w:rsid w:val="00A66370"/>
    <w:rsid w:val="00A66536"/>
    <w:rsid w:val="00A6689A"/>
    <w:rsid w:val="00A6698D"/>
    <w:rsid w:val="00A66B66"/>
    <w:rsid w:val="00A66BCD"/>
    <w:rsid w:val="00A6737A"/>
    <w:rsid w:val="00A679A0"/>
    <w:rsid w:val="00A67B65"/>
    <w:rsid w:val="00A704D5"/>
    <w:rsid w:val="00A70754"/>
    <w:rsid w:val="00A7081A"/>
    <w:rsid w:val="00A70B49"/>
    <w:rsid w:val="00A70C2F"/>
    <w:rsid w:val="00A70DB4"/>
    <w:rsid w:val="00A70FA8"/>
    <w:rsid w:val="00A711AB"/>
    <w:rsid w:val="00A713CD"/>
    <w:rsid w:val="00A71AF5"/>
    <w:rsid w:val="00A71E1A"/>
    <w:rsid w:val="00A7233A"/>
    <w:rsid w:val="00A726C1"/>
    <w:rsid w:val="00A72777"/>
    <w:rsid w:val="00A73225"/>
    <w:rsid w:val="00A73B9A"/>
    <w:rsid w:val="00A7447E"/>
    <w:rsid w:val="00A744A5"/>
    <w:rsid w:val="00A7461B"/>
    <w:rsid w:val="00A74BF3"/>
    <w:rsid w:val="00A75273"/>
    <w:rsid w:val="00A753C8"/>
    <w:rsid w:val="00A753DB"/>
    <w:rsid w:val="00A75574"/>
    <w:rsid w:val="00A755D7"/>
    <w:rsid w:val="00A75808"/>
    <w:rsid w:val="00A75A21"/>
    <w:rsid w:val="00A75B75"/>
    <w:rsid w:val="00A75C4A"/>
    <w:rsid w:val="00A75D2D"/>
    <w:rsid w:val="00A75E14"/>
    <w:rsid w:val="00A75EF9"/>
    <w:rsid w:val="00A7621F"/>
    <w:rsid w:val="00A76925"/>
    <w:rsid w:val="00A76A62"/>
    <w:rsid w:val="00A77080"/>
    <w:rsid w:val="00A77122"/>
    <w:rsid w:val="00A777D6"/>
    <w:rsid w:val="00A778AE"/>
    <w:rsid w:val="00A80209"/>
    <w:rsid w:val="00A80494"/>
    <w:rsid w:val="00A806F1"/>
    <w:rsid w:val="00A8131F"/>
    <w:rsid w:val="00A813A0"/>
    <w:rsid w:val="00A8149A"/>
    <w:rsid w:val="00A819F3"/>
    <w:rsid w:val="00A81C47"/>
    <w:rsid w:val="00A821E8"/>
    <w:rsid w:val="00A8250F"/>
    <w:rsid w:val="00A82565"/>
    <w:rsid w:val="00A82E57"/>
    <w:rsid w:val="00A82E90"/>
    <w:rsid w:val="00A83535"/>
    <w:rsid w:val="00A835C8"/>
    <w:rsid w:val="00A83B0A"/>
    <w:rsid w:val="00A83BBD"/>
    <w:rsid w:val="00A83CF1"/>
    <w:rsid w:val="00A83E06"/>
    <w:rsid w:val="00A83F20"/>
    <w:rsid w:val="00A84180"/>
    <w:rsid w:val="00A84200"/>
    <w:rsid w:val="00A8475B"/>
    <w:rsid w:val="00A84BD8"/>
    <w:rsid w:val="00A84E80"/>
    <w:rsid w:val="00A84F46"/>
    <w:rsid w:val="00A8519F"/>
    <w:rsid w:val="00A8527B"/>
    <w:rsid w:val="00A852F4"/>
    <w:rsid w:val="00A85863"/>
    <w:rsid w:val="00A858D7"/>
    <w:rsid w:val="00A85AB4"/>
    <w:rsid w:val="00A85B8B"/>
    <w:rsid w:val="00A85DF8"/>
    <w:rsid w:val="00A8642B"/>
    <w:rsid w:val="00A86587"/>
    <w:rsid w:val="00A8672C"/>
    <w:rsid w:val="00A86960"/>
    <w:rsid w:val="00A86B28"/>
    <w:rsid w:val="00A86B3D"/>
    <w:rsid w:val="00A86B64"/>
    <w:rsid w:val="00A871F4"/>
    <w:rsid w:val="00A873F3"/>
    <w:rsid w:val="00A8796B"/>
    <w:rsid w:val="00A87AF7"/>
    <w:rsid w:val="00A90187"/>
    <w:rsid w:val="00A90426"/>
    <w:rsid w:val="00A90445"/>
    <w:rsid w:val="00A904F0"/>
    <w:rsid w:val="00A9087C"/>
    <w:rsid w:val="00A90F76"/>
    <w:rsid w:val="00A90FF4"/>
    <w:rsid w:val="00A914E6"/>
    <w:rsid w:val="00A915BD"/>
    <w:rsid w:val="00A91BD6"/>
    <w:rsid w:val="00A91D59"/>
    <w:rsid w:val="00A9269B"/>
    <w:rsid w:val="00A927D2"/>
    <w:rsid w:val="00A92902"/>
    <w:rsid w:val="00A9296A"/>
    <w:rsid w:val="00A92B9D"/>
    <w:rsid w:val="00A9312A"/>
    <w:rsid w:val="00A93370"/>
    <w:rsid w:val="00A934C8"/>
    <w:rsid w:val="00A93509"/>
    <w:rsid w:val="00A93B20"/>
    <w:rsid w:val="00A93B41"/>
    <w:rsid w:val="00A93DAD"/>
    <w:rsid w:val="00A93DBD"/>
    <w:rsid w:val="00A94011"/>
    <w:rsid w:val="00A940BE"/>
    <w:rsid w:val="00A94177"/>
    <w:rsid w:val="00A945F7"/>
    <w:rsid w:val="00A945FA"/>
    <w:rsid w:val="00A9482B"/>
    <w:rsid w:val="00A94903"/>
    <w:rsid w:val="00A9490D"/>
    <w:rsid w:val="00A94A11"/>
    <w:rsid w:val="00A95006"/>
    <w:rsid w:val="00A951FE"/>
    <w:rsid w:val="00A95860"/>
    <w:rsid w:val="00A958A4"/>
    <w:rsid w:val="00A95D0E"/>
    <w:rsid w:val="00A95ED9"/>
    <w:rsid w:val="00A95F93"/>
    <w:rsid w:val="00A95FE1"/>
    <w:rsid w:val="00A9604B"/>
    <w:rsid w:val="00A96630"/>
    <w:rsid w:val="00A9663B"/>
    <w:rsid w:val="00A96671"/>
    <w:rsid w:val="00A9684B"/>
    <w:rsid w:val="00A96AAB"/>
    <w:rsid w:val="00A96AF9"/>
    <w:rsid w:val="00A96BCA"/>
    <w:rsid w:val="00A9707A"/>
    <w:rsid w:val="00A9722E"/>
    <w:rsid w:val="00A9724F"/>
    <w:rsid w:val="00A97357"/>
    <w:rsid w:val="00A97AB7"/>
    <w:rsid w:val="00A97CCA"/>
    <w:rsid w:val="00AA0168"/>
    <w:rsid w:val="00AA06CF"/>
    <w:rsid w:val="00AA0B7F"/>
    <w:rsid w:val="00AA0D88"/>
    <w:rsid w:val="00AA1400"/>
    <w:rsid w:val="00AA14CB"/>
    <w:rsid w:val="00AA1E62"/>
    <w:rsid w:val="00AA1F06"/>
    <w:rsid w:val="00AA200B"/>
    <w:rsid w:val="00AA2703"/>
    <w:rsid w:val="00AA2760"/>
    <w:rsid w:val="00AA3491"/>
    <w:rsid w:val="00AA3B56"/>
    <w:rsid w:val="00AA3CAB"/>
    <w:rsid w:val="00AA3D00"/>
    <w:rsid w:val="00AA3D7D"/>
    <w:rsid w:val="00AA3DBF"/>
    <w:rsid w:val="00AA3E53"/>
    <w:rsid w:val="00AA3E89"/>
    <w:rsid w:val="00AA4170"/>
    <w:rsid w:val="00AA41E1"/>
    <w:rsid w:val="00AA41E9"/>
    <w:rsid w:val="00AA41FC"/>
    <w:rsid w:val="00AA440E"/>
    <w:rsid w:val="00AA4642"/>
    <w:rsid w:val="00AA467C"/>
    <w:rsid w:val="00AA4A1C"/>
    <w:rsid w:val="00AA4B05"/>
    <w:rsid w:val="00AA53A4"/>
    <w:rsid w:val="00AA5609"/>
    <w:rsid w:val="00AA5758"/>
    <w:rsid w:val="00AA5A3C"/>
    <w:rsid w:val="00AA5A6D"/>
    <w:rsid w:val="00AA65F4"/>
    <w:rsid w:val="00AA66FF"/>
    <w:rsid w:val="00AA6723"/>
    <w:rsid w:val="00AA6752"/>
    <w:rsid w:val="00AA71F5"/>
    <w:rsid w:val="00AA7575"/>
    <w:rsid w:val="00AA769F"/>
    <w:rsid w:val="00AA76CE"/>
    <w:rsid w:val="00AA7860"/>
    <w:rsid w:val="00AA7868"/>
    <w:rsid w:val="00AA78A1"/>
    <w:rsid w:val="00AA7D50"/>
    <w:rsid w:val="00AA7DED"/>
    <w:rsid w:val="00AA7F73"/>
    <w:rsid w:val="00AB01A9"/>
    <w:rsid w:val="00AB073E"/>
    <w:rsid w:val="00AB09DD"/>
    <w:rsid w:val="00AB0B0A"/>
    <w:rsid w:val="00AB0BE7"/>
    <w:rsid w:val="00AB0D45"/>
    <w:rsid w:val="00AB0D4C"/>
    <w:rsid w:val="00AB0E10"/>
    <w:rsid w:val="00AB1077"/>
    <w:rsid w:val="00AB10D9"/>
    <w:rsid w:val="00AB13A8"/>
    <w:rsid w:val="00AB13B2"/>
    <w:rsid w:val="00AB1654"/>
    <w:rsid w:val="00AB169E"/>
    <w:rsid w:val="00AB1821"/>
    <w:rsid w:val="00AB18A1"/>
    <w:rsid w:val="00AB1C9D"/>
    <w:rsid w:val="00AB1EB4"/>
    <w:rsid w:val="00AB2451"/>
    <w:rsid w:val="00AB26AF"/>
    <w:rsid w:val="00AB297A"/>
    <w:rsid w:val="00AB2B1B"/>
    <w:rsid w:val="00AB2B3C"/>
    <w:rsid w:val="00AB2BCC"/>
    <w:rsid w:val="00AB2BD3"/>
    <w:rsid w:val="00AB2CC2"/>
    <w:rsid w:val="00AB2DB1"/>
    <w:rsid w:val="00AB325B"/>
    <w:rsid w:val="00AB32EB"/>
    <w:rsid w:val="00AB36DA"/>
    <w:rsid w:val="00AB3783"/>
    <w:rsid w:val="00AB37A5"/>
    <w:rsid w:val="00AB38AC"/>
    <w:rsid w:val="00AB399B"/>
    <w:rsid w:val="00AB39A9"/>
    <w:rsid w:val="00AB3A75"/>
    <w:rsid w:val="00AB3FEF"/>
    <w:rsid w:val="00AB405C"/>
    <w:rsid w:val="00AB41CF"/>
    <w:rsid w:val="00AB4BC7"/>
    <w:rsid w:val="00AB5117"/>
    <w:rsid w:val="00AB5466"/>
    <w:rsid w:val="00AB55DD"/>
    <w:rsid w:val="00AB597F"/>
    <w:rsid w:val="00AB5E0B"/>
    <w:rsid w:val="00AB5EBF"/>
    <w:rsid w:val="00AB6822"/>
    <w:rsid w:val="00AB6861"/>
    <w:rsid w:val="00AB6906"/>
    <w:rsid w:val="00AB6ACC"/>
    <w:rsid w:val="00AB6BB1"/>
    <w:rsid w:val="00AB6EB8"/>
    <w:rsid w:val="00AB73D1"/>
    <w:rsid w:val="00AB75D4"/>
    <w:rsid w:val="00AB76D5"/>
    <w:rsid w:val="00AB7703"/>
    <w:rsid w:val="00AB7A0A"/>
    <w:rsid w:val="00AB7B2E"/>
    <w:rsid w:val="00AB7C02"/>
    <w:rsid w:val="00AB7C8A"/>
    <w:rsid w:val="00AB7D3E"/>
    <w:rsid w:val="00AB7F5C"/>
    <w:rsid w:val="00AC00D0"/>
    <w:rsid w:val="00AC0139"/>
    <w:rsid w:val="00AC016C"/>
    <w:rsid w:val="00AC028C"/>
    <w:rsid w:val="00AC0635"/>
    <w:rsid w:val="00AC0658"/>
    <w:rsid w:val="00AC07E5"/>
    <w:rsid w:val="00AC0B5D"/>
    <w:rsid w:val="00AC0B9E"/>
    <w:rsid w:val="00AC10DB"/>
    <w:rsid w:val="00AC1478"/>
    <w:rsid w:val="00AC16FE"/>
    <w:rsid w:val="00AC1B2C"/>
    <w:rsid w:val="00AC1E1E"/>
    <w:rsid w:val="00AC2777"/>
    <w:rsid w:val="00AC2B24"/>
    <w:rsid w:val="00AC2C3B"/>
    <w:rsid w:val="00AC30EA"/>
    <w:rsid w:val="00AC3264"/>
    <w:rsid w:val="00AC33A3"/>
    <w:rsid w:val="00AC378E"/>
    <w:rsid w:val="00AC38FC"/>
    <w:rsid w:val="00AC404A"/>
    <w:rsid w:val="00AC456E"/>
    <w:rsid w:val="00AC45D0"/>
    <w:rsid w:val="00AC4E30"/>
    <w:rsid w:val="00AC5207"/>
    <w:rsid w:val="00AC53F6"/>
    <w:rsid w:val="00AC5977"/>
    <w:rsid w:val="00AC5C05"/>
    <w:rsid w:val="00AC6234"/>
    <w:rsid w:val="00AC6300"/>
    <w:rsid w:val="00AC6EDB"/>
    <w:rsid w:val="00AC6F01"/>
    <w:rsid w:val="00AC6F42"/>
    <w:rsid w:val="00AC7248"/>
    <w:rsid w:val="00AC72B3"/>
    <w:rsid w:val="00AC730D"/>
    <w:rsid w:val="00AC753C"/>
    <w:rsid w:val="00AD0012"/>
    <w:rsid w:val="00AD0BB8"/>
    <w:rsid w:val="00AD0D79"/>
    <w:rsid w:val="00AD0F69"/>
    <w:rsid w:val="00AD0FE0"/>
    <w:rsid w:val="00AD13B1"/>
    <w:rsid w:val="00AD1736"/>
    <w:rsid w:val="00AD1770"/>
    <w:rsid w:val="00AD19F1"/>
    <w:rsid w:val="00AD1AB2"/>
    <w:rsid w:val="00AD1AF9"/>
    <w:rsid w:val="00AD1D12"/>
    <w:rsid w:val="00AD1EA2"/>
    <w:rsid w:val="00AD1F43"/>
    <w:rsid w:val="00AD1F4E"/>
    <w:rsid w:val="00AD217F"/>
    <w:rsid w:val="00AD2483"/>
    <w:rsid w:val="00AD2A9B"/>
    <w:rsid w:val="00AD2B11"/>
    <w:rsid w:val="00AD2F1D"/>
    <w:rsid w:val="00AD2F6E"/>
    <w:rsid w:val="00AD3177"/>
    <w:rsid w:val="00AD39E4"/>
    <w:rsid w:val="00AD3A3E"/>
    <w:rsid w:val="00AD3AF1"/>
    <w:rsid w:val="00AD3D33"/>
    <w:rsid w:val="00AD3E95"/>
    <w:rsid w:val="00AD3FE9"/>
    <w:rsid w:val="00AD40D2"/>
    <w:rsid w:val="00AD4100"/>
    <w:rsid w:val="00AD413B"/>
    <w:rsid w:val="00AD41E0"/>
    <w:rsid w:val="00AD4440"/>
    <w:rsid w:val="00AD4CEC"/>
    <w:rsid w:val="00AD4CFB"/>
    <w:rsid w:val="00AD4DE9"/>
    <w:rsid w:val="00AD5234"/>
    <w:rsid w:val="00AD5308"/>
    <w:rsid w:val="00AD533D"/>
    <w:rsid w:val="00AD534D"/>
    <w:rsid w:val="00AD53B2"/>
    <w:rsid w:val="00AD5A18"/>
    <w:rsid w:val="00AD5DFB"/>
    <w:rsid w:val="00AD5EF4"/>
    <w:rsid w:val="00AD5F64"/>
    <w:rsid w:val="00AD61A1"/>
    <w:rsid w:val="00AD63BC"/>
    <w:rsid w:val="00AD63C2"/>
    <w:rsid w:val="00AD6578"/>
    <w:rsid w:val="00AD6663"/>
    <w:rsid w:val="00AD68BA"/>
    <w:rsid w:val="00AD6938"/>
    <w:rsid w:val="00AD6A0A"/>
    <w:rsid w:val="00AD6AC2"/>
    <w:rsid w:val="00AD6FE5"/>
    <w:rsid w:val="00AD7478"/>
    <w:rsid w:val="00AD765B"/>
    <w:rsid w:val="00AD777A"/>
    <w:rsid w:val="00AD78D5"/>
    <w:rsid w:val="00AD7B2F"/>
    <w:rsid w:val="00AD7C69"/>
    <w:rsid w:val="00AD7EB1"/>
    <w:rsid w:val="00AE025F"/>
    <w:rsid w:val="00AE06A8"/>
    <w:rsid w:val="00AE0920"/>
    <w:rsid w:val="00AE0B8C"/>
    <w:rsid w:val="00AE0C70"/>
    <w:rsid w:val="00AE0F90"/>
    <w:rsid w:val="00AE0FE2"/>
    <w:rsid w:val="00AE1062"/>
    <w:rsid w:val="00AE12F2"/>
    <w:rsid w:val="00AE15C0"/>
    <w:rsid w:val="00AE1898"/>
    <w:rsid w:val="00AE1A22"/>
    <w:rsid w:val="00AE1BF1"/>
    <w:rsid w:val="00AE1C29"/>
    <w:rsid w:val="00AE1D95"/>
    <w:rsid w:val="00AE2052"/>
    <w:rsid w:val="00AE20A4"/>
    <w:rsid w:val="00AE2A93"/>
    <w:rsid w:val="00AE2CFD"/>
    <w:rsid w:val="00AE2FA7"/>
    <w:rsid w:val="00AE3106"/>
    <w:rsid w:val="00AE34B1"/>
    <w:rsid w:val="00AE38C2"/>
    <w:rsid w:val="00AE3921"/>
    <w:rsid w:val="00AE3AC3"/>
    <w:rsid w:val="00AE3BBF"/>
    <w:rsid w:val="00AE3BD4"/>
    <w:rsid w:val="00AE3C4D"/>
    <w:rsid w:val="00AE3D8A"/>
    <w:rsid w:val="00AE3DD1"/>
    <w:rsid w:val="00AE42C3"/>
    <w:rsid w:val="00AE42CC"/>
    <w:rsid w:val="00AE435B"/>
    <w:rsid w:val="00AE4363"/>
    <w:rsid w:val="00AE44BC"/>
    <w:rsid w:val="00AE480F"/>
    <w:rsid w:val="00AE48AB"/>
    <w:rsid w:val="00AE4FD7"/>
    <w:rsid w:val="00AE63A7"/>
    <w:rsid w:val="00AE66AD"/>
    <w:rsid w:val="00AE69C5"/>
    <w:rsid w:val="00AE6C2A"/>
    <w:rsid w:val="00AE7264"/>
    <w:rsid w:val="00AE7374"/>
    <w:rsid w:val="00AE73E0"/>
    <w:rsid w:val="00AE7A86"/>
    <w:rsid w:val="00AE7B92"/>
    <w:rsid w:val="00AF0083"/>
    <w:rsid w:val="00AF013C"/>
    <w:rsid w:val="00AF01C5"/>
    <w:rsid w:val="00AF0523"/>
    <w:rsid w:val="00AF0683"/>
    <w:rsid w:val="00AF0A41"/>
    <w:rsid w:val="00AF0BF1"/>
    <w:rsid w:val="00AF0DD2"/>
    <w:rsid w:val="00AF1122"/>
    <w:rsid w:val="00AF1130"/>
    <w:rsid w:val="00AF1385"/>
    <w:rsid w:val="00AF13CA"/>
    <w:rsid w:val="00AF13D8"/>
    <w:rsid w:val="00AF1575"/>
    <w:rsid w:val="00AF1CB8"/>
    <w:rsid w:val="00AF229B"/>
    <w:rsid w:val="00AF2331"/>
    <w:rsid w:val="00AF2646"/>
    <w:rsid w:val="00AF2686"/>
    <w:rsid w:val="00AF272E"/>
    <w:rsid w:val="00AF2D43"/>
    <w:rsid w:val="00AF305E"/>
    <w:rsid w:val="00AF312C"/>
    <w:rsid w:val="00AF3480"/>
    <w:rsid w:val="00AF38B9"/>
    <w:rsid w:val="00AF392F"/>
    <w:rsid w:val="00AF3A54"/>
    <w:rsid w:val="00AF3FC3"/>
    <w:rsid w:val="00AF44E8"/>
    <w:rsid w:val="00AF465B"/>
    <w:rsid w:val="00AF46AB"/>
    <w:rsid w:val="00AF4A6F"/>
    <w:rsid w:val="00AF4AEE"/>
    <w:rsid w:val="00AF4BB6"/>
    <w:rsid w:val="00AF4DDE"/>
    <w:rsid w:val="00AF4DEE"/>
    <w:rsid w:val="00AF53DF"/>
    <w:rsid w:val="00AF5454"/>
    <w:rsid w:val="00AF5A3C"/>
    <w:rsid w:val="00AF5CAE"/>
    <w:rsid w:val="00AF5EA6"/>
    <w:rsid w:val="00AF60AC"/>
    <w:rsid w:val="00AF6232"/>
    <w:rsid w:val="00AF657E"/>
    <w:rsid w:val="00AF67E7"/>
    <w:rsid w:val="00AF6C1F"/>
    <w:rsid w:val="00AF6D52"/>
    <w:rsid w:val="00AF6E0F"/>
    <w:rsid w:val="00AF707F"/>
    <w:rsid w:val="00AF70F1"/>
    <w:rsid w:val="00AF7197"/>
    <w:rsid w:val="00AF74AC"/>
    <w:rsid w:val="00AF74E0"/>
    <w:rsid w:val="00AF791B"/>
    <w:rsid w:val="00AF7A30"/>
    <w:rsid w:val="00AFB82E"/>
    <w:rsid w:val="00B0003A"/>
    <w:rsid w:val="00B0034C"/>
    <w:rsid w:val="00B0034F"/>
    <w:rsid w:val="00B0036E"/>
    <w:rsid w:val="00B0063F"/>
    <w:rsid w:val="00B008D3"/>
    <w:rsid w:val="00B00B04"/>
    <w:rsid w:val="00B00C5F"/>
    <w:rsid w:val="00B011C4"/>
    <w:rsid w:val="00B018B5"/>
    <w:rsid w:val="00B0227D"/>
    <w:rsid w:val="00B0291E"/>
    <w:rsid w:val="00B02F8B"/>
    <w:rsid w:val="00B031D2"/>
    <w:rsid w:val="00B034D1"/>
    <w:rsid w:val="00B035DB"/>
    <w:rsid w:val="00B03638"/>
    <w:rsid w:val="00B03B9C"/>
    <w:rsid w:val="00B04017"/>
    <w:rsid w:val="00B04029"/>
    <w:rsid w:val="00B0459E"/>
    <w:rsid w:val="00B046B3"/>
    <w:rsid w:val="00B04DA6"/>
    <w:rsid w:val="00B04DEF"/>
    <w:rsid w:val="00B04E9F"/>
    <w:rsid w:val="00B04F3B"/>
    <w:rsid w:val="00B0504A"/>
    <w:rsid w:val="00B05050"/>
    <w:rsid w:val="00B0519F"/>
    <w:rsid w:val="00B05409"/>
    <w:rsid w:val="00B054DF"/>
    <w:rsid w:val="00B05616"/>
    <w:rsid w:val="00B05944"/>
    <w:rsid w:val="00B05DAD"/>
    <w:rsid w:val="00B05E96"/>
    <w:rsid w:val="00B06071"/>
    <w:rsid w:val="00B0607E"/>
    <w:rsid w:val="00B06311"/>
    <w:rsid w:val="00B06519"/>
    <w:rsid w:val="00B06621"/>
    <w:rsid w:val="00B06714"/>
    <w:rsid w:val="00B06716"/>
    <w:rsid w:val="00B0692E"/>
    <w:rsid w:val="00B06A61"/>
    <w:rsid w:val="00B06B0B"/>
    <w:rsid w:val="00B06CC0"/>
    <w:rsid w:val="00B06EBE"/>
    <w:rsid w:val="00B06FD7"/>
    <w:rsid w:val="00B0723F"/>
    <w:rsid w:val="00B0746A"/>
    <w:rsid w:val="00B076E6"/>
    <w:rsid w:val="00B07749"/>
    <w:rsid w:val="00B0785C"/>
    <w:rsid w:val="00B07A9B"/>
    <w:rsid w:val="00B07C55"/>
    <w:rsid w:val="00B1019F"/>
    <w:rsid w:val="00B10314"/>
    <w:rsid w:val="00B107B3"/>
    <w:rsid w:val="00B1093D"/>
    <w:rsid w:val="00B10B36"/>
    <w:rsid w:val="00B10E60"/>
    <w:rsid w:val="00B11154"/>
    <w:rsid w:val="00B1149A"/>
    <w:rsid w:val="00B114A7"/>
    <w:rsid w:val="00B11A1D"/>
    <w:rsid w:val="00B11C46"/>
    <w:rsid w:val="00B11CC3"/>
    <w:rsid w:val="00B11E71"/>
    <w:rsid w:val="00B11EFB"/>
    <w:rsid w:val="00B12042"/>
    <w:rsid w:val="00B120CD"/>
    <w:rsid w:val="00B12781"/>
    <w:rsid w:val="00B128FD"/>
    <w:rsid w:val="00B12CC5"/>
    <w:rsid w:val="00B12CE4"/>
    <w:rsid w:val="00B13048"/>
    <w:rsid w:val="00B130BB"/>
    <w:rsid w:val="00B133DA"/>
    <w:rsid w:val="00B13520"/>
    <w:rsid w:val="00B1362D"/>
    <w:rsid w:val="00B13717"/>
    <w:rsid w:val="00B13DC4"/>
    <w:rsid w:val="00B14171"/>
    <w:rsid w:val="00B14359"/>
    <w:rsid w:val="00B14D19"/>
    <w:rsid w:val="00B15132"/>
    <w:rsid w:val="00B152DD"/>
    <w:rsid w:val="00B1572F"/>
    <w:rsid w:val="00B15998"/>
    <w:rsid w:val="00B15C32"/>
    <w:rsid w:val="00B15CC4"/>
    <w:rsid w:val="00B16031"/>
    <w:rsid w:val="00B160EC"/>
    <w:rsid w:val="00B162B4"/>
    <w:rsid w:val="00B16916"/>
    <w:rsid w:val="00B16C7E"/>
    <w:rsid w:val="00B16EE7"/>
    <w:rsid w:val="00B1716D"/>
    <w:rsid w:val="00B171D2"/>
    <w:rsid w:val="00B17206"/>
    <w:rsid w:val="00B17365"/>
    <w:rsid w:val="00B1750A"/>
    <w:rsid w:val="00B17828"/>
    <w:rsid w:val="00B17A1D"/>
    <w:rsid w:val="00B17B99"/>
    <w:rsid w:val="00B17BD3"/>
    <w:rsid w:val="00B17E19"/>
    <w:rsid w:val="00B17E3A"/>
    <w:rsid w:val="00B17E4C"/>
    <w:rsid w:val="00B17FE5"/>
    <w:rsid w:val="00B20017"/>
    <w:rsid w:val="00B20455"/>
    <w:rsid w:val="00B204ED"/>
    <w:rsid w:val="00B2051A"/>
    <w:rsid w:val="00B206E7"/>
    <w:rsid w:val="00B207A0"/>
    <w:rsid w:val="00B2097D"/>
    <w:rsid w:val="00B20B88"/>
    <w:rsid w:val="00B20FC8"/>
    <w:rsid w:val="00B212BA"/>
    <w:rsid w:val="00B21355"/>
    <w:rsid w:val="00B2145D"/>
    <w:rsid w:val="00B2151D"/>
    <w:rsid w:val="00B216FC"/>
    <w:rsid w:val="00B21736"/>
    <w:rsid w:val="00B2178C"/>
    <w:rsid w:val="00B2191D"/>
    <w:rsid w:val="00B21953"/>
    <w:rsid w:val="00B21B18"/>
    <w:rsid w:val="00B21C4A"/>
    <w:rsid w:val="00B21D52"/>
    <w:rsid w:val="00B2207A"/>
    <w:rsid w:val="00B2281B"/>
    <w:rsid w:val="00B22A16"/>
    <w:rsid w:val="00B22BEF"/>
    <w:rsid w:val="00B230C8"/>
    <w:rsid w:val="00B23289"/>
    <w:rsid w:val="00B234DF"/>
    <w:rsid w:val="00B23531"/>
    <w:rsid w:val="00B23CCC"/>
    <w:rsid w:val="00B23D9A"/>
    <w:rsid w:val="00B23E24"/>
    <w:rsid w:val="00B23EC8"/>
    <w:rsid w:val="00B242B3"/>
    <w:rsid w:val="00B24672"/>
    <w:rsid w:val="00B247D0"/>
    <w:rsid w:val="00B2480E"/>
    <w:rsid w:val="00B24AF0"/>
    <w:rsid w:val="00B24C76"/>
    <w:rsid w:val="00B24F32"/>
    <w:rsid w:val="00B24F91"/>
    <w:rsid w:val="00B24FB1"/>
    <w:rsid w:val="00B25028"/>
    <w:rsid w:val="00B25116"/>
    <w:rsid w:val="00B25255"/>
    <w:rsid w:val="00B25283"/>
    <w:rsid w:val="00B2545D"/>
    <w:rsid w:val="00B258A4"/>
    <w:rsid w:val="00B259A0"/>
    <w:rsid w:val="00B25C0E"/>
    <w:rsid w:val="00B25E6B"/>
    <w:rsid w:val="00B25F40"/>
    <w:rsid w:val="00B2601A"/>
    <w:rsid w:val="00B2624F"/>
    <w:rsid w:val="00B26C31"/>
    <w:rsid w:val="00B26E6A"/>
    <w:rsid w:val="00B26FEA"/>
    <w:rsid w:val="00B27336"/>
    <w:rsid w:val="00B278D7"/>
    <w:rsid w:val="00B27974"/>
    <w:rsid w:val="00B27AA7"/>
    <w:rsid w:val="00B27B44"/>
    <w:rsid w:val="00B27C53"/>
    <w:rsid w:val="00B27D34"/>
    <w:rsid w:val="00B30052"/>
    <w:rsid w:val="00B30053"/>
    <w:rsid w:val="00B30502"/>
    <w:rsid w:val="00B30D33"/>
    <w:rsid w:val="00B310A1"/>
    <w:rsid w:val="00B31450"/>
    <w:rsid w:val="00B31691"/>
    <w:rsid w:val="00B31919"/>
    <w:rsid w:val="00B31CFD"/>
    <w:rsid w:val="00B3238E"/>
    <w:rsid w:val="00B32486"/>
    <w:rsid w:val="00B325AF"/>
    <w:rsid w:val="00B329BE"/>
    <w:rsid w:val="00B329EE"/>
    <w:rsid w:val="00B32AD9"/>
    <w:rsid w:val="00B32BB1"/>
    <w:rsid w:val="00B32CF5"/>
    <w:rsid w:val="00B32DFC"/>
    <w:rsid w:val="00B3300F"/>
    <w:rsid w:val="00B33735"/>
    <w:rsid w:val="00B33A4B"/>
    <w:rsid w:val="00B33B6E"/>
    <w:rsid w:val="00B3401E"/>
    <w:rsid w:val="00B343F5"/>
    <w:rsid w:val="00B34600"/>
    <w:rsid w:val="00B34FCC"/>
    <w:rsid w:val="00B353B3"/>
    <w:rsid w:val="00B353D1"/>
    <w:rsid w:val="00B3566E"/>
    <w:rsid w:val="00B35795"/>
    <w:rsid w:val="00B3588B"/>
    <w:rsid w:val="00B35A84"/>
    <w:rsid w:val="00B36221"/>
    <w:rsid w:val="00B36748"/>
    <w:rsid w:val="00B36839"/>
    <w:rsid w:val="00B36AF5"/>
    <w:rsid w:val="00B36D5A"/>
    <w:rsid w:val="00B371D2"/>
    <w:rsid w:val="00B3734D"/>
    <w:rsid w:val="00B37BD9"/>
    <w:rsid w:val="00B37FDB"/>
    <w:rsid w:val="00B4044A"/>
    <w:rsid w:val="00B405B6"/>
    <w:rsid w:val="00B409C3"/>
    <w:rsid w:val="00B40ADF"/>
    <w:rsid w:val="00B40CC3"/>
    <w:rsid w:val="00B4142E"/>
    <w:rsid w:val="00B41991"/>
    <w:rsid w:val="00B41C74"/>
    <w:rsid w:val="00B41D06"/>
    <w:rsid w:val="00B4217B"/>
    <w:rsid w:val="00B4229F"/>
    <w:rsid w:val="00B4232B"/>
    <w:rsid w:val="00B4259E"/>
    <w:rsid w:val="00B42758"/>
    <w:rsid w:val="00B42871"/>
    <w:rsid w:val="00B42A84"/>
    <w:rsid w:val="00B42C78"/>
    <w:rsid w:val="00B42F16"/>
    <w:rsid w:val="00B43125"/>
    <w:rsid w:val="00B432A2"/>
    <w:rsid w:val="00B43745"/>
    <w:rsid w:val="00B43943"/>
    <w:rsid w:val="00B440AF"/>
    <w:rsid w:val="00B44305"/>
    <w:rsid w:val="00B44332"/>
    <w:rsid w:val="00B443B1"/>
    <w:rsid w:val="00B444EE"/>
    <w:rsid w:val="00B445E2"/>
    <w:rsid w:val="00B44733"/>
    <w:rsid w:val="00B44B35"/>
    <w:rsid w:val="00B452DB"/>
    <w:rsid w:val="00B452E4"/>
    <w:rsid w:val="00B4555B"/>
    <w:rsid w:val="00B4555F"/>
    <w:rsid w:val="00B45587"/>
    <w:rsid w:val="00B4576B"/>
    <w:rsid w:val="00B45855"/>
    <w:rsid w:val="00B4615B"/>
    <w:rsid w:val="00B4627C"/>
    <w:rsid w:val="00B462BE"/>
    <w:rsid w:val="00B46374"/>
    <w:rsid w:val="00B4667F"/>
    <w:rsid w:val="00B46D4A"/>
    <w:rsid w:val="00B46FC8"/>
    <w:rsid w:val="00B4727D"/>
    <w:rsid w:val="00B474AF"/>
    <w:rsid w:val="00B47719"/>
    <w:rsid w:val="00B479C2"/>
    <w:rsid w:val="00B47B66"/>
    <w:rsid w:val="00B47B82"/>
    <w:rsid w:val="00B47E43"/>
    <w:rsid w:val="00B47E81"/>
    <w:rsid w:val="00B50076"/>
    <w:rsid w:val="00B50577"/>
    <w:rsid w:val="00B50926"/>
    <w:rsid w:val="00B50E22"/>
    <w:rsid w:val="00B512E5"/>
    <w:rsid w:val="00B51451"/>
    <w:rsid w:val="00B514F3"/>
    <w:rsid w:val="00B51568"/>
    <w:rsid w:val="00B515F4"/>
    <w:rsid w:val="00B51979"/>
    <w:rsid w:val="00B51C6E"/>
    <w:rsid w:val="00B524A0"/>
    <w:rsid w:val="00B52540"/>
    <w:rsid w:val="00B52713"/>
    <w:rsid w:val="00B52AF6"/>
    <w:rsid w:val="00B52E68"/>
    <w:rsid w:val="00B53202"/>
    <w:rsid w:val="00B534D2"/>
    <w:rsid w:val="00B53B43"/>
    <w:rsid w:val="00B53DE6"/>
    <w:rsid w:val="00B548C3"/>
    <w:rsid w:val="00B54B7B"/>
    <w:rsid w:val="00B55193"/>
    <w:rsid w:val="00B552C5"/>
    <w:rsid w:val="00B555A7"/>
    <w:rsid w:val="00B555D2"/>
    <w:rsid w:val="00B556AF"/>
    <w:rsid w:val="00B55F0C"/>
    <w:rsid w:val="00B55F3E"/>
    <w:rsid w:val="00B55FEA"/>
    <w:rsid w:val="00B560E0"/>
    <w:rsid w:val="00B56842"/>
    <w:rsid w:val="00B56845"/>
    <w:rsid w:val="00B5698A"/>
    <w:rsid w:val="00B569FA"/>
    <w:rsid w:val="00B56B94"/>
    <w:rsid w:val="00B56E03"/>
    <w:rsid w:val="00B56E86"/>
    <w:rsid w:val="00B5793C"/>
    <w:rsid w:val="00B57AE4"/>
    <w:rsid w:val="00B57B47"/>
    <w:rsid w:val="00B57B77"/>
    <w:rsid w:val="00B57BB3"/>
    <w:rsid w:val="00B57FBB"/>
    <w:rsid w:val="00B604E6"/>
    <w:rsid w:val="00B60641"/>
    <w:rsid w:val="00B607EE"/>
    <w:rsid w:val="00B6091D"/>
    <w:rsid w:val="00B609E8"/>
    <w:rsid w:val="00B60A06"/>
    <w:rsid w:val="00B60AB9"/>
    <w:rsid w:val="00B60BFF"/>
    <w:rsid w:val="00B60DDD"/>
    <w:rsid w:val="00B60E89"/>
    <w:rsid w:val="00B60EB7"/>
    <w:rsid w:val="00B60F3F"/>
    <w:rsid w:val="00B60F5D"/>
    <w:rsid w:val="00B60FF8"/>
    <w:rsid w:val="00B61065"/>
    <w:rsid w:val="00B611B2"/>
    <w:rsid w:val="00B611DF"/>
    <w:rsid w:val="00B61514"/>
    <w:rsid w:val="00B61B39"/>
    <w:rsid w:val="00B61E5C"/>
    <w:rsid w:val="00B61E79"/>
    <w:rsid w:val="00B61F80"/>
    <w:rsid w:val="00B62009"/>
    <w:rsid w:val="00B6237B"/>
    <w:rsid w:val="00B62641"/>
    <w:rsid w:val="00B62A18"/>
    <w:rsid w:val="00B62A89"/>
    <w:rsid w:val="00B636EC"/>
    <w:rsid w:val="00B63AB4"/>
    <w:rsid w:val="00B642B1"/>
    <w:rsid w:val="00B644C9"/>
    <w:rsid w:val="00B64B52"/>
    <w:rsid w:val="00B65189"/>
    <w:rsid w:val="00B651D6"/>
    <w:rsid w:val="00B652A5"/>
    <w:rsid w:val="00B6539F"/>
    <w:rsid w:val="00B653A5"/>
    <w:rsid w:val="00B6560E"/>
    <w:rsid w:val="00B656BC"/>
    <w:rsid w:val="00B6586B"/>
    <w:rsid w:val="00B65B9F"/>
    <w:rsid w:val="00B6650C"/>
    <w:rsid w:val="00B66583"/>
    <w:rsid w:val="00B6662E"/>
    <w:rsid w:val="00B668CA"/>
    <w:rsid w:val="00B66CDE"/>
    <w:rsid w:val="00B66DBF"/>
    <w:rsid w:val="00B67238"/>
    <w:rsid w:val="00B675AE"/>
    <w:rsid w:val="00B67A1F"/>
    <w:rsid w:val="00B67C70"/>
    <w:rsid w:val="00B67E91"/>
    <w:rsid w:val="00B67EF7"/>
    <w:rsid w:val="00B69C49"/>
    <w:rsid w:val="00B700DD"/>
    <w:rsid w:val="00B701A6"/>
    <w:rsid w:val="00B7053C"/>
    <w:rsid w:val="00B70937"/>
    <w:rsid w:val="00B70994"/>
    <w:rsid w:val="00B71344"/>
    <w:rsid w:val="00B7175A"/>
    <w:rsid w:val="00B71B78"/>
    <w:rsid w:val="00B71BF7"/>
    <w:rsid w:val="00B7216B"/>
    <w:rsid w:val="00B72529"/>
    <w:rsid w:val="00B7264E"/>
    <w:rsid w:val="00B72753"/>
    <w:rsid w:val="00B729D3"/>
    <w:rsid w:val="00B731FB"/>
    <w:rsid w:val="00B73310"/>
    <w:rsid w:val="00B7385C"/>
    <w:rsid w:val="00B73872"/>
    <w:rsid w:val="00B73A79"/>
    <w:rsid w:val="00B73AFE"/>
    <w:rsid w:val="00B73CB0"/>
    <w:rsid w:val="00B746C3"/>
    <w:rsid w:val="00B7478C"/>
    <w:rsid w:val="00B74948"/>
    <w:rsid w:val="00B749D1"/>
    <w:rsid w:val="00B74CD8"/>
    <w:rsid w:val="00B74DCE"/>
    <w:rsid w:val="00B7507C"/>
    <w:rsid w:val="00B75101"/>
    <w:rsid w:val="00B75215"/>
    <w:rsid w:val="00B75699"/>
    <w:rsid w:val="00B7575E"/>
    <w:rsid w:val="00B7585E"/>
    <w:rsid w:val="00B75A97"/>
    <w:rsid w:val="00B7606C"/>
    <w:rsid w:val="00B760FA"/>
    <w:rsid w:val="00B7617A"/>
    <w:rsid w:val="00B764FF"/>
    <w:rsid w:val="00B765F4"/>
    <w:rsid w:val="00B7778E"/>
    <w:rsid w:val="00B778E5"/>
    <w:rsid w:val="00B77A3C"/>
    <w:rsid w:val="00B77D38"/>
    <w:rsid w:val="00B77EB2"/>
    <w:rsid w:val="00B800CE"/>
    <w:rsid w:val="00B80121"/>
    <w:rsid w:val="00B802C9"/>
    <w:rsid w:val="00B8080B"/>
    <w:rsid w:val="00B80940"/>
    <w:rsid w:val="00B80C95"/>
    <w:rsid w:val="00B8132E"/>
    <w:rsid w:val="00B8133A"/>
    <w:rsid w:val="00B8144E"/>
    <w:rsid w:val="00B81812"/>
    <w:rsid w:val="00B81DC1"/>
    <w:rsid w:val="00B81E74"/>
    <w:rsid w:val="00B82038"/>
    <w:rsid w:val="00B820E1"/>
    <w:rsid w:val="00B8218C"/>
    <w:rsid w:val="00B82297"/>
    <w:rsid w:val="00B82529"/>
    <w:rsid w:val="00B826CC"/>
    <w:rsid w:val="00B82CA8"/>
    <w:rsid w:val="00B82CBE"/>
    <w:rsid w:val="00B832B4"/>
    <w:rsid w:val="00B833B4"/>
    <w:rsid w:val="00B83470"/>
    <w:rsid w:val="00B834DA"/>
    <w:rsid w:val="00B83558"/>
    <w:rsid w:val="00B836A6"/>
    <w:rsid w:val="00B83FF4"/>
    <w:rsid w:val="00B8418F"/>
    <w:rsid w:val="00B8426B"/>
    <w:rsid w:val="00B84608"/>
    <w:rsid w:val="00B8472E"/>
    <w:rsid w:val="00B8499F"/>
    <w:rsid w:val="00B84A05"/>
    <w:rsid w:val="00B84B4E"/>
    <w:rsid w:val="00B84BE9"/>
    <w:rsid w:val="00B84C92"/>
    <w:rsid w:val="00B856B8"/>
    <w:rsid w:val="00B8583F"/>
    <w:rsid w:val="00B85C6C"/>
    <w:rsid w:val="00B85D02"/>
    <w:rsid w:val="00B85D60"/>
    <w:rsid w:val="00B8613F"/>
    <w:rsid w:val="00B861B5"/>
    <w:rsid w:val="00B8651F"/>
    <w:rsid w:val="00B86642"/>
    <w:rsid w:val="00B86978"/>
    <w:rsid w:val="00B86C47"/>
    <w:rsid w:val="00B86E73"/>
    <w:rsid w:val="00B870A5"/>
    <w:rsid w:val="00B87573"/>
    <w:rsid w:val="00B87A65"/>
    <w:rsid w:val="00B87C39"/>
    <w:rsid w:val="00B87EC0"/>
    <w:rsid w:val="00B90285"/>
    <w:rsid w:val="00B903B8"/>
    <w:rsid w:val="00B903C5"/>
    <w:rsid w:val="00B90528"/>
    <w:rsid w:val="00B912D7"/>
    <w:rsid w:val="00B91E5D"/>
    <w:rsid w:val="00B91F9A"/>
    <w:rsid w:val="00B91FC9"/>
    <w:rsid w:val="00B920C8"/>
    <w:rsid w:val="00B92113"/>
    <w:rsid w:val="00B924E8"/>
    <w:rsid w:val="00B92965"/>
    <w:rsid w:val="00B931BD"/>
    <w:rsid w:val="00B93259"/>
    <w:rsid w:val="00B93517"/>
    <w:rsid w:val="00B936C4"/>
    <w:rsid w:val="00B93934"/>
    <w:rsid w:val="00B93DB2"/>
    <w:rsid w:val="00B93E77"/>
    <w:rsid w:val="00B93F89"/>
    <w:rsid w:val="00B943B5"/>
    <w:rsid w:val="00B9489D"/>
    <w:rsid w:val="00B94CC0"/>
    <w:rsid w:val="00B952C2"/>
    <w:rsid w:val="00B9556E"/>
    <w:rsid w:val="00B957AF"/>
    <w:rsid w:val="00B959A9"/>
    <w:rsid w:val="00B95E09"/>
    <w:rsid w:val="00B95E36"/>
    <w:rsid w:val="00B9660A"/>
    <w:rsid w:val="00B96816"/>
    <w:rsid w:val="00B968F0"/>
    <w:rsid w:val="00B96A46"/>
    <w:rsid w:val="00B96B5D"/>
    <w:rsid w:val="00B9704F"/>
    <w:rsid w:val="00B97152"/>
    <w:rsid w:val="00B9736A"/>
    <w:rsid w:val="00B97373"/>
    <w:rsid w:val="00B9753F"/>
    <w:rsid w:val="00B975D5"/>
    <w:rsid w:val="00B9789C"/>
    <w:rsid w:val="00B97951"/>
    <w:rsid w:val="00B97A39"/>
    <w:rsid w:val="00B97AA7"/>
    <w:rsid w:val="00BA0056"/>
    <w:rsid w:val="00BA0338"/>
    <w:rsid w:val="00BA04EA"/>
    <w:rsid w:val="00BA0879"/>
    <w:rsid w:val="00BA08FC"/>
    <w:rsid w:val="00BA0F14"/>
    <w:rsid w:val="00BA1B50"/>
    <w:rsid w:val="00BA1BC6"/>
    <w:rsid w:val="00BA22DB"/>
    <w:rsid w:val="00BA22E5"/>
    <w:rsid w:val="00BA23B0"/>
    <w:rsid w:val="00BA2883"/>
    <w:rsid w:val="00BA2C8A"/>
    <w:rsid w:val="00BA2E8D"/>
    <w:rsid w:val="00BA3021"/>
    <w:rsid w:val="00BA31B3"/>
    <w:rsid w:val="00BA32D0"/>
    <w:rsid w:val="00BA3466"/>
    <w:rsid w:val="00BA3969"/>
    <w:rsid w:val="00BA3CDB"/>
    <w:rsid w:val="00BA4144"/>
    <w:rsid w:val="00BA436D"/>
    <w:rsid w:val="00BA44AD"/>
    <w:rsid w:val="00BA4665"/>
    <w:rsid w:val="00BA487C"/>
    <w:rsid w:val="00BA49E5"/>
    <w:rsid w:val="00BA5054"/>
    <w:rsid w:val="00BA5451"/>
    <w:rsid w:val="00BA557C"/>
    <w:rsid w:val="00BA557E"/>
    <w:rsid w:val="00BA55B5"/>
    <w:rsid w:val="00BA573A"/>
    <w:rsid w:val="00BA57E7"/>
    <w:rsid w:val="00BA5C7F"/>
    <w:rsid w:val="00BA5ED3"/>
    <w:rsid w:val="00BA5EE2"/>
    <w:rsid w:val="00BA62B0"/>
    <w:rsid w:val="00BA6349"/>
    <w:rsid w:val="00BA6488"/>
    <w:rsid w:val="00BA6607"/>
    <w:rsid w:val="00BA685E"/>
    <w:rsid w:val="00BA698E"/>
    <w:rsid w:val="00BA6B1D"/>
    <w:rsid w:val="00BA6B43"/>
    <w:rsid w:val="00BA6D68"/>
    <w:rsid w:val="00BA72BA"/>
    <w:rsid w:val="00BA7335"/>
    <w:rsid w:val="00BA7342"/>
    <w:rsid w:val="00BA7578"/>
    <w:rsid w:val="00BA765B"/>
    <w:rsid w:val="00BA7C98"/>
    <w:rsid w:val="00BA7ECF"/>
    <w:rsid w:val="00BB02A1"/>
    <w:rsid w:val="00BB02E9"/>
    <w:rsid w:val="00BB073A"/>
    <w:rsid w:val="00BB09CB"/>
    <w:rsid w:val="00BB0E42"/>
    <w:rsid w:val="00BB12E0"/>
    <w:rsid w:val="00BB12E2"/>
    <w:rsid w:val="00BB1668"/>
    <w:rsid w:val="00BB170F"/>
    <w:rsid w:val="00BB17EC"/>
    <w:rsid w:val="00BB1B4F"/>
    <w:rsid w:val="00BB2013"/>
    <w:rsid w:val="00BB2C8D"/>
    <w:rsid w:val="00BB2FB2"/>
    <w:rsid w:val="00BB3304"/>
    <w:rsid w:val="00BB349F"/>
    <w:rsid w:val="00BB358A"/>
    <w:rsid w:val="00BB3A66"/>
    <w:rsid w:val="00BB3ADF"/>
    <w:rsid w:val="00BB4018"/>
    <w:rsid w:val="00BB4780"/>
    <w:rsid w:val="00BB47B7"/>
    <w:rsid w:val="00BB481C"/>
    <w:rsid w:val="00BB4E67"/>
    <w:rsid w:val="00BB51BD"/>
    <w:rsid w:val="00BB5837"/>
    <w:rsid w:val="00BB5923"/>
    <w:rsid w:val="00BB60A8"/>
    <w:rsid w:val="00BB612A"/>
    <w:rsid w:val="00BB6248"/>
    <w:rsid w:val="00BB6409"/>
    <w:rsid w:val="00BB6715"/>
    <w:rsid w:val="00BB672F"/>
    <w:rsid w:val="00BB71F2"/>
    <w:rsid w:val="00BB7492"/>
    <w:rsid w:val="00BB75DC"/>
    <w:rsid w:val="00BB7D21"/>
    <w:rsid w:val="00BB7FB5"/>
    <w:rsid w:val="00BB7FDD"/>
    <w:rsid w:val="00BB7FFC"/>
    <w:rsid w:val="00BC070A"/>
    <w:rsid w:val="00BC0847"/>
    <w:rsid w:val="00BC143E"/>
    <w:rsid w:val="00BC1495"/>
    <w:rsid w:val="00BC15E9"/>
    <w:rsid w:val="00BC163E"/>
    <w:rsid w:val="00BC1A0F"/>
    <w:rsid w:val="00BC1A2F"/>
    <w:rsid w:val="00BC1B80"/>
    <w:rsid w:val="00BC1F20"/>
    <w:rsid w:val="00BC2176"/>
    <w:rsid w:val="00BC2535"/>
    <w:rsid w:val="00BC259C"/>
    <w:rsid w:val="00BC2649"/>
    <w:rsid w:val="00BC269A"/>
    <w:rsid w:val="00BC2983"/>
    <w:rsid w:val="00BC29B4"/>
    <w:rsid w:val="00BC2A3A"/>
    <w:rsid w:val="00BC3055"/>
    <w:rsid w:val="00BC3349"/>
    <w:rsid w:val="00BC33FF"/>
    <w:rsid w:val="00BC3464"/>
    <w:rsid w:val="00BC35CF"/>
    <w:rsid w:val="00BC37CB"/>
    <w:rsid w:val="00BC3967"/>
    <w:rsid w:val="00BC3A99"/>
    <w:rsid w:val="00BC3AD7"/>
    <w:rsid w:val="00BC3AE8"/>
    <w:rsid w:val="00BC3B7E"/>
    <w:rsid w:val="00BC3F68"/>
    <w:rsid w:val="00BC3FEF"/>
    <w:rsid w:val="00BC417F"/>
    <w:rsid w:val="00BC45A9"/>
    <w:rsid w:val="00BC4B3D"/>
    <w:rsid w:val="00BC4C61"/>
    <w:rsid w:val="00BC53DD"/>
    <w:rsid w:val="00BC55F4"/>
    <w:rsid w:val="00BC5674"/>
    <w:rsid w:val="00BC59F8"/>
    <w:rsid w:val="00BC5B61"/>
    <w:rsid w:val="00BC612B"/>
    <w:rsid w:val="00BC663A"/>
    <w:rsid w:val="00BC6750"/>
    <w:rsid w:val="00BC680F"/>
    <w:rsid w:val="00BC6899"/>
    <w:rsid w:val="00BC6DEF"/>
    <w:rsid w:val="00BC728A"/>
    <w:rsid w:val="00BC7516"/>
    <w:rsid w:val="00BC75C6"/>
    <w:rsid w:val="00BC7B0C"/>
    <w:rsid w:val="00BC7C9F"/>
    <w:rsid w:val="00BD015D"/>
    <w:rsid w:val="00BD0195"/>
    <w:rsid w:val="00BD01EE"/>
    <w:rsid w:val="00BD058F"/>
    <w:rsid w:val="00BD05AE"/>
    <w:rsid w:val="00BD0771"/>
    <w:rsid w:val="00BD0811"/>
    <w:rsid w:val="00BD140F"/>
    <w:rsid w:val="00BD1503"/>
    <w:rsid w:val="00BD164B"/>
    <w:rsid w:val="00BD1699"/>
    <w:rsid w:val="00BD1782"/>
    <w:rsid w:val="00BD1C57"/>
    <w:rsid w:val="00BD1E2C"/>
    <w:rsid w:val="00BD1EBE"/>
    <w:rsid w:val="00BD21F9"/>
    <w:rsid w:val="00BD2E27"/>
    <w:rsid w:val="00BD2F48"/>
    <w:rsid w:val="00BD308C"/>
    <w:rsid w:val="00BD30A5"/>
    <w:rsid w:val="00BD3298"/>
    <w:rsid w:val="00BD340F"/>
    <w:rsid w:val="00BD3446"/>
    <w:rsid w:val="00BD3977"/>
    <w:rsid w:val="00BD3A9D"/>
    <w:rsid w:val="00BD3AD0"/>
    <w:rsid w:val="00BD3C9D"/>
    <w:rsid w:val="00BD3DDB"/>
    <w:rsid w:val="00BD3F73"/>
    <w:rsid w:val="00BD40CE"/>
    <w:rsid w:val="00BD4192"/>
    <w:rsid w:val="00BD461E"/>
    <w:rsid w:val="00BD48F7"/>
    <w:rsid w:val="00BD4931"/>
    <w:rsid w:val="00BD4EED"/>
    <w:rsid w:val="00BD52C5"/>
    <w:rsid w:val="00BD5351"/>
    <w:rsid w:val="00BD55B0"/>
    <w:rsid w:val="00BD56D7"/>
    <w:rsid w:val="00BD5ABE"/>
    <w:rsid w:val="00BD6012"/>
    <w:rsid w:val="00BD6070"/>
    <w:rsid w:val="00BD62E8"/>
    <w:rsid w:val="00BD6303"/>
    <w:rsid w:val="00BD6364"/>
    <w:rsid w:val="00BD65BE"/>
    <w:rsid w:val="00BD662C"/>
    <w:rsid w:val="00BD662D"/>
    <w:rsid w:val="00BD6693"/>
    <w:rsid w:val="00BD66F2"/>
    <w:rsid w:val="00BD6956"/>
    <w:rsid w:val="00BD6D2E"/>
    <w:rsid w:val="00BD6EB6"/>
    <w:rsid w:val="00BD7193"/>
    <w:rsid w:val="00BD7C8B"/>
    <w:rsid w:val="00BD7F22"/>
    <w:rsid w:val="00BE0465"/>
    <w:rsid w:val="00BE047D"/>
    <w:rsid w:val="00BE0561"/>
    <w:rsid w:val="00BE05DA"/>
    <w:rsid w:val="00BE0775"/>
    <w:rsid w:val="00BE08B8"/>
    <w:rsid w:val="00BE0B86"/>
    <w:rsid w:val="00BE1335"/>
    <w:rsid w:val="00BE1563"/>
    <w:rsid w:val="00BE1791"/>
    <w:rsid w:val="00BE18FE"/>
    <w:rsid w:val="00BE1A0D"/>
    <w:rsid w:val="00BE1F1B"/>
    <w:rsid w:val="00BE20FC"/>
    <w:rsid w:val="00BE217F"/>
    <w:rsid w:val="00BE2187"/>
    <w:rsid w:val="00BE269D"/>
    <w:rsid w:val="00BE279E"/>
    <w:rsid w:val="00BE29BA"/>
    <w:rsid w:val="00BE2F6A"/>
    <w:rsid w:val="00BE31C0"/>
    <w:rsid w:val="00BE332D"/>
    <w:rsid w:val="00BE3397"/>
    <w:rsid w:val="00BE346D"/>
    <w:rsid w:val="00BE36A0"/>
    <w:rsid w:val="00BE36E3"/>
    <w:rsid w:val="00BE38C1"/>
    <w:rsid w:val="00BE3CD8"/>
    <w:rsid w:val="00BE3EEF"/>
    <w:rsid w:val="00BE4190"/>
    <w:rsid w:val="00BE43FC"/>
    <w:rsid w:val="00BE45D8"/>
    <w:rsid w:val="00BE4699"/>
    <w:rsid w:val="00BE47B5"/>
    <w:rsid w:val="00BE4816"/>
    <w:rsid w:val="00BE4903"/>
    <w:rsid w:val="00BE4A89"/>
    <w:rsid w:val="00BE4BAC"/>
    <w:rsid w:val="00BE4C99"/>
    <w:rsid w:val="00BE558B"/>
    <w:rsid w:val="00BE5843"/>
    <w:rsid w:val="00BE5C98"/>
    <w:rsid w:val="00BE5CA6"/>
    <w:rsid w:val="00BE5CAC"/>
    <w:rsid w:val="00BE5E00"/>
    <w:rsid w:val="00BE6234"/>
    <w:rsid w:val="00BE623B"/>
    <w:rsid w:val="00BE6497"/>
    <w:rsid w:val="00BE64D6"/>
    <w:rsid w:val="00BE6631"/>
    <w:rsid w:val="00BE679C"/>
    <w:rsid w:val="00BE693D"/>
    <w:rsid w:val="00BE69E5"/>
    <w:rsid w:val="00BE6C11"/>
    <w:rsid w:val="00BE70A2"/>
    <w:rsid w:val="00BE7126"/>
    <w:rsid w:val="00BE712C"/>
    <w:rsid w:val="00BE7750"/>
    <w:rsid w:val="00BE7920"/>
    <w:rsid w:val="00BE7B9C"/>
    <w:rsid w:val="00BED2B6"/>
    <w:rsid w:val="00BF013B"/>
    <w:rsid w:val="00BF03DC"/>
    <w:rsid w:val="00BF060E"/>
    <w:rsid w:val="00BF0749"/>
    <w:rsid w:val="00BF1590"/>
    <w:rsid w:val="00BF1B34"/>
    <w:rsid w:val="00BF1B38"/>
    <w:rsid w:val="00BF23C8"/>
    <w:rsid w:val="00BF2954"/>
    <w:rsid w:val="00BF3AE6"/>
    <w:rsid w:val="00BF3C93"/>
    <w:rsid w:val="00BF3F43"/>
    <w:rsid w:val="00BF3FBF"/>
    <w:rsid w:val="00BF42B7"/>
    <w:rsid w:val="00BF4524"/>
    <w:rsid w:val="00BF4598"/>
    <w:rsid w:val="00BF4999"/>
    <w:rsid w:val="00BF4ADF"/>
    <w:rsid w:val="00BF5053"/>
    <w:rsid w:val="00BF5200"/>
    <w:rsid w:val="00BF54EC"/>
    <w:rsid w:val="00BF5723"/>
    <w:rsid w:val="00BF5E59"/>
    <w:rsid w:val="00BF69C8"/>
    <w:rsid w:val="00BF69FE"/>
    <w:rsid w:val="00BF6A19"/>
    <w:rsid w:val="00BF74B4"/>
    <w:rsid w:val="00BF76ED"/>
    <w:rsid w:val="00BF772F"/>
    <w:rsid w:val="00BF77C8"/>
    <w:rsid w:val="00BF77F3"/>
    <w:rsid w:val="00BF7C9F"/>
    <w:rsid w:val="00BF7ED8"/>
    <w:rsid w:val="00C0059A"/>
    <w:rsid w:val="00C00AA5"/>
    <w:rsid w:val="00C00AC8"/>
    <w:rsid w:val="00C00B5E"/>
    <w:rsid w:val="00C01097"/>
    <w:rsid w:val="00C011B0"/>
    <w:rsid w:val="00C012E2"/>
    <w:rsid w:val="00C018BC"/>
    <w:rsid w:val="00C01BB4"/>
    <w:rsid w:val="00C01DE5"/>
    <w:rsid w:val="00C01EC2"/>
    <w:rsid w:val="00C02134"/>
    <w:rsid w:val="00C0258C"/>
    <w:rsid w:val="00C02672"/>
    <w:rsid w:val="00C02892"/>
    <w:rsid w:val="00C029B6"/>
    <w:rsid w:val="00C02C1E"/>
    <w:rsid w:val="00C03176"/>
    <w:rsid w:val="00C03582"/>
    <w:rsid w:val="00C03931"/>
    <w:rsid w:val="00C039C6"/>
    <w:rsid w:val="00C03D11"/>
    <w:rsid w:val="00C03D38"/>
    <w:rsid w:val="00C040B5"/>
    <w:rsid w:val="00C04335"/>
    <w:rsid w:val="00C043A8"/>
    <w:rsid w:val="00C044EE"/>
    <w:rsid w:val="00C04762"/>
    <w:rsid w:val="00C0493F"/>
    <w:rsid w:val="00C04B13"/>
    <w:rsid w:val="00C04EE1"/>
    <w:rsid w:val="00C05455"/>
    <w:rsid w:val="00C0585D"/>
    <w:rsid w:val="00C058AB"/>
    <w:rsid w:val="00C063B0"/>
    <w:rsid w:val="00C065AA"/>
    <w:rsid w:val="00C06739"/>
    <w:rsid w:val="00C06CA8"/>
    <w:rsid w:val="00C06CEB"/>
    <w:rsid w:val="00C06E93"/>
    <w:rsid w:val="00C0758D"/>
    <w:rsid w:val="00C076EA"/>
    <w:rsid w:val="00C07C95"/>
    <w:rsid w:val="00C1016F"/>
    <w:rsid w:val="00C101D1"/>
    <w:rsid w:val="00C10329"/>
    <w:rsid w:val="00C1048D"/>
    <w:rsid w:val="00C10503"/>
    <w:rsid w:val="00C10670"/>
    <w:rsid w:val="00C1079B"/>
    <w:rsid w:val="00C10A20"/>
    <w:rsid w:val="00C10D7F"/>
    <w:rsid w:val="00C10FBE"/>
    <w:rsid w:val="00C10FF8"/>
    <w:rsid w:val="00C11249"/>
    <w:rsid w:val="00C1146E"/>
    <w:rsid w:val="00C11C0F"/>
    <w:rsid w:val="00C11D1A"/>
    <w:rsid w:val="00C11FAC"/>
    <w:rsid w:val="00C121A5"/>
    <w:rsid w:val="00C123B1"/>
    <w:rsid w:val="00C12532"/>
    <w:rsid w:val="00C1260B"/>
    <w:rsid w:val="00C127DF"/>
    <w:rsid w:val="00C12D27"/>
    <w:rsid w:val="00C1305F"/>
    <w:rsid w:val="00C13152"/>
    <w:rsid w:val="00C1320B"/>
    <w:rsid w:val="00C13384"/>
    <w:rsid w:val="00C1391A"/>
    <w:rsid w:val="00C13E34"/>
    <w:rsid w:val="00C13E7B"/>
    <w:rsid w:val="00C13FB3"/>
    <w:rsid w:val="00C14053"/>
    <w:rsid w:val="00C145EF"/>
    <w:rsid w:val="00C14622"/>
    <w:rsid w:val="00C14862"/>
    <w:rsid w:val="00C14AA0"/>
    <w:rsid w:val="00C14CF2"/>
    <w:rsid w:val="00C14D52"/>
    <w:rsid w:val="00C15255"/>
    <w:rsid w:val="00C15601"/>
    <w:rsid w:val="00C1575F"/>
    <w:rsid w:val="00C15FF5"/>
    <w:rsid w:val="00C16277"/>
    <w:rsid w:val="00C16C2D"/>
    <w:rsid w:val="00C16E1A"/>
    <w:rsid w:val="00C16F93"/>
    <w:rsid w:val="00C1742E"/>
    <w:rsid w:val="00C1783D"/>
    <w:rsid w:val="00C17DE2"/>
    <w:rsid w:val="00C17E0B"/>
    <w:rsid w:val="00C17EC5"/>
    <w:rsid w:val="00C17EF4"/>
    <w:rsid w:val="00C17F70"/>
    <w:rsid w:val="00C201CA"/>
    <w:rsid w:val="00C206A5"/>
    <w:rsid w:val="00C206B8"/>
    <w:rsid w:val="00C20791"/>
    <w:rsid w:val="00C209C3"/>
    <w:rsid w:val="00C20F23"/>
    <w:rsid w:val="00C21A39"/>
    <w:rsid w:val="00C21AB9"/>
    <w:rsid w:val="00C220E7"/>
    <w:rsid w:val="00C22298"/>
    <w:rsid w:val="00C222E6"/>
    <w:rsid w:val="00C2242B"/>
    <w:rsid w:val="00C224F6"/>
    <w:rsid w:val="00C225E6"/>
    <w:rsid w:val="00C225F2"/>
    <w:rsid w:val="00C22711"/>
    <w:rsid w:val="00C22B62"/>
    <w:rsid w:val="00C22D36"/>
    <w:rsid w:val="00C22E21"/>
    <w:rsid w:val="00C22E2E"/>
    <w:rsid w:val="00C22EB0"/>
    <w:rsid w:val="00C2312F"/>
    <w:rsid w:val="00C231F0"/>
    <w:rsid w:val="00C2326E"/>
    <w:rsid w:val="00C23885"/>
    <w:rsid w:val="00C238D5"/>
    <w:rsid w:val="00C23A33"/>
    <w:rsid w:val="00C23D97"/>
    <w:rsid w:val="00C23E90"/>
    <w:rsid w:val="00C23F75"/>
    <w:rsid w:val="00C240DA"/>
    <w:rsid w:val="00C2446D"/>
    <w:rsid w:val="00C2460C"/>
    <w:rsid w:val="00C2474C"/>
    <w:rsid w:val="00C24E21"/>
    <w:rsid w:val="00C24E65"/>
    <w:rsid w:val="00C251B5"/>
    <w:rsid w:val="00C252A3"/>
    <w:rsid w:val="00C2559B"/>
    <w:rsid w:val="00C2565A"/>
    <w:rsid w:val="00C256A8"/>
    <w:rsid w:val="00C25C38"/>
    <w:rsid w:val="00C26446"/>
    <w:rsid w:val="00C26455"/>
    <w:rsid w:val="00C268D8"/>
    <w:rsid w:val="00C26985"/>
    <w:rsid w:val="00C26B27"/>
    <w:rsid w:val="00C270EB"/>
    <w:rsid w:val="00C273CF"/>
    <w:rsid w:val="00C27433"/>
    <w:rsid w:val="00C27441"/>
    <w:rsid w:val="00C27455"/>
    <w:rsid w:val="00C27782"/>
    <w:rsid w:val="00C30093"/>
    <w:rsid w:val="00C3020F"/>
    <w:rsid w:val="00C30353"/>
    <w:rsid w:val="00C3037E"/>
    <w:rsid w:val="00C30723"/>
    <w:rsid w:val="00C30A0B"/>
    <w:rsid w:val="00C30E07"/>
    <w:rsid w:val="00C30E70"/>
    <w:rsid w:val="00C3107A"/>
    <w:rsid w:val="00C310C6"/>
    <w:rsid w:val="00C312EC"/>
    <w:rsid w:val="00C31458"/>
    <w:rsid w:val="00C3154E"/>
    <w:rsid w:val="00C3180C"/>
    <w:rsid w:val="00C31DCD"/>
    <w:rsid w:val="00C32317"/>
    <w:rsid w:val="00C32AB1"/>
    <w:rsid w:val="00C33549"/>
    <w:rsid w:val="00C3373F"/>
    <w:rsid w:val="00C33CA3"/>
    <w:rsid w:val="00C33DCE"/>
    <w:rsid w:val="00C34177"/>
    <w:rsid w:val="00C34273"/>
    <w:rsid w:val="00C342B0"/>
    <w:rsid w:val="00C344FD"/>
    <w:rsid w:val="00C34791"/>
    <w:rsid w:val="00C3497A"/>
    <w:rsid w:val="00C34CC4"/>
    <w:rsid w:val="00C34D74"/>
    <w:rsid w:val="00C34E7B"/>
    <w:rsid w:val="00C34FCF"/>
    <w:rsid w:val="00C35BD9"/>
    <w:rsid w:val="00C35CFD"/>
    <w:rsid w:val="00C35F3F"/>
    <w:rsid w:val="00C36100"/>
    <w:rsid w:val="00C36447"/>
    <w:rsid w:val="00C365E6"/>
    <w:rsid w:val="00C36D20"/>
    <w:rsid w:val="00C36F2F"/>
    <w:rsid w:val="00C36FB2"/>
    <w:rsid w:val="00C372E1"/>
    <w:rsid w:val="00C374E6"/>
    <w:rsid w:val="00C376FB"/>
    <w:rsid w:val="00C37B97"/>
    <w:rsid w:val="00C37ECB"/>
    <w:rsid w:val="00C400CC"/>
    <w:rsid w:val="00C404DD"/>
    <w:rsid w:val="00C40559"/>
    <w:rsid w:val="00C4068F"/>
    <w:rsid w:val="00C409AA"/>
    <w:rsid w:val="00C41761"/>
    <w:rsid w:val="00C418D0"/>
    <w:rsid w:val="00C4197B"/>
    <w:rsid w:val="00C41A64"/>
    <w:rsid w:val="00C41C0C"/>
    <w:rsid w:val="00C41D11"/>
    <w:rsid w:val="00C41FB9"/>
    <w:rsid w:val="00C42192"/>
    <w:rsid w:val="00C42821"/>
    <w:rsid w:val="00C42C47"/>
    <w:rsid w:val="00C43116"/>
    <w:rsid w:val="00C4337E"/>
    <w:rsid w:val="00C433EF"/>
    <w:rsid w:val="00C43499"/>
    <w:rsid w:val="00C43631"/>
    <w:rsid w:val="00C4363D"/>
    <w:rsid w:val="00C437F4"/>
    <w:rsid w:val="00C44662"/>
    <w:rsid w:val="00C4478B"/>
    <w:rsid w:val="00C44807"/>
    <w:rsid w:val="00C4483D"/>
    <w:rsid w:val="00C4489D"/>
    <w:rsid w:val="00C448BF"/>
    <w:rsid w:val="00C44DE5"/>
    <w:rsid w:val="00C44EE1"/>
    <w:rsid w:val="00C45040"/>
    <w:rsid w:val="00C4512F"/>
    <w:rsid w:val="00C4530B"/>
    <w:rsid w:val="00C45457"/>
    <w:rsid w:val="00C4555E"/>
    <w:rsid w:val="00C45780"/>
    <w:rsid w:val="00C463A1"/>
    <w:rsid w:val="00C46907"/>
    <w:rsid w:val="00C4728A"/>
    <w:rsid w:val="00C479CF"/>
    <w:rsid w:val="00C47C46"/>
    <w:rsid w:val="00C47CB0"/>
    <w:rsid w:val="00C47DA0"/>
    <w:rsid w:val="00C47F21"/>
    <w:rsid w:val="00C50132"/>
    <w:rsid w:val="00C5021B"/>
    <w:rsid w:val="00C50BD1"/>
    <w:rsid w:val="00C50D5A"/>
    <w:rsid w:val="00C50DB8"/>
    <w:rsid w:val="00C50DCC"/>
    <w:rsid w:val="00C5122A"/>
    <w:rsid w:val="00C51246"/>
    <w:rsid w:val="00C516FE"/>
    <w:rsid w:val="00C51AFB"/>
    <w:rsid w:val="00C51E7E"/>
    <w:rsid w:val="00C5252B"/>
    <w:rsid w:val="00C529EA"/>
    <w:rsid w:val="00C52BE5"/>
    <w:rsid w:val="00C52F78"/>
    <w:rsid w:val="00C538A9"/>
    <w:rsid w:val="00C539B1"/>
    <w:rsid w:val="00C53AE7"/>
    <w:rsid w:val="00C53B5A"/>
    <w:rsid w:val="00C540ED"/>
    <w:rsid w:val="00C543BA"/>
    <w:rsid w:val="00C54BED"/>
    <w:rsid w:val="00C54E0F"/>
    <w:rsid w:val="00C54F5A"/>
    <w:rsid w:val="00C55096"/>
    <w:rsid w:val="00C55332"/>
    <w:rsid w:val="00C55351"/>
    <w:rsid w:val="00C553AD"/>
    <w:rsid w:val="00C553B5"/>
    <w:rsid w:val="00C5543D"/>
    <w:rsid w:val="00C555BD"/>
    <w:rsid w:val="00C557B4"/>
    <w:rsid w:val="00C55AFB"/>
    <w:rsid w:val="00C55CCC"/>
    <w:rsid w:val="00C55D10"/>
    <w:rsid w:val="00C55E98"/>
    <w:rsid w:val="00C55EF1"/>
    <w:rsid w:val="00C5625B"/>
    <w:rsid w:val="00C567A4"/>
    <w:rsid w:val="00C568BE"/>
    <w:rsid w:val="00C56901"/>
    <w:rsid w:val="00C569D2"/>
    <w:rsid w:val="00C56E1F"/>
    <w:rsid w:val="00C56E6C"/>
    <w:rsid w:val="00C572C0"/>
    <w:rsid w:val="00C5761F"/>
    <w:rsid w:val="00C57740"/>
    <w:rsid w:val="00C57ABE"/>
    <w:rsid w:val="00C57FA0"/>
    <w:rsid w:val="00C57FA4"/>
    <w:rsid w:val="00C57FA9"/>
    <w:rsid w:val="00C57FC2"/>
    <w:rsid w:val="00C6040E"/>
    <w:rsid w:val="00C60956"/>
    <w:rsid w:val="00C60A66"/>
    <w:rsid w:val="00C60E35"/>
    <w:rsid w:val="00C60E36"/>
    <w:rsid w:val="00C61347"/>
    <w:rsid w:val="00C613EA"/>
    <w:rsid w:val="00C6142C"/>
    <w:rsid w:val="00C61431"/>
    <w:rsid w:val="00C6163C"/>
    <w:rsid w:val="00C61865"/>
    <w:rsid w:val="00C618AB"/>
    <w:rsid w:val="00C618D1"/>
    <w:rsid w:val="00C61929"/>
    <w:rsid w:val="00C61AE5"/>
    <w:rsid w:val="00C61B26"/>
    <w:rsid w:val="00C624EE"/>
    <w:rsid w:val="00C626E7"/>
    <w:rsid w:val="00C62744"/>
    <w:rsid w:val="00C628FE"/>
    <w:rsid w:val="00C62992"/>
    <w:rsid w:val="00C629D6"/>
    <w:rsid w:val="00C62CC9"/>
    <w:rsid w:val="00C62D17"/>
    <w:rsid w:val="00C6300D"/>
    <w:rsid w:val="00C63050"/>
    <w:rsid w:val="00C6347C"/>
    <w:rsid w:val="00C638D7"/>
    <w:rsid w:val="00C642A3"/>
    <w:rsid w:val="00C64520"/>
    <w:rsid w:val="00C64994"/>
    <w:rsid w:val="00C6506E"/>
    <w:rsid w:val="00C650EE"/>
    <w:rsid w:val="00C65164"/>
    <w:rsid w:val="00C65280"/>
    <w:rsid w:val="00C6584E"/>
    <w:rsid w:val="00C658FE"/>
    <w:rsid w:val="00C659AA"/>
    <w:rsid w:val="00C659F3"/>
    <w:rsid w:val="00C65ABB"/>
    <w:rsid w:val="00C65EA3"/>
    <w:rsid w:val="00C65F6D"/>
    <w:rsid w:val="00C6613E"/>
    <w:rsid w:val="00C66B6F"/>
    <w:rsid w:val="00C66FA9"/>
    <w:rsid w:val="00C6740B"/>
    <w:rsid w:val="00C67716"/>
    <w:rsid w:val="00C677BF"/>
    <w:rsid w:val="00C679AE"/>
    <w:rsid w:val="00C67BAA"/>
    <w:rsid w:val="00C67E98"/>
    <w:rsid w:val="00C702F6"/>
    <w:rsid w:val="00C707A7"/>
    <w:rsid w:val="00C708C3"/>
    <w:rsid w:val="00C70A34"/>
    <w:rsid w:val="00C70E4F"/>
    <w:rsid w:val="00C71A20"/>
    <w:rsid w:val="00C7221D"/>
    <w:rsid w:val="00C72511"/>
    <w:rsid w:val="00C7260F"/>
    <w:rsid w:val="00C7274A"/>
    <w:rsid w:val="00C72991"/>
    <w:rsid w:val="00C72A51"/>
    <w:rsid w:val="00C72CE4"/>
    <w:rsid w:val="00C72D38"/>
    <w:rsid w:val="00C7394A"/>
    <w:rsid w:val="00C73B42"/>
    <w:rsid w:val="00C73DAE"/>
    <w:rsid w:val="00C73DD1"/>
    <w:rsid w:val="00C73E33"/>
    <w:rsid w:val="00C73F45"/>
    <w:rsid w:val="00C742CB"/>
    <w:rsid w:val="00C7447F"/>
    <w:rsid w:val="00C7498B"/>
    <w:rsid w:val="00C74B4C"/>
    <w:rsid w:val="00C74BE5"/>
    <w:rsid w:val="00C74E7B"/>
    <w:rsid w:val="00C7548D"/>
    <w:rsid w:val="00C755AD"/>
    <w:rsid w:val="00C755FC"/>
    <w:rsid w:val="00C7560A"/>
    <w:rsid w:val="00C756AA"/>
    <w:rsid w:val="00C756E7"/>
    <w:rsid w:val="00C75737"/>
    <w:rsid w:val="00C75AEB"/>
    <w:rsid w:val="00C75E2E"/>
    <w:rsid w:val="00C75EE8"/>
    <w:rsid w:val="00C760A4"/>
    <w:rsid w:val="00C7636F"/>
    <w:rsid w:val="00C768A5"/>
    <w:rsid w:val="00C768FB"/>
    <w:rsid w:val="00C7701A"/>
    <w:rsid w:val="00C7720B"/>
    <w:rsid w:val="00C772E6"/>
    <w:rsid w:val="00C77400"/>
    <w:rsid w:val="00C774AF"/>
    <w:rsid w:val="00C77804"/>
    <w:rsid w:val="00C77AEB"/>
    <w:rsid w:val="00C77D35"/>
    <w:rsid w:val="00C77DC5"/>
    <w:rsid w:val="00C801F6"/>
    <w:rsid w:val="00C80250"/>
    <w:rsid w:val="00C8078E"/>
    <w:rsid w:val="00C808E3"/>
    <w:rsid w:val="00C80AFE"/>
    <w:rsid w:val="00C80B01"/>
    <w:rsid w:val="00C80C71"/>
    <w:rsid w:val="00C80FC3"/>
    <w:rsid w:val="00C8112E"/>
    <w:rsid w:val="00C8127C"/>
    <w:rsid w:val="00C81600"/>
    <w:rsid w:val="00C819CB"/>
    <w:rsid w:val="00C81C58"/>
    <w:rsid w:val="00C822F0"/>
    <w:rsid w:val="00C82571"/>
    <w:rsid w:val="00C8264B"/>
    <w:rsid w:val="00C82796"/>
    <w:rsid w:val="00C82A65"/>
    <w:rsid w:val="00C82A9A"/>
    <w:rsid w:val="00C82BD8"/>
    <w:rsid w:val="00C82CCB"/>
    <w:rsid w:val="00C831F2"/>
    <w:rsid w:val="00C836BF"/>
    <w:rsid w:val="00C836C5"/>
    <w:rsid w:val="00C83C2B"/>
    <w:rsid w:val="00C83CC0"/>
    <w:rsid w:val="00C83FF2"/>
    <w:rsid w:val="00C84032"/>
    <w:rsid w:val="00C8413D"/>
    <w:rsid w:val="00C8429E"/>
    <w:rsid w:val="00C843D6"/>
    <w:rsid w:val="00C845D5"/>
    <w:rsid w:val="00C84720"/>
    <w:rsid w:val="00C84756"/>
    <w:rsid w:val="00C847FB"/>
    <w:rsid w:val="00C84BDB"/>
    <w:rsid w:val="00C84F7A"/>
    <w:rsid w:val="00C85190"/>
    <w:rsid w:val="00C8581A"/>
    <w:rsid w:val="00C85D25"/>
    <w:rsid w:val="00C85EF3"/>
    <w:rsid w:val="00C86118"/>
    <w:rsid w:val="00C86468"/>
    <w:rsid w:val="00C86679"/>
    <w:rsid w:val="00C8678C"/>
    <w:rsid w:val="00C869E5"/>
    <w:rsid w:val="00C86AA1"/>
    <w:rsid w:val="00C8735F"/>
    <w:rsid w:val="00C8743E"/>
    <w:rsid w:val="00C87790"/>
    <w:rsid w:val="00C87827"/>
    <w:rsid w:val="00C9042B"/>
    <w:rsid w:val="00C90795"/>
    <w:rsid w:val="00C90906"/>
    <w:rsid w:val="00C9094D"/>
    <w:rsid w:val="00C909E0"/>
    <w:rsid w:val="00C90F81"/>
    <w:rsid w:val="00C91247"/>
    <w:rsid w:val="00C912D3"/>
    <w:rsid w:val="00C91564"/>
    <w:rsid w:val="00C919AC"/>
    <w:rsid w:val="00C91BDA"/>
    <w:rsid w:val="00C91CB9"/>
    <w:rsid w:val="00C91CD0"/>
    <w:rsid w:val="00C91D24"/>
    <w:rsid w:val="00C92207"/>
    <w:rsid w:val="00C92243"/>
    <w:rsid w:val="00C92282"/>
    <w:rsid w:val="00C92333"/>
    <w:rsid w:val="00C92358"/>
    <w:rsid w:val="00C924F8"/>
    <w:rsid w:val="00C929B6"/>
    <w:rsid w:val="00C92C29"/>
    <w:rsid w:val="00C92CC8"/>
    <w:rsid w:val="00C92D29"/>
    <w:rsid w:val="00C92FBC"/>
    <w:rsid w:val="00C93254"/>
    <w:rsid w:val="00C932AA"/>
    <w:rsid w:val="00C93340"/>
    <w:rsid w:val="00C93412"/>
    <w:rsid w:val="00C934B3"/>
    <w:rsid w:val="00C9367D"/>
    <w:rsid w:val="00C93AE2"/>
    <w:rsid w:val="00C93B9C"/>
    <w:rsid w:val="00C93C56"/>
    <w:rsid w:val="00C93DCA"/>
    <w:rsid w:val="00C93E0E"/>
    <w:rsid w:val="00C93E72"/>
    <w:rsid w:val="00C93F1B"/>
    <w:rsid w:val="00C9413E"/>
    <w:rsid w:val="00C9433A"/>
    <w:rsid w:val="00C945AA"/>
    <w:rsid w:val="00C9477C"/>
    <w:rsid w:val="00C947EE"/>
    <w:rsid w:val="00C94B2D"/>
    <w:rsid w:val="00C94C9C"/>
    <w:rsid w:val="00C94CB3"/>
    <w:rsid w:val="00C94D15"/>
    <w:rsid w:val="00C94EB1"/>
    <w:rsid w:val="00C94F64"/>
    <w:rsid w:val="00C950FC"/>
    <w:rsid w:val="00C958CD"/>
    <w:rsid w:val="00C958D9"/>
    <w:rsid w:val="00C95A0A"/>
    <w:rsid w:val="00C95D65"/>
    <w:rsid w:val="00C95E8A"/>
    <w:rsid w:val="00C9625E"/>
    <w:rsid w:val="00C96588"/>
    <w:rsid w:val="00C9690C"/>
    <w:rsid w:val="00C96AC9"/>
    <w:rsid w:val="00C9700E"/>
    <w:rsid w:val="00C9728E"/>
    <w:rsid w:val="00C97313"/>
    <w:rsid w:val="00C976D5"/>
    <w:rsid w:val="00C97932"/>
    <w:rsid w:val="00C97AF8"/>
    <w:rsid w:val="00C97B75"/>
    <w:rsid w:val="00CA011D"/>
    <w:rsid w:val="00CA0984"/>
    <w:rsid w:val="00CA0BA4"/>
    <w:rsid w:val="00CA124F"/>
    <w:rsid w:val="00CA1286"/>
    <w:rsid w:val="00CA1329"/>
    <w:rsid w:val="00CA1B0C"/>
    <w:rsid w:val="00CA1DF9"/>
    <w:rsid w:val="00CA21C3"/>
    <w:rsid w:val="00CA26A5"/>
    <w:rsid w:val="00CA2AA0"/>
    <w:rsid w:val="00CA2C88"/>
    <w:rsid w:val="00CA2D21"/>
    <w:rsid w:val="00CA2FF4"/>
    <w:rsid w:val="00CA3153"/>
    <w:rsid w:val="00CA32B0"/>
    <w:rsid w:val="00CA33AD"/>
    <w:rsid w:val="00CA3465"/>
    <w:rsid w:val="00CA35DF"/>
    <w:rsid w:val="00CA39B4"/>
    <w:rsid w:val="00CA3B92"/>
    <w:rsid w:val="00CA3F19"/>
    <w:rsid w:val="00CA3F97"/>
    <w:rsid w:val="00CA436A"/>
    <w:rsid w:val="00CA4374"/>
    <w:rsid w:val="00CA46BC"/>
    <w:rsid w:val="00CA4A77"/>
    <w:rsid w:val="00CA4F98"/>
    <w:rsid w:val="00CA4FAD"/>
    <w:rsid w:val="00CA5050"/>
    <w:rsid w:val="00CA54E5"/>
    <w:rsid w:val="00CA5702"/>
    <w:rsid w:val="00CA5796"/>
    <w:rsid w:val="00CA57DD"/>
    <w:rsid w:val="00CA585B"/>
    <w:rsid w:val="00CA5D09"/>
    <w:rsid w:val="00CA6259"/>
    <w:rsid w:val="00CA6380"/>
    <w:rsid w:val="00CA6482"/>
    <w:rsid w:val="00CA64C4"/>
    <w:rsid w:val="00CA6516"/>
    <w:rsid w:val="00CA666A"/>
    <w:rsid w:val="00CA6B3F"/>
    <w:rsid w:val="00CA6BB6"/>
    <w:rsid w:val="00CA6C00"/>
    <w:rsid w:val="00CA6CC0"/>
    <w:rsid w:val="00CA7093"/>
    <w:rsid w:val="00CA72BD"/>
    <w:rsid w:val="00CA73AE"/>
    <w:rsid w:val="00CA73C0"/>
    <w:rsid w:val="00CA74DE"/>
    <w:rsid w:val="00CA7633"/>
    <w:rsid w:val="00CA77A5"/>
    <w:rsid w:val="00CA7908"/>
    <w:rsid w:val="00CA799B"/>
    <w:rsid w:val="00CA79FC"/>
    <w:rsid w:val="00CA7ACB"/>
    <w:rsid w:val="00CA7D91"/>
    <w:rsid w:val="00CA7DBB"/>
    <w:rsid w:val="00CB00D4"/>
    <w:rsid w:val="00CB0506"/>
    <w:rsid w:val="00CB0C34"/>
    <w:rsid w:val="00CB1265"/>
    <w:rsid w:val="00CB130B"/>
    <w:rsid w:val="00CB16B4"/>
    <w:rsid w:val="00CB1C2B"/>
    <w:rsid w:val="00CB1C66"/>
    <w:rsid w:val="00CB1D31"/>
    <w:rsid w:val="00CB1FB9"/>
    <w:rsid w:val="00CB2298"/>
    <w:rsid w:val="00CB22B2"/>
    <w:rsid w:val="00CB2449"/>
    <w:rsid w:val="00CB2ABA"/>
    <w:rsid w:val="00CB2C87"/>
    <w:rsid w:val="00CB2CD5"/>
    <w:rsid w:val="00CB322A"/>
    <w:rsid w:val="00CB3256"/>
    <w:rsid w:val="00CB35C1"/>
    <w:rsid w:val="00CB39AE"/>
    <w:rsid w:val="00CB47BE"/>
    <w:rsid w:val="00CB4CC2"/>
    <w:rsid w:val="00CB52A7"/>
    <w:rsid w:val="00CB5812"/>
    <w:rsid w:val="00CB5A6B"/>
    <w:rsid w:val="00CB5CBC"/>
    <w:rsid w:val="00CB5E06"/>
    <w:rsid w:val="00CB5E13"/>
    <w:rsid w:val="00CB6038"/>
    <w:rsid w:val="00CB6318"/>
    <w:rsid w:val="00CB6452"/>
    <w:rsid w:val="00CB666B"/>
    <w:rsid w:val="00CB6A41"/>
    <w:rsid w:val="00CB6B64"/>
    <w:rsid w:val="00CB6C07"/>
    <w:rsid w:val="00CB7311"/>
    <w:rsid w:val="00CB73AB"/>
    <w:rsid w:val="00CB7795"/>
    <w:rsid w:val="00CB7D90"/>
    <w:rsid w:val="00CB7E63"/>
    <w:rsid w:val="00CC0257"/>
    <w:rsid w:val="00CC07B6"/>
    <w:rsid w:val="00CC084D"/>
    <w:rsid w:val="00CC0B0E"/>
    <w:rsid w:val="00CC105F"/>
    <w:rsid w:val="00CC12B2"/>
    <w:rsid w:val="00CC1346"/>
    <w:rsid w:val="00CC1366"/>
    <w:rsid w:val="00CC139B"/>
    <w:rsid w:val="00CC1A7A"/>
    <w:rsid w:val="00CC1E7A"/>
    <w:rsid w:val="00CC1FC2"/>
    <w:rsid w:val="00CC1FDB"/>
    <w:rsid w:val="00CC206F"/>
    <w:rsid w:val="00CC226A"/>
    <w:rsid w:val="00CC2441"/>
    <w:rsid w:val="00CC24A5"/>
    <w:rsid w:val="00CC25AD"/>
    <w:rsid w:val="00CC26BD"/>
    <w:rsid w:val="00CC2C0D"/>
    <w:rsid w:val="00CC2E51"/>
    <w:rsid w:val="00CC320E"/>
    <w:rsid w:val="00CC32BA"/>
    <w:rsid w:val="00CC33DB"/>
    <w:rsid w:val="00CC39B2"/>
    <w:rsid w:val="00CC3E83"/>
    <w:rsid w:val="00CC3EED"/>
    <w:rsid w:val="00CC4177"/>
    <w:rsid w:val="00CC45F2"/>
    <w:rsid w:val="00CC48A5"/>
    <w:rsid w:val="00CC4901"/>
    <w:rsid w:val="00CC4955"/>
    <w:rsid w:val="00CC4B00"/>
    <w:rsid w:val="00CC4E37"/>
    <w:rsid w:val="00CC4F4C"/>
    <w:rsid w:val="00CC51AE"/>
    <w:rsid w:val="00CC5427"/>
    <w:rsid w:val="00CC59C8"/>
    <w:rsid w:val="00CC5AC3"/>
    <w:rsid w:val="00CC5BD7"/>
    <w:rsid w:val="00CC5E7E"/>
    <w:rsid w:val="00CC602F"/>
    <w:rsid w:val="00CC60E0"/>
    <w:rsid w:val="00CC6186"/>
    <w:rsid w:val="00CC6593"/>
    <w:rsid w:val="00CC65D7"/>
    <w:rsid w:val="00CC66B0"/>
    <w:rsid w:val="00CC69F8"/>
    <w:rsid w:val="00CC6A46"/>
    <w:rsid w:val="00CC6E33"/>
    <w:rsid w:val="00CC705A"/>
    <w:rsid w:val="00CC7344"/>
    <w:rsid w:val="00CC7915"/>
    <w:rsid w:val="00CC7B7C"/>
    <w:rsid w:val="00CD0079"/>
    <w:rsid w:val="00CD047B"/>
    <w:rsid w:val="00CD0782"/>
    <w:rsid w:val="00CD0DB7"/>
    <w:rsid w:val="00CD12E8"/>
    <w:rsid w:val="00CD2238"/>
    <w:rsid w:val="00CD2494"/>
    <w:rsid w:val="00CD2A68"/>
    <w:rsid w:val="00CD2AC8"/>
    <w:rsid w:val="00CD303C"/>
    <w:rsid w:val="00CD3045"/>
    <w:rsid w:val="00CD349A"/>
    <w:rsid w:val="00CD3967"/>
    <w:rsid w:val="00CD3990"/>
    <w:rsid w:val="00CD3A3C"/>
    <w:rsid w:val="00CD3A48"/>
    <w:rsid w:val="00CD3D90"/>
    <w:rsid w:val="00CD3E9F"/>
    <w:rsid w:val="00CD4174"/>
    <w:rsid w:val="00CD41E4"/>
    <w:rsid w:val="00CD4457"/>
    <w:rsid w:val="00CD4554"/>
    <w:rsid w:val="00CD478C"/>
    <w:rsid w:val="00CD47AE"/>
    <w:rsid w:val="00CD4EDC"/>
    <w:rsid w:val="00CD51A6"/>
    <w:rsid w:val="00CD56FA"/>
    <w:rsid w:val="00CD5A11"/>
    <w:rsid w:val="00CD5ED7"/>
    <w:rsid w:val="00CD6210"/>
    <w:rsid w:val="00CD6273"/>
    <w:rsid w:val="00CD65EE"/>
    <w:rsid w:val="00CD70B0"/>
    <w:rsid w:val="00CD79A7"/>
    <w:rsid w:val="00CD7A53"/>
    <w:rsid w:val="00CD7A5F"/>
    <w:rsid w:val="00CD7D13"/>
    <w:rsid w:val="00CE002C"/>
    <w:rsid w:val="00CE02EA"/>
    <w:rsid w:val="00CE04DB"/>
    <w:rsid w:val="00CE05FC"/>
    <w:rsid w:val="00CE05FD"/>
    <w:rsid w:val="00CE0B41"/>
    <w:rsid w:val="00CE0BF9"/>
    <w:rsid w:val="00CE0FF4"/>
    <w:rsid w:val="00CE1AAC"/>
    <w:rsid w:val="00CE1AE8"/>
    <w:rsid w:val="00CE1B70"/>
    <w:rsid w:val="00CE1BC6"/>
    <w:rsid w:val="00CE1D0B"/>
    <w:rsid w:val="00CE1D7F"/>
    <w:rsid w:val="00CE1E50"/>
    <w:rsid w:val="00CE1F69"/>
    <w:rsid w:val="00CE2343"/>
    <w:rsid w:val="00CE2368"/>
    <w:rsid w:val="00CE2A40"/>
    <w:rsid w:val="00CE2B9B"/>
    <w:rsid w:val="00CE2CB5"/>
    <w:rsid w:val="00CE2F64"/>
    <w:rsid w:val="00CE3023"/>
    <w:rsid w:val="00CE3038"/>
    <w:rsid w:val="00CE3076"/>
    <w:rsid w:val="00CE32DE"/>
    <w:rsid w:val="00CE3347"/>
    <w:rsid w:val="00CE34CC"/>
    <w:rsid w:val="00CE35DC"/>
    <w:rsid w:val="00CE460F"/>
    <w:rsid w:val="00CE4634"/>
    <w:rsid w:val="00CE4969"/>
    <w:rsid w:val="00CE4A05"/>
    <w:rsid w:val="00CE4B5A"/>
    <w:rsid w:val="00CE4DDE"/>
    <w:rsid w:val="00CE537D"/>
    <w:rsid w:val="00CE53F0"/>
    <w:rsid w:val="00CE5D1C"/>
    <w:rsid w:val="00CE6056"/>
    <w:rsid w:val="00CE6934"/>
    <w:rsid w:val="00CE6954"/>
    <w:rsid w:val="00CE69BB"/>
    <w:rsid w:val="00CE6CB3"/>
    <w:rsid w:val="00CE6E8F"/>
    <w:rsid w:val="00CE6FF4"/>
    <w:rsid w:val="00CE7103"/>
    <w:rsid w:val="00CE7554"/>
    <w:rsid w:val="00CE75D7"/>
    <w:rsid w:val="00CE792C"/>
    <w:rsid w:val="00CE7E3F"/>
    <w:rsid w:val="00CE7EC3"/>
    <w:rsid w:val="00CE7EED"/>
    <w:rsid w:val="00CF0704"/>
    <w:rsid w:val="00CF07A4"/>
    <w:rsid w:val="00CF07A8"/>
    <w:rsid w:val="00CF0AFF"/>
    <w:rsid w:val="00CF0D20"/>
    <w:rsid w:val="00CF0D5E"/>
    <w:rsid w:val="00CF1091"/>
    <w:rsid w:val="00CF1430"/>
    <w:rsid w:val="00CF15EB"/>
    <w:rsid w:val="00CF193A"/>
    <w:rsid w:val="00CF1AD4"/>
    <w:rsid w:val="00CF1D2B"/>
    <w:rsid w:val="00CF1D8E"/>
    <w:rsid w:val="00CF1E9A"/>
    <w:rsid w:val="00CF1F4A"/>
    <w:rsid w:val="00CF1F9C"/>
    <w:rsid w:val="00CF1FE8"/>
    <w:rsid w:val="00CF203A"/>
    <w:rsid w:val="00CF2345"/>
    <w:rsid w:val="00CF2674"/>
    <w:rsid w:val="00CF277A"/>
    <w:rsid w:val="00CF2A9F"/>
    <w:rsid w:val="00CF33E7"/>
    <w:rsid w:val="00CF369A"/>
    <w:rsid w:val="00CF37FE"/>
    <w:rsid w:val="00CF3D51"/>
    <w:rsid w:val="00CF3D77"/>
    <w:rsid w:val="00CF3E3C"/>
    <w:rsid w:val="00CF3F3B"/>
    <w:rsid w:val="00CF3F4C"/>
    <w:rsid w:val="00CF4287"/>
    <w:rsid w:val="00CF430C"/>
    <w:rsid w:val="00CF43E5"/>
    <w:rsid w:val="00CF478A"/>
    <w:rsid w:val="00CF4B89"/>
    <w:rsid w:val="00CF4BCC"/>
    <w:rsid w:val="00CF4E46"/>
    <w:rsid w:val="00CF5784"/>
    <w:rsid w:val="00CF5857"/>
    <w:rsid w:val="00CF5CB4"/>
    <w:rsid w:val="00CF5F27"/>
    <w:rsid w:val="00CF608C"/>
    <w:rsid w:val="00CF6522"/>
    <w:rsid w:val="00CF663A"/>
    <w:rsid w:val="00CF68CF"/>
    <w:rsid w:val="00CF6EC7"/>
    <w:rsid w:val="00CF702C"/>
    <w:rsid w:val="00CF755C"/>
    <w:rsid w:val="00CF7838"/>
    <w:rsid w:val="00CF799E"/>
    <w:rsid w:val="00CF7B3B"/>
    <w:rsid w:val="00D00000"/>
    <w:rsid w:val="00D0059B"/>
    <w:rsid w:val="00D005DA"/>
    <w:rsid w:val="00D0082C"/>
    <w:rsid w:val="00D00A11"/>
    <w:rsid w:val="00D00AF1"/>
    <w:rsid w:val="00D00DBB"/>
    <w:rsid w:val="00D010E6"/>
    <w:rsid w:val="00D0117A"/>
    <w:rsid w:val="00D01911"/>
    <w:rsid w:val="00D019EF"/>
    <w:rsid w:val="00D01CF0"/>
    <w:rsid w:val="00D01EC0"/>
    <w:rsid w:val="00D01EF1"/>
    <w:rsid w:val="00D021E8"/>
    <w:rsid w:val="00D02240"/>
    <w:rsid w:val="00D025D4"/>
    <w:rsid w:val="00D02910"/>
    <w:rsid w:val="00D02FFC"/>
    <w:rsid w:val="00D03E07"/>
    <w:rsid w:val="00D04218"/>
    <w:rsid w:val="00D043CF"/>
    <w:rsid w:val="00D0442A"/>
    <w:rsid w:val="00D04438"/>
    <w:rsid w:val="00D04486"/>
    <w:rsid w:val="00D0499A"/>
    <w:rsid w:val="00D04A34"/>
    <w:rsid w:val="00D04AF2"/>
    <w:rsid w:val="00D04B66"/>
    <w:rsid w:val="00D05377"/>
    <w:rsid w:val="00D058C4"/>
    <w:rsid w:val="00D058DF"/>
    <w:rsid w:val="00D058EB"/>
    <w:rsid w:val="00D062DE"/>
    <w:rsid w:val="00D067EB"/>
    <w:rsid w:val="00D06AD1"/>
    <w:rsid w:val="00D06F09"/>
    <w:rsid w:val="00D073D9"/>
    <w:rsid w:val="00D0746E"/>
    <w:rsid w:val="00D07589"/>
    <w:rsid w:val="00D075CD"/>
    <w:rsid w:val="00D07AFB"/>
    <w:rsid w:val="00D10374"/>
    <w:rsid w:val="00D105AE"/>
    <w:rsid w:val="00D10CB3"/>
    <w:rsid w:val="00D10CF1"/>
    <w:rsid w:val="00D1172C"/>
    <w:rsid w:val="00D11884"/>
    <w:rsid w:val="00D118D7"/>
    <w:rsid w:val="00D11991"/>
    <w:rsid w:val="00D11A4F"/>
    <w:rsid w:val="00D1244A"/>
    <w:rsid w:val="00D1261F"/>
    <w:rsid w:val="00D12BAB"/>
    <w:rsid w:val="00D12E33"/>
    <w:rsid w:val="00D12E45"/>
    <w:rsid w:val="00D12EBE"/>
    <w:rsid w:val="00D134BC"/>
    <w:rsid w:val="00D13624"/>
    <w:rsid w:val="00D13722"/>
    <w:rsid w:val="00D13A9E"/>
    <w:rsid w:val="00D13C32"/>
    <w:rsid w:val="00D13C84"/>
    <w:rsid w:val="00D13D46"/>
    <w:rsid w:val="00D14181"/>
    <w:rsid w:val="00D14A20"/>
    <w:rsid w:val="00D14A51"/>
    <w:rsid w:val="00D14E5D"/>
    <w:rsid w:val="00D15047"/>
    <w:rsid w:val="00D150DF"/>
    <w:rsid w:val="00D15141"/>
    <w:rsid w:val="00D1555E"/>
    <w:rsid w:val="00D15654"/>
    <w:rsid w:val="00D15715"/>
    <w:rsid w:val="00D15766"/>
    <w:rsid w:val="00D158F9"/>
    <w:rsid w:val="00D15C60"/>
    <w:rsid w:val="00D15D5E"/>
    <w:rsid w:val="00D15D94"/>
    <w:rsid w:val="00D163AF"/>
    <w:rsid w:val="00D16E61"/>
    <w:rsid w:val="00D16E79"/>
    <w:rsid w:val="00D17379"/>
    <w:rsid w:val="00D176BF"/>
    <w:rsid w:val="00D178EB"/>
    <w:rsid w:val="00D17923"/>
    <w:rsid w:val="00D17E2B"/>
    <w:rsid w:val="00D17E70"/>
    <w:rsid w:val="00D200AE"/>
    <w:rsid w:val="00D203E1"/>
    <w:rsid w:val="00D2040C"/>
    <w:rsid w:val="00D205F0"/>
    <w:rsid w:val="00D205F2"/>
    <w:rsid w:val="00D208B3"/>
    <w:rsid w:val="00D208BF"/>
    <w:rsid w:val="00D210BA"/>
    <w:rsid w:val="00D21125"/>
    <w:rsid w:val="00D211AC"/>
    <w:rsid w:val="00D2174C"/>
    <w:rsid w:val="00D21881"/>
    <w:rsid w:val="00D219DD"/>
    <w:rsid w:val="00D21BD2"/>
    <w:rsid w:val="00D21D91"/>
    <w:rsid w:val="00D21EFC"/>
    <w:rsid w:val="00D21F29"/>
    <w:rsid w:val="00D21FA4"/>
    <w:rsid w:val="00D225B5"/>
    <w:rsid w:val="00D228F0"/>
    <w:rsid w:val="00D22BE0"/>
    <w:rsid w:val="00D22D42"/>
    <w:rsid w:val="00D2315B"/>
    <w:rsid w:val="00D2335E"/>
    <w:rsid w:val="00D233E3"/>
    <w:rsid w:val="00D23515"/>
    <w:rsid w:val="00D241F2"/>
    <w:rsid w:val="00D24345"/>
    <w:rsid w:val="00D2445B"/>
    <w:rsid w:val="00D24728"/>
    <w:rsid w:val="00D24864"/>
    <w:rsid w:val="00D250B2"/>
    <w:rsid w:val="00D25128"/>
    <w:rsid w:val="00D2534F"/>
    <w:rsid w:val="00D255C1"/>
    <w:rsid w:val="00D25C9E"/>
    <w:rsid w:val="00D25ED4"/>
    <w:rsid w:val="00D26316"/>
    <w:rsid w:val="00D2640E"/>
    <w:rsid w:val="00D26515"/>
    <w:rsid w:val="00D269AA"/>
    <w:rsid w:val="00D26B2C"/>
    <w:rsid w:val="00D26CA4"/>
    <w:rsid w:val="00D27046"/>
    <w:rsid w:val="00D2747D"/>
    <w:rsid w:val="00D2773F"/>
    <w:rsid w:val="00D2775A"/>
    <w:rsid w:val="00D27892"/>
    <w:rsid w:val="00D27902"/>
    <w:rsid w:val="00D27D8C"/>
    <w:rsid w:val="00D27E65"/>
    <w:rsid w:val="00D302AD"/>
    <w:rsid w:val="00D305A4"/>
    <w:rsid w:val="00D30840"/>
    <w:rsid w:val="00D30989"/>
    <w:rsid w:val="00D30B96"/>
    <w:rsid w:val="00D30F46"/>
    <w:rsid w:val="00D31468"/>
    <w:rsid w:val="00D317D8"/>
    <w:rsid w:val="00D31AFF"/>
    <w:rsid w:val="00D31DC9"/>
    <w:rsid w:val="00D321B9"/>
    <w:rsid w:val="00D321DB"/>
    <w:rsid w:val="00D324F4"/>
    <w:rsid w:val="00D32677"/>
    <w:rsid w:val="00D327E5"/>
    <w:rsid w:val="00D32A1C"/>
    <w:rsid w:val="00D32AF3"/>
    <w:rsid w:val="00D32D82"/>
    <w:rsid w:val="00D32FA3"/>
    <w:rsid w:val="00D3311A"/>
    <w:rsid w:val="00D337E0"/>
    <w:rsid w:val="00D338D9"/>
    <w:rsid w:val="00D33E5F"/>
    <w:rsid w:val="00D34292"/>
    <w:rsid w:val="00D3499A"/>
    <w:rsid w:val="00D34AB9"/>
    <w:rsid w:val="00D34B36"/>
    <w:rsid w:val="00D34DCE"/>
    <w:rsid w:val="00D34F27"/>
    <w:rsid w:val="00D35025"/>
    <w:rsid w:val="00D3538C"/>
    <w:rsid w:val="00D35571"/>
    <w:rsid w:val="00D358A0"/>
    <w:rsid w:val="00D35C96"/>
    <w:rsid w:val="00D35CFA"/>
    <w:rsid w:val="00D35F3D"/>
    <w:rsid w:val="00D35F4E"/>
    <w:rsid w:val="00D36064"/>
    <w:rsid w:val="00D36196"/>
    <w:rsid w:val="00D364D8"/>
    <w:rsid w:val="00D3696F"/>
    <w:rsid w:val="00D36EB1"/>
    <w:rsid w:val="00D36F8A"/>
    <w:rsid w:val="00D36FC6"/>
    <w:rsid w:val="00D374B0"/>
    <w:rsid w:val="00D37A79"/>
    <w:rsid w:val="00D37D2B"/>
    <w:rsid w:val="00D401B4"/>
    <w:rsid w:val="00D4025A"/>
    <w:rsid w:val="00D40369"/>
    <w:rsid w:val="00D40601"/>
    <w:rsid w:val="00D40DA9"/>
    <w:rsid w:val="00D40E2F"/>
    <w:rsid w:val="00D40F24"/>
    <w:rsid w:val="00D4104B"/>
    <w:rsid w:val="00D4118E"/>
    <w:rsid w:val="00D41840"/>
    <w:rsid w:val="00D419C2"/>
    <w:rsid w:val="00D41F1E"/>
    <w:rsid w:val="00D41F80"/>
    <w:rsid w:val="00D4228D"/>
    <w:rsid w:val="00D42936"/>
    <w:rsid w:val="00D4321E"/>
    <w:rsid w:val="00D43474"/>
    <w:rsid w:val="00D4349A"/>
    <w:rsid w:val="00D4383F"/>
    <w:rsid w:val="00D43AB3"/>
    <w:rsid w:val="00D43D7F"/>
    <w:rsid w:val="00D43F7E"/>
    <w:rsid w:val="00D44051"/>
    <w:rsid w:val="00D44232"/>
    <w:rsid w:val="00D4434A"/>
    <w:rsid w:val="00D44438"/>
    <w:rsid w:val="00D444B4"/>
    <w:rsid w:val="00D447A1"/>
    <w:rsid w:val="00D448D2"/>
    <w:rsid w:val="00D4491B"/>
    <w:rsid w:val="00D44987"/>
    <w:rsid w:val="00D44AE3"/>
    <w:rsid w:val="00D44F62"/>
    <w:rsid w:val="00D4504E"/>
    <w:rsid w:val="00D4511A"/>
    <w:rsid w:val="00D453B9"/>
    <w:rsid w:val="00D454E7"/>
    <w:rsid w:val="00D458E4"/>
    <w:rsid w:val="00D45AAB"/>
    <w:rsid w:val="00D46202"/>
    <w:rsid w:val="00D4622F"/>
    <w:rsid w:val="00D4636A"/>
    <w:rsid w:val="00D4662E"/>
    <w:rsid w:val="00D470CE"/>
    <w:rsid w:val="00D47123"/>
    <w:rsid w:val="00D472CA"/>
    <w:rsid w:val="00D47356"/>
    <w:rsid w:val="00D47A28"/>
    <w:rsid w:val="00D47FDA"/>
    <w:rsid w:val="00D50027"/>
    <w:rsid w:val="00D50286"/>
    <w:rsid w:val="00D5030F"/>
    <w:rsid w:val="00D50360"/>
    <w:rsid w:val="00D504C5"/>
    <w:rsid w:val="00D50600"/>
    <w:rsid w:val="00D50840"/>
    <w:rsid w:val="00D50A05"/>
    <w:rsid w:val="00D50B00"/>
    <w:rsid w:val="00D50C96"/>
    <w:rsid w:val="00D50D97"/>
    <w:rsid w:val="00D50F64"/>
    <w:rsid w:val="00D511E9"/>
    <w:rsid w:val="00D51491"/>
    <w:rsid w:val="00D514E0"/>
    <w:rsid w:val="00D51C6F"/>
    <w:rsid w:val="00D51DA2"/>
    <w:rsid w:val="00D51EF9"/>
    <w:rsid w:val="00D51FBC"/>
    <w:rsid w:val="00D5231B"/>
    <w:rsid w:val="00D525F8"/>
    <w:rsid w:val="00D52635"/>
    <w:rsid w:val="00D5288A"/>
    <w:rsid w:val="00D529D5"/>
    <w:rsid w:val="00D52B8D"/>
    <w:rsid w:val="00D52F1C"/>
    <w:rsid w:val="00D5307C"/>
    <w:rsid w:val="00D530C9"/>
    <w:rsid w:val="00D534B7"/>
    <w:rsid w:val="00D535B3"/>
    <w:rsid w:val="00D5369F"/>
    <w:rsid w:val="00D536AA"/>
    <w:rsid w:val="00D53911"/>
    <w:rsid w:val="00D53A87"/>
    <w:rsid w:val="00D53AE6"/>
    <w:rsid w:val="00D53C03"/>
    <w:rsid w:val="00D53CCB"/>
    <w:rsid w:val="00D53D99"/>
    <w:rsid w:val="00D53F53"/>
    <w:rsid w:val="00D53F66"/>
    <w:rsid w:val="00D53FBC"/>
    <w:rsid w:val="00D544B8"/>
    <w:rsid w:val="00D548F2"/>
    <w:rsid w:val="00D548F8"/>
    <w:rsid w:val="00D54EF0"/>
    <w:rsid w:val="00D55541"/>
    <w:rsid w:val="00D557E5"/>
    <w:rsid w:val="00D558DD"/>
    <w:rsid w:val="00D55A03"/>
    <w:rsid w:val="00D55A10"/>
    <w:rsid w:val="00D55C39"/>
    <w:rsid w:val="00D5657D"/>
    <w:rsid w:val="00D5678E"/>
    <w:rsid w:val="00D5693C"/>
    <w:rsid w:val="00D56C69"/>
    <w:rsid w:val="00D56EA7"/>
    <w:rsid w:val="00D5702E"/>
    <w:rsid w:val="00D570A9"/>
    <w:rsid w:val="00D57547"/>
    <w:rsid w:val="00D57561"/>
    <w:rsid w:val="00D57648"/>
    <w:rsid w:val="00D57750"/>
    <w:rsid w:val="00D579FC"/>
    <w:rsid w:val="00D57C15"/>
    <w:rsid w:val="00D57F4B"/>
    <w:rsid w:val="00D600A0"/>
    <w:rsid w:val="00D600A6"/>
    <w:rsid w:val="00D60264"/>
    <w:rsid w:val="00D60304"/>
    <w:rsid w:val="00D60337"/>
    <w:rsid w:val="00D603C4"/>
    <w:rsid w:val="00D603E5"/>
    <w:rsid w:val="00D60907"/>
    <w:rsid w:val="00D60D08"/>
    <w:rsid w:val="00D60E1C"/>
    <w:rsid w:val="00D61177"/>
    <w:rsid w:val="00D612B3"/>
    <w:rsid w:val="00D61388"/>
    <w:rsid w:val="00D61860"/>
    <w:rsid w:val="00D61A54"/>
    <w:rsid w:val="00D62052"/>
    <w:rsid w:val="00D6261A"/>
    <w:rsid w:val="00D6276B"/>
    <w:rsid w:val="00D63045"/>
    <w:rsid w:val="00D6330A"/>
    <w:rsid w:val="00D6334A"/>
    <w:rsid w:val="00D6336C"/>
    <w:rsid w:val="00D6366F"/>
    <w:rsid w:val="00D636A7"/>
    <w:rsid w:val="00D63C20"/>
    <w:rsid w:val="00D63CE9"/>
    <w:rsid w:val="00D63D18"/>
    <w:rsid w:val="00D6401B"/>
    <w:rsid w:val="00D64141"/>
    <w:rsid w:val="00D6464C"/>
    <w:rsid w:val="00D64981"/>
    <w:rsid w:val="00D64AA7"/>
    <w:rsid w:val="00D64ABA"/>
    <w:rsid w:val="00D64AF7"/>
    <w:rsid w:val="00D64B1B"/>
    <w:rsid w:val="00D64DEA"/>
    <w:rsid w:val="00D64DF8"/>
    <w:rsid w:val="00D64EDA"/>
    <w:rsid w:val="00D6521B"/>
    <w:rsid w:val="00D6560C"/>
    <w:rsid w:val="00D6579B"/>
    <w:rsid w:val="00D65DA3"/>
    <w:rsid w:val="00D661CA"/>
    <w:rsid w:val="00D664B6"/>
    <w:rsid w:val="00D6676B"/>
    <w:rsid w:val="00D66AC5"/>
    <w:rsid w:val="00D66DFB"/>
    <w:rsid w:val="00D67C85"/>
    <w:rsid w:val="00D67C8C"/>
    <w:rsid w:val="00D67CAC"/>
    <w:rsid w:val="00D67D26"/>
    <w:rsid w:val="00D67D8F"/>
    <w:rsid w:val="00D70490"/>
    <w:rsid w:val="00D7064F"/>
    <w:rsid w:val="00D706BB"/>
    <w:rsid w:val="00D70989"/>
    <w:rsid w:val="00D70AED"/>
    <w:rsid w:val="00D70C3C"/>
    <w:rsid w:val="00D70D4A"/>
    <w:rsid w:val="00D70E15"/>
    <w:rsid w:val="00D7122D"/>
    <w:rsid w:val="00D7182B"/>
    <w:rsid w:val="00D7214D"/>
    <w:rsid w:val="00D72357"/>
    <w:rsid w:val="00D728D5"/>
    <w:rsid w:val="00D72C87"/>
    <w:rsid w:val="00D72F93"/>
    <w:rsid w:val="00D733C8"/>
    <w:rsid w:val="00D73562"/>
    <w:rsid w:val="00D73D5F"/>
    <w:rsid w:val="00D742EF"/>
    <w:rsid w:val="00D743DA"/>
    <w:rsid w:val="00D74470"/>
    <w:rsid w:val="00D74472"/>
    <w:rsid w:val="00D745F4"/>
    <w:rsid w:val="00D74EE0"/>
    <w:rsid w:val="00D74FB8"/>
    <w:rsid w:val="00D75E6F"/>
    <w:rsid w:val="00D75F0C"/>
    <w:rsid w:val="00D75F91"/>
    <w:rsid w:val="00D762AA"/>
    <w:rsid w:val="00D7666E"/>
    <w:rsid w:val="00D76B6D"/>
    <w:rsid w:val="00D76C9C"/>
    <w:rsid w:val="00D7793A"/>
    <w:rsid w:val="00D77A82"/>
    <w:rsid w:val="00D77DAF"/>
    <w:rsid w:val="00D80035"/>
    <w:rsid w:val="00D801C7"/>
    <w:rsid w:val="00D8032D"/>
    <w:rsid w:val="00D80893"/>
    <w:rsid w:val="00D80A85"/>
    <w:rsid w:val="00D80A87"/>
    <w:rsid w:val="00D80A98"/>
    <w:rsid w:val="00D80AA1"/>
    <w:rsid w:val="00D80E58"/>
    <w:rsid w:val="00D8123C"/>
    <w:rsid w:val="00D8141E"/>
    <w:rsid w:val="00D81535"/>
    <w:rsid w:val="00D8153E"/>
    <w:rsid w:val="00D816F6"/>
    <w:rsid w:val="00D81B41"/>
    <w:rsid w:val="00D81C21"/>
    <w:rsid w:val="00D81FE3"/>
    <w:rsid w:val="00D828B1"/>
    <w:rsid w:val="00D82BCD"/>
    <w:rsid w:val="00D82E1F"/>
    <w:rsid w:val="00D83096"/>
    <w:rsid w:val="00D834E0"/>
    <w:rsid w:val="00D8362F"/>
    <w:rsid w:val="00D8370B"/>
    <w:rsid w:val="00D83A39"/>
    <w:rsid w:val="00D83E1A"/>
    <w:rsid w:val="00D84142"/>
    <w:rsid w:val="00D84276"/>
    <w:rsid w:val="00D845D9"/>
    <w:rsid w:val="00D84B2B"/>
    <w:rsid w:val="00D84E14"/>
    <w:rsid w:val="00D84EBF"/>
    <w:rsid w:val="00D852F5"/>
    <w:rsid w:val="00D8544C"/>
    <w:rsid w:val="00D85B7F"/>
    <w:rsid w:val="00D85BC3"/>
    <w:rsid w:val="00D85D6C"/>
    <w:rsid w:val="00D85DA1"/>
    <w:rsid w:val="00D85F7E"/>
    <w:rsid w:val="00D86090"/>
    <w:rsid w:val="00D8645F"/>
    <w:rsid w:val="00D86B19"/>
    <w:rsid w:val="00D86EC4"/>
    <w:rsid w:val="00D86F43"/>
    <w:rsid w:val="00D872F8"/>
    <w:rsid w:val="00D87CB1"/>
    <w:rsid w:val="00D90120"/>
    <w:rsid w:val="00D9069D"/>
    <w:rsid w:val="00D90A89"/>
    <w:rsid w:val="00D9107F"/>
    <w:rsid w:val="00D91258"/>
    <w:rsid w:val="00D91A6C"/>
    <w:rsid w:val="00D91A9F"/>
    <w:rsid w:val="00D91AC5"/>
    <w:rsid w:val="00D91C79"/>
    <w:rsid w:val="00D91EA4"/>
    <w:rsid w:val="00D920B0"/>
    <w:rsid w:val="00D92190"/>
    <w:rsid w:val="00D92CF1"/>
    <w:rsid w:val="00D92D10"/>
    <w:rsid w:val="00D92D38"/>
    <w:rsid w:val="00D93111"/>
    <w:rsid w:val="00D93232"/>
    <w:rsid w:val="00D934FC"/>
    <w:rsid w:val="00D93BAF"/>
    <w:rsid w:val="00D93DA9"/>
    <w:rsid w:val="00D9434F"/>
    <w:rsid w:val="00D944C5"/>
    <w:rsid w:val="00D946F8"/>
    <w:rsid w:val="00D94754"/>
    <w:rsid w:val="00D94843"/>
    <w:rsid w:val="00D94916"/>
    <w:rsid w:val="00D94D76"/>
    <w:rsid w:val="00D94E19"/>
    <w:rsid w:val="00D950F5"/>
    <w:rsid w:val="00D952AA"/>
    <w:rsid w:val="00D95755"/>
    <w:rsid w:val="00D9583F"/>
    <w:rsid w:val="00D95A50"/>
    <w:rsid w:val="00D95C8F"/>
    <w:rsid w:val="00D95FD3"/>
    <w:rsid w:val="00D96422"/>
    <w:rsid w:val="00D9670C"/>
    <w:rsid w:val="00D968B3"/>
    <w:rsid w:val="00D96A2C"/>
    <w:rsid w:val="00D97045"/>
    <w:rsid w:val="00D9727B"/>
    <w:rsid w:val="00D973FE"/>
    <w:rsid w:val="00D97807"/>
    <w:rsid w:val="00D97878"/>
    <w:rsid w:val="00D97B7A"/>
    <w:rsid w:val="00D97CA8"/>
    <w:rsid w:val="00D97CE1"/>
    <w:rsid w:val="00D97D12"/>
    <w:rsid w:val="00D97D28"/>
    <w:rsid w:val="00D97DAE"/>
    <w:rsid w:val="00D97E35"/>
    <w:rsid w:val="00D97FBD"/>
    <w:rsid w:val="00DA01EE"/>
    <w:rsid w:val="00DA01F0"/>
    <w:rsid w:val="00DA05C0"/>
    <w:rsid w:val="00DA065B"/>
    <w:rsid w:val="00DA0A0E"/>
    <w:rsid w:val="00DA124A"/>
    <w:rsid w:val="00DA14A0"/>
    <w:rsid w:val="00DA14EF"/>
    <w:rsid w:val="00DA15F1"/>
    <w:rsid w:val="00DA1614"/>
    <w:rsid w:val="00DA1794"/>
    <w:rsid w:val="00DA1CAC"/>
    <w:rsid w:val="00DA1FB6"/>
    <w:rsid w:val="00DA2639"/>
    <w:rsid w:val="00DA2691"/>
    <w:rsid w:val="00DA2CEA"/>
    <w:rsid w:val="00DA2E98"/>
    <w:rsid w:val="00DA2FFD"/>
    <w:rsid w:val="00DA32EF"/>
    <w:rsid w:val="00DA3360"/>
    <w:rsid w:val="00DA33E1"/>
    <w:rsid w:val="00DA357E"/>
    <w:rsid w:val="00DA3B07"/>
    <w:rsid w:val="00DA4555"/>
    <w:rsid w:val="00DA4BAB"/>
    <w:rsid w:val="00DA4E08"/>
    <w:rsid w:val="00DA5076"/>
    <w:rsid w:val="00DA51C0"/>
    <w:rsid w:val="00DA5255"/>
    <w:rsid w:val="00DA5630"/>
    <w:rsid w:val="00DA56B7"/>
    <w:rsid w:val="00DA5A9B"/>
    <w:rsid w:val="00DA5C7C"/>
    <w:rsid w:val="00DA5F6B"/>
    <w:rsid w:val="00DA61EF"/>
    <w:rsid w:val="00DA6426"/>
    <w:rsid w:val="00DA65FF"/>
    <w:rsid w:val="00DA677E"/>
    <w:rsid w:val="00DA68B4"/>
    <w:rsid w:val="00DA6B35"/>
    <w:rsid w:val="00DA6B8A"/>
    <w:rsid w:val="00DA7769"/>
    <w:rsid w:val="00DA7D13"/>
    <w:rsid w:val="00DA7DDB"/>
    <w:rsid w:val="00DB07A3"/>
    <w:rsid w:val="00DB0953"/>
    <w:rsid w:val="00DB09CD"/>
    <w:rsid w:val="00DB0F93"/>
    <w:rsid w:val="00DB1410"/>
    <w:rsid w:val="00DB1641"/>
    <w:rsid w:val="00DB1715"/>
    <w:rsid w:val="00DB191B"/>
    <w:rsid w:val="00DB1BE2"/>
    <w:rsid w:val="00DB217D"/>
    <w:rsid w:val="00DB2403"/>
    <w:rsid w:val="00DB2434"/>
    <w:rsid w:val="00DB2D12"/>
    <w:rsid w:val="00DB3151"/>
    <w:rsid w:val="00DB3430"/>
    <w:rsid w:val="00DB3570"/>
    <w:rsid w:val="00DB35F7"/>
    <w:rsid w:val="00DB3624"/>
    <w:rsid w:val="00DB37F2"/>
    <w:rsid w:val="00DB39B7"/>
    <w:rsid w:val="00DB3A2A"/>
    <w:rsid w:val="00DB3A95"/>
    <w:rsid w:val="00DB3BC2"/>
    <w:rsid w:val="00DB4153"/>
    <w:rsid w:val="00DB419E"/>
    <w:rsid w:val="00DB41AD"/>
    <w:rsid w:val="00DB4AA6"/>
    <w:rsid w:val="00DB4EAA"/>
    <w:rsid w:val="00DB59B0"/>
    <w:rsid w:val="00DB5C41"/>
    <w:rsid w:val="00DB61C4"/>
    <w:rsid w:val="00DB62DB"/>
    <w:rsid w:val="00DB6A25"/>
    <w:rsid w:val="00DB6B27"/>
    <w:rsid w:val="00DB6CEA"/>
    <w:rsid w:val="00DB71F9"/>
    <w:rsid w:val="00DB74ED"/>
    <w:rsid w:val="00DB7703"/>
    <w:rsid w:val="00DB79E0"/>
    <w:rsid w:val="00DB7C49"/>
    <w:rsid w:val="00DB7E2C"/>
    <w:rsid w:val="00DB7F14"/>
    <w:rsid w:val="00DC004F"/>
    <w:rsid w:val="00DC0910"/>
    <w:rsid w:val="00DC09CD"/>
    <w:rsid w:val="00DC0A38"/>
    <w:rsid w:val="00DC0D08"/>
    <w:rsid w:val="00DC0FF1"/>
    <w:rsid w:val="00DC1407"/>
    <w:rsid w:val="00DC18E6"/>
    <w:rsid w:val="00DC19D1"/>
    <w:rsid w:val="00DC19F7"/>
    <w:rsid w:val="00DC22DF"/>
    <w:rsid w:val="00DC23B6"/>
    <w:rsid w:val="00DC27C1"/>
    <w:rsid w:val="00DC2B0D"/>
    <w:rsid w:val="00DC2C86"/>
    <w:rsid w:val="00DC2E74"/>
    <w:rsid w:val="00DC38CB"/>
    <w:rsid w:val="00DC3982"/>
    <w:rsid w:val="00DC3C09"/>
    <w:rsid w:val="00DC3D07"/>
    <w:rsid w:val="00DC3E5A"/>
    <w:rsid w:val="00DC3E89"/>
    <w:rsid w:val="00DC406E"/>
    <w:rsid w:val="00DC4563"/>
    <w:rsid w:val="00DC492F"/>
    <w:rsid w:val="00DC5215"/>
    <w:rsid w:val="00DC53BA"/>
    <w:rsid w:val="00DC542F"/>
    <w:rsid w:val="00DC55B6"/>
    <w:rsid w:val="00DC5A43"/>
    <w:rsid w:val="00DC5BFA"/>
    <w:rsid w:val="00DC5D8A"/>
    <w:rsid w:val="00DC5DDF"/>
    <w:rsid w:val="00DC5ECF"/>
    <w:rsid w:val="00DC6363"/>
    <w:rsid w:val="00DC63BA"/>
    <w:rsid w:val="00DC652F"/>
    <w:rsid w:val="00DC66B6"/>
    <w:rsid w:val="00DC68A6"/>
    <w:rsid w:val="00DC68EF"/>
    <w:rsid w:val="00DC6C53"/>
    <w:rsid w:val="00DC6D7E"/>
    <w:rsid w:val="00DC70B5"/>
    <w:rsid w:val="00DC71D1"/>
    <w:rsid w:val="00DC739F"/>
    <w:rsid w:val="00DC78B2"/>
    <w:rsid w:val="00DC7981"/>
    <w:rsid w:val="00DC79AD"/>
    <w:rsid w:val="00DC79E1"/>
    <w:rsid w:val="00DC7D00"/>
    <w:rsid w:val="00DC7D75"/>
    <w:rsid w:val="00DD042A"/>
    <w:rsid w:val="00DD0ACA"/>
    <w:rsid w:val="00DD14AE"/>
    <w:rsid w:val="00DD1601"/>
    <w:rsid w:val="00DD1A48"/>
    <w:rsid w:val="00DD1CA9"/>
    <w:rsid w:val="00DD2097"/>
    <w:rsid w:val="00DD2169"/>
    <w:rsid w:val="00DD2486"/>
    <w:rsid w:val="00DD262A"/>
    <w:rsid w:val="00DD26B1"/>
    <w:rsid w:val="00DD2B51"/>
    <w:rsid w:val="00DD2B67"/>
    <w:rsid w:val="00DD2BA9"/>
    <w:rsid w:val="00DD2EE6"/>
    <w:rsid w:val="00DD2EF1"/>
    <w:rsid w:val="00DD2F2B"/>
    <w:rsid w:val="00DD2F9B"/>
    <w:rsid w:val="00DD30D6"/>
    <w:rsid w:val="00DD320C"/>
    <w:rsid w:val="00DD33EF"/>
    <w:rsid w:val="00DD34C5"/>
    <w:rsid w:val="00DD418E"/>
    <w:rsid w:val="00DD45A3"/>
    <w:rsid w:val="00DD467C"/>
    <w:rsid w:val="00DD49EA"/>
    <w:rsid w:val="00DD4DB5"/>
    <w:rsid w:val="00DD4DE2"/>
    <w:rsid w:val="00DD4F4C"/>
    <w:rsid w:val="00DD500A"/>
    <w:rsid w:val="00DD5293"/>
    <w:rsid w:val="00DD562B"/>
    <w:rsid w:val="00DD5AE1"/>
    <w:rsid w:val="00DD645F"/>
    <w:rsid w:val="00DD6912"/>
    <w:rsid w:val="00DD7008"/>
    <w:rsid w:val="00DD73FD"/>
    <w:rsid w:val="00DD7476"/>
    <w:rsid w:val="00DD7567"/>
    <w:rsid w:val="00DD75F4"/>
    <w:rsid w:val="00DD7839"/>
    <w:rsid w:val="00DD7AB8"/>
    <w:rsid w:val="00DD7BB7"/>
    <w:rsid w:val="00DD7BDC"/>
    <w:rsid w:val="00DD7EEE"/>
    <w:rsid w:val="00DE06AF"/>
    <w:rsid w:val="00DE07D2"/>
    <w:rsid w:val="00DE0888"/>
    <w:rsid w:val="00DE089F"/>
    <w:rsid w:val="00DE0C80"/>
    <w:rsid w:val="00DE0C9B"/>
    <w:rsid w:val="00DE0F6C"/>
    <w:rsid w:val="00DE1357"/>
    <w:rsid w:val="00DE13D9"/>
    <w:rsid w:val="00DE17E3"/>
    <w:rsid w:val="00DE19A8"/>
    <w:rsid w:val="00DE1CF6"/>
    <w:rsid w:val="00DE2048"/>
    <w:rsid w:val="00DE221C"/>
    <w:rsid w:val="00DE2296"/>
    <w:rsid w:val="00DE238C"/>
    <w:rsid w:val="00DE23A1"/>
    <w:rsid w:val="00DE293F"/>
    <w:rsid w:val="00DE2AF1"/>
    <w:rsid w:val="00DE2F23"/>
    <w:rsid w:val="00DE3168"/>
    <w:rsid w:val="00DE3527"/>
    <w:rsid w:val="00DE360E"/>
    <w:rsid w:val="00DE4337"/>
    <w:rsid w:val="00DE44E8"/>
    <w:rsid w:val="00DE45A7"/>
    <w:rsid w:val="00DE47D9"/>
    <w:rsid w:val="00DE4B49"/>
    <w:rsid w:val="00DE4CEA"/>
    <w:rsid w:val="00DE4E22"/>
    <w:rsid w:val="00DE4E2C"/>
    <w:rsid w:val="00DE4EFA"/>
    <w:rsid w:val="00DE5306"/>
    <w:rsid w:val="00DE542A"/>
    <w:rsid w:val="00DE5520"/>
    <w:rsid w:val="00DE55F1"/>
    <w:rsid w:val="00DE57F0"/>
    <w:rsid w:val="00DE58E8"/>
    <w:rsid w:val="00DE5929"/>
    <w:rsid w:val="00DE5E8C"/>
    <w:rsid w:val="00DE60FE"/>
    <w:rsid w:val="00DE6A8E"/>
    <w:rsid w:val="00DE6CF7"/>
    <w:rsid w:val="00DE6D2E"/>
    <w:rsid w:val="00DE7054"/>
    <w:rsid w:val="00DE76EB"/>
    <w:rsid w:val="00DE79B6"/>
    <w:rsid w:val="00DE7E1C"/>
    <w:rsid w:val="00DE7E43"/>
    <w:rsid w:val="00DF008C"/>
    <w:rsid w:val="00DF0111"/>
    <w:rsid w:val="00DF0D7E"/>
    <w:rsid w:val="00DF0F0F"/>
    <w:rsid w:val="00DF1210"/>
    <w:rsid w:val="00DF1274"/>
    <w:rsid w:val="00DF15BF"/>
    <w:rsid w:val="00DF169E"/>
    <w:rsid w:val="00DF1C28"/>
    <w:rsid w:val="00DF1D30"/>
    <w:rsid w:val="00DF21DF"/>
    <w:rsid w:val="00DF2355"/>
    <w:rsid w:val="00DF239E"/>
    <w:rsid w:val="00DF29F5"/>
    <w:rsid w:val="00DF2A5A"/>
    <w:rsid w:val="00DF2AF3"/>
    <w:rsid w:val="00DF2CCF"/>
    <w:rsid w:val="00DF2E29"/>
    <w:rsid w:val="00DF3061"/>
    <w:rsid w:val="00DF30A0"/>
    <w:rsid w:val="00DF3122"/>
    <w:rsid w:val="00DF3373"/>
    <w:rsid w:val="00DF3399"/>
    <w:rsid w:val="00DF361F"/>
    <w:rsid w:val="00DF38AE"/>
    <w:rsid w:val="00DF3A63"/>
    <w:rsid w:val="00DF3CC1"/>
    <w:rsid w:val="00DF3DDA"/>
    <w:rsid w:val="00DF402B"/>
    <w:rsid w:val="00DF48DB"/>
    <w:rsid w:val="00DF4B56"/>
    <w:rsid w:val="00DF4E61"/>
    <w:rsid w:val="00DF5342"/>
    <w:rsid w:val="00DF540F"/>
    <w:rsid w:val="00DF5532"/>
    <w:rsid w:val="00DF55BE"/>
    <w:rsid w:val="00DF55F7"/>
    <w:rsid w:val="00DF6531"/>
    <w:rsid w:val="00DF6C7A"/>
    <w:rsid w:val="00DF72D0"/>
    <w:rsid w:val="00DF7A6B"/>
    <w:rsid w:val="00DF7E4E"/>
    <w:rsid w:val="00E00101"/>
    <w:rsid w:val="00E00160"/>
    <w:rsid w:val="00E00502"/>
    <w:rsid w:val="00E00516"/>
    <w:rsid w:val="00E005A4"/>
    <w:rsid w:val="00E00A4C"/>
    <w:rsid w:val="00E00B7E"/>
    <w:rsid w:val="00E00C6C"/>
    <w:rsid w:val="00E01379"/>
    <w:rsid w:val="00E016BB"/>
    <w:rsid w:val="00E0179C"/>
    <w:rsid w:val="00E01A8E"/>
    <w:rsid w:val="00E01DEC"/>
    <w:rsid w:val="00E01EFB"/>
    <w:rsid w:val="00E01F63"/>
    <w:rsid w:val="00E01FAE"/>
    <w:rsid w:val="00E02950"/>
    <w:rsid w:val="00E02B3F"/>
    <w:rsid w:val="00E02C45"/>
    <w:rsid w:val="00E02FC3"/>
    <w:rsid w:val="00E03632"/>
    <w:rsid w:val="00E03A96"/>
    <w:rsid w:val="00E03AF1"/>
    <w:rsid w:val="00E03B1C"/>
    <w:rsid w:val="00E03DDC"/>
    <w:rsid w:val="00E03E36"/>
    <w:rsid w:val="00E04655"/>
    <w:rsid w:val="00E04818"/>
    <w:rsid w:val="00E0489F"/>
    <w:rsid w:val="00E04B1D"/>
    <w:rsid w:val="00E04FF8"/>
    <w:rsid w:val="00E051CC"/>
    <w:rsid w:val="00E05550"/>
    <w:rsid w:val="00E05874"/>
    <w:rsid w:val="00E058CF"/>
    <w:rsid w:val="00E05A55"/>
    <w:rsid w:val="00E05AEC"/>
    <w:rsid w:val="00E05D89"/>
    <w:rsid w:val="00E06047"/>
    <w:rsid w:val="00E06199"/>
    <w:rsid w:val="00E06442"/>
    <w:rsid w:val="00E064D0"/>
    <w:rsid w:val="00E06553"/>
    <w:rsid w:val="00E065D5"/>
    <w:rsid w:val="00E06857"/>
    <w:rsid w:val="00E06982"/>
    <w:rsid w:val="00E06A27"/>
    <w:rsid w:val="00E071C7"/>
    <w:rsid w:val="00E07C40"/>
    <w:rsid w:val="00E07E83"/>
    <w:rsid w:val="00E07F78"/>
    <w:rsid w:val="00E10994"/>
    <w:rsid w:val="00E10E86"/>
    <w:rsid w:val="00E112D2"/>
    <w:rsid w:val="00E114A4"/>
    <w:rsid w:val="00E115BB"/>
    <w:rsid w:val="00E11641"/>
    <w:rsid w:val="00E11705"/>
    <w:rsid w:val="00E11712"/>
    <w:rsid w:val="00E11B3D"/>
    <w:rsid w:val="00E11D9F"/>
    <w:rsid w:val="00E11E13"/>
    <w:rsid w:val="00E11E2E"/>
    <w:rsid w:val="00E11F05"/>
    <w:rsid w:val="00E11F54"/>
    <w:rsid w:val="00E1204F"/>
    <w:rsid w:val="00E12206"/>
    <w:rsid w:val="00E12210"/>
    <w:rsid w:val="00E1276C"/>
    <w:rsid w:val="00E12807"/>
    <w:rsid w:val="00E12A01"/>
    <w:rsid w:val="00E12B9D"/>
    <w:rsid w:val="00E12BC6"/>
    <w:rsid w:val="00E130E7"/>
    <w:rsid w:val="00E1314A"/>
    <w:rsid w:val="00E1322F"/>
    <w:rsid w:val="00E1340D"/>
    <w:rsid w:val="00E1356A"/>
    <w:rsid w:val="00E137F1"/>
    <w:rsid w:val="00E13AE8"/>
    <w:rsid w:val="00E13C3D"/>
    <w:rsid w:val="00E13D73"/>
    <w:rsid w:val="00E1412F"/>
    <w:rsid w:val="00E14672"/>
    <w:rsid w:val="00E146F2"/>
    <w:rsid w:val="00E14B43"/>
    <w:rsid w:val="00E1519A"/>
    <w:rsid w:val="00E151DC"/>
    <w:rsid w:val="00E152CD"/>
    <w:rsid w:val="00E15610"/>
    <w:rsid w:val="00E156F1"/>
    <w:rsid w:val="00E15946"/>
    <w:rsid w:val="00E15B02"/>
    <w:rsid w:val="00E15D0F"/>
    <w:rsid w:val="00E1628F"/>
    <w:rsid w:val="00E162F8"/>
    <w:rsid w:val="00E1668A"/>
    <w:rsid w:val="00E16828"/>
    <w:rsid w:val="00E16990"/>
    <w:rsid w:val="00E16B44"/>
    <w:rsid w:val="00E16DE3"/>
    <w:rsid w:val="00E17210"/>
    <w:rsid w:val="00E17839"/>
    <w:rsid w:val="00E17C77"/>
    <w:rsid w:val="00E17CB3"/>
    <w:rsid w:val="00E17E7F"/>
    <w:rsid w:val="00E17ECF"/>
    <w:rsid w:val="00E207BD"/>
    <w:rsid w:val="00E20BC9"/>
    <w:rsid w:val="00E20C15"/>
    <w:rsid w:val="00E20FE5"/>
    <w:rsid w:val="00E212FB"/>
    <w:rsid w:val="00E2183B"/>
    <w:rsid w:val="00E219B5"/>
    <w:rsid w:val="00E22025"/>
    <w:rsid w:val="00E2229A"/>
    <w:rsid w:val="00E222CA"/>
    <w:rsid w:val="00E22765"/>
    <w:rsid w:val="00E22C96"/>
    <w:rsid w:val="00E22DA2"/>
    <w:rsid w:val="00E23018"/>
    <w:rsid w:val="00E230E5"/>
    <w:rsid w:val="00E23318"/>
    <w:rsid w:val="00E233CD"/>
    <w:rsid w:val="00E23453"/>
    <w:rsid w:val="00E234C1"/>
    <w:rsid w:val="00E2352D"/>
    <w:rsid w:val="00E2370F"/>
    <w:rsid w:val="00E23993"/>
    <w:rsid w:val="00E239E3"/>
    <w:rsid w:val="00E23A65"/>
    <w:rsid w:val="00E23AB5"/>
    <w:rsid w:val="00E23AEE"/>
    <w:rsid w:val="00E23BD1"/>
    <w:rsid w:val="00E24DFE"/>
    <w:rsid w:val="00E24FC1"/>
    <w:rsid w:val="00E255F8"/>
    <w:rsid w:val="00E2560C"/>
    <w:rsid w:val="00E25733"/>
    <w:rsid w:val="00E25895"/>
    <w:rsid w:val="00E25A9C"/>
    <w:rsid w:val="00E25B8C"/>
    <w:rsid w:val="00E25CE1"/>
    <w:rsid w:val="00E26020"/>
    <w:rsid w:val="00E26050"/>
    <w:rsid w:val="00E26538"/>
    <w:rsid w:val="00E266A9"/>
    <w:rsid w:val="00E26ADB"/>
    <w:rsid w:val="00E27E3E"/>
    <w:rsid w:val="00E27E4E"/>
    <w:rsid w:val="00E27FAE"/>
    <w:rsid w:val="00E3029B"/>
    <w:rsid w:val="00E303CE"/>
    <w:rsid w:val="00E3049C"/>
    <w:rsid w:val="00E306E6"/>
    <w:rsid w:val="00E30C44"/>
    <w:rsid w:val="00E30C8A"/>
    <w:rsid w:val="00E30D2B"/>
    <w:rsid w:val="00E310FB"/>
    <w:rsid w:val="00E313F7"/>
    <w:rsid w:val="00E31411"/>
    <w:rsid w:val="00E3151B"/>
    <w:rsid w:val="00E31872"/>
    <w:rsid w:val="00E31DB2"/>
    <w:rsid w:val="00E32519"/>
    <w:rsid w:val="00E32794"/>
    <w:rsid w:val="00E327E3"/>
    <w:rsid w:val="00E32A6B"/>
    <w:rsid w:val="00E32C8B"/>
    <w:rsid w:val="00E33032"/>
    <w:rsid w:val="00E335A8"/>
    <w:rsid w:val="00E335B7"/>
    <w:rsid w:val="00E336ED"/>
    <w:rsid w:val="00E33981"/>
    <w:rsid w:val="00E33B38"/>
    <w:rsid w:val="00E33DF1"/>
    <w:rsid w:val="00E3438D"/>
    <w:rsid w:val="00E34BA4"/>
    <w:rsid w:val="00E34D39"/>
    <w:rsid w:val="00E34D47"/>
    <w:rsid w:val="00E34EC1"/>
    <w:rsid w:val="00E35649"/>
    <w:rsid w:val="00E35E9F"/>
    <w:rsid w:val="00E35FF5"/>
    <w:rsid w:val="00E361A0"/>
    <w:rsid w:val="00E36494"/>
    <w:rsid w:val="00E3671D"/>
    <w:rsid w:val="00E3683D"/>
    <w:rsid w:val="00E36A43"/>
    <w:rsid w:val="00E36AEC"/>
    <w:rsid w:val="00E36C14"/>
    <w:rsid w:val="00E36D07"/>
    <w:rsid w:val="00E36DF1"/>
    <w:rsid w:val="00E370FD"/>
    <w:rsid w:val="00E371DB"/>
    <w:rsid w:val="00E37625"/>
    <w:rsid w:val="00E37B80"/>
    <w:rsid w:val="00E37D70"/>
    <w:rsid w:val="00E40B72"/>
    <w:rsid w:val="00E40D88"/>
    <w:rsid w:val="00E40E70"/>
    <w:rsid w:val="00E4135D"/>
    <w:rsid w:val="00E414F7"/>
    <w:rsid w:val="00E414FF"/>
    <w:rsid w:val="00E41895"/>
    <w:rsid w:val="00E41B9A"/>
    <w:rsid w:val="00E41C58"/>
    <w:rsid w:val="00E41D20"/>
    <w:rsid w:val="00E422DE"/>
    <w:rsid w:val="00E423CD"/>
    <w:rsid w:val="00E4249B"/>
    <w:rsid w:val="00E43351"/>
    <w:rsid w:val="00E435AA"/>
    <w:rsid w:val="00E438E3"/>
    <w:rsid w:val="00E43CCF"/>
    <w:rsid w:val="00E44062"/>
    <w:rsid w:val="00E44170"/>
    <w:rsid w:val="00E443F5"/>
    <w:rsid w:val="00E444DA"/>
    <w:rsid w:val="00E44550"/>
    <w:rsid w:val="00E447BA"/>
    <w:rsid w:val="00E44C4D"/>
    <w:rsid w:val="00E4506A"/>
    <w:rsid w:val="00E45560"/>
    <w:rsid w:val="00E455CE"/>
    <w:rsid w:val="00E45B0F"/>
    <w:rsid w:val="00E45E5E"/>
    <w:rsid w:val="00E462A1"/>
    <w:rsid w:val="00E46710"/>
    <w:rsid w:val="00E4674F"/>
    <w:rsid w:val="00E46F35"/>
    <w:rsid w:val="00E47139"/>
    <w:rsid w:val="00E477A1"/>
    <w:rsid w:val="00E4785A"/>
    <w:rsid w:val="00E478CF"/>
    <w:rsid w:val="00E47EF6"/>
    <w:rsid w:val="00E50106"/>
    <w:rsid w:val="00E502C6"/>
    <w:rsid w:val="00E50302"/>
    <w:rsid w:val="00E5052F"/>
    <w:rsid w:val="00E505C8"/>
    <w:rsid w:val="00E50808"/>
    <w:rsid w:val="00E50B31"/>
    <w:rsid w:val="00E50BBA"/>
    <w:rsid w:val="00E50C5D"/>
    <w:rsid w:val="00E50E71"/>
    <w:rsid w:val="00E510DC"/>
    <w:rsid w:val="00E5122B"/>
    <w:rsid w:val="00E5125B"/>
    <w:rsid w:val="00E5148D"/>
    <w:rsid w:val="00E51A27"/>
    <w:rsid w:val="00E51B16"/>
    <w:rsid w:val="00E5221C"/>
    <w:rsid w:val="00E522C6"/>
    <w:rsid w:val="00E524DF"/>
    <w:rsid w:val="00E5258F"/>
    <w:rsid w:val="00E52732"/>
    <w:rsid w:val="00E52990"/>
    <w:rsid w:val="00E532E6"/>
    <w:rsid w:val="00E53AD1"/>
    <w:rsid w:val="00E54007"/>
    <w:rsid w:val="00E54A20"/>
    <w:rsid w:val="00E54E96"/>
    <w:rsid w:val="00E54EC5"/>
    <w:rsid w:val="00E54F72"/>
    <w:rsid w:val="00E54FA7"/>
    <w:rsid w:val="00E5519D"/>
    <w:rsid w:val="00E55255"/>
    <w:rsid w:val="00E553BC"/>
    <w:rsid w:val="00E55D36"/>
    <w:rsid w:val="00E55F59"/>
    <w:rsid w:val="00E55FFC"/>
    <w:rsid w:val="00E565BA"/>
    <w:rsid w:val="00E56779"/>
    <w:rsid w:val="00E567EC"/>
    <w:rsid w:val="00E56A75"/>
    <w:rsid w:val="00E56B0B"/>
    <w:rsid w:val="00E56E36"/>
    <w:rsid w:val="00E56FA4"/>
    <w:rsid w:val="00E571E5"/>
    <w:rsid w:val="00E5762F"/>
    <w:rsid w:val="00E57AAB"/>
    <w:rsid w:val="00E57AB8"/>
    <w:rsid w:val="00E600D3"/>
    <w:rsid w:val="00E60205"/>
    <w:rsid w:val="00E60216"/>
    <w:rsid w:val="00E6025B"/>
    <w:rsid w:val="00E602A8"/>
    <w:rsid w:val="00E607BD"/>
    <w:rsid w:val="00E60A01"/>
    <w:rsid w:val="00E60A24"/>
    <w:rsid w:val="00E60AC9"/>
    <w:rsid w:val="00E60B03"/>
    <w:rsid w:val="00E60B4F"/>
    <w:rsid w:val="00E60D4E"/>
    <w:rsid w:val="00E60E74"/>
    <w:rsid w:val="00E60F5A"/>
    <w:rsid w:val="00E60F77"/>
    <w:rsid w:val="00E60F82"/>
    <w:rsid w:val="00E61151"/>
    <w:rsid w:val="00E613BC"/>
    <w:rsid w:val="00E61929"/>
    <w:rsid w:val="00E62294"/>
    <w:rsid w:val="00E6257A"/>
    <w:rsid w:val="00E62939"/>
    <w:rsid w:val="00E62BFF"/>
    <w:rsid w:val="00E62F73"/>
    <w:rsid w:val="00E6303A"/>
    <w:rsid w:val="00E6330D"/>
    <w:rsid w:val="00E63464"/>
    <w:rsid w:val="00E63584"/>
    <w:rsid w:val="00E63639"/>
    <w:rsid w:val="00E6365D"/>
    <w:rsid w:val="00E63855"/>
    <w:rsid w:val="00E639A8"/>
    <w:rsid w:val="00E63DDA"/>
    <w:rsid w:val="00E6426D"/>
    <w:rsid w:val="00E6430A"/>
    <w:rsid w:val="00E6464B"/>
    <w:rsid w:val="00E6475A"/>
    <w:rsid w:val="00E64776"/>
    <w:rsid w:val="00E649AF"/>
    <w:rsid w:val="00E64A99"/>
    <w:rsid w:val="00E64F06"/>
    <w:rsid w:val="00E6530E"/>
    <w:rsid w:val="00E65635"/>
    <w:rsid w:val="00E6594C"/>
    <w:rsid w:val="00E65C85"/>
    <w:rsid w:val="00E65DE6"/>
    <w:rsid w:val="00E65E8D"/>
    <w:rsid w:val="00E65FAA"/>
    <w:rsid w:val="00E66199"/>
    <w:rsid w:val="00E665C3"/>
    <w:rsid w:val="00E66862"/>
    <w:rsid w:val="00E66925"/>
    <w:rsid w:val="00E66B51"/>
    <w:rsid w:val="00E67151"/>
    <w:rsid w:val="00E671B4"/>
    <w:rsid w:val="00E6730E"/>
    <w:rsid w:val="00E67339"/>
    <w:rsid w:val="00E67495"/>
    <w:rsid w:val="00E6786E"/>
    <w:rsid w:val="00E67970"/>
    <w:rsid w:val="00E67B80"/>
    <w:rsid w:val="00E67C65"/>
    <w:rsid w:val="00E67C98"/>
    <w:rsid w:val="00E67E4D"/>
    <w:rsid w:val="00E67E6F"/>
    <w:rsid w:val="00E6CCBE"/>
    <w:rsid w:val="00E70008"/>
    <w:rsid w:val="00E70050"/>
    <w:rsid w:val="00E70278"/>
    <w:rsid w:val="00E70608"/>
    <w:rsid w:val="00E7071C"/>
    <w:rsid w:val="00E7082C"/>
    <w:rsid w:val="00E70BA7"/>
    <w:rsid w:val="00E70C5A"/>
    <w:rsid w:val="00E70F0C"/>
    <w:rsid w:val="00E70FA7"/>
    <w:rsid w:val="00E71406"/>
    <w:rsid w:val="00E7169E"/>
    <w:rsid w:val="00E71834"/>
    <w:rsid w:val="00E720D5"/>
    <w:rsid w:val="00E724EF"/>
    <w:rsid w:val="00E728BA"/>
    <w:rsid w:val="00E73651"/>
    <w:rsid w:val="00E73F64"/>
    <w:rsid w:val="00E73FCB"/>
    <w:rsid w:val="00E73FD8"/>
    <w:rsid w:val="00E742AD"/>
    <w:rsid w:val="00E744D5"/>
    <w:rsid w:val="00E74643"/>
    <w:rsid w:val="00E74682"/>
    <w:rsid w:val="00E748E7"/>
    <w:rsid w:val="00E74E8A"/>
    <w:rsid w:val="00E74EF9"/>
    <w:rsid w:val="00E751DA"/>
    <w:rsid w:val="00E752E3"/>
    <w:rsid w:val="00E7548A"/>
    <w:rsid w:val="00E75503"/>
    <w:rsid w:val="00E755EC"/>
    <w:rsid w:val="00E75AC3"/>
    <w:rsid w:val="00E75C97"/>
    <w:rsid w:val="00E75DC1"/>
    <w:rsid w:val="00E75F74"/>
    <w:rsid w:val="00E761AC"/>
    <w:rsid w:val="00E76211"/>
    <w:rsid w:val="00E76225"/>
    <w:rsid w:val="00E7624D"/>
    <w:rsid w:val="00E76468"/>
    <w:rsid w:val="00E76B05"/>
    <w:rsid w:val="00E76D0E"/>
    <w:rsid w:val="00E76EC5"/>
    <w:rsid w:val="00E76F64"/>
    <w:rsid w:val="00E77186"/>
    <w:rsid w:val="00E7783A"/>
    <w:rsid w:val="00E80009"/>
    <w:rsid w:val="00E80760"/>
    <w:rsid w:val="00E81652"/>
    <w:rsid w:val="00E8231E"/>
    <w:rsid w:val="00E823DD"/>
    <w:rsid w:val="00E8257C"/>
    <w:rsid w:val="00E8260F"/>
    <w:rsid w:val="00E82F6D"/>
    <w:rsid w:val="00E831EC"/>
    <w:rsid w:val="00E83A0B"/>
    <w:rsid w:val="00E83B0F"/>
    <w:rsid w:val="00E83D4F"/>
    <w:rsid w:val="00E83EFB"/>
    <w:rsid w:val="00E841D7"/>
    <w:rsid w:val="00E84385"/>
    <w:rsid w:val="00E844CD"/>
    <w:rsid w:val="00E84F59"/>
    <w:rsid w:val="00E84F6A"/>
    <w:rsid w:val="00E8500A"/>
    <w:rsid w:val="00E850E8"/>
    <w:rsid w:val="00E85A2B"/>
    <w:rsid w:val="00E85FC7"/>
    <w:rsid w:val="00E8613C"/>
    <w:rsid w:val="00E86247"/>
    <w:rsid w:val="00E8646A"/>
    <w:rsid w:val="00E8654C"/>
    <w:rsid w:val="00E86AA7"/>
    <w:rsid w:val="00E86DB9"/>
    <w:rsid w:val="00E8709B"/>
    <w:rsid w:val="00E87460"/>
    <w:rsid w:val="00E874B0"/>
    <w:rsid w:val="00E87745"/>
    <w:rsid w:val="00E8779B"/>
    <w:rsid w:val="00E87A15"/>
    <w:rsid w:val="00E87A90"/>
    <w:rsid w:val="00E87E14"/>
    <w:rsid w:val="00E90E31"/>
    <w:rsid w:val="00E91444"/>
    <w:rsid w:val="00E914FB"/>
    <w:rsid w:val="00E917D3"/>
    <w:rsid w:val="00E91B9C"/>
    <w:rsid w:val="00E91EC3"/>
    <w:rsid w:val="00E92349"/>
    <w:rsid w:val="00E923CF"/>
    <w:rsid w:val="00E925F7"/>
    <w:rsid w:val="00E92759"/>
    <w:rsid w:val="00E92A24"/>
    <w:rsid w:val="00E92FAF"/>
    <w:rsid w:val="00E9325D"/>
    <w:rsid w:val="00E9329F"/>
    <w:rsid w:val="00E93315"/>
    <w:rsid w:val="00E933FD"/>
    <w:rsid w:val="00E93660"/>
    <w:rsid w:val="00E937EC"/>
    <w:rsid w:val="00E941BE"/>
    <w:rsid w:val="00E94456"/>
    <w:rsid w:val="00E94918"/>
    <w:rsid w:val="00E94C74"/>
    <w:rsid w:val="00E94F07"/>
    <w:rsid w:val="00E951C4"/>
    <w:rsid w:val="00E952C6"/>
    <w:rsid w:val="00E953A1"/>
    <w:rsid w:val="00E95461"/>
    <w:rsid w:val="00E95658"/>
    <w:rsid w:val="00E958B6"/>
    <w:rsid w:val="00E95B19"/>
    <w:rsid w:val="00E95CE7"/>
    <w:rsid w:val="00E95D58"/>
    <w:rsid w:val="00E96204"/>
    <w:rsid w:val="00E96297"/>
    <w:rsid w:val="00E96A52"/>
    <w:rsid w:val="00E96EA5"/>
    <w:rsid w:val="00E9739B"/>
    <w:rsid w:val="00E97628"/>
    <w:rsid w:val="00E9780A"/>
    <w:rsid w:val="00E97A6E"/>
    <w:rsid w:val="00E97E06"/>
    <w:rsid w:val="00EA0877"/>
    <w:rsid w:val="00EA0B8A"/>
    <w:rsid w:val="00EA0DED"/>
    <w:rsid w:val="00EA0F8E"/>
    <w:rsid w:val="00EA1041"/>
    <w:rsid w:val="00EA1371"/>
    <w:rsid w:val="00EA1413"/>
    <w:rsid w:val="00EA14A3"/>
    <w:rsid w:val="00EA1661"/>
    <w:rsid w:val="00EA16A3"/>
    <w:rsid w:val="00EA1719"/>
    <w:rsid w:val="00EA1776"/>
    <w:rsid w:val="00EA19A1"/>
    <w:rsid w:val="00EA1F3F"/>
    <w:rsid w:val="00EA20B1"/>
    <w:rsid w:val="00EA2785"/>
    <w:rsid w:val="00EA2BBA"/>
    <w:rsid w:val="00EA2BD3"/>
    <w:rsid w:val="00EA36FF"/>
    <w:rsid w:val="00EA39E0"/>
    <w:rsid w:val="00EA3CE8"/>
    <w:rsid w:val="00EA3D42"/>
    <w:rsid w:val="00EA4232"/>
    <w:rsid w:val="00EA4619"/>
    <w:rsid w:val="00EA46E1"/>
    <w:rsid w:val="00EA4986"/>
    <w:rsid w:val="00EA53CF"/>
    <w:rsid w:val="00EA5612"/>
    <w:rsid w:val="00EA5613"/>
    <w:rsid w:val="00EA5B06"/>
    <w:rsid w:val="00EA5BA1"/>
    <w:rsid w:val="00EA5E08"/>
    <w:rsid w:val="00EA5E55"/>
    <w:rsid w:val="00EA5E80"/>
    <w:rsid w:val="00EA5F4F"/>
    <w:rsid w:val="00EA62BE"/>
    <w:rsid w:val="00EA636B"/>
    <w:rsid w:val="00EA63D7"/>
    <w:rsid w:val="00EA6611"/>
    <w:rsid w:val="00EA6B1B"/>
    <w:rsid w:val="00EA712F"/>
    <w:rsid w:val="00EA7255"/>
    <w:rsid w:val="00EA78A1"/>
    <w:rsid w:val="00EA78A4"/>
    <w:rsid w:val="00EA790C"/>
    <w:rsid w:val="00EA7A44"/>
    <w:rsid w:val="00EA7B33"/>
    <w:rsid w:val="00EA7CB9"/>
    <w:rsid w:val="00EA7D1B"/>
    <w:rsid w:val="00EB0176"/>
    <w:rsid w:val="00EB02A9"/>
    <w:rsid w:val="00EB0A57"/>
    <w:rsid w:val="00EB0F5C"/>
    <w:rsid w:val="00EB13B1"/>
    <w:rsid w:val="00EB1436"/>
    <w:rsid w:val="00EB14EF"/>
    <w:rsid w:val="00EB1768"/>
    <w:rsid w:val="00EB17DE"/>
    <w:rsid w:val="00EB1917"/>
    <w:rsid w:val="00EB1A7A"/>
    <w:rsid w:val="00EB1CD6"/>
    <w:rsid w:val="00EB1DE2"/>
    <w:rsid w:val="00EB1E94"/>
    <w:rsid w:val="00EB1FE4"/>
    <w:rsid w:val="00EB20F0"/>
    <w:rsid w:val="00EB2619"/>
    <w:rsid w:val="00EB2807"/>
    <w:rsid w:val="00EB2826"/>
    <w:rsid w:val="00EB28AC"/>
    <w:rsid w:val="00EB2AC2"/>
    <w:rsid w:val="00EB30CA"/>
    <w:rsid w:val="00EB3283"/>
    <w:rsid w:val="00EB34F8"/>
    <w:rsid w:val="00EB35D1"/>
    <w:rsid w:val="00EB3B3E"/>
    <w:rsid w:val="00EB3BBC"/>
    <w:rsid w:val="00EB3C80"/>
    <w:rsid w:val="00EB3DE4"/>
    <w:rsid w:val="00EB3E6D"/>
    <w:rsid w:val="00EB404F"/>
    <w:rsid w:val="00EB4090"/>
    <w:rsid w:val="00EB421D"/>
    <w:rsid w:val="00EB4342"/>
    <w:rsid w:val="00EB47E4"/>
    <w:rsid w:val="00EB4879"/>
    <w:rsid w:val="00EB4918"/>
    <w:rsid w:val="00EB4AA2"/>
    <w:rsid w:val="00EB4CDF"/>
    <w:rsid w:val="00EB53F4"/>
    <w:rsid w:val="00EB5659"/>
    <w:rsid w:val="00EB582C"/>
    <w:rsid w:val="00EB58D8"/>
    <w:rsid w:val="00EB58FE"/>
    <w:rsid w:val="00EB599A"/>
    <w:rsid w:val="00EB5B45"/>
    <w:rsid w:val="00EB5FDC"/>
    <w:rsid w:val="00EB62DB"/>
    <w:rsid w:val="00EB652E"/>
    <w:rsid w:val="00EB660E"/>
    <w:rsid w:val="00EB678A"/>
    <w:rsid w:val="00EB6C6C"/>
    <w:rsid w:val="00EB7168"/>
    <w:rsid w:val="00EB7764"/>
    <w:rsid w:val="00EB7807"/>
    <w:rsid w:val="00EB795E"/>
    <w:rsid w:val="00EB79FB"/>
    <w:rsid w:val="00EB7CEE"/>
    <w:rsid w:val="00EBCCAA"/>
    <w:rsid w:val="00EC03E9"/>
    <w:rsid w:val="00EC0463"/>
    <w:rsid w:val="00EC0D43"/>
    <w:rsid w:val="00EC0E5E"/>
    <w:rsid w:val="00EC0E78"/>
    <w:rsid w:val="00EC112D"/>
    <w:rsid w:val="00EC1235"/>
    <w:rsid w:val="00EC1498"/>
    <w:rsid w:val="00EC1510"/>
    <w:rsid w:val="00EC15CF"/>
    <w:rsid w:val="00EC1643"/>
    <w:rsid w:val="00EC16EE"/>
    <w:rsid w:val="00EC1760"/>
    <w:rsid w:val="00EC17AA"/>
    <w:rsid w:val="00EC19C9"/>
    <w:rsid w:val="00EC1A6E"/>
    <w:rsid w:val="00EC1DDA"/>
    <w:rsid w:val="00EC2A56"/>
    <w:rsid w:val="00EC35C1"/>
    <w:rsid w:val="00EC3C1A"/>
    <w:rsid w:val="00EC3C6C"/>
    <w:rsid w:val="00EC3CB5"/>
    <w:rsid w:val="00EC4104"/>
    <w:rsid w:val="00EC46BC"/>
    <w:rsid w:val="00EC4764"/>
    <w:rsid w:val="00EC4822"/>
    <w:rsid w:val="00EC4A14"/>
    <w:rsid w:val="00EC4AC5"/>
    <w:rsid w:val="00EC4B32"/>
    <w:rsid w:val="00EC4B96"/>
    <w:rsid w:val="00EC4D83"/>
    <w:rsid w:val="00EC4F8E"/>
    <w:rsid w:val="00EC5008"/>
    <w:rsid w:val="00EC5CD9"/>
    <w:rsid w:val="00EC5F42"/>
    <w:rsid w:val="00EC624B"/>
    <w:rsid w:val="00EC64BA"/>
    <w:rsid w:val="00EC66FB"/>
    <w:rsid w:val="00EC6888"/>
    <w:rsid w:val="00EC693F"/>
    <w:rsid w:val="00EC6C78"/>
    <w:rsid w:val="00EC6D9F"/>
    <w:rsid w:val="00EC6F60"/>
    <w:rsid w:val="00EC756F"/>
    <w:rsid w:val="00EC77A9"/>
    <w:rsid w:val="00EC7B49"/>
    <w:rsid w:val="00EC7DA8"/>
    <w:rsid w:val="00ED027C"/>
    <w:rsid w:val="00ED075E"/>
    <w:rsid w:val="00ED075F"/>
    <w:rsid w:val="00ED07B1"/>
    <w:rsid w:val="00ED095F"/>
    <w:rsid w:val="00ED0A0A"/>
    <w:rsid w:val="00ED0A32"/>
    <w:rsid w:val="00ED0ACF"/>
    <w:rsid w:val="00ED0BE4"/>
    <w:rsid w:val="00ED0ED9"/>
    <w:rsid w:val="00ED0F79"/>
    <w:rsid w:val="00ED12E1"/>
    <w:rsid w:val="00ED1689"/>
    <w:rsid w:val="00ED1985"/>
    <w:rsid w:val="00ED1E07"/>
    <w:rsid w:val="00ED2E14"/>
    <w:rsid w:val="00ED2F3F"/>
    <w:rsid w:val="00ED3712"/>
    <w:rsid w:val="00ED383C"/>
    <w:rsid w:val="00ED3D3D"/>
    <w:rsid w:val="00ED3EF7"/>
    <w:rsid w:val="00ED3F71"/>
    <w:rsid w:val="00ED43F1"/>
    <w:rsid w:val="00ED4491"/>
    <w:rsid w:val="00ED44E9"/>
    <w:rsid w:val="00ED50E7"/>
    <w:rsid w:val="00ED5450"/>
    <w:rsid w:val="00ED58F9"/>
    <w:rsid w:val="00ED5A28"/>
    <w:rsid w:val="00ED5CB6"/>
    <w:rsid w:val="00ED6134"/>
    <w:rsid w:val="00ED63F1"/>
    <w:rsid w:val="00ED6E41"/>
    <w:rsid w:val="00ED6FD1"/>
    <w:rsid w:val="00ED713B"/>
    <w:rsid w:val="00ED7638"/>
    <w:rsid w:val="00ED77B8"/>
    <w:rsid w:val="00ED7829"/>
    <w:rsid w:val="00ED78C6"/>
    <w:rsid w:val="00ED78F5"/>
    <w:rsid w:val="00ED7A68"/>
    <w:rsid w:val="00ED7E04"/>
    <w:rsid w:val="00EE0207"/>
    <w:rsid w:val="00EE0357"/>
    <w:rsid w:val="00EE0C35"/>
    <w:rsid w:val="00EE14D9"/>
    <w:rsid w:val="00EE1B45"/>
    <w:rsid w:val="00EE1D26"/>
    <w:rsid w:val="00EE239E"/>
    <w:rsid w:val="00EE2518"/>
    <w:rsid w:val="00EE262F"/>
    <w:rsid w:val="00EE265A"/>
    <w:rsid w:val="00EE28F3"/>
    <w:rsid w:val="00EE2A43"/>
    <w:rsid w:val="00EE32BA"/>
    <w:rsid w:val="00EE3435"/>
    <w:rsid w:val="00EE34E7"/>
    <w:rsid w:val="00EE3543"/>
    <w:rsid w:val="00EE363B"/>
    <w:rsid w:val="00EE3746"/>
    <w:rsid w:val="00EE38E6"/>
    <w:rsid w:val="00EE3CFF"/>
    <w:rsid w:val="00EE4152"/>
    <w:rsid w:val="00EE4293"/>
    <w:rsid w:val="00EE454B"/>
    <w:rsid w:val="00EE49CA"/>
    <w:rsid w:val="00EE4A42"/>
    <w:rsid w:val="00EE4B25"/>
    <w:rsid w:val="00EE4F92"/>
    <w:rsid w:val="00EE5073"/>
    <w:rsid w:val="00EE5117"/>
    <w:rsid w:val="00EE521D"/>
    <w:rsid w:val="00EE57D3"/>
    <w:rsid w:val="00EE6092"/>
    <w:rsid w:val="00EE627C"/>
    <w:rsid w:val="00EE62A4"/>
    <w:rsid w:val="00EE652E"/>
    <w:rsid w:val="00EE6904"/>
    <w:rsid w:val="00EE6DFA"/>
    <w:rsid w:val="00EE7280"/>
    <w:rsid w:val="00EE7533"/>
    <w:rsid w:val="00EE766A"/>
    <w:rsid w:val="00EE7695"/>
    <w:rsid w:val="00EE78CE"/>
    <w:rsid w:val="00EE79D2"/>
    <w:rsid w:val="00EE7BA6"/>
    <w:rsid w:val="00EE7CB7"/>
    <w:rsid w:val="00EF0023"/>
    <w:rsid w:val="00EF0439"/>
    <w:rsid w:val="00EF04E1"/>
    <w:rsid w:val="00EF04FF"/>
    <w:rsid w:val="00EF0858"/>
    <w:rsid w:val="00EF0D19"/>
    <w:rsid w:val="00EF0D80"/>
    <w:rsid w:val="00EF102E"/>
    <w:rsid w:val="00EF1066"/>
    <w:rsid w:val="00EF1266"/>
    <w:rsid w:val="00EF12DE"/>
    <w:rsid w:val="00EF12E2"/>
    <w:rsid w:val="00EF1320"/>
    <w:rsid w:val="00EF1616"/>
    <w:rsid w:val="00EF197A"/>
    <w:rsid w:val="00EF1E94"/>
    <w:rsid w:val="00EF2000"/>
    <w:rsid w:val="00EF20EA"/>
    <w:rsid w:val="00EF2112"/>
    <w:rsid w:val="00EF21BB"/>
    <w:rsid w:val="00EF22B3"/>
    <w:rsid w:val="00EF252C"/>
    <w:rsid w:val="00EF256F"/>
    <w:rsid w:val="00EF26DD"/>
    <w:rsid w:val="00EF2C5C"/>
    <w:rsid w:val="00EF2F58"/>
    <w:rsid w:val="00EF32DF"/>
    <w:rsid w:val="00EF33CC"/>
    <w:rsid w:val="00EF34D4"/>
    <w:rsid w:val="00EF3A95"/>
    <w:rsid w:val="00EF3B36"/>
    <w:rsid w:val="00EF3E24"/>
    <w:rsid w:val="00EF4347"/>
    <w:rsid w:val="00EF4399"/>
    <w:rsid w:val="00EF46DC"/>
    <w:rsid w:val="00EF46F3"/>
    <w:rsid w:val="00EF470D"/>
    <w:rsid w:val="00EF473D"/>
    <w:rsid w:val="00EF4931"/>
    <w:rsid w:val="00EF49B3"/>
    <w:rsid w:val="00EF4CB0"/>
    <w:rsid w:val="00EF4E3B"/>
    <w:rsid w:val="00EF4F63"/>
    <w:rsid w:val="00EF5019"/>
    <w:rsid w:val="00EF5110"/>
    <w:rsid w:val="00EF5111"/>
    <w:rsid w:val="00EF5180"/>
    <w:rsid w:val="00EF5385"/>
    <w:rsid w:val="00EF56D2"/>
    <w:rsid w:val="00EF5764"/>
    <w:rsid w:val="00EF5AF7"/>
    <w:rsid w:val="00EF5DB1"/>
    <w:rsid w:val="00EF60BC"/>
    <w:rsid w:val="00EF62D1"/>
    <w:rsid w:val="00EF62DE"/>
    <w:rsid w:val="00EF6C93"/>
    <w:rsid w:val="00EF6D4D"/>
    <w:rsid w:val="00EF6EB7"/>
    <w:rsid w:val="00EF7097"/>
    <w:rsid w:val="00EF745E"/>
    <w:rsid w:val="00EF7604"/>
    <w:rsid w:val="00EFA073"/>
    <w:rsid w:val="00F0004E"/>
    <w:rsid w:val="00F00AB5"/>
    <w:rsid w:val="00F01180"/>
    <w:rsid w:val="00F01478"/>
    <w:rsid w:val="00F014D9"/>
    <w:rsid w:val="00F0169A"/>
    <w:rsid w:val="00F016E0"/>
    <w:rsid w:val="00F01C3D"/>
    <w:rsid w:val="00F01FC2"/>
    <w:rsid w:val="00F02134"/>
    <w:rsid w:val="00F02449"/>
    <w:rsid w:val="00F0263C"/>
    <w:rsid w:val="00F0289E"/>
    <w:rsid w:val="00F031A6"/>
    <w:rsid w:val="00F036FF"/>
    <w:rsid w:val="00F037A5"/>
    <w:rsid w:val="00F038AF"/>
    <w:rsid w:val="00F0407D"/>
    <w:rsid w:val="00F045F6"/>
    <w:rsid w:val="00F046CC"/>
    <w:rsid w:val="00F04B66"/>
    <w:rsid w:val="00F050A8"/>
    <w:rsid w:val="00F054C7"/>
    <w:rsid w:val="00F0563F"/>
    <w:rsid w:val="00F05A22"/>
    <w:rsid w:val="00F05D4F"/>
    <w:rsid w:val="00F05DA4"/>
    <w:rsid w:val="00F06063"/>
    <w:rsid w:val="00F0690B"/>
    <w:rsid w:val="00F069ED"/>
    <w:rsid w:val="00F06AA7"/>
    <w:rsid w:val="00F06CED"/>
    <w:rsid w:val="00F06FB8"/>
    <w:rsid w:val="00F0722C"/>
    <w:rsid w:val="00F07258"/>
    <w:rsid w:val="00F07837"/>
    <w:rsid w:val="00F07AFB"/>
    <w:rsid w:val="00F07D85"/>
    <w:rsid w:val="00F10234"/>
    <w:rsid w:val="00F103B2"/>
    <w:rsid w:val="00F105D4"/>
    <w:rsid w:val="00F10F4D"/>
    <w:rsid w:val="00F1172C"/>
    <w:rsid w:val="00F12841"/>
    <w:rsid w:val="00F129EC"/>
    <w:rsid w:val="00F12B10"/>
    <w:rsid w:val="00F13F87"/>
    <w:rsid w:val="00F1431C"/>
    <w:rsid w:val="00F14333"/>
    <w:rsid w:val="00F14587"/>
    <w:rsid w:val="00F147AC"/>
    <w:rsid w:val="00F1498F"/>
    <w:rsid w:val="00F14A1B"/>
    <w:rsid w:val="00F14C21"/>
    <w:rsid w:val="00F14CEC"/>
    <w:rsid w:val="00F14D6E"/>
    <w:rsid w:val="00F14DB8"/>
    <w:rsid w:val="00F14E15"/>
    <w:rsid w:val="00F151FC"/>
    <w:rsid w:val="00F153D3"/>
    <w:rsid w:val="00F157EB"/>
    <w:rsid w:val="00F15882"/>
    <w:rsid w:val="00F15A0E"/>
    <w:rsid w:val="00F15BF5"/>
    <w:rsid w:val="00F15D16"/>
    <w:rsid w:val="00F15FCC"/>
    <w:rsid w:val="00F16213"/>
    <w:rsid w:val="00F16792"/>
    <w:rsid w:val="00F1693A"/>
    <w:rsid w:val="00F16BCE"/>
    <w:rsid w:val="00F16CD0"/>
    <w:rsid w:val="00F16EA6"/>
    <w:rsid w:val="00F16F39"/>
    <w:rsid w:val="00F17381"/>
    <w:rsid w:val="00F174B6"/>
    <w:rsid w:val="00F1751C"/>
    <w:rsid w:val="00F17924"/>
    <w:rsid w:val="00F17E53"/>
    <w:rsid w:val="00F17F77"/>
    <w:rsid w:val="00F20788"/>
    <w:rsid w:val="00F20814"/>
    <w:rsid w:val="00F20AE4"/>
    <w:rsid w:val="00F20B19"/>
    <w:rsid w:val="00F20BD3"/>
    <w:rsid w:val="00F20F64"/>
    <w:rsid w:val="00F212D5"/>
    <w:rsid w:val="00F213CA"/>
    <w:rsid w:val="00F213DE"/>
    <w:rsid w:val="00F216ED"/>
    <w:rsid w:val="00F2180D"/>
    <w:rsid w:val="00F2181F"/>
    <w:rsid w:val="00F2189E"/>
    <w:rsid w:val="00F21AA5"/>
    <w:rsid w:val="00F21C9A"/>
    <w:rsid w:val="00F21CFC"/>
    <w:rsid w:val="00F21DFF"/>
    <w:rsid w:val="00F22A7F"/>
    <w:rsid w:val="00F22B11"/>
    <w:rsid w:val="00F230E7"/>
    <w:rsid w:val="00F23322"/>
    <w:rsid w:val="00F2339C"/>
    <w:rsid w:val="00F2348C"/>
    <w:rsid w:val="00F2383D"/>
    <w:rsid w:val="00F23AF2"/>
    <w:rsid w:val="00F23EA5"/>
    <w:rsid w:val="00F241F9"/>
    <w:rsid w:val="00F244A9"/>
    <w:rsid w:val="00F24892"/>
    <w:rsid w:val="00F24898"/>
    <w:rsid w:val="00F2498C"/>
    <w:rsid w:val="00F24A9B"/>
    <w:rsid w:val="00F24DEB"/>
    <w:rsid w:val="00F24E3C"/>
    <w:rsid w:val="00F25086"/>
    <w:rsid w:val="00F250C4"/>
    <w:rsid w:val="00F250E1"/>
    <w:rsid w:val="00F25352"/>
    <w:rsid w:val="00F25E9F"/>
    <w:rsid w:val="00F260F8"/>
    <w:rsid w:val="00F2622B"/>
    <w:rsid w:val="00F263EA"/>
    <w:rsid w:val="00F2666A"/>
    <w:rsid w:val="00F26C51"/>
    <w:rsid w:val="00F26D9D"/>
    <w:rsid w:val="00F26F9D"/>
    <w:rsid w:val="00F27161"/>
    <w:rsid w:val="00F27495"/>
    <w:rsid w:val="00F275D4"/>
    <w:rsid w:val="00F276B2"/>
    <w:rsid w:val="00F27B59"/>
    <w:rsid w:val="00F27BD0"/>
    <w:rsid w:val="00F27D84"/>
    <w:rsid w:val="00F27DA6"/>
    <w:rsid w:val="00F27DFC"/>
    <w:rsid w:val="00F27FD5"/>
    <w:rsid w:val="00F30083"/>
    <w:rsid w:val="00F30237"/>
    <w:rsid w:val="00F30504"/>
    <w:rsid w:val="00F30535"/>
    <w:rsid w:val="00F306BC"/>
    <w:rsid w:val="00F30964"/>
    <w:rsid w:val="00F309E8"/>
    <w:rsid w:val="00F309FD"/>
    <w:rsid w:val="00F312AD"/>
    <w:rsid w:val="00F3174D"/>
    <w:rsid w:val="00F319E6"/>
    <w:rsid w:val="00F31B5D"/>
    <w:rsid w:val="00F31E75"/>
    <w:rsid w:val="00F31F15"/>
    <w:rsid w:val="00F31F19"/>
    <w:rsid w:val="00F32459"/>
    <w:rsid w:val="00F32525"/>
    <w:rsid w:val="00F32AC9"/>
    <w:rsid w:val="00F32E56"/>
    <w:rsid w:val="00F32FE0"/>
    <w:rsid w:val="00F332D9"/>
    <w:rsid w:val="00F33329"/>
    <w:rsid w:val="00F334E2"/>
    <w:rsid w:val="00F33543"/>
    <w:rsid w:val="00F337FB"/>
    <w:rsid w:val="00F34325"/>
    <w:rsid w:val="00F34579"/>
    <w:rsid w:val="00F3463F"/>
    <w:rsid w:val="00F34666"/>
    <w:rsid w:val="00F3476B"/>
    <w:rsid w:val="00F35314"/>
    <w:rsid w:val="00F353FD"/>
    <w:rsid w:val="00F355C0"/>
    <w:rsid w:val="00F35C35"/>
    <w:rsid w:val="00F35D52"/>
    <w:rsid w:val="00F35D60"/>
    <w:rsid w:val="00F35D9A"/>
    <w:rsid w:val="00F35EA0"/>
    <w:rsid w:val="00F35F91"/>
    <w:rsid w:val="00F3607E"/>
    <w:rsid w:val="00F3629B"/>
    <w:rsid w:val="00F36CAE"/>
    <w:rsid w:val="00F36DC2"/>
    <w:rsid w:val="00F36F40"/>
    <w:rsid w:val="00F373A5"/>
    <w:rsid w:val="00F37785"/>
    <w:rsid w:val="00F37B75"/>
    <w:rsid w:val="00F37D8A"/>
    <w:rsid w:val="00F37DC4"/>
    <w:rsid w:val="00F37FD6"/>
    <w:rsid w:val="00F4012A"/>
    <w:rsid w:val="00F4031A"/>
    <w:rsid w:val="00F40816"/>
    <w:rsid w:val="00F40A71"/>
    <w:rsid w:val="00F40A88"/>
    <w:rsid w:val="00F4144B"/>
    <w:rsid w:val="00F4196B"/>
    <w:rsid w:val="00F419AB"/>
    <w:rsid w:val="00F41A3E"/>
    <w:rsid w:val="00F41AF4"/>
    <w:rsid w:val="00F41D8D"/>
    <w:rsid w:val="00F42009"/>
    <w:rsid w:val="00F4226B"/>
    <w:rsid w:val="00F422A8"/>
    <w:rsid w:val="00F4235C"/>
    <w:rsid w:val="00F4267C"/>
    <w:rsid w:val="00F42871"/>
    <w:rsid w:val="00F42976"/>
    <w:rsid w:val="00F43206"/>
    <w:rsid w:val="00F4384F"/>
    <w:rsid w:val="00F43B21"/>
    <w:rsid w:val="00F43B73"/>
    <w:rsid w:val="00F43BD4"/>
    <w:rsid w:val="00F43CC9"/>
    <w:rsid w:val="00F43E4E"/>
    <w:rsid w:val="00F43E5E"/>
    <w:rsid w:val="00F44120"/>
    <w:rsid w:val="00F44338"/>
    <w:rsid w:val="00F44550"/>
    <w:rsid w:val="00F44E59"/>
    <w:rsid w:val="00F44F06"/>
    <w:rsid w:val="00F45192"/>
    <w:rsid w:val="00F451A5"/>
    <w:rsid w:val="00F451DD"/>
    <w:rsid w:val="00F454B1"/>
    <w:rsid w:val="00F4557C"/>
    <w:rsid w:val="00F45976"/>
    <w:rsid w:val="00F45C1C"/>
    <w:rsid w:val="00F45DDD"/>
    <w:rsid w:val="00F45F6E"/>
    <w:rsid w:val="00F45FB2"/>
    <w:rsid w:val="00F46040"/>
    <w:rsid w:val="00F46268"/>
    <w:rsid w:val="00F46269"/>
    <w:rsid w:val="00F462B0"/>
    <w:rsid w:val="00F4640C"/>
    <w:rsid w:val="00F46451"/>
    <w:rsid w:val="00F46617"/>
    <w:rsid w:val="00F472E0"/>
    <w:rsid w:val="00F47388"/>
    <w:rsid w:val="00F4741A"/>
    <w:rsid w:val="00F47470"/>
    <w:rsid w:val="00F47559"/>
    <w:rsid w:val="00F47B61"/>
    <w:rsid w:val="00F47B97"/>
    <w:rsid w:val="00F47E89"/>
    <w:rsid w:val="00F47F81"/>
    <w:rsid w:val="00F47FC2"/>
    <w:rsid w:val="00F501EB"/>
    <w:rsid w:val="00F505DE"/>
    <w:rsid w:val="00F50DB4"/>
    <w:rsid w:val="00F51571"/>
    <w:rsid w:val="00F519FD"/>
    <w:rsid w:val="00F51CFC"/>
    <w:rsid w:val="00F51E23"/>
    <w:rsid w:val="00F51E79"/>
    <w:rsid w:val="00F51F61"/>
    <w:rsid w:val="00F520B7"/>
    <w:rsid w:val="00F529DF"/>
    <w:rsid w:val="00F52DBE"/>
    <w:rsid w:val="00F53495"/>
    <w:rsid w:val="00F534BA"/>
    <w:rsid w:val="00F53616"/>
    <w:rsid w:val="00F536EC"/>
    <w:rsid w:val="00F53C33"/>
    <w:rsid w:val="00F5430F"/>
    <w:rsid w:val="00F5445C"/>
    <w:rsid w:val="00F545BF"/>
    <w:rsid w:val="00F547C9"/>
    <w:rsid w:val="00F547D5"/>
    <w:rsid w:val="00F548FD"/>
    <w:rsid w:val="00F54AF8"/>
    <w:rsid w:val="00F54B67"/>
    <w:rsid w:val="00F54F56"/>
    <w:rsid w:val="00F5515D"/>
    <w:rsid w:val="00F55330"/>
    <w:rsid w:val="00F55B50"/>
    <w:rsid w:val="00F55B5E"/>
    <w:rsid w:val="00F560CE"/>
    <w:rsid w:val="00F56659"/>
    <w:rsid w:val="00F56BCD"/>
    <w:rsid w:val="00F57158"/>
    <w:rsid w:val="00F57420"/>
    <w:rsid w:val="00F57843"/>
    <w:rsid w:val="00F57AA9"/>
    <w:rsid w:val="00F57CDA"/>
    <w:rsid w:val="00F57E59"/>
    <w:rsid w:val="00F57EF1"/>
    <w:rsid w:val="00F60064"/>
    <w:rsid w:val="00F600A2"/>
    <w:rsid w:val="00F600E7"/>
    <w:rsid w:val="00F605AB"/>
    <w:rsid w:val="00F60898"/>
    <w:rsid w:val="00F60B7C"/>
    <w:rsid w:val="00F60BE4"/>
    <w:rsid w:val="00F60C71"/>
    <w:rsid w:val="00F60CCD"/>
    <w:rsid w:val="00F60CEE"/>
    <w:rsid w:val="00F60DD7"/>
    <w:rsid w:val="00F60E3F"/>
    <w:rsid w:val="00F60E89"/>
    <w:rsid w:val="00F60F23"/>
    <w:rsid w:val="00F61251"/>
    <w:rsid w:val="00F614E5"/>
    <w:rsid w:val="00F61B84"/>
    <w:rsid w:val="00F61C01"/>
    <w:rsid w:val="00F61C8A"/>
    <w:rsid w:val="00F61DF0"/>
    <w:rsid w:val="00F620E1"/>
    <w:rsid w:val="00F624F7"/>
    <w:rsid w:val="00F62762"/>
    <w:rsid w:val="00F6288B"/>
    <w:rsid w:val="00F62CE2"/>
    <w:rsid w:val="00F62FB7"/>
    <w:rsid w:val="00F63457"/>
    <w:rsid w:val="00F636A3"/>
    <w:rsid w:val="00F6371A"/>
    <w:rsid w:val="00F6382F"/>
    <w:rsid w:val="00F63B50"/>
    <w:rsid w:val="00F6456E"/>
    <w:rsid w:val="00F64575"/>
    <w:rsid w:val="00F647A8"/>
    <w:rsid w:val="00F648E4"/>
    <w:rsid w:val="00F64C7B"/>
    <w:rsid w:val="00F65368"/>
    <w:rsid w:val="00F65514"/>
    <w:rsid w:val="00F65A6D"/>
    <w:rsid w:val="00F65B30"/>
    <w:rsid w:val="00F65B5C"/>
    <w:rsid w:val="00F65E5E"/>
    <w:rsid w:val="00F65FF9"/>
    <w:rsid w:val="00F6602A"/>
    <w:rsid w:val="00F66471"/>
    <w:rsid w:val="00F66AFC"/>
    <w:rsid w:val="00F676DD"/>
    <w:rsid w:val="00F67B5F"/>
    <w:rsid w:val="00F701B0"/>
    <w:rsid w:val="00F703E1"/>
    <w:rsid w:val="00F707B8"/>
    <w:rsid w:val="00F708A9"/>
    <w:rsid w:val="00F70BB4"/>
    <w:rsid w:val="00F70CB7"/>
    <w:rsid w:val="00F7101F"/>
    <w:rsid w:val="00F7138A"/>
    <w:rsid w:val="00F71EB6"/>
    <w:rsid w:val="00F720A6"/>
    <w:rsid w:val="00F72218"/>
    <w:rsid w:val="00F7230C"/>
    <w:rsid w:val="00F7245C"/>
    <w:rsid w:val="00F728FF"/>
    <w:rsid w:val="00F7293D"/>
    <w:rsid w:val="00F72D87"/>
    <w:rsid w:val="00F73081"/>
    <w:rsid w:val="00F73A97"/>
    <w:rsid w:val="00F73AB6"/>
    <w:rsid w:val="00F73B59"/>
    <w:rsid w:val="00F73B7B"/>
    <w:rsid w:val="00F73EA4"/>
    <w:rsid w:val="00F73F29"/>
    <w:rsid w:val="00F7415C"/>
    <w:rsid w:val="00F74646"/>
    <w:rsid w:val="00F749E7"/>
    <w:rsid w:val="00F74CFB"/>
    <w:rsid w:val="00F75079"/>
    <w:rsid w:val="00F75386"/>
    <w:rsid w:val="00F75516"/>
    <w:rsid w:val="00F756CA"/>
    <w:rsid w:val="00F75756"/>
    <w:rsid w:val="00F757C5"/>
    <w:rsid w:val="00F75A26"/>
    <w:rsid w:val="00F75A42"/>
    <w:rsid w:val="00F75EC5"/>
    <w:rsid w:val="00F75F43"/>
    <w:rsid w:val="00F76019"/>
    <w:rsid w:val="00F7627C"/>
    <w:rsid w:val="00F76596"/>
    <w:rsid w:val="00F765C7"/>
    <w:rsid w:val="00F7674A"/>
    <w:rsid w:val="00F76A5D"/>
    <w:rsid w:val="00F76A95"/>
    <w:rsid w:val="00F76C6D"/>
    <w:rsid w:val="00F76DCE"/>
    <w:rsid w:val="00F771A6"/>
    <w:rsid w:val="00F77308"/>
    <w:rsid w:val="00F774FA"/>
    <w:rsid w:val="00F77583"/>
    <w:rsid w:val="00F77593"/>
    <w:rsid w:val="00F80096"/>
    <w:rsid w:val="00F80A7A"/>
    <w:rsid w:val="00F80A8C"/>
    <w:rsid w:val="00F80B9E"/>
    <w:rsid w:val="00F816D2"/>
    <w:rsid w:val="00F81851"/>
    <w:rsid w:val="00F81907"/>
    <w:rsid w:val="00F81989"/>
    <w:rsid w:val="00F824CE"/>
    <w:rsid w:val="00F8309F"/>
    <w:rsid w:val="00F8330E"/>
    <w:rsid w:val="00F83A15"/>
    <w:rsid w:val="00F83D62"/>
    <w:rsid w:val="00F83DC1"/>
    <w:rsid w:val="00F83E70"/>
    <w:rsid w:val="00F83F29"/>
    <w:rsid w:val="00F83FA2"/>
    <w:rsid w:val="00F83FAD"/>
    <w:rsid w:val="00F84070"/>
    <w:rsid w:val="00F8416F"/>
    <w:rsid w:val="00F84184"/>
    <w:rsid w:val="00F841E8"/>
    <w:rsid w:val="00F84398"/>
    <w:rsid w:val="00F8472B"/>
    <w:rsid w:val="00F849ED"/>
    <w:rsid w:val="00F84E5E"/>
    <w:rsid w:val="00F852B1"/>
    <w:rsid w:val="00F852CE"/>
    <w:rsid w:val="00F8552B"/>
    <w:rsid w:val="00F8567E"/>
    <w:rsid w:val="00F8585D"/>
    <w:rsid w:val="00F858E5"/>
    <w:rsid w:val="00F85A5D"/>
    <w:rsid w:val="00F864C7"/>
    <w:rsid w:val="00F86793"/>
    <w:rsid w:val="00F86B33"/>
    <w:rsid w:val="00F86B7A"/>
    <w:rsid w:val="00F86C5F"/>
    <w:rsid w:val="00F87032"/>
    <w:rsid w:val="00F8703A"/>
    <w:rsid w:val="00F8757E"/>
    <w:rsid w:val="00F87829"/>
    <w:rsid w:val="00F87DB9"/>
    <w:rsid w:val="00F9000A"/>
    <w:rsid w:val="00F9042C"/>
    <w:rsid w:val="00F905E1"/>
    <w:rsid w:val="00F905F2"/>
    <w:rsid w:val="00F908F6"/>
    <w:rsid w:val="00F90A6B"/>
    <w:rsid w:val="00F91363"/>
    <w:rsid w:val="00F919D2"/>
    <w:rsid w:val="00F91C00"/>
    <w:rsid w:val="00F91DC6"/>
    <w:rsid w:val="00F920AB"/>
    <w:rsid w:val="00F92466"/>
    <w:rsid w:val="00F9252A"/>
    <w:rsid w:val="00F9258A"/>
    <w:rsid w:val="00F92676"/>
    <w:rsid w:val="00F927F9"/>
    <w:rsid w:val="00F92A11"/>
    <w:rsid w:val="00F92C54"/>
    <w:rsid w:val="00F93446"/>
    <w:rsid w:val="00F93CC4"/>
    <w:rsid w:val="00F94027"/>
    <w:rsid w:val="00F94808"/>
    <w:rsid w:val="00F94982"/>
    <w:rsid w:val="00F94AE1"/>
    <w:rsid w:val="00F952A0"/>
    <w:rsid w:val="00F959E5"/>
    <w:rsid w:val="00F95C49"/>
    <w:rsid w:val="00F95CF0"/>
    <w:rsid w:val="00F96263"/>
    <w:rsid w:val="00F9635F"/>
    <w:rsid w:val="00F96662"/>
    <w:rsid w:val="00F9671F"/>
    <w:rsid w:val="00F96D0B"/>
    <w:rsid w:val="00F96E4B"/>
    <w:rsid w:val="00F97153"/>
    <w:rsid w:val="00F97276"/>
    <w:rsid w:val="00F979F1"/>
    <w:rsid w:val="00F97B6A"/>
    <w:rsid w:val="00F97C2D"/>
    <w:rsid w:val="00F97CE4"/>
    <w:rsid w:val="00F97DE9"/>
    <w:rsid w:val="00F97E72"/>
    <w:rsid w:val="00F97FF6"/>
    <w:rsid w:val="00FA023B"/>
    <w:rsid w:val="00FA055D"/>
    <w:rsid w:val="00FA0716"/>
    <w:rsid w:val="00FA0839"/>
    <w:rsid w:val="00FA08B2"/>
    <w:rsid w:val="00FA08D6"/>
    <w:rsid w:val="00FA08F4"/>
    <w:rsid w:val="00FA0922"/>
    <w:rsid w:val="00FA0A7D"/>
    <w:rsid w:val="00FA0AF6"/>
    <w:rsid w:val="00FA0CBD"/>
    <w:rsid w:val="00FA0CC0"/>
    <w:rsid w:val="00FA12CE"/>
    <w:rsid w:val="00FA1386"/>
    <w:rsid w:val="00FA188F"/>
    <w:rsid w:val="00FA18F2"/>
    <w:rsid w:val="00FA191D"/>
    <w:rsid w:val="00FA1E95"/>
    <w:rsid w:val="00FA222B"/>
    <w:rsid w:val="00FA22C5"/>
    <w:rsid w:val="00FA22E6"/>
    <w:rsid w:val="00FA239A"/>
    <w:rsid w:val="00FA23B8"/>
    <w:rsid w:val="00FA2769"/>
    <w:rsid w:val="00FA2E68"/>
    <w:rsid w:val="00FA2F10"/>
    <w:rsid w:val="00FA3360"/>
    <w:rsid w:val="00FA35BC"/>
    <w:rsid w:val="00FA3644"/>
    <w:rsid w:val="00FA3988"/>
    <w:rsid w:val="00FA3A24"/>
    <w:rsid w:val="00FA3A45"/>
    <w:rsid w:val="00FA3BB5"/>
    <w:rsid w:val="00FA3C7F"/>
    <w:rsid w:val="00FA3CF9"/>
    <w:rsid w:val="00FA3D7C"/>
    <w:rsid w:val="00FA40DE"/>
    <w:rsid w:val="00FA4562"/>
    <w:rsid w:val="00FA45AB"/>
    <w:rsid w:val="00FA4644"/>
    <w:rsid w:val="00FA4A9D"/>
    <w:rsid w:val="00FA4E0E"/>
    <w:rsid w:val="00FA4E23"/>
    <w:rsid w:val="00FA51FD"/>
    <w:rsid w:val="00FA52F6"/>
    <w:rsid w:val="00FA56DE"/>
    <w:rsid w:val="00FA6181"/>
    <w:rsid w:val="00FA627E"/>
    <w:rsid w:val="00FA63E6"/>
    <w:rsid w:val="00FA65DF"/>
    <w:rsid w:val="00FA67F2"/>
    <w:rsid w:val="00FA68A5"/>
    <w:rsid w:val="00FA6E03"/>
    <w:rsid w:val="00FA79B6"/>
    <w:rsid w:val="00FA7ED5"/>
    <w:rsid w:val="00FA7FD2"/>
    <w:rsid w:val="00FB01D7"/>
    <w:rsid w:val="00FB02D9"/>
    <w:rsid w:val="00FB0404"/>
    <w:rsid w:val="00FB050D"/>
    <w:rsid w:val="00FB096E"/>
    <w:rsid w:val="00FB0E35"/>
    <w:rsid w:val="00FB0E48"/>
    <w:rsid w:val="00FB0ED8"/>
    <w:rsid w:val="00FB1689"/>
    <w:rsid w:val="00FB1882"/>
    <w:rsid w:val="00FB1E73"/>
    <w:rsid w:val="00FB2023"/>
    <w:rsid w:val="00FB20FC"/>
    <w:rsid w:val="00FB2470"/>
    <w:rsid w:val="00FB24D5"/>
    <w:rsid w:val="00FB2AB7"/>
    <w:rsid w:val="00FB2D90"/>
    <w:rsid w:val="00FB30DB"/>
    <w:rsid w:val="00FB310F"/>
    <w:rsid w:val="00FB31E1"/>
    <w:rsid w:val="00FB3441"/>
    <w:rsid w:val="00FB3721"/>
    <w:rsid w:val="00FB372C"/>
    <w:rsid w:val="00FB3A77"/>
    <w:rsid w:val="00FB3BA0"/>
    <w:rsid w:val="00FB4098"/>
    <w:rsid w:val="00FB4370"/>
    <w:rsid w:val="00FB4501"/>
    <w:rsid w:val="00FB4875"/>
    <w:rsid w:val="00FB4AB4"/>
    <w:rsid w:val="00FB52D7"/>
    <w:rsid w:val="00FB56DA"/>
    <w:rsid w:val="00FB58E6"/>
    <w:rsid w:val="00FB595A"/>
    <w:rsid w:val="00FB5EB4"/>
    <w:rsid w:val="00FB5F6A"/>
    <w:rsid w:val="00FB60CD"/>
    <w:rsid w:val="00FB62F4"/>
    <w:rsid w:val="00FB6469"/>
    <w:rsid w:val="00FB65B1"/>
    <w:rsid w:val="00FB6647"/>
    <w:rsid w:val="00FB66C4"/>
    <w:rsid w:val="00FB678B"/>
    <w:rsid w:val="00FB6A6D"/>
    <w:rsid w:val="00FB6AFD"/>
    <w:rsid w:val="00FB6BAD"/>
    <w:rsid w:val="00FB6D8E"/>
    <w:rsid w:val="00FB6F53"/>
    <w:rsid w:val="00FB701F"/>
    <w:rsid w:val="00FB71A1"/>
    <w:rsid w:val="00FB73FA"/>
    <w:rsid w:val="00FB74E2"/>
    <w:rsid w:val="00FB7681"/>
    <w:rsid w:val="00FB78E7"/>
    <w:rsid w:val="00FB7A9A"/>
    <w:rsid w:val="00FB7B57"/>
    <w:rsid w:val="00FC04EF"/>
    <w:rsid w:val="00FC0A53"/>
    <w:rsid w:val="00FC0BB4"/>
    <w:rsid w:val="00FC0CDC"/>
    <w:rsid w:val="00FC13D8"/>
    <w:rsid w:val="00FC1608"/>
    <w:rsid w:val="00FC1A55"/>
    <w:rsid w:val="00FC1A90"/>
    <w:rsid w:val="00FC1DB8"/>
    <w:rsid w:val="00FC21AD"/>
    <w:rsid w:val="00FC2200"/>
    <w:rsid w:val="00FC226A"/>
    <w:rsid w:val="00FC25A9"/>
    <w:rsid w:val="00FC2BF0"/>
    <w:rsid w:val="00FC3250"/>
    <w:rsid w:val="00FC3305"/>
    <w:rsid w:val="00FC3527"/>
    <w:rsid w:val="00FC3567"/>
    <w:rsid w:val="00FC37C0"/>
    <w:rsid w:val="00FC3E31"/>
    <w:rsid w:val="00FC3EBC"/>
    <w:rsid w:val="00FC4254"/>
    <w:rsid w:val="00FC429F"/>
    <w:rsid w:val="00FC4396"/>
    <w:rsid w:val="00FC44C5"/>
    <w:rsid w:val="00FC4670"/>
    <w:rsid w:val="00FC4B0D"/>
    <w:rsid w:val="00FC4D56"/>
    <w:rsid w:val="00FC4D6F"/>
    <w:rsid w:val="00FC4F6A"/>
    <w:rsid w:val="00FC5257"/>
    <w:rsid w:val="00FC533A"/>
    <w:rsid w:val="00FC5354"/>
    <w:rsid w:val="00FC5D43"/>
    <w:rsid w:val="00FC5E5E"/>
    <w:rsid w:val="00FC61CC"/>
    <w:rsid w:val="00FC62BA"/>
    <w:rsid w:val="00FC62D5"/>
    <w:rsid w:val="00FC6433"/>
    <w:rsid w:val="00FC663D"/>
    <w:rsid w:val="00FC6B94"/>
    <w:rsid w:val="00FC70B6"/>
    <w:rsid w:val="00FC72F4"/>
    <w:rsid w:val="00FC73FA"/>
    <w:rsid w:val="00FC7F6E"/>
    <w:rsid w:val="00FCA0DD"/>
    <w:rsid w:val="00FD0012"/>
    <w:rsid w:val="00FD02DD"/>
    <w:rsid w:val="00FD03F8"/>
    <w:rsid w:val="00FD04BA"/>
    <w:rsid w:val="00FD060B"/>
    <w:rsid w:val="00FD0B1E"/>
    <w:rsid w:val="00FD0B59"/>
    <w:rsid w:val="00FD0BAC"/>
    <w:rsid w:val="00FD0BD6"/>
    <w:rsid w:val="00FD0CDA"/>
    <w:rsid w:val="00FD0D4B"/>
    <w:rsid w:val="00FD0FC9"/>
    <w:rsid w:val="00FD103B"/>
    <w:rsid w:val="00FD121A"/>
    <w:rsid w:val="00FD15C4"/>
    <w:rsid w:val="00FD1A82"/>
    <w:rsid w:val="00FD1AE5"/>
    <w:rsid w:val="00FD1D0D"/>
    <w:rsid w:val="00FD1FC4"/>
    <w:rsid w:val="00FD20DB"/>
    <w:rsid w:val="00FD228F"/>
    <w:rsid w:val="00FD22B7"/>
    <w:rsid w:val="00FD278B"/>
    <w:rsid w:val="00FD31DD"/>
    <w:rsid w:val="00FD3318"/>
    <w:rsid w:val="00FD345D"/>
    <w:rsid w:val="00FD3845"/>
    <w:rsid w:val="00FD3AF3"/>
    <w:rsid w:val="00FD3CB6"/>
    <w:rsid w:val="00FD4043"/>
    <w:rsid w:val="00FD422D"/>
    <w:rsid w:val="00FD43F6"/>
    <w:rsid w:val="00FD4903"/>
    <w:rsid w:val="00FD4AFD"/>
    <w:rsid w:val="00FD4DCC"/>
    <w:rsid w:val="00FD4E10"/>
    <w:rsid w:val="00FD500F"/>
    <w:rsid w:val="00FD53FA"/>
    <w:rsid w:val="00FD5614"/>
    <w:rsid w:val="00FD5ACB"/>
    <w:rsid w:val="00FD5D6E"/>
    <w:rsid w:val="00FD6674"/>
    <w:rsid w:val="00FD66C3"/>
    <w:rsid w:val="00FD6730"/>
    <w:rsid w:val="00FD679D"/>
    <w:rsid w:val="00FD690F"/>
    <w:rsid w:val="00FD6E42"/>
    <w:rsid w:val="00FD7409"/>
    <w:rsid w:val="00FD74CC"/>
    <w:rsid w:val="00FD7712"/>
    <w:rsid w:val="00FD79DD"/>
    <w:rsid w:val="00FD7BB1"/>
    <w:rsid w:val="00FD7C53"/>
    <w:rsid w:val="00FD7C6E"/>
    <w:rsid w:val="00FD7E81"/>
    <w:rsid w:val="00FE02D4"/>
    <w:rsid w:val="00FE0406"/>
    <w:rsid w:val="00FE04AD"/>
    <w:rsid w:val="00FE07AC"/>
    <w:rsid w:val="00FE082E"/>
    <w:rsid w:val="00FE0907"/>
    <w:rsid w:val="00FE0BE1"/>
    <w:rsid w:val="00FE0C9B"/>
    <w:rsid w:val="00FE0E2E"/>
    <w:rsid w:val="00FE1052"/>
    <w:rsid w:val="00FE139B"/>
    <w:rsid w:val="00FE1A37"/>
    <w:rsid w:val="00FE1DE9"/>
    <w:rsid w:val="00FE1E0A"/>
    <w:rsid w:val="00FE222C"/>
    <w:rsid w:val="00FE24CD"/>
    <w:rsid w:val="00FE39C2"/>
    <w:rsid w:val="00FE3C2C"/>
    <w:rsid w:val="00FE3C67"/>
    <w:rsid w:val="00FE3CA7"/>
    <w:rsid w:val="00FE4103"/>
    <w:rsid w:val="00FE42CB"/>
    <w:rsid w:val="00FE5120"/>
    <w:rsid w:val="00FE5636"/>
    <w:rsid w:val="00FE568A"/>
    <w:rsid w:val="00FE56C5"/>
    <w:rsid w:val="00FE5898"/>
    <w:rsid w:val="00FE5DA8"/>
    <w:rsid w:val="00FE5F7E"/>
    <w:rsid w:val="00FE6062"/>
    <w:rsid w:val="00FE60A4"/>
    <w:rsid w:val="00FE64AE"/>
    <w:rsid w:val="00FE653E"/>
    <w:rsid w:val="00FE6BEB"/>
    <w:rsid w:val="00FE701E"/>
    <w:rsid w:val="00FE7031"/>
    <w:rsid w:val="00FE75AE"/>
    <w:rsid w:val="00FE76D2"/>
    <w:rsid w:val="00FE78F4"/>
    <w:rsid w:val="00FE7A57"/>
    <w:rsid w:val="00FE7ED7"/>
    <w:rsid w:val="00FE7F2D"/>
    <w:rsid w:val="00FF0432"/>
    <w:rsid w:val="00FF0566"/>
    <w:rsid w:val="00FF0599"/>
    <w:rsid w:val="00FF087D"/>
    <w:rsid w:val="00FF0B7B"/>
    <w:rsid w:val="00FF0C4F"/>
    <w:rsid w:val="00FF0CD9"/>
    <w:rsid w:val="00FF13F8"/>
    <w:rsid w:val="00FF1684"/>
    <w:rsid w:val="00FF1BDC"/>
    <w:rsid w:val="00FF1BE4"/>
    <w:rsid w:val="00FF1F96"/>
    <w:rsid w:val="00FF21D2"/>
    <w:rsid w:val="00FF2326"/>
    <w:rsid w:val="00FF2455"/>
    <w:rsid w:val="00FF24B8"/>
    <w:rsid w:val="00FF288F"/>
    <w:rsid w:val="00FF2C25"/>
    <w:rsid w:val="00FF30BA"/>
    <w:rsid w:val="00FF33D4"/>
    <w:rsid w:val="00FF35E1"/>
    <w:rsid w:val="00FF37EF"/>
    <w:rsid w:val="00FF3ADA"/>
    <w:rsid w:val="00FF3C3D"/>
    <w:rsid w:val="00FF3CF9"/>
    <w:rsid w:val="00FF3DBD"/>
    <w:rsid w:val="00FF4093"/>
    <w:rsid w:val="00FF430A"/>
    <w:rsid w:val="00FF4377"/>
    <w:rsid w:val="00FF43F5"/>
    <w:rsid w:val="00FF450B"/>
    <w:rsid w:val="00FF48AF"/>
    <w:rsid w:val="00FF49DD"/>
    <w:rsid w:val="00FF4BE1"/>
    <w:rsid w:val="00FF540E"/>
    <w:rsid w:val="00FF54F1"/>
    <w:rsid w:val="00FF57C0"/>
    <w:rsid w:val="00FF58ED"/>
    <w:rsid w:val="00FF5CF2"/>
    <w:rsid w:val="00FF5CFA"/>
    <w:rsid w:val="00FF5EDF"/>
    <w:rsid w:val="00FF627E"/>
    <w:rsid w:val="00FF676C"/>
    <w:rsid w:val="00FF67BF"/>
    <w:rsid w:val="00FF68D0"/>
    <w:rsid w:val="00FF6F5B"/>
    <w:rsid w:val="00FF73B6"/>
    <w:rsid w:val="00FF74CC"/>
    <w:rsid w:val="00FF781D"/>
    <w:rsid w:val="00FF7838"/>
    <w:rsid w:val="00FF7BAF"/>
    <w:rsid w:val="00FF7BBA"/>
    <w:rsid w:val="00FF7E94"/>
    <w:rsid w:val="010A0520"/>
    <w:rsid w:val="010EBFD0"/>
    <w:rsid w:val="0110086F"/>
    <w:rsid w:val="011D4C6C"/>
    <w:rsid w:val="011E5B6F"/>
    <w:rsid w:val="011EA7CC"/>
    <w:rsid w:val="01248E3B"/>
    <w:rsid w:val="0126291D"/>
    <w:rsid w:val="0129F901"/>
    <w:rsid w:val="0135AC27"/>
    <w:rsid w:val="0135CD4A"/>
    <w:rsid w:val="01385C6E"/>
    <w:rsid w:val="013A9505"/>
    <w:rsid w:val="013CBB88"/>
    <w:rsid w:val="013DF6D7"/>
    <w:rsid w:val="01476418"/>
    <w:rsid w:val="014C5C72"/>
    <w:rsid w:val="0154F76B"/>
    <w:rsid w:val="0157C9D3"/>
    <w:rsid w:val="015B7ADD"/>
    <w:rsid w:val="015C42E6"/>
    <w:rsid w:val="01681192"/>
    <w:rsid w:val="01691E66"/>
    <w:rsid w:val="0169428D"/>
    <w:rsid w:val="01698BDD"/>
    <w:rsid w:val="0171EA82"/>
    <w:rsid w:val="01723F2C"/>
    <w:rsid w:val="017339C9"/>
    <w:rsid w:val="0174FE22"/>
    <w:rsid w:val="01777E38"/>
    <w:rsid w:val="0180A4E1"/>
    <w:rsid w:val="0185944F"/>
    <w:rsid w:val="018D63F9"/>
    <w:rsid w:val="01909390"/>
    <w:rsid w:val="01911BF2"/>
    <w:rsid w:val="0192E5FF"/>
    <w:rsid w:val="0194F62C"/>
    <w:rsid w:val="01A03862"/>
    <w:rsid w:val="01A13751"/>
    <w:rsid w:val="01A78F4D"/>
    <w:rsid w:val="01AD4C58"/>
    <w:rsid w:val="01AD7D40"/>
    <w:rsid w:val="01ADB598"/>
    <w:rsid w:val="01AED7A3"/>
    <w:rsid w:val="01B20EC8"/>
    <w:rsid w:val="01B28C71"/>
    <w:rsid w:val="01BD8C11"/>
    <w:rsid w:val="01C1DE1A"/>
    <w:rsid w:val="01C24119"/>
    <w:rsid w:val="01C4A18F"/>
    <w:rsid w:val="01CA4CBE"/>
    <w:rsid w:val="01D3098B"/>
    <w:rsid w:val="01DD78F0"/>
    <w:rsid w:val="01E07DC4"/>
    <w:rsid w:val="01E3D9E8"/>
    <w:rsid w:val="01EE45AE"/>
    <w:rsid w:val="01EF2E32"/>
    <w:rsid w:val="01FA5FE6"/>
    <w:rsid w:val="01FDE4F3"/>
    <w:rsid w:val="01FEBB05"/>
    <w:rsid w:val="01FF1B6E"/>
    <w:rsid w:val="020488AD"/>
    <w:rsid w:val="0205AEBE"/>
    <w:rsid w:val="0206F5E4"/>
    <w:rsid w:val="02071F6F"/>
    <w:rsid w:val="020D6F1E"/>
    <w:rsid w:val="0215E383"/>
    <w:rsid w:val="0216EDF4"/>
    <w:rsid w:val="02181E89"/>
    <w:rsid w:val="0219EDBE"/>
    <w:rsid w:val="021D3E1B"/>
    <w:rsid w:val="0220790A"/>
    <w:rsid w:val="022691B3"/>
    <w:rsid w:val="02270AA9"/>
    <w:rsid w:val="02296085"/>
    <w:rsid w:val="022B1E66"/>
    <w:rsid w:val="022E157A"/>
    <w:rsid w:val="02303D46"/>
    <w:rsid w:val="0231E5FF"/>
    <w:rsid w:val="023203AE"/>
    <w:rsid w:val="02336C2E"/>
    <w:rsid w:val="0233AE97"/>
    <w:rsid w:val="02383B3C"/>
    <w:rsid w:val="0239F331"/>
    <w:rsid w:val="023A6ABE"/>
    <w:rsid w:val="024759AF"/>
    <w:rsid w:val="025039EF"/>
    <w:rsid w:val="0254938C"/>
    <w:rsid w:val="026478EA"/>
    <w:rsid w:val="0264D812"/>
    <w:rsid w:val="0269BACD"/>
    <w:rsid w:val="02713C2A"/>
    <w:rsid w:val="028D1C01"/>
    <w:rsid w:val="0298EA5C"/>
    <w:rsid w:val="029DFAF7"/>
    <w:rsid w:val="029E70B6"/>
    <w:rsid w:val="02A214A0"/>
    <w:rsid w:val="02A68B7A"/>
    <w:rsid w:val="02A6BFE0"/>
    <w:rsid w:val="02AAACB7"/>
    <w:rsid w:val="02AB3A60"/>
    <w:rsid w:val="02B11802"/>
    <w:rsid w:val="02C05E9C"/>
    <w:rsid w:val="02C75DAA"/>
    <w:rsid w:val="02C8C2BC"/>
    <w:rsid w:val="02C8E828"/>
    <w:rsid w:val="02CDCCE1"/>
    <w:rsid w:val="02CE4B11"/>
    <w:rsid w:val="02DB11D7"/>
    <w:rsid w:val="02DB6CFE"/>
    <w:rsid w:val="02DE6B99"/>
    <w:rsid w:val="02E736A0"/>
    <w:rsid w:val="02FB3975"/>
    <w:rsid w:val="0308B8D3"/>
    <w:rsid w:val="030A5EC2"/>
    <w:rsid w:val="030F9A5D"/>
    <w:rsid w:val="0315E381"/>
    <w:rsid w:val="03211229"/>
    <w:rsid w:val="032BE66D"/>
    <w:rsid w:val="0331F565"/>
    <w:rsid w:val="03358611"/>
    <w:rsid w:val="03361E55"/>
    <w:rsid w:val="033A6966"/>
    <w:rsid w:val="033CCE1A"/>
    <w:rsid w:val="0345DCCA"/>
    <w:rsid w:val="034CAA5A"/>
    <w:rsid w:val="034E594A"/>
    <w:rsid w:val="0358A303"/>
    <w:rsid w:val="035A6ECB"/>
    <w:rsid w:val="035C8FB9"/>
    <w:rsid w:val="03668023"/>
    <w:rsid w:val="03682982"/>
    <w:rsid w:val="036AF84F"/>
    <w:rsid w:val="036BE691"/>
    <w:rsid w:val="036C528D"/>
    <w:rsid w:val="037484BC"/>
    <w:rsid w:val="03772F4A"/>
    <w:rsid w:val="0378AFA5"/>
    <w:rsid w:val="037D3A2C"/>
    <w:rsid w:val="037D8C27"/>
    <w:rsid w:val="038900CA"/>
    <w:rsid w:val="038AECCB"/>
    <w:rsid w:val="03A0E5CC"/>
    <w:rsid w:val="03A4A5B3"/>
    <w:rsid w:val="03AC8FA6"/>
    <w:rsid w:val="03AE59FC"/>
    <w:rsid w:val="03B24B44"/>
    <w:rsid w:val="03BC3F30"/>
    <w:rsid w:val="03BFBBD7"/>
    <w:rsid w:val="03C48898"/>
    <w:rsid w:val="03CD3CD5"/>
    <w:rsid w:val="03CDE525"/>
    <w:rsid w:val="03D79374"/>
    <w:rsid w:val="03D857E1"/>
    <w:rsid w:val="03DFA074"/>
    <w:rsid w:val="03E40EC0"/>
    <w:rsid w:val="03E4174D"/>
    <w:rsid w:val="03EEF780"/>
    <w:rsid w:val="03F27F64"/>
    <w:rsid w:val="03FD4819"/>
    <w:rsid w:val="04012A85"/>
    <w:rsid w:val="0404BA9C"/>
    <w:rsid w:val="0413FD63"/>
    <w:rsid w:val="0416F642"/>
    <w:rsid w:val="04240AEC"/>
    <w:rsid w:val="042E2C59"/>
    <w:rsid w:val="04300FC5"/>
    <w:rsid w:val="04398AEC"/>
    <w:rsid w:val="044255DB"/>
    <w:rsid w:val="044A1FA1"/>
    <w:rsid w:val="044A6185"/>
    <w:rsid w:val="04500DC1"/>
    <w:rsid w:val="04568F94"/>
    <w:rsid w:val="04626FFE"/>
    <w:rsid w:val="04658516"/>
    <w:rsid w:val="046BDD54"/>
    <w:rsid w:val="046C619C"/>
    <w:rsid w:val="047F8CE4"/>
    <w:rsid w:val="0484530C"/>
    <w:rsid w:val="048974DC"/>
    <w:rsid w:val="048D8FF4"/>
    <w:rsid w:val="049D0AB3"/>
    <w:rsid w:val="04A38A46"/>
    <w:rsid w:val="04A5E63A"/>
    <w:rsid w:val="04A80914"/>
    <w:rsid w:val="04A83235"/>
    <w:rsid w:val="04AA6B35"/>
    <w:rsid w:val="04AD770C"/>
    <w:rsid w:val="04AD8402"/>
    <w:rsid w:val="04ADE476"/>
    <w:rsid w:val="04C496CE"/>
    <w:rsid w:val="04C53D64"/>
    <w:rsid w:val="04C7ED33"/>
    <w:rsid w:val="04CBDE83"/>
    <w:rsid w:val="04D09A86"/>
    <w:rsid w:val="04D5F988"/>
    <w:rsid w:val="04D6D230"/>
    <w:rsid w:val="04DADC26"/>
    <w:rsid w:val="04E5B089"/>
    <w:rsid w:val="04F11523"/>
    <w:rsid w:val="04F250CF"/>
    <w:rsid w:val="04F3C3AD"/>
    <w:rsid w:val="04F777CF"/>
    <w:rsid w:val="04F7B2E9"/>
    <w:rsid w:val="05013AAB"/>
    <w:rsid w:val="050DA36B"/>
    <w:rsid w:val="050ED124"/>
    <w:rsid w:val="0510CABD"/>
    <w:rsid w:val="0513ED4D"/>
    <w:rsid w:val="05144F77"/>
    <w:rsid w:val="0523CF26"/>
    <w:rsid w:val="0523F0A7"/>
    <w:rsid w:val="052530AF"/>
    <w:rsid w:val="0526B049"/>
    <w:rsid w:val="05338ED7"/>
    <w:rsid w:val="05380860"/>
    <w:rsid w:val="0547813A"/>
    <w:rsid w:val="054D49BA"/>
    <w:rsid w:val="055338F0"/>
    <w:rsid w:val="055478D6"/>
    <w:rsid w:val="056022F8"/>
    <w:rsid w:val="0563A2A4"/>
    <w:rsid w:val="05673181"/>
    <w:rsid w:val="056D608C"/>
    <w:rsid w:val="057204B9"/>
    <w:rsid w:val="0575860E"/>
    <w:rsid w:val="057591F0"/>
    <w:rsid w:val="05768017"/>
    <w:rsid w:val="057756D5"/>
    <w:rsid w:val="057CF7FC"/>
    <w:rsid w:val="05821A61"/>
    <w:rsid w:val="05850CF4"/>
    <w:rsid w:val="058C331A"/>
    <w:rsid w:val="05911BDC"/>
    <w:rsid w:val="0593D05F"/>
    <w:rsid w:val="059C5022"/>
    <w:rsid w:val="05A42150"/>
    <w:rsid w:val="05A54427"/>
    <w:rsid w:val="05A71401"/>
    <w:rsid w:val="05A8614F"/>
    <w:rsid w:val="05A8C790"/>
    <w:rsid w:val="05A97946"/>
    <w:rsid w:val="05B42CF4"/>
    <w:rsid w:val="05B44DC5"/>
    <w:rsid w:val="05BE3EF5"/>
    <w:rsid w:val="05CC4D91"/>
    <w:rsid w:val="05D47EBE"/>
    <w:rsid w:val="05D72611"/>
    <w:rsid w:val="05DB60C4"/>
    <w:rsid w:val="05DD72A5"/>
    <w:rsid w:val="05E9E1D0"/>
    <w:rsid w:val="05EF5B21"/>
    <w:rsid w:val="05F68681"/>
    <w:rsid w:val="05FA4729"/>
    <w:rsid w:val="05FB6DD2"/>
    <w:rsid w:val="0602FBD0"/>
    <w:rsid w:val="0605F050"/>
    <w:rsid w:val="0606F65D"/>
    <w:rsid w:val="060A8257"/>
    <w:rsid w:val="060DFBE0"/>
    <w:rsid w:val="0611AB3E"/>
    <w:rsid w:val="0616DECC"/>
    <w:rsid w:val="063248FF"/>
    <w:rsid w:val="06373549"/>
    <w:rsid w:val="063A4361"/>
    <w:rsid w:val="0641E2A7"/>
    <w:rsid w:val="064933CF"/>
    <w:rsid w:val="0649476D"/>
    <w:rsid w:val="064C7FEA"/>
    <w:rsid w:val="06577FF5"/>
    <w:rsid w:val="065CA5D6"/>
    <w:rsid w:val="065CDD55"/>
    <w:rsid w:val="065CF2CC"/>
    <w:rsid w:val="0660B7D3"/>
    <w:rsid w:val="06619EC5"/>
    <w:rsid w:val="06632320"/>
    <w:rsid w:val="0666D16C"/>
    <w:rsid w:val="06686D1F"/>
    <w:rsid w:val="06701978"/>
    <w:rsid w:val="0673DA8B"/>
    <w:rsid w:val="06770332"/>
    <w:rsid w:val="067797B1"/>
    <w:rsid w:val="067A00B1"/>
    <w:rsid w:val="067AE2A9"/>
    <w:rsid w:val="067D7D3D"/>
    <w:rsid w:val="0684E094"/>
    <w:rsid w:val="068A326F"/>
    <w:rsid w:val="068B9A96"/>
    <w:rsid w:val="068CC0E8"/>
    <w:rsid w:val="068D3F9C"/>
    <w:rsid w:val="068DD0CB"/>
    <w:rsid w:val="06937A8E"/>
    <w:rsid w:val="06992C41"/>
    <w:rsid w:val="0699EE76"/>
    <w:rsid w:val="06A0001A"/>
    <w:rsid w:val="06A12223"/>
    <w:rsid w:val="06A5A4C3"/>
    <w:rsid w:val="06AB6712"/>
    <w:rsid w:val="06AE641B"/>
    <w:rsid w:val="06B0D1A3"/>
    <w:rsid w:val="06C2D818"/>
    <w:rsid w:val="06C56AA8"/>
    <w:rsid w:val="06CBC105"/>
    <w:rsid w:val="06D8D596"/>
    <w:rsid w:val="06DC4E99"/>
    <w:rsid w:val="06DD4D4A"/>
    <w:rsid w:val="06E2B832"/>
    <w:rsid w:val="06E7C400"/>
    <w:rsid w:val="06EEF99F"/>
    <w:rsid w:val="06F10D9E"/>
    <w:rsid w:val="06F91FD5"/>
    <w:rsid w:val="06FB9D15"/>
    <w:rsid w:val="06FCDFB5"/>
    <w:rsid w:val="06FDB672"/>
    <w:rsid w:val="06FE36EF"/>
    <w:rsid w:val="07025708"/>
    <w:rsid w:val="0702F6A2"/>
    <w:rsid w:val="0709D579"/>
    <w:rsid w:val="070BE6A9"/>
    <w:rsid w:val="07111DC6"/>
    <w:rsid w:val="071D4E97"/>
    <w:rsid w:val="0721D693"/>
    <w:rsid w:val="07254BCD"/>
    <w:rsid w:val="073480CB"/>
    <w:rsid w:val="07353794"/>
    <w:rsid w:val="073ACCF8"/>
    <w:rsid w:val="073B7140"/>
    <w:rsid w:val="07438286"/>
    <w:rsid w:val="07481199"/>
    <w:rsid w:val="074822B2"/>
    <w:rsid w:val="0749464F"/>
    <w:rsid w:val="074F698C"/>
    <w:rsid w:val="0751CD70"/>
    <w:rsid w:val="075E1D01"/>
    <w:rsid w:val="0769C754"/>
    <w:rsid w:val="076A94BD"/>
    <w:rsid w:val="076EE921"/>
    <w:rsid w:val="076FE984"/>
    <w:rsid w:val="0779890E"/>
    <w:rsid w:val="0781F321"/>
    <w:rsid w:val="0782F2F0"/>
    <w:rsid w:val="0783BC71"/>
    <w:rsid w:val="078423D3"/>
    <w:rsid w:val="078AF43A"/>
    <w:rsid w:val="0790E720"/>
    <w:rsid w:val="07961CA0"/>
    <w:rsid w:val="07993337"/>
    <w:rsid w:val="079DBB4B"/>
    <w:rsid w:val="079E049B"/>
    <w:rsid w:val="07A28782"/>
    <w:rsid w:val="07A2B3A4"/>
    <w:rsid w:val="07A6D9AE"/>
    <w:rsid w:val="07AA1D68"/>
    <w:rsid w:val="07AD5069"/>
    <w:rsid w:val="07AF11AF"/>
    <w:rsid w:val="07B665DD"/>
    <w:rsid w:val="07BC8F78"/>
    <w:rsid w:val="07CDEDB5"/>
    <w:rsid w:val="07D263A1"/>
    <w:rsid w:val="07D2DAAF"/>
    <w:rsid w:val="07DA7E58"/>
    <w:rsid w:val="07DAB2EF"/>
    <w:rsid w:val="07DC27EB"/>
    <w:rsid w:val="07E20D6D"/>
    <w:rsid w:val="07EC11B0"/>
    <w:rsid w:val="07EC4E66"/>
    <w:rsid w:val="07F2375C"/>
    <w:rsid w:val="07F97693"/>
    <w:rsid w:val="0803DF4F"/>
    <w:rsid w:val="08057BE7"/>
    <w:rsid w:val="0808BF25"/>
    <w:rsid w:val="080C6AAE"/>
    <w:rsid w:val="080E4304"/>
    <w:rsid w:val="080F712E"/>
    <w:rsid w:val="08141650"/>
    <w:rsid w:val="081E2C15"/>
    <w:rsid w:val="08200A7E"/>
    <w:rsid w:val="0826F3EB"/>
    <w:rsid w:val="082D0ADA"/>
    <w:rsid w:val="082E214A"/>
    <w:rsid w:val="0836CBDA"/>
    <w:rsid w:val="083FA8D0"/>
    <w:rsid w:val="084CE863"/>
    <w:rsid w:val="084DA944"/>
    <w:rsid w:val="085A8160"/>
    <w:rsid w:val="0861670A"/>
    <w:rsid w:val="08642715"/>
    <w:rsid w:val="086C0AA5"/>
    <w:rsid w:val="0871EB75"/>
    <w:rsid w:val="087FC173"/>
    <w:rsid w:val="08855A2B"/>
    <w:rsid w:val="0886FBDD"/>
    <w:rsid w:val="0888016A"/>
    <w:rsid w:val="089017A4"/>
    <w:rsid w:val="08A0D51C"/>
    <w:rsid w:val="08A2006A"/>
    <w:rsid w:val="08A27078"/>
    <w:rsid w:val="08AB3F1D"/>
    <w:rsid w:val="08B25A80"/>
    <w:rsid w:val="08B38DA1"/>
    <w:rsid w:val="08B5AF53"/>
    <w:rsid w:val="08BF07C3"/>
    <w:rsid w:val="08BF9DCC"/>
    <w:rsid w:val="08C69AB4"/>
    <w:rsid w:val="08CF1B05"/>
    <w:rsid w:val="08D06A19"/>
    <w:rsid w:val="08D93D05"/>
    <w:rsid w:val="08DB806B"/>
    <w:rsid w:val="08DE981D"/>
    <w:rsid w:val="08E3B948"/>
    <w:rsid w:val="08E46FB2"/>
    <w:rsid w:val="08EA0813"/>
    <w:rsid w:val="08EC11F8"/>
    <w:rsid w:val="08EC8148"/>
    <w:rsid w:val="08F2A9CE"/>
    <w:rsid w:val="08F57D6A"/>
    <w:rsid w:val="08FAEEEA"/>
    <w:rsid w:val="08FB7CC0"/>
    <w:rsid w:val="08FCAEED"/>
    <w:rsid w:val="0900789E"/>
    <w:rsid w:val="09016657"/>
    <w:rsid w:val="0906EF6F"/>
    <w:rsid w:val="090EFD91"/>
    <w:rsid w:val="091C34DE"/>
    <w:rsid w:val="092A4A62"/>
    <w:rsid w:val="092A616B"/>
    <w:rsid w:val="092E3B45"/>
    <w:rsid w:val="09319880"/>
    <w:rsid w:val="09386004"/>
    <w:rsid w:val="0939EA91"/>
    <w:rsid w:val="093F2C14"/>
    <w:rsid w:val="094C27EE"/>
    <w:rsid w:val="095A7AD6"/>
    <w:rsid w:val="095F673F"/>
    <w:rsid w:val="09637F5C"/>
    <w:rsid w:val="0963D6AC"/>
    <w:rsid w:val="0968DA5E"/>
    <w:rsid w:val="0969A7F9"/>
    <w:rsid w:val="096C987F"/>
    <w:rsid w:val="096F9B4F"/>
    <w:rsid w:val="097281B1"/>
    <w:rsid w:val="0975F919"/>
    <w:rsid w:val="098D3150"/>
    <w:rsid w:val="09963742"/>
    <w:rsid w:val="0996F8FA"/>
    <w:rsid w:val="0998F97E"/>
    <w:rsid w:val="099CE61E"/>
    <w:rsid w:val="099E42A4"/>
    <w:rsid w:val="09B4294C"/>
    <w:rsid w:val="09B776F3"/>
    <w:rsid w:val="09B7AEDF"/>
    <w:rsid w:val="09C10825"/>
    <w:rsid w:val="09C33B44"/>
    <w:rsid w:val="09C58A1A"/>
    <w:rsid w:val="09C60B45"/>
    <w:rsid w:val="09D17338"/>
    <w:rsid w:val="09D53455"/>
    <w:rsid w:val="09D66A63"/>
    <w:rsid w:val="09D9EB04"/>
    <w:rsid w:val="09DA1CD1"/>
    <w:rsid w:val="09DD8468"/>
    <w:rsid w:val="09DD96AE"/>
    <w:rsid w:val="09E5F593"/>
    <w:rsid w:val="09F08405"/>
    <w:rsid w:val="09F11397"/>
    <w:rsid w:val="09F481E3"/>
    <w:rsid w:val="09F5D30E"/>
    <w:rsid w:val="09F8BFAB"/>
    <w:rsid w:val="09FAD5A3"/>
    <w:rsid w:val="0A0111D8"/>
    <w:rsid w:val="0A01813A"/>
    <w:rsid w:val="0A0199A0"/>
    <w:rsid w:val="0A039AF7"/>
    <w:rsid w:val="0A0445D6"/>
    <w:rsid w:val="0A0765A3"/>
    <w:rsid w:val="0A07CDFA"/>
    <w:rsid w:val="0A15BD6D"/>
    <w:rsid w:val="0A15CE5B"/>
    <w:rsid w:val="0A17D289"/>
    <w:rsid w:val="0A1F7914"/>
    <w:rsid w:val="0A20C5C8"/>
    <w:rsid w:val="0A29AB59"/>
    <w:rsid w:val="0A39E428"/>
    <w:rsid w:val="0A3D0EE9"/>
    <w:rsid w:val="0A4280CC"/>
    <w:rsid w:val="0A48B282"/>
    <w:rsid w:val="0A4AF3E0"/>
    <w:rsid w:val="0A5201A9"/>
    <w:rsid w:val="0A52B303"/>
    <w:rsid w:val="0A551A1E"/>
    <w:rsid w:val="0A55CADF"/>
    <w:rsid w:val="0A66D201"/>
    <w:rsid w:val="0A72ABFA"/>
    <w:rsid w:val="0A76AC23"/>
    <w:rsid w:val="0A7A2844"/>
    <w:rsid w:val="0A7BD754"/>
    <w:rsid w:val="0A801245"/>
    <w:rsid w:val="0A8B89A6"/>
    <w:rsid w:val="0A8F2743"/>
    <w:rsid w:val="0A9B6D05"/>
    <w:rsid w:val="0AA136A7"/>
    <w:rsid w:val="0AA1E25E"/>
    <w:rsid w:val="0AA8AFC3"/>
    <w:rsid w:val="0AAA8C09"/>
    <w:rsid w:val="0AB17021"/>
    <w:rsid w:val="0AB4E7E5"/>
    <w:rsid w:val="0AB849CE"/>
    <w:rsid w:val="0ABD200A"/>
    <w:rsid w:val="0ABDB525"/>
    <w:rsid w:val="0AC5083D"/>
    <w:rsid w:val="0AD0791A"/>
    <w:rsid w:val="0AD849E0"/>
    <w:rsid w:val="0AE10DAC"/>
    <w:rsid w:val="0AE2DA43"/>
    <w:rsid w:val="0AE62A41"/>
    <w:rsid w:val="0AE967C8"/>
    <w:rsid w:val="0AEBBB50"/>
    <w:rsid w:val="0B01C6D7"/>
    <w:rsid w:val="0B09283A"/>
    <w:rsid w:val="0B0A16C3"/>
    <w:rsid w:val="0B0AC2C6"/>
    <w:rsid w:val="0B14F765"/>
    <w:rsid w:val="0B1773B9"/>
    <w:rsid w:val="0B1C7433"/>
    <w:rsid w:val="0B2644DF"/>
    <w:rsid w:val="0B277C2E"/>
    <w:rsid w:val="0B288202"/>
    <w:rsid w:val="0B33AF34"/>
    <w:rsid w:val="0B33EF69"/>
    <w:rsid w:val="0B367B9D"/>
    <w:rsid w:val="0B3F3D09"/>
    <w:rsid w:val="0B43670D"/>
    <w:rsid w:val="0B4576D0"/>
    <w:rsid w:val="0B469AB4"/>
    <w:rsid w:val="0B4B81E4"/>
    <w:rsid w:val="0B522A0F"/>
    <w:rsid w:val="0B58931D"/>
    <w:rsid w:val="0B625538"/>
    <w:rsid w:val="0B648869"/>
    <w:rsid w:val="0B669FB1"/>
    <w:rsid w:val="0B6A4343"/>
    <w:rsid w:val="0B6C8057"/>
    <w:rsid w:val="0B742158"/>
    <w:rsid w:val="0B7AF02D"/>
    <w:rsid w:val="0B80DC90"/>
    <w:rsid w:val="0B8580C8"/>
    <w:rsid w:val="0B85847D"/>
    <w:rsid w:val="0B8DF92F"/>
    <w:rsid w:val="0B9057D3"/>
    <w:rsid w:val="0B948271"/>
    <w:rsid w:val="0B954629"/>
    <w:rsid w:val="0B99F0AD"/>
    <w:rsid w:val="0B9BD490"/>
    <w:rsid w:val="0BA7D3AD"/>
    <w:rsid w:val="0BAF934B"/>
    <w:rsid w:val="0BB4D532"/>
    <w:rsid w:val="0BBA0979"/>
    <w:rsid w:val="0BBC9629"/>
    <w:rsid w:val="0BBCA958"/>
    <w:rsid w:val="0BBFF99C"/>
    <w:rsid w:val="0BC390B6"/>
    <w:rsid w:val="0BC752EC"/>
    <w:rsid w:val="0BCEB8E0"/>
    <w:rsid w:val="0BD63CAA"/>
    <w:rsid w:val="0BD765CE"/>
    <w:rsid w:val="0BDB27B6"/>
    <w:rsid w:val="0BDE8AF0"/>
    <w:rsid w:val="0BE23CEC"/>
    <w:rsid w:val="0BE44E0D"/>
    <w:rsid w:val="0BE78B01"/>
    <w:rsid w:val="0BEB3BEE"/>
    <w:rsid w:val="0BFA2CE1"/>
    <w:rsid w:val="0C010C0B"/>
    <w:rsid w:val="0C06C0EF"/>
    <w:rsid w:val="0C085174"/>
    <w:rsid w:val="0C08D4A0"/>
    <w:rsid w:val="0C0CF3CF"/>
    <w:rsid w:val="0C0FD4ED"/>
    <w:rsid w:val="0C10A0AC"/>
    <w:rsid w:val="0C1121DC"/>
    <w:rsid w:val="0C2041C6"/>
    <w:rsid w:val="0C233FED"/>
    <w:rsid w:val="0C2F9557"/>
    <w:rsid w:val="0C309A5D"/>
    <w:rsid w:val="0C320E4E"/>
    <w:rsid w:val="0C32C349"/>
    <w:rsid w:val="0C37EB86"/>
    <w:rsid w:val="0C45C1F0"/>
    <w:rsid w:val="0C5391BF"/>
    <w:rsid w:val="0C5E439C"/>
    <w:rsid w:val="0C6153AC"/>
    <w:rsid w:val="0C630E8E"/>
    <w:rsid w:val="0C633283"/>
    <w:rsid w:val="0C63DC8C"/>
    <w:rsid w:val="0C66A374"/>
    <w:rsid w:val="0C6B2AE6"/>
    <w:rsid w:val="0C6F4B76"/>
    <w:rsid w:val="0C73C0A0"/>
    <w:rsid w:val="0C7465B9"/>
    <w:rsid w:val="0C7A1FA9"/>
    <w:rsid w:val="0C80B58C"/>
    <w:rsid w:val="0C88F1FE"/>
    <w:rsid w:val="0C96269E"/>
    <w:rsid w:val="0C987EE8"/>
    <w:rsid w:val="0C9C381A"/>
    <w:rsid w:val="0CA08DAF"/>
    <w:rsid w:val="0CA25BDE"/>
    <w:rsid w:val="0CA97DE5"/>
    <w:rsid w:val="0CADDC60"/>
    <w:rsid w:val="0CB5F41D"/>
    <w:rsid w:val="0CB79378"/>
    <w:rsid w:val="0CBA100C"/>
    <w:rsid w:val="0CC18A0A"/>
    <w:rsid w:val="0CC2FE05"/>
    <w:rsid w:val="0CC78484"/>
    <w:rsid w:val="0CC9A061"/>
    <w:rsid w:val="0CCCCC07"/>
    <w:rsid w:val="0CCFECD2"/>
    <w:rsid w:val="0CD0D3CD"/>
    <w:rsid w:val="0CD2B1A4"/>
    <w:rsid w:val="0CE99EE7"/>
    <w:rsid w:val="0CEB1619"/>
    <w:rsid w:val="0CEF43CE"/>
    <w:rsid w:val="0CF2BC20"/>
    <w:rsid w:val="0CF35A6E"/>
    <w:rsid w:val="0CF43FBB"/>
    <w:rsid w:val="0CF5FCE6"/>
    <w:rsid w:val="0CF62C4B"/>
    <w:rsid w:val="0CFADEE8"/>
    <w:rsid w:val="0D01FC5D"/>
    <w:rsid w:val="0D02358A"/>
    <w:rsid w:val="0D0510BC"/>
    <w:rsid w:val="0D062FD1"/>
    <w:rsid w:val="0D08A068"/>
    <w:rsid w:val="0D08BF13"/>
    <w:rsid w:val="0D0DDBB3"/>
    <w:rsid w:val="0D0F2256"/>
    <w:rsid w:val="0D14165D"/>
    <w:rsid w:val="0D16E9BF"/>
    <w:rsid w:val="0D18E55A"/>
    <w:rsid w:val="0D1B1ADF"/>
    <w:rsid w:val="0D1B57EF"/>
    <w:rsid w:val="0D1BB94F"/>
    <w:rsid w:val="0D1DDFA1"/>
    <w:rsid w:val="0D25B535"/>
    <w:rsid w:val="0D295D3D"/>
    <w:rsid w:val="0D2A7719"/>
    <w:rsid w:val="0D2BCAA7"/>
    <w:rsid w:val="0D2FC057"/>
    <w:rsid w:val="0D30242F"/>
    <w:rsid w:val="0D37C1E2"/>
    <w:rsid w:val="0D3C4DDC"/>
    <w:rsid w:val="0D3E2BF3"/>
    <w:rsid w:val="0D3F63E7"/>
    <w:rsid w:val="0D4341A8"/>
    <w:rsid w:val="0D512DD9"/>
    <w:rsid w:val="0D51E023"/>
    <w:rsid w:val="0D5210CB"/>
    <w:rsid w:val="0D539EA9"/>
    <w:rsid w:val="0D5BB74A"/>
    <w:rsid w:val="0D66CA9F"/>
    <w:rsid w:val="0D6C4920"/>
    <w:rsid w:val="0D6C6831"/>
    <w:rsid w:val="0D6DB21C"/>
    <w:rsid w:val="0D6E72A2"/>
    <w:rsid w:val="0D6FCA19"/>
    <w:rsid w:val="0D701485"/>
    <w:rsid w:val="0D777DEF"/>
    <w:rsid w:val="0D7A77D1"/>
    <w:rsid w:val="0D7B4F8E"/>
    <w:rsid w:val="0D7DDCB9"/>
    <w:rsid w:val="0D8274AB"/>
    <w:rsid w:val="0D8375AD"/>
    <w:rsid w:val="0D868897"/>
    <w:rsid w:val="0DA14D68"/>
    <w:rsid w:val="0DA7E198"/>
    <w:rsid w:val="0DAE5C12"/>
    <w:rsid w:val="0DB9B35D"/>
    <w:rsid w:val="0DB9EA4C"/>
    <w:rsid w:val="0DC870F0"/>
    <w:rsid w:val="0DC93028"/>
    <w:rsid w:val="0DD84B00"/>
    <w:rsid w:val="0DDBDD4F"/>
    <w:rsid w:val="0DE6D637"/>
    <w:rsid w:val="0DE7E63D"/>
    <w:rsid w:val="0DE8A370"/>
    <w:rsid w:val="0DF76121"/>
    <w:rsid w:val="0DF79231"/>
    <w:rsid w:val="0DFC73AB"/>
    <w:rsid w:val="0DFCA750"/>
    <w:rsid w:val="0DFF56D2"/>
    <w:rsid w:val="0E011D5E"/>
    <w:rsid w:val="0E1220DC"/>
    <w:rsid w:val="0E1507D3"/>
    <w:rsid w:val="0E19DEA4"/>
    <w:rsid w:val="0E202440"/>
    <w:rsid w:val="0E286555"/>
    <w:rsid w:val="0E2B4518"/>
    <w:rsid w:val="0E34E089"/>
    <w:rsid w:val="0E372C41"/>
    <w:rsid w:val="0E3826C6"/>
    <w:rsid w:val="0E3936E7"/>
    <w:rsid w:val="0E3A8791"/>
    <w:rsid w:val="0E4E3F31"/>
    <w:rsid w:val="0E52A814"/>
    <w:rsid w:val="0E60D03D"/>
    <w:rsid w:val="0E61AF73"/>
    <w:rsid w:val="0E6297D7"/>
    <w:rsid w:val="0E62A64C"/>
    <w:rsid w:val="0E666882"/>
    <w:rsid w:val="0E6D2989"/>
    <w:rsid w:val="0E74368F"/>
    <w:rsid w:val="0E841D62"/>
    <w:rsid w:val="0E86748A"/>
    <w:rsid w:val="0E894792"/>
    <w:rsid w:val="0E8DDFDA"/>
    <w:rsid w:val="0E8F2ACF"/>
    <w:rsid w:val="0E97886D"/>
    <w:rsid w:val="0E981A9B"/>
    <w:rsid w:val="0E9CE28E"/>
    <w:rsid w:val="0E9D9573"/>
    <w:rsid w:val="0E9EB149"/>
    <w:rsid w:val="0EA17A76"/>
    <w:rsid w:val="0EA272B7"/>
    <w:rsid w:val="0EA38AE2"/>
    <w:rsid w:val="0EA548B8"/>
    <w:rsid w:val="0EAA3566"/>
    <w:rsid w:val="0EAF1EBB"/>
    <w:rsid w:val="0EB32586"/>
    <w:rsid w:val="0EBF36B3"/>
    <w:rsid w:val="0EBF5102"/>
    <w:rsid w:val="0EC1360B"/>
    <w:rsid w:val="0EC1D563"/>
    <w:rsid w:val="0EC65F91"/>
    <w:rsid w:val="0ECCFF09"/>
    <w:rsid w:val="0ECE3174"/>
    <w:rsid w:val="0ED46BB0"/>
    <w:rsid w:val="0ED6623D"/>
    <w:rsid w:val="0EDFF345"/>
    <w:rsid w:val="0EE72552"/>
    <w:rsid w:val="0EEE4D68"/>
    <w:rsid w:val="0EEF41A0"/>
    <w:rsid w:val="0EF08E1B"/>
    <w:rsid w:val="0EF14DEC"/>
    <w:rsid w:val="0EF5AF17"/>
    <w:rsid w:val="0EF5C41D"/>
    <w:rsid w:val="0EFA0387"/>
    <w:rsid w:val="0EFB61C6"/>
    <w:rsid w:val="0EFE856D"/>
    <w:rsid w:val="0EFEA103"/>
    <w:rsid w:val="0F066795"/>
    <w:rsid w:val="0F0B47EA"/>
    <w:rsid w:val="0F10FAEE"/>
    <w:rsid w:val="0F12277E"/>
    <w:rsid w:val="0F1695F7"/>
    <w:rsid w:val="0F1A702D"/>
    <w:rsid w:val="0F1C65AD"/>
    <w:rsid w:val="0F25805E"/>
    <w:rsid w:val="0F2A26FE"/>
    <w:rsid w:val="0F32199A"/>
    <w:rsid w:val="0F353B8B"/>
    <w:rsid w:val="0F3712E6"/>
    <w:rsid w:val="0F3E858A"/>
    <w:rsid w:val="0F438685"/>
    <w:rsid w:val="0F465A88"/>
    <w:rsid w:val="0F47D653"/>
    <w:rsid w:val="0F4C4CB5"/>
    <w:rsid w:val="0F514F50"/>
    <w:rsid w:val="0F521CD2"/>
    <w:rsid w:val="0F5717A1"/>
    <w:rsid w:val="0F57DF10"/>
    <w:rsid w:val="0F5A3D21"/>
    <w:rsid w:val="0F5AAFD5"/>
    <w:rsid w:val="0F5C6E97"/>
    <w:rsid w:val="0F61D5D4"/>
    <w:rsid w:val="0F682E2D"/>
    <w:rsid w:val="0F6BA8B9"/>
    <w:rsid w:val="0F6C9CD6"/>
    <w:rsid w:val="0F7BC7C3"/>
    <w:rsid w:val="0F89EBCF"/>
    <w:rsid w:val="0F8D2610"/>
    <w:rsid w:val="0F8E6B5F"/>
    <w:rsid w:val="0F99438E"/>
    <w:rsid w:val="0FAA3826"/>
    <w:rsid w:val="0FABD7E9"/>
    <w:rsid w:val="0FAC8995"/>
    <w:rsid w:val="0FAFBA32"/>
    <w:rsid w:val="0FB10BEF"/>
    <w:rsid w:val="0FC1A4C0"/>
    <w:rsid w:val="0FC1EC4D"/>
    <w:rsid w:val="0FC6EF43"/>
    <w:rsid w:val="0FD08A9A"/>
    <w:rsid w:val="0FD94118"/>
    <w:rsid w:val="0FDCDFE5"/>
    <w:rsid w:val="0FDD4D25"/>
    <w:rsid w:val="0FDF7EBF"/>
    <w:rsid w:val="0FE52593"/>
    <w:rsid w:val="0FEDFA84"/>
    <w:rsid w:val="0FF4DEB4"/>
    <w:rsid w:val="0FF79463"/>
    <w:rsid w:val="0FF974F4"/>
    <w:rsid w:val="10045DD0"/>
    <w:rsid w:val="1009ED06"/>
    <w:rsid w:val="100A595D"/>
    <w:rsid w:val="100B1C66"/>
    <w:rsid w:val="100CC07C"/>
    <w:rsid w:val="100EB21D"/>
    <w:rsid w:val="10115BCA"/>
    <w:rsid w:val="1013E717"/>
    <w:rsid w:val="10247F3B"/>
    <w:rsid w:val="102DE9BC"/>
    <w:rsid w:val="1038C65F"/>
    <w:rsid w:val="1039D64C"/>
    <w:rsid w:val="104A8748"/>
    <w:rsid w:val="104BD905"/>
    <w:rsid w:val="104F94EC"/>
    <w:rsid w:val="10544084"/>
    <w:rsid w:val="10576337"/>
    <w:rsid w:val="105E8A05"/>
    <w:rsid w:val="1062630A"/>
    <w:rsid w:val="1066E0E0"/>
    <w:rsid w:val="10682CEF"/>
    <w:rsid w:val="108FCA7A"/>
    <w:rsid w:val="10976B03"/>
    <w:rsid w:val="10984B77"/>
    <w:rsid w:val="109DE12E"/>
    <w:rsid w:val="10A1C381"/>
    <w:rsid w:val="10A28BF2"/>
    <w:rsid w:val="10A397AE"/>
    <w:rsid w:val="10A43DCA"/>
    <w:rsid w:val="10A9AD7F"/>
    <w:rsid w:val="10AA0A89"/>
    <w:rsid w:val="10AAFEF8"/>
    <w:rsid w:val="10B51D38"/>
    <w:rsid w:val="10B7221B"/>
    <w:rsid w:val="10B81774"/>
    <w:rsid w:val="10B8FC8F"/>
    <w:rsid w:val="10BFBD43"/>
    <w:rsid w:val="10C3766C"/>
    <w:rsid w:val="10CC34D5"/>
    <w:rsid w:val="10D63831"/>
    <w:rsid w:val="10DE234B"/>
    <w:rsid w:val="10DE8510"/>
    <w:rsid w:val="10E08B55"/>
    <w:rsid w:val="10E910FB"/>
    <w:rsid w:val="10F1EC4A"/>
    <w:rsid w:val="10F24D47"/>
    <w:rsid w:val="10F2FC3D"/>
    <w:rsid w:val="10F3A546"/>
    <w:rsid w:val="10F43BBE"/>
    <w:rsid w:val="10F4C97A"/>
    <w:rsid w:val="11117884"/>
    <w:rsid w:val="1118F093"/>
    <w:rsid w:val="11192F58"/>
    <w:rsid w:val="111C5D13"/>
    <w:rsid w:val="111F9881"/>
    <w:rsid w:val="112456E6"/>
    <w:rsid w:val="1125CB7F"/>
    <w:rsid w:val="112656E0"/>
    <w:rsid w:val="1128A028"/>
    <w:rsid w:val="1131E1E2"/>
    <w:rsid w:val="1134860B"/>
    <w:rsid w:val="113EB600"/>
    <w:rsid w:val="113F7B7A"/>
    <w:rsid w:val="113F9108"/>
    <w:rsid w:val="114215CE"/>
    <w:rsid w:val="114277CF"/>
    <w:rsid w:val="11442216"/>
    <w:rsid w:val="114B8A93"/>
    <w:rsid w:val="114FE00F"/>
    <w:rsid w:val="115428DF"/>
    <w:rsid w:val="116E189C"/>
    <w:rsid w:val="11757CBB"/>
    <w:rsid w:val="11831045"/>
    <w:rsid w:val="1189FB0A"/>
    <w:rsid w:val="119068C9"/>
    <w:rsid w:val="11908533"/>
    <w:rsid w:val="1190D369"/>
    <w:rsid w:val="11953407"/>
    <w:rsid w:val="119980FF"/>
    <w:rsid w:val="119A2210"/>
    <w:rsid w:val="119CD2D3"/>
    <w:rsid w:val="119E026C"/>
    <w:rsid w:val="11A49E4A"/>
    <w:rsid w:val="11A5F02F"/>
    <w:rsid w:val="11B16FB8"/>
    <w:rsid w:val="11B25169"/>
    <w:rsid w:val="11B699AB"/>
    <w:rsid w:val="11B801A6"/>
    <w:rsid w:val="11B9BA5E"/>
    <w:rsid w:val="11C4A1FA"/>
    <w:rsid w:val="11D1E3ED"/>
    <w:rsid w:val="11E54F85"/>
    <w:rsid w:val="11E57DAA"/>
    <w:rsid w:val="11ED8CD9"/>
    <w:rsid w:val="11F15F05"/>
    <w:rsid w:val="11F24ADE"/>
    <w:rsid w:val="11FC6E49"/>
    <w:rsid w:val="11FFD5F3"/>
    <w:rsid w:val="1208B19E"/>
    <w:rsid w:val="120C9586"/>
    <w:rsid w:val="120F7E5E"/>
    <w:rsid w:val="1215C977"/>
    <w:rsid w:val="1220583E"/>
    <w:rsid w:val="1229257F"/>
    <w:rsid w:val="122F3F6B"/>
    <w:rsid w:val="12321922"/>
    <w:rsid w:val="1233D4F9"/>
    <w:rsid w:val="1239776C"/>
    <w:rsid w:val="12454259"/>
    <w:rsid w:val="1248F1D8"/>
    <w:rsid w:val="124A9DF8"/>
    <w:rsid w:val="12504F11"/>
    <w:rsid w:val="12547252"/>
    <w:rsid w:val="125FDC61"/>
    <w:rsid w:val="1266D646"/>
    <w:rsid w:val="1268625F"/>
    <w:rsid w:val="126C1DAA"/>
    <w:rsid w:val="1273D85B"/>
    <w:rsid w:val="127745BA"/>
    <w:rsid w:val="12795F4B"/>
    <w:rsid w:val="1280C7B4"/>
    <w:rsid w:val="128252E8"/>
    <w:rsid w:val="12836B74"/>
    <w:rsid w:val="1284D68F"/>
    <w:rsid w:val="128553E6"/>
    <w:rsid w:val="1294CCD1"/>
    <w:rsid w:val="12958364"/>
    <w:rsid w:val="129A2E04"/>
    <w:rsid w:val="12ACC824"/>
    <w:rsid w:val="12B29405"/>
    <w:rsid w:val="12B73D4F"/>
    <w:rsid w:val="12BB357F"/>
    <w:rsid w:val="12BDAE31"/>
    <w:rsid w:val="12BE4DF1"/>
    <w:rsid w:val="12C2783A"/>
    <w:rsid w:val="12D00BC7"/>
    <w:rsid w:val="12E05257"/>
    <w:rsid w:val="12E6F60A"/>
    <w:rsid w:val="12FFFB43"/>
    <w:rsid w:val="13003008"/>
    <w:rsid w:val="1313176D"/>
    <w:rsid w:val="131416ED"/>
    <w:rsid w:val="13166764"/>
    <w:rsid w:val="13184A88"/>
    <w:rsid w:val="131F60AF"/>
    <w:rsid w:val="1323E2CA"/>
    <w:rsid w:val="1326AB49"/>
    <w:rsid w:val="1328FD7D"/>
    <w:rsid w:val="132AEE63"/>
    <w:rsid w:val="134B58B6"/>
    <w:rsid w:val="134C20AB"/>
    <w:rsid w:val="134E299D"/>
    <w:rsid w:val="136262D6"/>
    <w:rsid w:val="13695AB0"/>
    <w:rsid w:val="136D2A3E"/>
    <w:rsid w:val="136F36CC"/>
    <w:rsid w:val="137184EC"/>
    <w:rsid w:val="1378CAC7"/>
    <w:rsid w:val="137CE34D"/>
    <w:rsid w:val="1383D2E1"/>
    <w:rsid w:val="139521E7"/>
    <w:rsid w:val="13A120EB"/>
    <w:rsid w:val="13A4ED70"/>
    <w:rsid w:val="13B35EC8"/>
    <w:rsid w:val="13B4CFCE"/>
    <w:rsid w:val="13B635C1"/>
    <w:rsid w:val="13B9868A"/>
    <w:rsid w:val="13BA4550"/>
    <w:rsid w:val="13BB93E1"/>
    <w:rsid w:val="13C215E5"/>
    <w:rsid w:val="13C59D55"/>
    <w:rsid w:val="13D55B86"/>
    <w:rsid w:val="13D586BF"/>
    <w:rsid w:val="13D5C3A4"/>
    <w:rsid w:val="13DD4FE1"/>
    <w:rsid w:val="13E6AA8C"/>
    <w:rsid w:val="13E96DAA"/>
    <w:rsid w:val="13F1C865"/>
    <w:rsid w:val="13FCCB71"/>
    <w:rsid w:val="13FD9E5E"/>
    <w:rsid w:val="13FDC94A"/>
    <w:rsid w:val="1404928D"/>
    <w:rsid w:val="1406AA17"/>
    <w:rsid w:val="14084816"/>
    <w:rsid w:val="140DFEA5"/>
    <w:rsid w:val="1412B423"/>
    <w:rsid w:val="1417E6EB"/>
    <w:rsid w:val="141E2F8B"/>
    <w:rsid w:val="142AFEA3"/>
    <w:rsid w:val="142D2E67"/>
    <w:rsid w:val="1435BA37"/>
    <w:rsid w:val="1438597D"/>
    <w:rsid w:val="143CC8F4"/>
    <w:rsid w:val="143D9B2F"/>
    <w:rsid w:val="1440DF00"/>
    <w:rsid w:val="1444B396"/>
    <w:rsid w:val="1445B2D4"/>
    <w:rsid w:val="1448DC57"/>
    <w:rsid w:val="1448E9E2"/>
    <w:rsid w:val="144942BE"/>
    <w:rsid w:val="144A0BE7"/>
    <w:rsid w:val="144A13A1"/>
    <w:rsid w:val="14532023"/>
    <w:rsid w:val="1459DDC0"/>
    <w:rsid w:val="145A9E6D"/>
    <w:rsid w:val="1460D977"/>
    <w:rsid w:val="1465ADD0"/>
    <w:rsid w:val="146B8CC0"/>
    <w:rsid w:val="1475C3BA"/>
    <w:rsid w:val="147AF55E"/>
    <w:rsid w:val="1480885A"/>
    <w:rsid w:val="1482382D"/>
    <w:rsid w:val="14824303"/>
    <w:rsid w:val="1484A6FF"/>
    <w:rsid w:val="149DF092"/>
    <w:rsid w:val="14A136FD"/>
    <w:rsid w:val="14A77B47"/>
    <w:rsid w:val="14AC7A7D"/>
    <w:rsid w:val="14B75E40"/>
    <w:rsid w:val="14BF49F5"/>
    <w:rsid w:val="14C622BF"/>
    <w:rsid w:val="14CB5239"/>
    <w:rsid w:val="14D3FCDA"/>
    <w:rsid w:val="14D48B71"/>
    <w:rsid w:val="14DD35D2"/>
    <w:rsid w:val="14DD6FB9"/>
    <w:rsid w:val="14E2B2AE"/>
    <w:rsid w:val="14E61380"/>
    <w:rsid w:val="14F92D93"/>
    <w:rsid w:val="14FC3DB4"/>
    <w:rsid w:val="14FDAA33"/>
    <w:rsid w:val="14FF7809"/>
    <w:rsid w:val="14FFD0C8"/>
    <w:rsid w:val="15002729"/>
    <w:rsid w:val="15075BA4"/>
    <w:rsid w:val="150C9C8A"/>
    <w:rsid w:val="150E5A34"/>
    <w:rsid w:val="150EBFC3"/>
    <w:rsid w:val="15111E1A"/>
    <w:rsid w:val="1511515C"/>
    <w:rsid w:val="1511536E"/>
    <w:rsid w:val="15144BC1"/>
    <w:rsid w:val="15151358"/>
    <w:rsid w:val="1518051F"/>
    <w:rsid w:val="152008DA"/>
    <w:rsid w:val="15208551"/>
    <w:rsid w:val="1526C1B5"/>
    <w:rsid w:val="1526E859"/>
    <w:rsid w:val="152B21F9"/>
    <w:rsid w:val="152D8D77"/>
    <w:rsid w:val="152E29C8"/>
    <w:rsid w:val="15342AA2"/>
    <w:rsid w:val="1536EC43"/>
    <w:rsid w:val="153933DF"/>
    <w:rsid w:val="1539499C"/>
    <w:rsid w:val="153A1CF9"/>
    <w:rsid w:val="153A2A82"/>
    <w:rsid w:val="153AE66D"/>
    <w:rsid w:val="154C3C98"/>
    <w:rsid w:val="154E9EB2"/>
    <w:rsid w:val="155ACAD3"/>
    <w:rsid w:val="1563FD0C"/>
    <w:rsid w:val="15663085"/>
    <w:rsid w:val="1569C3D0"/>
    <w:rsid w:val="156A9A7D"/>
    <w:rsid w:val="156C6B89"/>
    <w:rsid w:val="15721C02"/>
    <w:rsid w:val="1573DE64"/>
    <w:rsid w:val="1575F2E8"/>
    <w:rsid w:val="157E37A7"/>
    <w:rsid w:val="157E841F"/>
    <w:rsid w:val="158597AA"/>
    <w:rsid w:val="15891B27"/>
    <w:rsid w:val="158974B5"/>
    <w:rsid w:val="159BEF43"/>
    <w:rsid w:val="159E356C"/>
    <w:rsid w:val="15AB8222"/>
    <w:rsid w:val="15AC4674"/>
    <w:rsid w:val="15B12E90"/>
    <w:rsid w:val="15B2278B"/>
    <w:rsid w:val="15B43A58"/>
    <w:rsid w:val="15BDC2A2"/>
    <w:rsid w:val="15BF46F8"/>
    <w:rsid w:val="15C0C626"/>
    <w:rsid w:val="15C1FA2F"/>
    <w:rsid w:val="15D32DF5"/>
    <w:rsid w:val="15D660E6"/>
    <w:rsid w:val="15DCAEF8"/>
    <w:rsid w:val="15DD7DBE"/>
    <w:rsid w:val="15E41EA9"/>
    <w:rsid w:val="15E83CF7"/>
    <w:rsid w:val="15EDA069"/>
    <w:rsid w:val="15F15C1D"/>
    <w:rsid w:val="15F1A9D2"/>
    <w:rsid w:val="15F3C00C"/>
    <w:rsid w:val="15F8287E"/>
    <w:rsid w:val="15F84727"/>
    <w:rsid w:val="16012424"/>
    <w:rsid w:val="160278AC"/>
    <w:rsid w:val="16031AE6"/>
    <w:rsid w:val="16076B4E"/>
    <w:rsid w:val="160FD69D"/>
    <w:rsid w:val="1610A7DB"/>
    <w:rsid w:val="16138482"/>
    <w:rsid w:val="161903EE"/>
    <w:rsid w:val="161C7353"/>
    <w:rsid w:val="16205915"/>
    <w:rsid w:val="1620AEC1"/>
    <w:rsid w:val="1623EB1C"/>
    <w:rsid w:val="162E2E4B"/>
    <w:rsid w:val="162E9774"/>
    <w:rsid w:val="16312527"/>
    <w:rsid w:val="16317C32"/>
    <w:rsid w:val="163318EA"/>
    <w:rsid w:val="163582BF"/>
    <w:rsid w:val="163B41DC"/>
    <w:rsid w:val="163E1DE5"/>
    <w:rsid w:val="163E6B83"/>
    <w:rsid w:val="163F0122"/>
    <w:rsid w:val="16505973"/>
    <w:rsid w:val="16505EA7"/>
    <w:rsid w:val="1657C4D8"/>
    <w:rsid w:val="16593D43"/>
    <w:rsid w:val="16602561"/>
    <w:rsid w:val="16611FFF"/>
    <w:rsid w:val="166A14A2"/>
    <w:rsid w:val="166D0FA4"/>
    <w:rsid w:val="16736B31"/>
    <w:rsid w:val="167AD3B6"/>
    <w:rsid w:val="167F5A09"/>
    <w:rsid w:val="16806A47"/>
    <w:rsid w:val="168C0EAD"/>
    <w:rsid w:val="168C3371"/>
    <w:rsid w:val="1693EFDD"/>
    <w:rsid w:val="1695DE72"/>
    <w:rsid w:val="16961A8D"/>
    <w:rsid w:val="16A9035A"/>
    <w:rsid w:val="16BE9167"/>
    <w:rsid w:val="16C687D7"/>
    <w:rsid w:val="16C68CBE"/>
    <w:rsid w:val="16C7AA14"/>
    <w:rsid w:val="16CDA293"/>
    <w:rsid w:val="16D19BBC"/>
    <w:rsid w:val="16DD1504"/>
    <w:rsid w:val="16DFA381"/>
    <w:rsid w:val="16E888D0"/>
    <w:rsid w:val="16E9A129"/>
    <w:rsid w:val="16EBCCAD"/>
    <w:rsid w:val="1703B5DF"/>
    <w:rsid w:val="170CA103"/>
    <w:rsid w:val="1711A8DE"/>
    <w:rsid w:val="17173EE9"/>
    <w:rsid w:val="171A1E49"/>
    <w:rsid w:val="171D8297"/>
    <w:rsid w:val="1721A8E5"/>
    <w:rsid w:val="17273C66"/>
    <w:rsid w:val="172F8D4E"/>
    <w:rsid w:val="173898F3"/>
    <w:rsid w:val="1738B1B8"/>
    <w:rsid w:val="17413D8E"/>
    <w:rsid w:val="17459E54"/>
    <w:rsid w:val="174C9889"/>
    <w:rsid w:val="1751344B"/>
    <w:rsid w:val="175207CD"/>
    <w:rsid w:val="1756D2DC"/>
    <w:rsid w:val="175B487F"/>
    <w:rsid w:val="175CBA79"/>
    <w:rsid w:val="175E2B8A"/>
    <w:rsid w:val="176253E8"/>
    <w:rsid w:val="1762AFAA"/>
    <w:rsid w:val="176CB4DC"/>
    <w:rsid w:val="176FDD41"/>
    <w:rsid w:val="177E88A9"/>
    <w:rsid w:val="178489E4"/>
    <w:rsid w:val="178C406D"/>
    <w:rsid w:val="1792F2AD"/>
    <w:rsid w:val="1795C654"/>
    <w:rsid w:val="1797E793"/>
    <w:rsid w:val="179F8E82"/>
    <w:rsid w:val="17A1FC21"/>
    <w:rsid w:val="17A3D7AE"/>
    <w:rsid w:val="17A40B9B"/>
    <w:rsid w:val="17A75FD2"/>
    <w:rsid w:val="17AB4EF2"/>
    <w:rsid w:val="17ADC505"/>
    <w:rsid w:val="17B05F23"/>
    <w:rsid w:val="17B0A39B"/>
    <w:rsid w:val="17B691C4"/>
    <w:rsid w:val="17B7848F"/>
    <w:rsid w:val="17B89C07"/>
    <w:rsid w:val="17B99530"/>
    <w:rsid w:val="17CEDF10"/>
    <w:rsid w:val="17D5A696"/>
    <w:rsid w:val="17DA261D"/>
    <w:rsid w:val="17DE6799"/>
    <w:rsid w:val="17DEC444"/>
    <w:rsid w:val="17E05B45"/>
    <w:rsid w:val="17E0BDF6"/>
    <w:rsid w:val="17E1857F"/>
    <w:rsid w:val="17E54A1C"/>
    <w:rsid w:val="17E8181A"/>
    <w:rsid w:val="17EAB672"/>
    <w:rsid w:val="17EAD666"/>
    <w:rsid w:val="17ED5221"/>
    <w:rsid w:val="17EDBE2A"/>
    <w:rsid w:val="17EFFDD1"/>
    <w:rsid w:val="17F76A2D"/>
    <w:rsid w:val="17F8E68D"/>
    <w:rsid w:val="17F995B3"/>
    <w:rsid w:val="17F99B13"/>
    <w:rsid w:val="17FC3FEF"/>
    <w:rsid w:val="17FCCA7D"/>
    <w:rsid w:val="1805E573"/>
    <w:rsid w:val="180CBD0E"/>
    <w:rsid w:val="180D114E"/>
    <w:rsid w:val="1812E0E8"/>
    <w:rsid w:val="18138225"/>
    <w:rsid w:val="1813D334"/>
    <w:rsid w:val="1818EC85"/>
    <w:rsid w:val="1821936D"/>
    <w:rsid w:val="1822514E"/>
    <w:rsid w:val="1822CF9A"/>
    <w:rsid w:val="182487F0"/>
    <w:rsid w:val="182D7718"/>
    <w:rsid w:val="182D8537"/>
    <w:rsid w:val="18303277"/>
    <w:rsid w:val="1831440C"/>
    <w:rsid w:val="1833E934"/>
    <w:rsid w:val="18355E39"/>
    <w:rsid w:val="1844909C"/>
    <w:rsid w:val="184F1992"/>
    <w:rsid w:val="184FF5A6"/>
    <w:rsid w:val="18511799"/>
    <w:rsid w:val="185926EB"/>
    <w:rsid w:val="18600C7C"/>
    <w:rsid w:val="1867C182"/>
    <w:rsid w:val="186814B2"/>
    <w:rsid w:val="18688C49"/>
    <w:rsid w:val="186982DB"/>
    <w:rsid w:val="1873574D"/>
    <w:rsid w:val="18781687"/>
    <w:rsid w:val="18795C51"/>
    <w:rsid w:val="187BB8B9"/>
    <w:rsid w:val="1882B590"/>
    <w:rsid w:val="188D43A3"/>
    <w:rsid w:val="188FC564"/>
    <w:rsid w:val="18925085"/>
    <w:rsid w:val="1893A5F9"/>
    <w:rsid w:val="18A58A64"/>
    <w:rsid w:val="18A75948"/>
    <w:rsid w:val="18B72A52"/>
    <w:rsid w:val="18B842C5"/>
    <w:rsid w:val="18BB0DCD"/>
    <w:rsid w:val="18BBAFF3"/>
    <w:rsid w:val="18C6CEC4"/>
    <w:rsid w:val="18CA64E3"/>
    <w:rsid w:val="18D16CEB"/>
    <w:rsid w:val="18D2E577"/>
    <w:rsid w:val="18D5C9B7"/>
    <w:rsid w:val="18D926BF"/>
    <w:rsid w:val="18DC4A10"/>
    <w:rsid w:val="18E034EF"/>
    <w:rsid w:val="18E34FBE"/>
    <w:rsid w:val="18E81C37"/>
    <w:rsid w:val="18E8F826"/>
    <w:rsid w:val="18E9A13E"/>
    <w:rsid w:val="18F086AD"/>
    <w:rsid w:val="18F0C114"/>
    <w:rsid w:val="18FC4181"/>
    <w:rsid w:val="18FDC769"/>
    <w:rsid w:val="18FEE8E2"/>
    <w:rsid w:val="190205D7"/>
    <w:rsid w:val="1907EA3E"/>
    <w:rsid w:val="190A6CE3"/>
    <w:rsid w:val="190E6A60"/>
    <w:rsid w:val="1910AC0C"/>
    <w:rsid w:val="19183619"/>
    <w:rsid w:val="191D152C"/>
    <w:rsid w:val="1920B37C"/>
    <w:rsid w:val="1926854C"/>
    <w:rsid w:val="192B4431"/>
    <w:rsid w:val="1933C554"/>
    <w:rsid w:val="193DC890"/>
    <w:rsid w:val="1941F1F9"/>
    <w:rsid w:val="19440436"/>
    <w:rsid w:val="194DB170"/>
    <w:rsid w:val="1950B1A3"/>
    <w:rsid w:val="1951C040"/>
    <w:rsid w:val="1951E626"/>
    <w:rsid w:val="1953EA35"/>
    <w:rsid w:val="19558785"/>
    <w:rsid w:val="195644CC"/>
    <w:rsid w:val="1956974F"/>
    <w:rsid w:val="196F3DA7"/>
    <w:rsid w:val="1971037B"/>
    <w:rsid w:val="19743CBF"/>
    <w:rsid w:val="19780866"/>
    <w:rsid w:val="197E67FF"/>
    <w:rsid w:val="198902E8"/>
    <w:rsid w:val="198D34E1"/>
    <w:rsid w:val="198DC620"/>
    <w:rsid w:val="1993973C"/>
    <w:rsid w:val="1993F231"/>
    <w:rsid w:val="199D4AED"/>
    <w:rsid w:val="199F3BFE"/>
    <w:rsid w:val="19A1C302"/>
    <w:rsid w:val="19A27275"/>
    <w:rsid w:val="19B5AC45"/>
    <w:rsid w:val="19B613F0"/>
    <w:rsid w:val="19BA78A3"/>
    <w:rsid w:val="19BD78DF"/>
    <w:rsid w:val="19C2927B"/>
    <w:rsid w:val="19C8235E"/>
    <w:rsid w:val="19CC3FB5"/>
    <w:rsid w:val="19D2C0C9"/>
    <w:rsid w:val="19D94F71"/>
    <w:rsid w:val="19E47B4A"/>
    <w:rsid w:val="19E6F79C"/>
    <w:rsid w:val="19E7D421"/>
    <w:rsid w:val="19E7DE2D"/>
    <w:rsid w:val="19F137F0"/>
    <w:rsid w:val="19F261A7"/>
    <w:rsid w:val="19F376C4"/>
    <w:rsid w:val="19F397B2"/>
    <w:rsid w:val="19F6EDFC"/>
    <w:rsid w:val="19FD0E4D"/>
    <w:rsid w:val="1A08972E"/>
    <w:rsid w:val="1A0D0C0E"/>
    <w:rsid w:val="1A1BF1F6"/>
    <w:rsid w:val="1A1D7BD2"/>
    <w:rsid w:val="1A1F3440"/>
    <w:rsid w:val="1A228387"/>
    <w:rsid w:val="1A25EA05"/>
    <w:rsid w:val="1A38C3A0"/>
    <w:rsid w:val="1A38E856"/>
    <w:rsid w:val="1A3B3C46"/>
    <w:rsid w:val="1A3C0D86"/>
    <w:rsid w:val="1A3D08F6"/>
    <w:rsid w:val="1A3EEBCC"/>
    <w:rsid w:val="1A3FD4FF"/>
    <w:rsid w:val="1A4308D9"/>
    <w:rsid w:val="1A434F36"/>
    <w:rsid w:val="1A47176A"/>
    <w:rsid w:val="1A4A56EA"/>
    <w:rsid w:val="1A4A81D3"/>
    <w:rsid w:val="1A4E14CB"/>
    <w:rsid w:val="1A50543E"/>
    <w:rsid w:val="1A52DE6F"/>
    <w:rsid w:val="1A5351B7"/>
    <w:rsid w:val="1A53D481"/>
    <w:rsid w:val="1A55AF97"/>
    <w:rsid w:val="1A56ED99"/>
    <w:rsid w:val="1A59BADA"/>
    <w:rsid w:val="1A5FDF7B"/>
    <w:rsid w:val="1A605E5A"/>
    <w:rsid w:val="1A6672DF"/>
    <w:rsid w:val="1A66C1BD"/>
    <w:rsid w:val="1A6F77F6"/>
    <w:rsid w:val="1A7B9945"/>
    <w:rsid w:val="1A808A8A"/>
    <w:rsid w:val="1A8CB522"/>
    <w:rsid w:val="1A8DE962"/>
    <w:rsid w:val="1A8E5FAA"/>
    <w:rsid w:val="1A902920"/>
    <w:rsid w:val="1A90E161"/>
    <w:rsid w:val="1A937176"/>
    <w:rsid w:val="1AA0015F"/>
    <w:rsid w:val="1AA15ACF"/>
    <w:rsid w:val="1AB2662C"/>
    <w:rsid w:val="1AB9CCA5"/>
    <w:rsid w:val="1AB9DF08"/>
    <w:rsid w:val="1ABD68BE"/>
    <w:rsid w:val="1AC6EC13"/>
    <w:rsid w:val="1AD338BD"/>
    <w:rsid w:val="1AD7C998"/>
    <w:rsid w:val="1AD91EF5"/>
    <w:rsid w:val="1ADB5AFE"/>
    <w:rsid w:val="1ADBB26C"/>
    <w:rsid w:val="1AE272F0"/>
    <w:rsid w:val="1AEEABF8"/>
    <w:rsid w:val="1AEFEA81"/>
    <w:rsid w:val="1AF63D60"/>
    <w:rsid w:val="1B0B0E08"/>
    <w:rsid w:val="1B0C3586"/>
    <w:rsid w:val="1B0CC140"/>
    <w:rsid w:val="1B18B334"/>
    <w:rsid w:val="1B1EF29C"/>
    <w:rsid w:val="1B27FB2C"/>
    <w:rsid w:val="1B2906A4"/>
    <w:rsid w:val="1B301F49"/>
    <w:rsid w:val="1B358509"/>
    <w:rsid w:val="1B37F944"/>
    <w:rsid w:val="1B4236B0"/>
    <w:rsid w:val="1B4AD9F1"/>
    <w:rsid w:val="1B4BA1B6"/>
    <w:rsid w:val="1B59A4B7"/>
    <w:rsid w:val="1B5C1907"/>
    <w:rsid w:val="1B5E871F"/>
    <w:rsid w:val="1B650F9A"/>
    <w:rsid w:val="1B6A287A"/>
    <w:rsid w:val="1B74F1F5"/>
    <w:rsid w:val="1B80DE8B"/>
    <w:rsid w:val="1B849F18"/>
    <w:rsid w:val="1B96755C"/>
    <w:rsid w:val="1B97651F"/>
    <w:rsid w:val="1B9A3382"/>
    <w:rsid w:val="1B9EBAC8"/>
    <w:rsid w:val="1B9FF29B"/>
    <w:rsid w:val="1BA93A77"/>
    <w:rsid w:val="1BAA4626"/>
    <w:rsid w:val="1BAE49EC"/>
    <w:rsid w:val="1BB9E452"/>
    <w:rsid w:val="1BBA66A9"/>
    <w:rsid w:val="1BBBDF6B"/>
    <w:rsid w:val="1BC4BF56"/>
    <w:rsid w:val="1BD37B0B"/>
    <w:rsid w:val="1BD7B6AF"/>
    <w:rsid w:val="1BDE1FC1"/>
    <w:rsid w:val="1BE6026A"/>
    <w:rsid w:val="1BE6449E"/>
    <w:rsid w:val="1BEA2272"/>
    <w:rsid w:val="1BF3F9C9"/>
    <w:rsid w:val="1BF83555"/>
    <w:rsid w:val="1BFB2C1C"/>
    <w:rsid w:val="1C03FE68"/>
    <w:rsid w:val="1C10C510"/>
    <w:rsid w:val="1C1409CA"/>
    <w:rsid w:val="1C146D0D"/>
    <w:rsid w:val="1C14BFB9"/>
    <w:rsid w:val="1C16DE07"/>
    <w:rsid w:val="1C1E360A"/>
    <w:rsid w:val="1C1EB34B"/>
    <w:rsid w:val="1C257CE6"/>
    <w:rsid w:val="1C28CF3D"/>
    <w:rsid w:val="1C2BA795"/>
    <w:rsid w:val="1C2C54F3"/>
    <w:rsid w:val="1C3181D0"/>
    <w:rsid w:val="1C33D061"/>
    <w:rsid w:val="1C352C13"/>
    <w:rsid w:val="1C36FA1F"/>
    <w:rsid w:val="1C3A9B7B"/>
    <w:rsid w:val="1C3B98BB"/>
    <w:rsid w:val="1C3D3EBB"/>
    <w:rsid w:val="1C4526FE"/>
    <w:rsid w:val="1C4B44F3"/>
    <w:rsid w:val="1C53DECB"/>
    <w:rsid w:val="1C56C8B7"/>
    <w:rsid w:val="1C57FA1C"/>
    <w:rsid w:val="1C58E00F"/>
    <w:rsid w:val="1C58F100"/>
    <w:rsid w:val="1C592A43"/>
    <w:rsid w:val="1C5BA3A2"/>
    <w:rsid w:val="1C5F48F3"/>
    <w:rsid w:val="1C61D3E3"/>
    <w:rsid w:val="1C6B1006"/>
    <w:rsid w:val="1C714D63"/>
    <w:rsid w:val="1C7FA131"/>
    <w:rsid w:val="1C832AA8"/>
    <w:rsid w:val="1C89003C"/>
    <w:rsid w:val="1C8C3A68"/>
    <w:rsid w:val="1C946B47"/>
    <w:rsid w:val="1C953FCE"/>
    <w:rsid w:val="1C9D04CA"/>
    <w:rsid w:val="1CA0FF7C"/>
    <w:rsid w:val="1CA3D838"/>
    <w:rsid w:val="1CA7D08E"/>
    <w:rsid w:val="1CAED849"/>
    <w:rsid w:val="1CB8F569"/>
    <w:rsid w:val="1CBEFFDF"/>
    <w:rsid w:val="1CC94DE1"/>
    <w:rsid w:val="1CCAA58E"/>
    <w:rsid w:val="1CDE0024"/>
    <w:rsid w:val="1CE4D17B"/>
    <w:rsid w:val="1CE91C36"/>
    <w:rsid w:val="1CEF5F79"/>
    <w:rsid w:val="1CF0C36A"/>
    <w:rsid w:val="1CF33505"/>
    <w:rsid w:val="1CF396B1"/>
    <w:rsid w:val="1CF41F75"/>
    <w:rsid w:val="1CF836FA"/>
    <w:rsid w:val="1CFFD6A9"/>
    <w:rsid w:val="1D030225"/>
    <w:rsid w:val="1D06E9B8"/>
    <w:rsid w:val="1D086020"/>
    <w:rsid w:val="1D0D0483"/>
    <w:rsid w:val="1D109096"/>
    <w:rsid w:val="1D1CDF36"/>
    <w:rsid w:val="1D20E812"/>
    <w:rsid w:val="1D2220FF"/>
    <w:rsid w:val="1D28E9FF"/>
    <w:rsid w:val="1D2AD073"/>
    <w:rsid w:val="1D39AC3C"/>
    <w:rsid w:val="1D3E004A"/>
    <w:rsid w:val="1D413991"/>
    <w:rsid w:val="1D46211F"/>
    <w:rsid w:val="1D51466F"/>
    <w:rsid w:val="1D52040B"/>
    <w:rsid w:val="1D55898F"/>
    <w:rsid w:val="1D59E481"/>
    <w:rsid w:val="1D5D17DD"/>
    <w:rsid w:val="1D61D00A"/>
    <w:rsid w:val="1D725FEB"/>
    <w:rsid w:val="1D842F92"/>
    <w:rsid w:val="1D8730F7"/>
    <w:rsid w:val="1D87F500"/>
    <w:rsid w:val="1D88121E"/>
    <w:rsid w:val="1D919985"/>
    <w:rsid w:val="1D974EF4"/>
    <w:rsid w:val="1D9A2253"/>
    <w:rsid w:val="1D9AA7E9"/>
    <w:rsid w:val="1D9DC791"/>
    <w:rsid w:val="1D9EB773"/>
    <w:rsid w:val="1DA67BB1"/>
    <w:rsid w:val="1DA9E0EC"/>
    <w:rsid w:val="1DB0A9B1"/>
    <w:rsid w:val="1DB4C4B3"/>
    <w:rsid w:val="1DB4EA88"/>
    <w:rsid w:val="1DBAD939"/>
    <w:rsid w:val="1DBE3D23"/>
    <w:rsid w:val="1DC61E09"/>
    <w:rsid w:val="1DC75100"/>
    <w:rsid w:val="1DCB3EED"/>
    <w:rsid w:val="1DD03793"/>
    <w:rsid w:val="1DD573B2"/>
    <w:rsid w:val="1DD6080C"/>
    <w:rsid w:val="1DD72F99"/>
    <w:rsid w:val="1DD95AE4"/>
    <w:rsid w:val="1DDA2F70"/>
    <w:rsid w:val="1DE59B6D"/>
    <w:rsid w:val="1DE75EEA"/>
    <w:rsid w:val="1DF18A6E"/>
    <w:rsid w:val="1DF9C696"/>
    <w:rsid w:val="1DFFC8A7"/>
    <w:rsid w:val="1E012E09"/>
    <w:rsid w:val="1E01911C"/>
    <w:rsid w:val="1E09DD8A"/>
    <w:rsid w:val="1E1222EC"/>
    <w:rsid w:val="1E167A41"/>
    <w:rsid w:val="1E206C19"/>
    <w:rsid w:val="1E207FE9"/>
    <w:rsid w:val="1E2217AB"/>
    <w:rsid w:val="1E2382DE"/>
    <w:rsid w:val="1E2622FD"/>
    <w:rsid w:val="1E2686F1"/>
    <w:rsid w:val="1E37AB91"/>
    <w:rsid w:val="1E3F9E90"/>
    <w:rsid w:val="1E46EBD9"/>
    <w:rsid w:val="1E49704B"/>
    <w:rsid w:val="1E498B52"/>
    <w:rsid w:val="1E4BA633"/>
    <w:rsid w:val="1E4C7BFD"/>
    <w:rsid w:val="1E4FA1B2"/>
    <w:rsid w:val="1E663F15"/>
    <w:rsid w:val="1E692FB1"/>
    <w:rsid w:val="1E7099C0"/>
    <w:rsid w:val="1E766196"/>
    <w:rsid w:val="1E774463"/>
    <w:rsid w:val="1E7771B2"/>
    <w:rsid w:val="1E77B599"/>
    <w:rsid w:val="1E7BE098"/>
    <w:rsid w:val="1E88ECCA"/>
    <w:rsid w:val="1E89C92E"/>
    <w:rsid w:val="1E8A7294"/>
    <w:rsid w:val="1E8F2A5C"/>
    <w:rsid w:val="1E938378"/>
    <w:rsid w:val="1E9F7507"/>
    <w:rsid w:val="1EA7619E"/>
    <w:rsid w:val="1EB0BA46"/>
    <w:rsid w:val="1EB23A8C"/>
    <w:rsid w:val="1EB5D132"/>
    <w:rsid w:val="1EB9C724"/>
    <w:rsid w:val="1EC8B0B8"/>
    <w:rsid w:val="1ED4FB79"/>
    <w:rsid w:val="1ED66A43"/>
    <w:rsid w:val="1ED861F4"/>
    <w:rsid w:val="1EE09668"/>
    <w:rsid w:val="1EE11F96"/>
    <w:rsid w:val="1EE9C81B"/>
    <w:rsid w:val="1EEAAB21"/>
    <w:rsid w:val="1EEC6329"/>
    <w:rsid w:val="1EEFC390"/>
    <w:rsid w:val="1EF1AFB2"/>
    <w:rsid w:val="1EFD27FB"/>
    <w:rsid w:val="1F0A88BD"/>
    <w:rsid w:val="1F0B2F96"/>
    <w:rsid w:val="1F0EC393"/>
    <w:rsid w:val="1F0FEF27"/>
    <w:rsid w:val="1F1415EB"/>
    <w:rsid w:val="1F142997"/>
    <w:rsid w:val="1F17B765"/>
    <w:rsid w:val="1F2F6266"/>
    <w:rsid w:val="1F32325D"/>
    <w:rsid w:val="1F351BA8"/>
    <w:rsid w:val="1F3B2C3F"/>
    <w:rsid w:val="1F4037FD"/>
    <w:rsid w:val="1F431B83"/>
    <w:rsid w:val="1F45519C"/>
    <w:rsid w:val="1F46429B"/>
    <w:rsid w:val="1F4A2B70"/>
    <w:rsid w:val="1F4B8974"/>
    <w:rsid w:val="1F4BC706"/>
    <w:rsid w:val="1F593F46"/>
    <w:rsid w:val="1F5B7DDF"/>
    <w:rsid w:val="1F63DB20"/>
    <w:rsid w:val="1F6F5CF7"/>
    <w:rsid w:val="1F76B816"/>
    <w:rsid w:val="1F801C73"/>
    <w:rsid w:val="1F80871F"/>
    <w:rsid w:val="1F82FC8D"/>
    <w:rsid w:val="1F88D0B4"/>
    <w:rsid w:val="1F891AC1"/>
    <w:rsid w:val="1F901487"/>
    <w:rsid w:val="1F92C1F1"/>
    <w:rsid w:val="1F9ACDDE"/>
    <w:rsid w:val="1FA8BF5A"/>
    <w:rsid w:val="1FAAE7CF"/>
    <w:rsid w:val="1FACC3DE"/>
    <w:rsid w:val="1FBD0407"/>
    <w:rsid w:val="1FC2864C"/>
    <w:rsid w:val="1FC54BA1"/>
    <w:rsid w:val="1FC676D7"/>
    <w:rsid w:val="1FC68F89"/>
    <w:rsid w:val="1FCD13C7"/>
    <w:rsid w:val="1FCEF72D"/>
    <w:rsid w:val="1FCF7179"/>
    <w:rsid w:val="1FDBD455"/>
    <w:rsid w:val="1FDCAB55"/>
    <w:rsid w:val="1FE05FB7"/>
    <w:rsid w:val="1FEA1DC2"/>
    <w:rsid w:val="1FEB230D"/>
    <w:rsid w:val="1FF1B009"/>
    <w:rsid w:val="1FF71106"/>
    <w:rsid w:val="1FFB22ED"/>
    <w:rsid w:val="2001A8EA"/>
    <w:rsid w:val="20057625"/>
    <w:rsid w:val="201034A0"/>
    <w:rsid w:val="20145CC8"/>
    <w:rsid w:val="20173C2E"/>
    <w:rsid w:val="20178E0A"/>
    <w:rsid w:val="202C5DB3"/>
    <w:rsid w:val="202C7667"/>
    <w:rsid w:val="203602CF"/>
    <w:rsid w:val="20387E86"/>
    <w:rsid w:val="203C0894"/>
    <w:rsid w:val="203FDAC6"/>
    <w:rsid w:val="2043D762"/>
    <w:rsid w:val="20445EA9"/>
    <w:rsid w:val="2045F960"/>
    <w:rsid w:val="2048AE0D"/>
    <w:rsid w:val="204AAC8F"/>
    <w:rsid w:val="2050FF83"/>
    <w:rsid w:val="20514896"/>
    <w:rsid w:val="2055B440"/>
    <w:rsid w:val="2060AE8B"/>
    <w:rsid w:val="207C4BBF"/>
    <w:rsid w:val="2087F719"/>
    <w:rsid w:val="208A38CA"/>
    <w:rsid w:val="208A4896"/>
    <w:rsid w:val="20930824"/>
    <w:rsid w:val="2093BE57"/>
    <w:rsid w:val="2097B7E0"/>
    <w:rsid w:val="20A4E861"/>
    <w:rsid w:val="20A9FF1E"/>
    <w:rsid w:val="20ABDA00"/>
    <w:rsid w:val="20AF65EA"/>
    <w:rsid w:val="20B3DF4B"/>
    <w:rsid w:val="20B52516"/>
    <w:rsid w:val="20B6E8C6"/>
    <w:rsid w:val="20BD8761"/>
    <w:rsid w:val="20C212CC"/>
    <w:rsid w:val="20C272D6"/>
    <w:rsid w:val="20C5CC62"/>
    <w:rsid w:val="20C8D1DB"/>
    <w:rsid w:val="20CB2540"/>
    <w:rsid w:val="20CB3F00"/>
    <w:rsid w:val="20CBE87F"/>
    <w:rsid w:val="20D5EB1F"/>
    <w:rsid w:val="20DAC2B6"/>
    <w:rsid w:val="20E53787"/>
    <w:rsid w:val="20E6CD6F"/>
    <w:rsid w:val="20E859B9"/>
    <w:rsid w:val="20F02905"/>
    <w:rsid w:val="20F610A6"/>
    <w:rsid w:val="20FA7554"/>
    <w:rsid w:val="20FAC7F9"/>
    <w:rsid w:val="210D2FA2"/>
    <w:rsid w:val="210D5917"/>
    <w:rsid w:val="210F5DC8"/>
    <w:rsid w:val="210FBBDA"/>
    <w:rsid w:val="2112ABC8"/>
    <w:rsid w:val="21161F06"/>
    <w:rsid w:val="2117BB62"/>
    <w:rsid w:val="211B0AA9"/>
    <w:rsid w:val="211E6C7E"/>
    <w:rsid w:val="211FECE9"/>
    <w:rsid w:val="2122D775"/>
    <w:rsid w:val="2124917D"/>
    <w:rsid w:val="212C0ED2"/>
    <w:rsid w:val="212E5A57"/>
    <w:rsid w:val="2132E938"/>
    <w:rsid w:val="213ABD74"/>
    <w:rsid w:val="213D4EBE"/>
    <w:rsid w:val="213DF65A"/>
    <w:rsid w:val="2140F059"/>
    <w:rsid w:val="2142896B"/>
    <w:rsid w:val="21445345"/>
    <w:rsid w:val="214B8730"/>
    <w:rsid w:val="2159433B"/>
    <w:rsid w:val="215FC867"/>
    <w:rsid w:val="21614FB4"/>
    <w:rsid w:val="2167D4ED"/>
    <w:rsid w:val="216A5A9B"/>
    <w:rsid w:val="216D13D9"/>
    <w:rsid w:val="2170CA48"/>
    <w:rsid w:val="2174BF8A"/>
    <w:rsid w:val="21772877"/>
    <w:rsid w:val="217BF776"/>
    <w:rsid w:val="21839801"/>
    <w:rsid w:val="2187F5A3"/>
    <w:rsid w:val="2189EC1D"/>
    <w:rsid w:val="218FBF07"/>
    <w:rsid w:val="2193CBB9"/>
    <w:rsid w:val="219591ED"/>
    <w:rsid w:val="2198A6EC"/>
    <w:rsid w:val="219EC2C4"/>
    <w:rsid w:val="21ACCD35"/>
    <w:rsid w:val="21AEDC9B"/>
    <w:rsid w:val="21B023A5"/>
    <w:rsid w:val="21B54FD4"/>
    <w:rsid w:val="21B6192C"/>
    <w:rsid w:val="21C2A411"/>
    <w:rsid w:val="21D2DEEF"/>
    <w:rsid w:val="21D6B240"/>
    <w:rsid w:val="21D991F2"/>
    <w:rsid w:val="21DBD4D8"/>
    <w:rsid w:val="21DD4BC9"/>
    <w:rsid w:val="21E00A4C"/>
    <w:rsid w:val="21E79033"/>
    <w:rsid w:val="21E81010"/>
    <w:rsid w:val="21E90FD9"/>
    <w:rsid w:val="21E9E055"/>
    <w:rsid w:val="21EDB67E"/>
    <w:rsid w:val="220F9F64"/>
    <w:rsid w:val="220FE578"/>
    <w:rsid w:val="2212741A"/>
    <w:rsid w:val="22137CF2"/>
    <w:rsid w:val="2223B7FD"/>
    <w:rsid w:val="2224F876"/>
    <w:rsid w:val="2225CA13"/>
    <w:rsid w:val="223774DE"/>
    <w:rsid w:val="22388F06"/>
    <w:rsid w:val="224D2181"/>
    <w:rsid w:val="224DD8F8"/>
    <w:rsid w:val="224DDACB"/>
    <w:rsid w:val="22516023"/>
    <w:rsid w:val="2254C21A"/>
    <w:rsid w:val="225B6623"/>
    <w:rsid w:val="225FD66C"/>
    <w:rsid w:val="2265418A"/>
    <w:rsid w:val="226E6061"/>
    <w:rsid w:val="226ECAAE"/>
    <w:rsid w:val="226EEDEE"/>
    <w:rsid w:val="22710882"/>
    <w:rsid w:val="227B6445"/>
    <w:rsid w:val="22803973"/>
    <w:rsid w:val="228467D0"/>
    <w:rsid w:val="228A8637"/>
    <w:rsid w:val="228B1A79"/>
    <w:rsid w:val="228FFC00"/>
    <w:rsid w:val="22919A93"/>
    <w:rsid w:val="22946461"/>
    <w:rsid w:val="2295181E"/>
    <w:rsid w:val="229BDE11"/>
    <w:rsid w:val="229FDE68"/>
    <w:rsid w:val="22A07980"/>
    <w:rsid w:val="22A0ED09"/>
    <w:rsid w:val="22A329E8"/>
    <w:rsid w:val="22A5CD2E"/>
    <w:rsid w:val="22A939EE"/>
    <w:rsid w:val="22ACB080"/>
    <w:rsid w:val="22AF459C"/>
    <w:rsid w:val="22AFD9BC"/>
    <w:rsid w:val="22C33BFC"/>
    <w:rsid w:val="22C713C0"/>
    <w:rsid w:val="22C9C34D"/>
    <w:rsid w:val="22D16B30"/>
    <w:rsid w:val="22DA44E0"/>
    <w:rsid w:val="22E1F754"/>
    <w:rsid w:val="22EF8E4F"/>
    <w:rsid w:val="22F40E85"/>
    <w:rsid w:val="2306AD1E"/>
    <w:rsid w:val="230747FB"/>
    <w:rsid w:val="230A751A"/>
    <w:rsid w:val="230B375D"/>
    <w:rsid w:val="230D81AF"/>
    <w:rsid w:val="23148C6F"/>
    <w:rsid w:val="23150FBE"/>
    <w:rsid w:val="2315B4B0"/>
    <w:rsid w:val="231C7E81"/>
    <w:rsid w:val="231E55DC"/>
    <w:rsid w:val="23256A41"/>
    <w:rsid w:val="232619F3"/>
    <w:rsid w:val="23341341"/>
    <w:rsid w:val="2334E3B1"/>
    <w:rsid w:val="2336C2AC"/>
    <w:rsid w:val="23399580"/>
    <w:rsid w:val="233B3688"/>
    <w:rsid w:val="233F29F0"/>
    <w:rsid w:val="23435AF1"/>
    <w:rsid w:val="2346E994"/>
    <w:rsid w:val="234780EE"/>
    <w:rsid w:val="23511216"/>
    <w:rsid w:val="2353A708"/>
    <w:rsid w:val="235600A2"/>
    <w:rsid w:val="23607B24"/>
    <w:rsid w:val="2360D7BE"/>
    <w:rsid w:val="23681B68"/>
    <w:rsid w:val="2372B574"/>
    <w:rsid w:val="23749BB6"/>
    <w:rsid w:val="237BC1A3"/>
    <w:rsid w:val="237C2F5B"/>
    <w:rsid w:val="237D0044"/>
    <w:rsid w:val="237E6813"/>
    <w:rsid w:val="237F2421"/>
    <w:rsid w:val="2381B84B"/>
    <w:rsid w:val="2382B81C"/>
    <w:rsid w:val="2383B6FC"/>
    <w:rsid w:val="2386D3A0"/>
    <w:rsid w:val="2388BFDF"/>
    <w:rsid w:val="238E2048"/>
    <w:rsid w:val="2394FC11"/>
    <w:rsid w:val="2397890D"/>
    <w:rsid w:val="23AA3774"/>
    <w:rsid w:val="23AFF8EA"/>
    <w:rsid w:val="23B43DB7"/>
    <w:rsid w:val="23C48CCD"/>
    <w:rsid w:val="23C69DE1"/>
    <w:rsid w:val="23C9227D"/>
    <w:rsid w:val="23CA5834"/>
    <w:rsid w:val="23CDCAC8"/>
    <w:rsid w:val="23DBE2C3"/>
    <w:rsid w:val="23DDC774"/>
    <w:rsid w:val="23EEB47E"/>
    <w:rsid w:val="23EFB389"/>
    <w:rsid w:val="23F02AB3"/>
    <w:rsid w:val="23FB05B9"/>
    <w:rsid w:val="23FB2828"/>
    <w:rsid w:val="2401CE35"/>
    <w:rsid w:val="240B39EC"/>
    <w:rsid w:val="240BB77D"/>
    <w:rsid w:val="24190B18"/>
    <w:rsid w:val="241FCF88"/>
    <w:rsid w:val="242FFF20"/>
    <w:rsid w:val="243349F1"/>
    <w:rsid w:val="24341B23"/>
    <w:rsid w:val="2434B202"/>
    <w:rsid w:val="24419D8F"/>
    <w:rsid w:val="2444D3CE"/>
    <w:rsid w:val="244AFE9D"/>
    <w:rsid w:val="2451EC1E"/>
    <w:rsid w:val="2451F2ED"/>
    <w:rsid w:val="245B8DE2"/>
    <w:rsid w:val="2462A038"/>
    <w:rsid w:val="24633F6B"/>
    <w:rsid w:val="2468CF11"/>
    <w:rsid w:val="246A0382"/>
    <w:rsid w:val="2470D80B"/>
    <w:rsid w:val="2475EA90"/>
    <w:rsid w:val="2478E5D8"/>
    <w:rsid w:val="247F998E"/>
    <w:rsid w:val="24838E28"/>
    <w:rsid w:val="248C29D9"/>
    <w:rsid w:val="248FF347"/>
    <w:rsid w:val="249C84C7"/>
    <w:rsid w:val="249DF1EB"/>
    <w:rsid w:val="24A18AEA"/>
    <w:rsid w:val="24A9FBF0"/>
    <w:rsid w:val="24ADC600"/>
    <w:rsid w:val="24AE4D34"/>
    <w:rsid w:val="24B3B77C"/>
    <w:rsid w:val="24B8E020"/>
    <w:rsid w:val="24C2C1F4"/>
    <w:rsid w:val="24C77A72"/>
    <w:rsid w:val="24C942C8"/>
    <w:rsid w:val="24C96B7B"/>
    <w:rsid w:val="24CEB3AA"/>
    <w:rsid w:val="24D4D62C"/>
    <w:rsid w:val="24D8C5B9"/>
    <w:rsid w:val="24DB435B"/>
    <w:rsid w:val="24DC35E9"/>
    <w:rsid w:val="24DC3EA3"/>
    <w:rsid w:val="24DC8A2B"/>
    <w:rsid w:val="24E34317"/>
    <w:rsid w:val="24EA7C74"/>
    <w:rsid w:val="24EDB6D6"/>
    <w:rsid w:val="24EE0CC2"/>
    <w:rsid w:val="24EE4B75"/>
    <w:rsid w:val="24F10424"/>
    <w:rsid w:val="24F97F3D"/>
    <w:rsid w:val="24FCE47D"/>
    <w:rsid w:val="25055BF9"/>
    <w:rsid w:val="250C3CAD"/>
    <w:rsid w:val="250E1394"/>
    <w:rsid w:val="250E6D09"/>
    <w:rsid w:val="250FB39E"/>
    <w:rsid w:val="25101F71"/>
    <w:rsid w:val="251524B8"/>
    <w:rsid w:val="252064D6"/>
    <w:rsid w:val="25233039"/>
    <w:rsid w:val="2525B07B"/>
    <w:rsid w:val="2536E0DD"/>
    <w:rsid w:val="2544553F"/>
    <w:rsid w:val="25457B6B"/>
    <w:rsid w:val="254B27C6"/>
    <w:rsid w:val="255188E3"/>
    <w:rsid w:val="2555107D"/>
    <w:rsid w:val="255AF6A5"/>
    <w:rsid w:val="256286A0"/>
    <w:rsid w:val="2565F37D"/>
    <w:rsid w:val="256AC99E"/>
    <w:rsid w:val="256C1298"/>
    <w:rsid w:val="25717C8B"/>
    <w:rsid w:val="25721910"/>
    <w:rsid w:val="25797381"/>
    <w:rsid w:val="257A64E8"/>
    <w:rsid w:val="257A913C"/>
    <w:rsid w:val="257D65D7"/>
    <w:rsid w:val="257EF612"/>
    <w:rsid w:val="25843757"/>
    <w:rsid w:val="258FE837"/>
    <w:rsid w:val="25908DA7"/>
    <w:rsid w:val="25967A7D"/>
    <w:rsid w:val="25971B22"/>
    <w:rsid w:val="259D5A80"/>
    <w:rsid w:val="259E139D"/>
    <w:rsid w:val="25A5359D"/>
    <w:rsid w:val="25AECDC8"/>
    <w:rsid w:val="25B14724"/>
    <w:rsid w:val="25B45936"/>
    <w:rsid w:val="25BA0EE4"/>
    <w:rsid w:val="25C66804"/>
    <w:rsid w:val="25C70FEC"/>
    <w:rsid w:val="25C7CB5E"/>
    <w:rsid w:val="25C8050A"/>
    <w:rsid w:val="25C9DDFD"/>
    <w:rsid w:val="25C9FB63"/>
    <w:rsid w:val="25CC951E"/>
    <w:rsid w:val="25D4307B"/>
    <w:rsid w:val="25D46452"/>
    <w:rsid w:val="25D631E0"/>
    <w:rsid w:val="25DAA90D"/>
    <w:rsid w:val="25E0B6A2"/>
    <w:rsid w:val="25E21865"/>
    <w:rsid w:val="25E4C7B9"/>
    <w:rsid w:val="25E50C86"/>
    <w:rsid w:val="25E6D6E5"/>
    <w:rsid w:val="25E9D9F4"/>
    <w:rsid w:val="25ECE3BD"/>
    <w:rsid w:val="25F37745"/>
    <w:rsid w:val="25FB6623"/>
    <w:rsid w:val="25FD9F99"/>
    <w:rsid w:val="260B2E01"/>
    <w:rsid w:val="2611E78C"/>
    <w:rsid w:val="26124EF6"/>
    <w:rsid w:val="26179A4A"/>
    <w:rsid w:val="26194A73"/>
    <w:rsid w:val="261B4754"/>
    <w:rsid w:val="261FD034"/>
    <w:rsid w:val="26263DC1"/>
    <w:rsid w:val="2627BAD9"/>
    <w:rsid w:val="263313E5"/>
    <w:rsid w:val="26368C55"/>
    <w:rsid w:val="263B7EDE"/>
    <w:rsid w:val="263BBA54"/>
    <w:rsid w:val="263C482C"/>
    <w:rsid w:val="263D72FC"/>
    <w:rsid w:val="2641BED9"/>
    <w:rsid w:val="26461A0A"/>
    <w:rsid w:val="26630123"/>
    <w:rsid w:val="2668498F"/>
    <w:rsid w:val="266A20D8"/>
    <w:rsid w:val="26777C59"/>
    <w:rsid w:val="267C9B87"/>
    <w:rsid w:val="267E43A4"/>
    <w:rsid w:val="2686931D"/>
    <w:rsid w:val="2689E07A"/>
    <w:rsid w:val="2689FE8F"/>
    <w:rsid w:val="268BEFE9"/>
    <w:rsid w:val="268CCD53"/>
    <w:rsid w:val="268D4C25"/>
    <w:rsid w:val="268F984D"/>
    <w:rsid w:val="269524AF"/>
    <w:rsid w:val="269EB848"/>
    <w:rsid w:val="26A51052"/>
    <w:rsid w:val="26A9EB42"/>
    <w:rsid w:val="26ADAC85"/>
    <w:rsid w:val="26B29169"/>
    <w:rsid w:val="26BE65EF"/>
    <w:rsid w:val="26C2D5DA"/>
    <w:rsid w:val="26DA45AA"/>
    <w:rsid w:val="26DF0B15"/>
    <w:rsid w:val="26E1F908"/>
    <w:rsid w:val="26E5375C"/>
    <w:rsid w:val="26EB642D"/>
    <w:rsid w:val="26F7745B"/>
    <w:rsid w:val="26F8732B"/>
    <w:rsid w:val="2701003D"/>
    <w:rsid w:val="2701B510"/>
    <w:rsid w:val="2704A3E0"/>
    <w:rsid w:val="2705ED1E"/>
    <w:rsid w:val="270F311C"/>
    <w:rsid w:val="27144A73"/>
    <w:rsid w:val="2715D236"/>
    <w:rsid w:val="27188ACA"/>
    <w:rsid w:val="272011BE"/>
    <w:rsid w:val="272162BD"/>
    <w:rsid w:val="27366B92"/>
    <w:rsid w:val="27375F7C"/>
    <w:rsid w:val="2745DADC"/>
    <w:rsid w:val="27471B82"/>
    <w:rsid w:val="274C77CB"/>
    <w:rsid w:val="274F31AB"/>
    <w:rsid w:val="2751A1AC"/>
    <w:rsid w:val="2752F9BD"/>
    <w:rsid w:val="2755D0EF"/>
    <w:rsid w:val="275A7809"/>
    <w:rsid w:val="275D43EC"/>
    <w:rsid w:val="2763BCAD"/>
    <w:rsid w:val="2764AEBA"/>
    <w:rsid w:val="276BBA31"/>
    <w:rsid w:val="276D2898"/>
    <w:rsid w:val="276FA480"/>
    <w:rsid w:val="2774964D"/>
    <w:rsid w:val="2780048E"/>
    <w:rsid w:val="27819473"/>
    <w:rsid w:val="27859692"/>
    <w:rsid w:val="27870C1A"/>
    <w:rsid w:val="278BFD02"/>
    <w:rsid w:val="2797B9EF"/>
    <w:rsid w:val="279A0A2D"/>
    <w:rsid w:val="27A0E1E8"/>
    <w:rsid w:val="27A9F99F"/>
    <w:rsid w:val="27AC600A"/>
    <w:rsid w:val="27AD3ABF"/>
    <w:rsid w:val="27AFD514"/>
    <w:rsid w:val="27B4D3A6"/>
    <w:rsid w:val="27B79B1D"/>
    <w:rsid w:val="27C05F23"/>
    <w:rsid w:val="27C6DDB6"/>
    <w:rsid w:val="27C791BA"/>
    <w:rsid w:val="27C8676D"/>
    <w:rsid w:val="27C982E1"/>
    <w:rsid w:val="27CF6067"/>
    <w:rsid w:val="27D0E65E"/>
    <w:rsid w:val="27D390A1"/>
    <w:rsid w:val="27D8A421"/>
    <w:rsid w:val="27DEC231"/>
    <w:rsid w:val="27DEF4D2"/>
    <w:rsid w:val="27E1760E"/>
    <w:rsid w:val="27E2B42A"/>
    <w:rsid w:val="27EDE318"/>
    <w:rsid w:val="27F01EB0"/>
    <w:rsid w:val="27F48C30"/>
    <w:rsid w:val="27F4E73A"/>
    <w:rsid w:val="27F72CD4"/>
    <w:rsid w:val="27FA0DD8"/>
    <w:rsid w:val="27FD7674"/>
    <w:rsid w:val="27FE8AFE"/>
    <w:rsid w:val="2801E608"/>
    <w:rsid w:val="28063B30"/>
    <w:rsid w:val="28254362"/>
    <w:rsid w:val="2827A7DD"/>
    <w:rsid w:val="2828FAF2"/>
    <w:rsid w:val="282DA24C"/>
    <w:rsid w:val="28348F6A"/>
    <w:rsid w:val="28379097"/>
    <w:rsid w:val="283F0E7D"/>
    <w:rsid w:val="284A5E2C"/>
    <w:rsid w:val="284A75AE"/>
    <w:rsid w:val="284C5245"/>
    <w:rsid w:val="284C84E3"/>
    <w:rsid w:val="284D1488"/>
    <w:rsid w:val="285879E8"/>
    <w:rsid w:val="285D06E1"/>
    <w:rsid w:val="286BEA26"/>
    <w:rsid w:val="287920F6"/>
    <w:rsid w:val="287C431D"/>
    <w:rsid w:val="2883695C"/>
    <w:rsid w:val="28860FF1"/>
    <w:rsid w:val="288B263F"/>
    <w:rsid w:val="2891B7F7"/>
    <w:rsid w:val="289CFD15"/>
    <w:rsid w:val="28A0D879"/>
    <w:rsid w:val="28AD1FDE"/>
    <w:rsid w:val="28AE2BFA"/>
    <w:rsid w:val="28BCFF76"/>
    <w:rsid w:val="28C09AD6"/>
    <w:rsid w:val="28D39BC8"/>
    <w:rsid w:val="28E4C7FD"/>
    <w:rsid w:val="28E79E28"/>
    <w:rsid w:val="28E9579A"/>
    <w:rsid w:val="28F4E8E0"/>
    <w:rsid w:val="28FCE47E"/>
    <w:rsid w:val="29005C17"/>
    <w:rsid w:val="29154401"/>
    <w:rsid w:val="291638FF"/>
    <w:rsid w:val="2918EBE3"/>
    <w:rsid w:val="291CB9EB"/>
    <w:rsid w:val="29246837"/>
    <w:rsid w:val="292713DF"/>
    <w:rsid w:val="292B804D"/>
    <w:rsid w:val="292F24B3"/>
    <w:rsid w:val="29306772"/>
    <w:rsid w:val="29345E99"/>
    <w:rsid w:val="2936D337"/>
    <w:rsid w:val="293E26F0"/>
    <w:rsid w:val="293ED0AA"/>
    <w:rsid w:val="294C9F98"/>
    <w:rsid w:val="294CF4A8"/>
    <w:rsid w:val="29590298"/>
    <w:rsid w:val="295E8237"/>
    <w:rsid w:val="2965E1CD"/>
    <w:rsid w:val="296781E7"/>
    <w:rsid w:val="296C4830"/>
    <w:rsid w:val="296F6ECA"/>
    <w:rsid w:val="29711DA9"/>
    <w:rsid w:val="29714911"/>
    <w:rsid w:val="297A9179"/>
    <w:rsid w:val="297B7D2F"/>
    <w:rsid w:val="297D8E99"/>
    <w:rsid w:val="29815329"/>
    <w:rsid w:val="298406F7"/>
    <w:rsid w:val="29854D6E"/>
    <w:rsid w:val="298A0F0C"/>
    <w:rsid w:val="298F5495"/>
    <w:rsid w:val="2999E0FB"/>
    <w:rsid w:val="299D132A"/>
    <w:rsid w:val="29A62436"/>
    <w:rsid w:val="29A7C0AF"/>
    <w:rsid w:val="29AD3C52"/>
    <w:rsid w:val="29B09D0C"/>
    <w:rsid w:val="29B3E9B7"/>
    <w:rsid w:val="29B5B9B7"/>
    <w:rsid w:val="29B8A46A"/>
    <w:rsid w:val="29BD1304"/>
    <w:rsid w:val="29BF6AEC"/>
    <w:rsid w:val="29CDCFCB"/>
    <w:rsid w:val="29D3FBE1"/>
    <w:rsid w:val="29D8B139"/>
    <w:rsid w:val="29DF3F00"/>
    <w:rsid w:val="29E3B120"/>
    <w:rsid w:val="29EC7796"/>
    <w:rsid w:val="29ECF9D3"/>
    <w:rsid w:val="29F35B12"/>
    <w:rsid w:val="29F4E306"/>
    <w:rsid w:val="29FAAB88"/>
    <w:rsid w:val="29FF30E0"/>
    <w:rsid w:val="2A0B36B3"/>
    <w:rsid w:val="2A0DEFC8"/>
    <w:rsid w:val="2A0E72BA"/>
    <w:rsid w:val="2A104929"/>
    <w:rsid w:val="2A315D4C"/>
    <w:rsid w:val="2A317165"/>
    <w:rsid w:val="2A35F572"/>
    <w:rsid w:val="2A3874C4"/>
    <w:rsid w:val="2A3A2E0A"/>
    <w:rsid w:val="2A448EA6"/>
    <w:rsid w:val="2A4D4C37"/>
    <w:rsid w:val="2A4F10F1"/>
    <w:rsid w:val="2A542FD0"/>
    <w:rsid w:val="2A571E0E"/>
    <w:rsid w:val="2A594013"/>
    <w:rsid w:val="2A5CD9E8"/>
    <w:rsid w:val="2A7CD7B6"/>
    <w:rsid w:val="2A7D3831"/>
    <w:rsid w:val="2A8088B3"/>
    <w:rsid w:val="2A80E9AE"/>
    <w:rsid w:val="2A8A166E"/>
    <w:rsid w:val="2A8B8881"/>
    <w:rsid w:val="2A8D55DF"/>
    <w:rsid w:val="2A90D78F"/>
    <w:rsid w:val="2A96C176"/>
    <w:rsid w:val="2AA1CE88"/>
    <w:rsid w:val="2AA8B62E"/>
    <w:rsid w:val="2ABCB66F"/>
    <w:rsid w:val="2AC8B4C0"/>
    <w:rsid w:val="2ACED10D"/>
    <w:rsid w:val="2AD8B4A2"/>
    <w:rsid w:val="2AD9EBB4"/>
    <w:rsid w:val="2ADC12AC"/>
    <w:rsid w:val="2ADC457D"/>
    <w:rsid w:val="2ADE2ABC"/>
    <w:rsid w:val="2AE04428"/>
    <w:rsid w:val="2AE44D1D"/>
    <w:rsid w:val="2AE60DF7"/>
    <w:rsid w:val="2AEA4C63"/>
    <w:rsid w:val="2AF27D12"/>
    <w:rsid w:val="2AF86B25"/>
    <w:rsid w:val="2AF8FE99"/>
    <w:rsid w:val="2B021487"/>
    <w:rsid w:val="2B03EB03"/>
    <w:rsid w:val="2B08CE7F"/>
    <w:rsid w:val="2B1A69A8"/>
    <w:rsid w:val="2B2087F2"/>
    <w:rsid w:val="2B2411C5"/>
    <w:rsid w:val="2B261426"/>
    <w:rsid w:val="2B2D1743"/>
    <w:rsid w:val="2B30276F"/>
    <w:rsid w:val="2B37649A"/>
    <w:rsid w:val="2B48AFC9"/>
    <w:rsid w:val="2B5B0ED3"/>
    <w:rsid w:val="2B5B4935"/>
    <w:rsid w:val="2B5F3E62"/>
    <w:rsid w:val="2B650BEF"/>
    <w:rsid w:val="2B6921D4"/>
    <w:rsid w:val="2B6A956C"/>
    <w:rsid w:val="2B6D28F4"/>
    <w:rsid w:val="2B7A2B7A"/>
    <w:rsid w:val="2B7C6D05"/>
    <w:rsid w:val="2B7CC10A"/>
    <w:rsid w:val="2B7FC34F"/>
    <w:rsid w:val="2B959E3B"/>
    <w:rsid w:val="2B97A1DD"/>
    <w:rsid w:val="2B98A7FD"/>
    <w:rsid w:val="2B9A6021"/>
    <w:rsid w:val="2B9B8446"/>
    <w:rsid w:val="2BA2B8D9"/>
    <w:rsid w:val="2BA5B00B"/>
    <w:rsid w:val="2BA6B206"/>
    <w:rsid w:val="2BA85928"/>
    <w:rsid w:val="2BAAC4F8"/>
    <w:rsid w:val="2BB3C5C5"/>
    <w:rsid w:val="2BB3DDB7"/>
    <w:rsid w:val="2BB86252"/>
    <w:rsid w:val="2BB8C787"/>
    <w:rsid w:val="2BBB8870"/>
    <w:rsid w:val="2BC29B0A"/>
    <w:rsid w:val="2BC54062"/>
    <w:rsid w:val="2BD5AE58"/>
    <w:rsid w:val="2BD5B880"/>
    <w:rsid w:val="2BD74143"/>
    <w:rsid w:val="2BE0D9C7"/>
    <w:rsid w:val="2BE610F1"/>
    <w:rsid w:val="2BEA4920"/>
    <w:rsid w:val="2BF5B9FE"/>
    <w:rsid w:val="2C0146B1"/>
    <w:rsid w:val="2C021605"/>
    <w:rsid w:val="2C061C56"/>
    <w:rsid w:val="2C10764E"/>
    <w:rsid w:val="2C1525B1"/>
    <w:rsid w:val="2C1DB0C3"/>
    <w:rsid w:val="2C23B9FD"/>
    <w:rsid w:val="2C328DE7"/>
    <w:rsid w:val="2C37EA6A"/>
    <w:rsid w:val="2C39920B"/>
    <w:rsid w:val="2C3A77B5"/>
    <w:rsid w:val="2C3CC699"/>
    <w:rsid w:val="2C3D29B4"/>
    <w:rsid w:val="2C4F9658"/>
    <w:rsid w:val="2C514CEB"/>
    <w:rsid w:val="2C6CAA0E"/>
    <w:rsid w:val="2C71BEFB"/>
    <w:rsid w:val="2C74E053"/>
    <w:rsid w:val="2C7855E0"/>
    <w:rsid w:val="2C7A4447"/>
    <w:rsid w:val="2C7A9810"/>
    <w:rsid w:val="2C84932D"/>
    <w:rsid w:val="2C85A1A9"/>
    <w:rsid w:val="2C8D72BB"/>
    <w:rsid w:val="2C92ECE1"/>
    <w:rsid w:val="2C983767"/>
    <w:rsid w:val="2C9BB38A"/>
    <w:rsid w:val="2C9E5855"/>
    <w:rsid w:val="2CA0EB9D"/>
    <w:rsid w:val="2CA7440B"/>
    <w:rsid w:val="2CAD0476"/>
    <w:rsid w:val="2CAE3019"/>
    <w:rsid w:val="2CAF7E98"/>
    <w:rsid w:val="2CB2E7B7"/>
    <w:rsid w:val="2CC83DF4"/>
    <w:rsid w:val="2CCF596E"/>
    <w:rsid w:val="2CD33AA7"/>
    <w:rsid w:val="2CF28E6B"/>
    <w:rsid w:val="2CF5351A"/>
    <w:rsid w:val="2CF863DA"/>
    <w:rsid w:val="2CFB95BE"/>
    <w:rsid w:val="2D054B46"/>
    <w:rsid w:val="2D07D77A"/>
    <w:rsid w:val="2D10C772"/>
    <w:rsid w:val="2D150908"/>
    <w:rsid w:val="2D15960C"/>
    <w:rsid w:val="2D18C02C"/>
    <w:rsid w:val="2D1A5EAB"/>
    <w:rsid w:val="2D1AD302"/>
    <w:rsid w:val="2D24ABA6"/>
    <w:rsid w:val="2D26F80B"/>
    <w:rsid w:val="2D2C6EC6"/>
    <w:rsid w:val="2D2E7636"/>
    <w:rsid w:val="2D2F3A37"/>
    <w:rsid w:val="2D33047E"/>
    <w:rsid w:val="2D3939B0"/>
    <w:rsid w:val="2D41F92F"/>
    <w:rsid w:val="2D48A1B6"/>
    <w:rsid w:val="2D4A20DE"/>
    <w:rsid w:val="2D4DAF6D"/>
    <w:rsid w:val="2D501E09"/>
    <w:rsid w:val="2D5262AE"/>
    <w:rsid w:val="2D53D1B9"/>
    <w:rsid w:val="2D55E022"/>
    <w:rsid w:val="2D5D02E2"/>
    <w:rsid w:val="2D61B374"/>
    <w:rsid w:val="2D65F18B"/>
    <w:rsid w:val="2D6C5384"/>
    <w:rsid w:val="2D70FEF4"/>
    <w:rsid w:val="2D780E98"/>
    <w:rsid w:val="2D783A63"/>
    <w:rsid w:val="2D7A71AC"/>
    <w:rsid w:val="2D7CC536"/>
    <w:rsid w:val="2D81E7CA"/>
    <w:rsid w:val="2D83FA3B"/>
    <w:rsid w:val="2D873845"/>
    <w:rsid w:val="2D890637"/>
    <w:rsid w:val="2D89CCB8"/>
    <w:rsid w:val="2D8C86CA"/>
    <w:rsid w:val="2D908D72"/>
    <w:rsid w:val="2D92F250"/>
    <w:rsid w:val="2D9C77E4"/>
    <w:rsid w:val="2D9F3741"/>
    <w:rsid w:val="2DA1544E"/>
    <w:rsid w:val="2DA490A7"/>
    <w:rsid w:val="2DA5BF5A"/>
    <w:rsid w:val="2DA659FB"/>
    <w:rsid w:val="2DA87926"/>
    <w:rsid w:val="2DB801E1"/>
    <w:rsid w:val="2DC93F81"/>
    <w:rsid w:val="2DCFFD2F"/>
    <w:rsid w:val="2DD08247"/>
    <w:rsid w:val="2DD23754"/>
    <w:rsid w:val="2DD7255F"/>
    <w:rsid w:val="2DDD84FC"/>
    <w:rsid w:val="2DDD9235"/>
    <w:rsid w:val="2DE02F6A"/>
    <w:rsid w:val="2DE74743"/>
    <w:rsid w:val="2DEAC10F"/>
    <w:rsid w:val="2DF5D0E7"/>
    <w:rsid w:val="2DF74A93"/>
    <w:rsid w:val="2DFA06EA"/>
    <w:rsid w:val="2DFBC32B"/>
    <w:rsid w:val="2E066DC2"/>
    <w:rsid w:val="2E06FF66"/>
    <w:rsid w:val="2E092B9A"/>
    <w:rsid w:val="2E194568"/>
    <w:rsid w:val="2E236D61"/>
    <w:rsid w:val="2E29D16E"/>
    <w:rsid w:val="2E2A9B1A"/>
    <w:rsid w:val="2E310D0B"/>
    <w:rsid w:val="2E381435"/>
    <w:rsid w:val="2E39D411"/>
    <w:rsid w:val="2E3D7DBF"/>
    <w:rsid w:val="2E3EE605"/>
    <w:rsid w:val="2E40400D"/>
    <w:rsid w:val="2E486F1A"/>
    <w:rsid w:val="2E56E11E"/>
    <w:rsid w:val="2E5A3134"/>
    <w:rsid w:val="2E6500C7"/>
    <w:rsid w:val="2E658E73"/>
    <w:rsid w:val="2E6D6F1C"/>
    <w:rsid w:val="2E6D9D62"/>
    <w:rsid w:val="2E731932"/>
    <w:rsid w:val="2E7A3F12"/>
    <w:rsid w:val="2E80A0E6"/>
    <w:rsid w:val="2E845065"/>
    <w:rsid w:val="2E84F5BA"/>
    <w:rsid w:val="2E8754E2"/>
    <w:rsid w:val="2E8E470F"/>
    <w:rsid w:val="2E92EB24"/>
    <w:rsid w:val="2E933020"/>
    <w:rsid w:val="2E96C4E5"/>
    <w:rsid w:val="2E985C52"/>
    <w:rsid w:val="2E99029B"/>
    <w:rsid w:val="2EA7A142"/>
    <w:rsid w:val="2EA8C5C8"/>
    <w:rsid w:val="2EABC517"/>
    <w:rsid w:val="2EB9CB6C"/>
    <w:rsid w:val="2EBA4137"/>
    <w:rsid w:val="2EBAAB5C"/>
    <w:rsid w:val="2EBB6AD9"/>
    <w:rsid w:val="2EBD7328"/>
    <w:rsid w:val="2EBD9ED7"/>
    <w:rsid w:val="2EC42696"/>
    <w:rsid w:val="2EC45698"/>
    <w:rsid w:val="2EC71220"/>
    <w:rsid w:val="2ECA24A2"/>
    <w:rsid w:val="2ECB4737"/>
    <w:rsid w:val="2ECC4C97"/>
    <w:rsid w:val="2ECD47CD"/>
    <w:rsid w:val="2ECD9BE8"/>
    <w:rsid w:val="2ECDE7E6"/>
    <w:rsid w:val="2ED0613A"/>
    <w:rsid w:val="2ED15855"/>
    <w:rsid w:val="2EDE5820"/>
    <w:rsid w:val="2EE00EBB"/>
    <w:rsid w:val="2EE220C8"/>
    <w:rsid w:val="2EE3C9B9"/>
    <w:rsid w:val="2EE4B86D"/>
    <w:rsid w:val="2EE514E7"/>
    <w:rsid w:val="2EEBD596"/>
    <w:rsid w:val="2EEFA37A"/>
    <w:rsid w:val="2EF4193B"/>
    <w:rsid w:val="2EF75A17"/>
    <w:rsid w:val="2EF84911"/>
    <w:rsid w:val="2EFB77D5"/>
    <w:rsid w:val="2F1AD384"/>
    <w:rsid w:val="2F1B5D7C"/>
    <w:rsid w:val="2F216CEF"/>
    <w:rsid w:val="2F2FAE24"/>
    <w:rsid w:val="2F397B02"/>
    <w:rsid w:val="2F3C410A"/>
    <w:rsid w:val="2F3EC5A5"/>
    <w:rsid w:val="2F434E46"/>
    <w:rsid w:val="2F44594D"/>
    <w:rsid w:val="2F51ED07"/>
    <w:rsid w:val="2F58B125"/>
    <w:rsid w:val="2F5B21E7"/>
    <w:rsid w:val="2F62CDB7"/>
    <w:rsid w:val="2F669EB3"/>
    <w:rsid w:val="2F6E2A61"/>
    <w:rsid w:val="2F7107FF"/>
    <w:rsid w:val="2F711815"/>
    <w:rsid w:val="2F72DF79"/>
    <w:rsid w:val="2F78AA7D"/>
    <w:rsid w:val="2F814E1A"/>
    <w:rsid w:val="2F87AB44"/>
    <w:rsid w:val="2F894973"/>
    <w:rsid w:val="2F8D9CDE"/>
    <w:rsid w:val="2F942427"/>
    <w:rsid w:val="2F94BDA1"/>
    <w:rsid w:val="2F95CCF6"/>
    <w:rsid w:val="2F97F930"/>
    <w:rsid w:val="2FAABBE2"/>
    <w:rsid w:val="2FAD20C1"/>
    <w:rsid w:val="2FB341C5"/>
    <w:rsid w:val="2FB646F5"/>
    <w:rsid w:val="2FC186A0"/>
    <w:rsid w:val="2FC23307"/>
    <w:rsid w:val="2FC41FEC"/>
    <w:rsid w:val="2FC8358E"/>
    <w:rsid w:val="2FCC7291"/>
    <w:rsid w:val="2FDA6865"/>
    <w:rsid w:val="2FDE1758"/>
    <w:rsid w:val="2FEC61AF"/>
    <w:rsid w:val="2FED6C93"/>
    <w:rsid w:val="2FEFB466"/>
    <w:rsid w:val="2FF4A363"/>
    <w:rsid w:val="2FF7226C"/>
    <w:rsid w:val="2FFD52C8"/>
    <w:rsid w:val="3004EF11"/>
    <w:rsid w:val="300C88A2"/>
    <w:rsid w:val="300E5BEB"/>
    <w:rsid w:val="300E8C44"/>
    <w:rsid w:val="3015CBE9"/>
    <w:rsid w:val="3015DD67"/>
    <w:rsid w:val="301910E3"/>
    <w:rsid w:val="301A2250"/>
    <w:rsid w:val="30246CBC"/>
    <w:rsid w:val="3028B086"/>
    <w:rsid w:val="302ABF17"/>
    <w:rsid w:val="302C0FE9"/>
    <w:rsid w:val="302E8E65"/>
    <w:rsid w:val="3032CA3B"/>
    <w:rsid w:val="303E9755"/>
    <w:rsid w:val="30414D05"/>
    <w:rsid w:val="30482227"/>
    <w:rsid w:val="304C0615"/>
    <w:rsid w:val="3058BDEB"/>
    <w:rsid w:val="305AEFCC"/>
    <w:rsid w:val="305E98CD"/>
    <w:rsid w:val="3061CF88"/>
    <w:rsid w:val="3064B282"/>
    <w:rsid w:val="306D08B5"/>
    <w:rsid w:val="3080F902"/>
    <w:rsid w:val="30887C53"/>
    <w:rsid w:val="3095FD46"/>
    <w:rsid w:val="30A52F81"/>
    <w:rsid w:val="30A6FA9C"/>
    <w:rsid w:val="30AF8545"/>
    <w:rsid w:val="30B53F67"/>
    <w:rsid w:val="30B88FA8"/>
    <w:rsid w:val="30C2E8CC"/>
    <w:rsid w:val="30C412D2"/>
    <w:rsid w:val="30C50BEF"/>
    <w:rsid w:val="30CCCD9D"/>
    <w:rsid w:val="30D090B9"/>
    <w:rsid w:val="30D0A9FD"/>
    <w:rsid w:val="30D4488D"/>
    <w:rsid w:val="30D55201"/>
    <w:rsid w:val="30D5BDBF"/>
    <w:rsid w:val="30DCF6F1"/>
    <w:rsid w:val="30E5D106"/>
    <w:rsid w:val="30E7865D"/>
    <w:rsid w:val="30E96BA6"/>
    <w:rsid w:val="30EB23D8"/>
    <w:rsid w:val="30EC38BD"/>
    <w:rsid w:val="30F008F5"/>
    <w:rsid w:val="30F0E977"/>
    <w:rsid w:val="3109CD82"/>
    <w:rsid w:val="31130A1C"/>
    <w:rsid w:val="3136D191"/>
    <w:rsid w:val="314412D6"/>
    <w:rsid w:val="315B7C71"/>
    <w:rsid w:val="315D0892"/>
    <w:rsid w:val="315DBC68"/>
    <w:rsid w:val="316B841D"/>
    <w:rsid w:val="31703798"/>
    <w:rsid w:val="31738E7C"/>
    <w:rsid w:val="31752003"/>
    <w:rsid w:val="318213E2"/>
    <w:rsid w:val="318249B1"/>
    <w:rsid w:val="318471AD"/>
    <w:rsid w:val="318B85D4"/>
    <w:rsid w:val="31933FE1"/>
    <w:rsid w:val="3194E6FF"/>
    <w:rsid w:val="3197084D"/>
    <w:rsid w:val="31A34DD7"/>
    <w:rsid w:val="31A4645A"/>
    <w:rsid w:val="31A4809E"/>
    <w:rsid w:val="31B13828"/>
    <w:rsid w:val="31B244A0"/>
    <w:rsid w:val="31B27E3D"/>
    <w:rsid w:val="31B31EDD"/>
    <w:rsid w:val="31BE23B0"/>
    <w:rsid w:val="31D28F05"/>
    <w:rsid w:val="31D2B930"/>
    <w:rsid w:val="31D2D95C"/>
    <w:rsid w:val="31E369AD"/>
    <w:rsid w:val="31E5C94E"/>
    <w:rsid w:val="31F16097"/>
    <w:rsid w:val="31F33C27"/>
    <w:rsid w:val="31FC8771"/>
    <w:rsid w:val="320067AA"/>
    <w:rsid w:val="321572A5"/>
    <w:rsid w:val="3215F1CD"/>
    <w:rsid w:val="321681E0"/>
    <w:rsid w:val="3216CF26"/>
    <w:rsid w:val="32213A69"/>
    <w:rsid w:val="3224D166"/>
    <w:rsid w:val="3225F1DA"/>
    <w:rsid w:val="3226018A"/>
    <w:rsid w:val="3231A372"/>
    <w:rsid w:val="3237ACEE"/>
    <w:rsid w:val="323F739B"/>
    <w:rsid w:val="324AF635"/>
    <w:rsid w:val="3250475E"/>
    <w:rsid w:val="325BB980"/>
    <w:rsid w:val="325DF964"/>
    <w:rsid w:val="32638CDA"/>
    <w:rsid w:val="3263FC84"/>
    <w:rsid w:val="3264A1A1"/>
    <w:rsid w:val="326F8176"/>
    <w:rsid w:val="32789C0A"/>
    <w:rsid w:val="3278FA70"/>
    <w:rsid w:val="327C7C0C"/>
    <w:rsid w:val="3281C9D3"/>
    <w:rsid w:val="3297952E"/>
    <w:rsid w:val="32979BEC"/>
    <w:rsid w:val="329BA493"/>
    <w:rsid w:val="329CFBEA"/>
    <w:rsid w:val="329EC087"/>
    <w:rsid w:val="32ADD433"/>
    <w:rsid w:val="32AEEF98"/>
    <w:rsid w:val="32B14579"/>
    <w:rsid w:val="32B1F98C"/>
    <w:rsid w:val="32B64AA0"/>
    <w:rsid w:val="32B8E3E5"/>
    <w:rsid w:val="32BD0B8A"/>
    <w:rsid w:val="32CB775D"/>
    <w:rsid w:val="32CF43E9"/>
    <w:rsid w:val="32D97BB5"/>
    <w:rsid w:val="32DC8D54"/>
    <w:rsid w:val="32F43D7E"/>
    <w:rsid w:val="33013921"/>
    <w:rsid w:val="3307D18B"/>
    <w:rsid w:val="330E5A8F"/>
    <w:rsid w:val="33109AA1"/>
    <w:rsid w:val="331503ED"/>
    <w:rsid w:val="33178EA4"/>
    <w:rsid w:val="332FDD5C"/>
    <w:rsid w:val="3334274C"/>
    <w:rsid w:val="333A700F"/>
    <w:rsid w:val="333F1B57"/>
    <w:rsid w:val="33400301"/>
    <w:rsid w:val="33421463"/>
    <w:rsid w:val="334427BF"/>
    <w:rsid w:val="334F3B98"/>
    <w:rsid w:val="335AA751"/>
    <w:rsid w:val="335D2B26"/>
    <w:rsid w:val="335DD32B"/>
    <w:rsid w:val="336AD4ED"/>
    <w:rsid w:val="336AE0B9"/>
    <w:rsid w:val="336DA3F6"/>
    <w:rsid w:val="33708C93"/>
    <w:rsid w:val="337096F1"/>
    <w:rsid w:val="337133FE"/>
    <w:rsid w:val="3373D466"/>
    <w:rsid w:val="33756451"/>
    <w:rsid w:val="337A8790"/>
    <w:rsid w:val="33824A52"/>
    <w:rsid w:val="3385AC67"/>
    <w:rsid w:val="33877279"/>
    <w:rsid w:val="338D16D2"/>
    <w:rsid w:val="339272EA"/>
    <w:rsid w:val="33949B9C"/>
    <w:rsid w:val="3396398F"/>
    <w:rsid w:val="3396EC4E"/>
    <w:rsid w:val="339AA2CD"/>
    <w:rsid w:val="339BB50A"/>
    <w:rsid w:val="33A1F68B"/>
    <w:rsid w:val="33A728E4"/>
    <w:rsid w:val="33B0ADEF"/>
    <w:rsid w:val="33B1625E"/>
    <w:rsid w:val="33B243CB"/>
    <w:rsid w:val="33D72103"/>
    <w:rsid w:val="33E45E69"/>
    <w:rsid w:val="33E4DD68"/>
    <w:rsid w:val="33E66A40"/>
    <w:rsid w:val="33E955DF"/>
    <w:rsid w:val="33E9E443"/>
    <w:rsid w:val="33F2496E"/>
    <w:rsid w:val="340B97FF"/>
    <w:rsid w:val="3416FA68"/>
    <w:rsid w:val="341D71C8"/>
    <w:rsid w:val="34256811"/>
    <w:rsid w:val="342E77F9"/>
    <w:rsid w:val="343B659B"/>
    <w:rsid w:val="343B6E4D"/>
    <w:rsid w:val="343CA6BE"/>
    <w:rsid w:val="34461C2B"/>
    <w:rsid w:val="344966D6"/>
    <w:rsid w:val="3449690C"/>
    <w:rsid w:val="344BFA0E"/>
    <w:rsid w:val="344D62D8"/>
    <w:rsid w:val="344DE1AC"/>
    <w:rsid w:val="345282BB"/>
    <w:rsid w:val="346ABE7B"/>
    <w:rsid w:val="346FDF2F"/>
    <w:rsid w:val="347147D6"/>
    <w:rsid w:val="347424AE"/>
    <w:rsid w:val="3477E812"/>
    <w:rsid w:val="34787046"/>
    <w:rsid w:val="347A71D8"/>
    <w:rsid w:val="347BEB65"/>
    <w:rsid w:val="3486A29C"/>
    <w:rsid w:val="348984E5"/>
    <w:rsid w:val="34986125"/>
    <w:rsid w:val="34AE4464"/>
    <w:rsid w:val="34B081C3"/>
    <w:rsid w:val="34B6AADD"/>
    <w:rsid w:val="34BBAEE4"/>
    <w:rsid w:val="34BED4F6"/>
    <w:rsid w:val="34C642D5"/>
    <w:rsid w:val="34CB66BA"/>
    <w:rsid w:val="34CBFF7D"/>
    <w:rsid w:val="34CC6545"/>
    <w:rsid w:val="34CE70EA"/>
    <w:rsid w:val="34D677BE"/>
    <w:rsid w:val="34E2BEA9"/>
    <w:rsid w:val="34E66764"/>
    <w:rsid w:val="34E92A4C"/>
    <w:rsid w:val="34EBCE0B"/>
    <w:rsid w:val="34EDA41D"/>
    <w:rsid w:val="34F004EA"/>
    <w:rsid w:val="34F0B217"/>
    <w:rsid w:val="34F1A228"/>
    <w:rsid w:val="34F27898"/>
    <w:rsid w:val="34F45003"/>
    <w:rsid w:val="34F80D04"/>
    <w:rsid w:val="34F85E3D"/>
    <w:rsid w:val="34FCAFF4"/>
    <w:rsid w:val="3505A3C8"/>
    <w:rsid w:val="3508204E"/>
    <w:rsid w:val="350975E6"/>
    <w:rsid w:val="350D2B08"/>
    <w:rsid w:val="351104F7"/>
    <w:rsid w:val="35112ED2"/>
    <w:rsid w:val="3514CA31"/>
    <w:rsid w:val="352AECFC"/>
    <w:rsid w:val="3530FDEA"/>
    <w:rsid w:val="35349E5F"/>
    <w:rsid w:val="353594EB"/>
    <w:rsid w:val="3539A2F8"/>
    <w:rsid w:val="3542AAF8"/>
    <w:rsid w:val="35443BE9"/>
    <w:rsid w:val="3545CF86"/>
    <w:rsid w:val="3545D8C1"/>
    <w:rsid w:val="355D5D96"/>
    <w:rsid w:val="3561FE35"/>
    <w:rsid w:val="3562F24E"/>
    <w:rsid w:val="3564F191"/>
    <w:rsid w:val="356517C8"/>
    <w:rsid w:val="3566040C"/>
    <w:rsid w:val="35669A5D"/>
    <w:rsid w:val="3568CB7A"/>
    <w:rsid w:val="35697963"/>
    <w:rsid w:val="357A5787"/>
    <w:rsid w:val="357AB1BA"/>
    <w:rsid w:val="359043EE"/>
    <w:rsid w:val="359107FF"/>
    <w:rsid w:val="3596D96D"/>
    <w:rsid w:val="3597BA4C"/>
    <w:rsid w:val="359A2A01"/>
    <w:rsid w:val="359AA97A"/>
    <w:rsid w:val="35A18DDB"/>
    <w:rsid w:val="35AA45BC"/>
    <w:rsid w:val="35C0ED2B"/>
    <w:rsid w:val="35C3A0F2"/>
    <w:rsid w:val="35CAEA71"/>
    <w:rsid w:val="35D4FC44"/>
    <w:rsid w:val="35E943C5"/>
    <w:rsid w:val="35E987DF"/>
    <w:rsid w:val="35EAFEA3"/>
    <w:rsid w:val="35EB67AA"/>
    <w:rsid w:val="35F09E6C"/>
    <w:rsid w:val="35F3E74D"/>
    <w:rsid w:val="35FF6ACA"/>
    <w:rsid w:val="3600D88F"/>
    <w:rsid w:val="3609D98D"/>
    <w:rsid w:val="360B226D"/>
    <w:rsid w:val="360C4A20"/>
    <w:rsid w:val="360D279C"/>
    <w:rsid w:val="360EA3C2"/>
    <w:rsid w:val="36161135"/>
    <w:rsid w:val="361823C2"/>
    <w:rsid w:val="3618BC31"/>
    <w:rsid w:val="3627C982"/>
    <w:rsid w:val="362AC813"/>
    <w:rsid w:val="362DDAA6"/>
    <w:rsid w:val="362E5108"/>
    <w:rsid w:val="363385D0"/>
    <w:rsid w:val="3635B70E"/>
    <w:rsid w:val="36402E5F"/>
    <w:rsid w:val="364ADB6A"/>
    <w:rsid w:val="36513AF7"/>
    <w:rsid w:val="3651653F"/>
    <w:rsid w:val="3652C863"/>
    <w:rsid w:val="36590AF3"/>
    <w:rsid w:val="36693A7C"/>
    <w:rsid w:val="3673D571"/>
    <w:rsid w:val="36760A05"/>
    <w:rsid w:val="36770E3C"/>
    <w:rsid w:val="368AE98E"/>
    <w:rsid w:val="368B5554"/>
    <w:rsid w:val="368B58AF"/>
    <w:rsid w:val="36910F13"/>
    <w:rsid w:val="369338CB"/>
    <w:rsid w:val="36950283"/>
    <w:rsid w:val="369FA66D"/>
    <w:rsid w:val="36A17E6F"/>
    <w:rsid w:val="36A4584E"/>
    <w:rsid w:val="36A6EA2B"/>
    <w:rsid w:val="36A7B0E2"/>
    <w:rsid w:val="36A9653A"/>
    <w:rsid w:val="36AD263C"/>
    <w:rsid w:val="36AE1DD9"/>
    <w:rsid w:val="36B743ED"/>
    <w:rsid w:val="36BACE70"/>
    <w:rsid w:val="36C2F88E"/>
    <w:rsid w:val="36C44E59"/>
    <w:rsid w:val="36C661FE"/>
    <w:rsid w:val="36C946E3"/>
    <w:rsid w:val="36CBBD17"/>
    <w:rsid w:val="36CC9916"/>
    <w:rsid w:val="36D0CA1B"/>
    <w:rsid w:val="36D1269C"/>
    <w:rsid w:val="36D384FB"/>
    <w:rsid w:val="36D49745"/>
    <w:rsid w:val="36D4E6B3"/>
    <w:rsid w:val="36D96AC8"/>
    <w:rsid w:val="36D9C641"/>
    <w:rsid w:val="36E0A651"/>
    <w:rsid w:val="36E5D605"/>
    <w:rsid w:val="36E5F2EC"/>
    <w:rsid w:val="36E9A5BE"/>
    <w:rsid w:val="36EAF253"/>
    <w:rsid w:val="36EE3E68"/>
    <w:rsid w:val="36F283D0"/>
    <w:rsid w:val="36F985FB"/>
    <w:rsid w:val="36FCAE7C"/>
    <w:rsid w:val="36FE399F"/>
    <w:rsid w:val="37002ABF"/>
    <w:rsid w:val="37024CAE"/>
    <w:rsid w:val="371BCD96"/>
    <w:rsid w:val="371D41A1"/>
    <w:rsid w:val="371FC8A3"/>
    <w:rsid w:val="3722957F"/>
    <w:rsid w:val="372A3CD9"/>
    <w:rsid w:val="372C2FC4"/>
    <w:rsid w:val="372D5034"/>
    <w:rsid w:val="3747AA7F"/>
    <w:rsid w:val="3749A13F"/>
    <w:rsid w:val="374A3BB2"/>
    <w:rsid w:val="374C0A6A"/>
    <w:rsid w:val="3751DFF0"/>
    <w:rsid w:val="37569F59"/>
    <w:rsid w:val="375998A9"/>
    <w:rsid w:val="375A12FD"/>
    <w:rsid w:val="375D7812"/>
    <w:rsid w:val="376DE13C"/>
    <w:rsid w:val="3770201D"/>
    <w:rsid w:val="3773A17C"/>
    <w:rsid w:val="37778838"/>
    <w:rsid w:val="377AFCAC"/>
    <w:rsid w:val="3782E873"/>
    <w:rsid w:val="3783277B"/>
    <w:rsid w:val="37847B40"/>
    <w:rsid w:val="3784E6EA"/>
    <w:rsid w:val="3791C69E"/>
    <w:rsid w:val="37A06CA8"/>
    <w:rsid w:val="37A7D5F2"/>
    <w:rsid w:val="37AA9953"/>
    <w:rsid w:val="37AAE8AC"/>
    <w:rsid w:val="37AFED60"/>
    <w:rsid w:val="37B36630"/>
    <w:rsid w:val="37B5977E"/>
    <w:rsid w:val="37B61F41"/>
    <w:rsid w:val="37B8F901"/>
    <w:rsid w:val="37BE3C23"/>
    <w:rsid w:val="37C309C3"/>
    <w:rsid w:val="37CA9451"/>
    <w:rsid w:val="37D4FC1B"/>
    <w:rsid w:val="37D576EA"/>
    <w:rsid w:val="37D97985"/>
    <w:rsid w:val="37DDAD64"/>
    <w:rsid w:val="37DF4B92"/>
    <w:rsid w:val="37ED7BAF"/>
    <w:rsid w:val="37EE7A03"/>
    <w:rsid w:val="37F0D99C"/>
    <w:rsid w:val="37FAE4E5"/>
    <w:rsid w:val="3806C32D"/>
    <w:rsid w:val="3808219D"/>
    <w:rsid w:val="3810B5CB"/>
    <w:rsid w:val="381BFA88"/>
    <w:rsid w:val="381C888C"/>
    <w:rsid w:val="381F1F21"/>
    <w:rsid w:val="381FC646"/>
    <w:rsid w:val="38303C80"/>
    <w:rsid w:val="3837B495"/>
    <w:rsid w:val="3840B836"/>
    <w:rsid w:val="38463325"/>
    <w:rsid w:val="385C2AA6"/>
    <w:rsid w:val="3861891F"/>
    <w:rsid w:val="386254A9"/>
    <w:rsid w:val="38647AA8"/>
    <w:rsid w:val="3866AE3D"/>
    <w:rsid w:val="3867ABAD"/>
    <w:rsid w:val="3867ABE0"/>
    <w:rsid w:val="3869BF4A"/>
    <w:rsid w:val="3870B257"/>
    <w:rsid w:val="3870C1E4"/>
    <w:rsid w:val="38724E3F"/>
    <w:rsid w:val="38740D63"/>
    <w:rsid w:val="38813F35"/>
    <w:rsid w:val="3885C26D"/>
    <w:rsid w:val="388CFC74"/>
    <w:rsid w:val="3894E7B3"/>
    <w:rsid w:val="38981684"/>
    <w:rsid w:val="38A14F1F"/>
    <w:rsid w:val="38A968F5"/>
    <w:rsid w:val="38B53C34"/>
    <w:rsid w:val="38BC5A23"/>
    <w:rsid w:val="38C10D37"/>
    <w:rsid w:val="38C63D0E"/>
    <w:rsid w:val="38C8E797"/>
    <w:rsid w:val="38CE9AAD"/>
    <w:rsid w:val="38CFBCC1"/>
    <w:rsid w:val="38D0108F"/>
    <w:rsid w:val="38D1759B"/>
    <w:rsid w:val="38D818D0"/>
    <w:rsid w:val="38D9A4D4"/>
    <w:rsid w:val="38DA5E43"/>
    <w:rsid w:val="38DD6F92"/>
    <w:rsid w:val="38DE2830"/>
    <w:rsid w:val="38E12FA4"/>
    <w:rsid w:val="38EC0187"/>
    <w:rsid w:val="38EC608D"/>
    <w:rsid w:val="38F51B40"/>
    <w:rsid w:val="38F71A73"/>
    <w:rsid w:val="38F74A78"/>
    <w:rsid w:val="390473C1"/>
    <w:rsid w:val="3906DAC6"/>
    <w:rsid w:val="390AD199"/>
    <w:rsid w:val="39150D9D"/>
    <w:rsid w:val="391AA183"/>
    <w:rsid w:val="391E109D"/>
    <w:rsid w:val="39285FF5"/>
    <w:rsid w:val="3929C3FA"/>
    <w:rsid w:val="392C448A"/>
    <w:rsid w:val="39342B72"/>
    <w:rsid w:val="3938D26A"/>
    <w:rsid w:val="3939CC21"/>
    <w:rsid w:val="393A1082"/>
    <w:rsid w:val="3940A8E3"/>
    <w:rsid w:val="39431ABA"/>
    <w:rsid w:val="39490540"/>
    <w:rsid w:val="3949F015"/>
    <w:rsid w:val="3952FCB9"/>
    <w:rsid w:val="39543C18"/>
    <w:rsid w:val="3961C522"/>
    <w:rsid w:val="3962041B"/>
    <w:rsid w:val="39637307"/>
    <w:rsid w:val="3964B57F"/>
    <w:rsid w:val="39689703"/>
    <w:rsid w:val="396C3EE0"/>
    <w:rsid w:val="396E0E98"/>
    <w:rsid w:val="397F75DB"/>
    <w:rsid w:val="3983F385"/>
    <w:rsid w:val="398D1A67"/>
    <w:rsid w:val="3995A921"/>
    <w:rsid w:val="39A47181"/>
    <w:rsid w:val="39A511A2"/>
    <w:rsid w:val="39AB706E"/>
    <w:rsid w:val="39AE004D"/>
    <w:rsid w:val="39B18320"/>
    <w:rsid w:val="39B62F33"/>
    <w:rsid w:val="39B717AB"/>
    <w:rsid w:val="39B7F91D"/>
    <w:rsid w:val="39C03251"/>
    <w:rsid w:val="39C3DD56"/>
    <w:rsid w:val="39C60A43"/>
    <w:rsid w:val="39C90264"/>
    <w:rsid w:val="39CA176A"/>
    <w:rsid w:val="39CB7D81"/>
    <w:rsid w:val="39D16E8E"/>
    <w:rsid w:val="39D4ABCA"/>
    <w:rsid w:val="39D70A74"/>
    <w:rsid w:val="39E11393"/>
    <w:rsid w:val="39E345D7"/>
    <w:rsid w:val="39E9A8B2"/>
    <w:rsid w:val="39EB918C"/>
    <w:rsid w:val="39F616BE"/>
    <w:rsid w:val="39FC685A"/>
    <w:rsid w:val="3A0CFBA0"/>
    <w:rsid w:val="3A0ED740"/>
    <w:rsid w:val="3A173CE5"/>
    <w:rsid w:val="3A1D7480"/>
    <w:rsid w:val="3A2049A9"/>
    <w:rsid w:val="3A22DA26"/>
    <w:rsid w:val="3A34DC2D"/>
    <w:rsid w:val="3A392A19"/>
    <w:rsid w:val="3A39F820"/>
    <w:rsid w:val="3A3D67D0"/>
    <w:rsid w:val="3A470805"/>
    <w:rsid w:val="3A4AE0D8"/>
    <w:rsid w:val="3A4AFE6D"/>
    <w:rsid w:val="3A4DCD30"/>
    <w:rsid w:val="3A55F586"/>
    <w:rsid w:val="3A566BB1"/>
    <w:rsid w:val="3A58503C"/>
    <w:rsid w:val="3A590431"/>
    <w:rsid w:val="3A5BA30D"/>
    <w:rsid w:val="3A60507A"/>
    <w:rsid w:val="3A6EE0D4"/>
    <w:rsid w:val="3A740F8A"/>
    <w:rsid w:val="3A7D75DF"/>
    <w:rsid w:val="3A89EA60"/>
    <w:rsid w:val="3AB9257B"/>
    <w:rsid w:val="3AC0AAB3"/>
    <w:rsid w:val="3AC486F5"/>
    <w:rsid w:val="3ACA7B95"/>
    <w:rsid w:val="3ACB787D"/>
    <w:rsid w:val="3ACECD69"/>
    <w:rsid w:val="3AD6FFB0"/>
    <w:rsid w:val="3ADD0006"/>
    <w:rsid w:val="3AE3A100"/>
    <w:rsid w:val="3AE56520"/>
    <w:rsid w:val="3AE5841C"/>
    <w:rsid w:val="3AEF3868"/>
    <w:rsid w:val="3AF09B6A"/>
    <w:rsid w:val="3AF22D9B"/>
    <w:rsid w:val="3AF69552"/>
    <w:rsid w:val="3AF76747"/>
    <w:rsid w:val="3AFAD21A"/>
    <w:rsid w:val="3AFCCDF3"/>
    <w:rsid w:val="3B04E004"/>
    <w:rsid w:val="3B0C7017"/>
    <w:rsid w:val="3B0E5B32"/>
    <w:rsid w:val="3B0F7142"/>
    <w:rsid w:val="3B126AB5"/>
    <w:rsid w:val="3B15CEBF"/>
    <w:rsid w:val="3B1DA1BC"/>
    <w:rsid w:val="3B24C82E"/>
    <w:rsid w:val="3B2ACB73"/>
    <w:rsid w:val="3B34C0BA"/>
    <w:rsid w:val="3B3569D3"/>
    <w:rsid w:val="3B360872"/>
    <w:rsid w:val="3B381EC0"/>
    <w:rsid w:val="3B39B647"/>
    <w:rsid w:val="3B3CA47E"/>
    <w:rsid w:val="3B43514F"/>
    <w:rsid w:val="3B456DD7"/>
    <w:rsid w:val="3B4A6149"/>
    <w:rsid w:val="3B4AA012"/>
    <w:rsid w:val="3B4AECC0"/>
    <w:rsid w:val="3B4F6358"/>
    <w:rsid w:val="3B552843"/>
    <w:rsid w:val="3B58A1A9"/>
    <w:rsid w:val="3B65BA4B"/>
    <w:rsid w:val="3B6ADB3D"/>
    <w:rsid w:val="3B72D155"/>
    <w:rsid w:val="3B75D066"/>
    <w:rsid w:val="3B7CC872"/>
    <w:rsid w:val="3B81BAD1"/>
    <w:rsid w:val="3B866370"/>
    <w:rsid w:val="3B8D4023"/>
    <w:rsid w:val="3B907AD2"/>
    <w:rsid w:val="3B937F69"/>
    <w:rsid w:val="3B93C1DA"/>
    <w:rsid w:val="3B942EA4"/>
    <w:rsid w:val="3B9B81E8"/>
    <w:rsid w:val="3BA0352B"/>
    <w:rsid w:val="3BAE011A"/>
    <w:rsid w:val="3BAE34E2"/>
    <w:rsid w:val="3BB0222C"/>
    <w:rsid w:val="3BB26080"/>
    <w:rsid w:val="3BB3E7B6"/>
    <w:rsid w:val="3BB7A7E1"/>
    <w:rsid w:val="3BBB486F"/>
    <w:rsid w:val="3BBBE881"/>
    <w:rsid w:val="3BC71828"/>
    <w:rsid w:val="3BC9F784"/>
    <w:rsid w:val="3BCB5849"/>
    <w:rsid w:val="3BCF772B"/>
    <w:rsid w:val="3BD34746"/>
    <w:rsid w:val="3BD4F34C"/>
    <w:rsid w:val="3BDC5C6D"/>
    <w:rsid w:val="3BF645DD"/>
    <w:rsid w:val="3BF7BE01"/>
    <w:rsid w:val="3BF9C7F5"/>
    <w:rsid w:val="3BF9F7E9"/>
    <w:rsid w:val="3BFA3763"/>
    <w:rsid w:val="3BFA6493"/>
    <w:rsid w:val="3BFDDE71"/>
    <w:rsid w:val="3BFEE5FA"/>
    <w:rsid w:val="3C04200B"/>
    <w:rsid w:val="3C05321D"/>
    <w:rsid w:val="3C06059A"/>
    <w:rsid w:val="3C102898"/>
    <w:rsid w:val="3C1381A7"/>
    <w:rsid w:val="3C1520D4"/>
    <w:rsid w:val="3C1E1ACA"/>
    <w:rsid w:val="3C20C3D5"/>
    <w:rsid w:val="3C215525"/>
    <w:rsid w:val="3C25BE88"/>
    <w:rsid w:val="3C2A8286"/>
    <w:rsid w:val="3C3CE33E"/>
    <w:rsid w:val="3C3E9F64"/>
    <w:rsid w:val="3C46F124"/>
    <w:rsid w:val="3C47560D"/>
    <w:rsid w:val="3C47EC05"/>
    <w:rsid w:val="3C4BC518"/>
    <w:rsid w:val="3C52418A"/>
    <w:rsid w:val="3C54E0B7"/>
    <w:rsid w:val="3C55789C"/>
    <w:rsid w:val="3C5D78E3"/>
    <w:rsid w:val="3C637875"/>
    <w:rsid w:val="3C6378AE"/>
    <w:rsid w:val="3C6DD03D"/>
    <w:rsid w:val="3C734684"/>
    <w:rsid w:val="3C7BC2BF"/>
    <w:rsid w:val="3C877DBE"/>
    <w:rsid w:val="3C8812E4"/>
    <w:rsid w:val="3C887504"/>
    <w:rsid w:val="3C9347BD"/>
    <w:rsid w:val="3C9588F2"/>
    <w:rsid w:val="3C98FF66"/>
    <w:rsid w:val="3C9AE08E"/>
    <w:rsid w:val="3CA0D210"/>
    <w:rsid w:val="3CA2E7FE"/>
    <w:rsid w:val="3CA38412"/>
    <w:rsid w:val="3CA7204D"/>
    <w:rsid w:val="3CB5DB84"/>
    <w:rsid w:val="3CBC4E31"/>
    <w:rsid w:val="3CBDA432"/>
    <w:rsid w:val="3CC5048B"/>
    <w:rsid w:val="3CCB2EF4"/>
    <w:rsid w:val="3CD0B32C"/>
    <w:rsid w:val="3CD1B89D"/>
    <w:rsid w:val="3CD2896F"/>
    <w:rsid w:val="3CD5400C"/>
    <w:rsid w:val="3CD6444C"/>
    <w:rsid w:val="3CD6A886"/>
    <w:rsid w:val="3CDD6AB5"/>
    <w:rsid w:val="3CE0AE6D"/>
    <w:rsid w:val="3CE58A66"/>
    <w:rsid w:val="3CE619EF"/>
    <w:rsid w:val="3CEB49CE"/>
    <w:rsid w:val="3CEC948C"/>
    <w:rsid w:val="3CEE7474"/>
    <w:rsid w:val="3CF306C9"/>
    <w:rsid w:val="3CF8B922"/>
    <w:rsid w:val="3CFC3D90"/>
    <w:rsid w:val="3CFD7022"/>
    <w:rsid w:val="3CFE6AC5"/>
    <w:rsid w:val="3D005037"/>
    <w:rsid w:val="3D03F8A1"/>
    <w:rsid w:val="3D0465B9"/>
    <w:rsid w:val="3D0510D2"/>
    <w:rsid w:val="3D067E67"/>
    <w:rsid w:val="3D0B5F92"/>
    <w:rsid w:val="3D0E7923"/>
    <w:rsid w:val="3D0FCE29"/>
    <w:rsid w:val="3D11B822"/>
    <w:rsid w:val="3D173E1E"/>
    <w:rsid w:val="3D1A937F"/>
    <w:rsid w:val="3D1FA3D7"/>
    <w:rsid w:val="3D2098B4"/>
    <w:rsid w:val="3D279EC3"/>
    <w:rsid w:val="3D28449F"/>
    <w:rsid w:val="3D32D1DF"/>
    <w:rsid w:val="3D35F2FE"/>
    <w:rsid w:val="3D39EA28"/>
    <w:rsid w:val="3D432EDE"/>
    <w:rsid w:val="3D49C981"/>
    <w:rsid w:val="3D531051"/>
    <w:rsid w:val="3D5E576F"/>
    <w:rsid w:val="3D5E7A62"/>
    <w:rsid w:val="3D680D4C"/>
    <w:rsid w:val="3D6C4833"/>
    <w:rsid w:val="3D79DFDA"/>
    <w:rsid w:val="3D7D0484"/>
    <w:rsid w:val="3D7D2B53"/>
    <w:rsid w:val="3D807748"/>
    <w:rsid w:val="3D95100B"/>
    <w:rsid w:val="3D998988"/>
    <w:rsid w:val="3D9BA009"/>
    <w:rsid w:val="3DA188F2"/>
    <w:rsid w:val="3DA32464"/>
    <w:rsid w:val="3DA5AC80"/>
    <w:rsid w:val="3DBF7BF0"/>
    <w:rsid w:val="3DC0251D"/>
    <w:rsid w:val="3DC4E499"/>
    <w:rsid w:val="3DC6C3FE"/>
    <w:rsid w:val="3DCD8F89"/>
    <w:rsid w:val="3DCED482"/>
    <w:rsid w:val="3DDF6470"/>
    <w:rsid w:val="3DE5B7BF"/>
    <w:rsid w:val="3DE81B44"/>
    <w:rsid w:val="3DEE3F58"/>
    <w:rsid w:val="3DEE8DB6"/>
    <w:rsid w:val="3DF21A60"/>
    <w:rsid w:val="3DF87864"/>
    <w:rsid w:val="3DFE664A"/>
    <w:rsid w:val="3E007EDC"/>
    <w:rsid w:val="3E028B3C"/>
    <w:rsid w:val="3E0A7D25"/>
    <w:rsid w:val="3E0C06AE"/>
    <w:rsid w:val="3E0D5A67"/>
    <w:rsid w:val="3E0D8DD0"/>
    <w:rsid w:val="3E14D2A8"/>
    <w:rsid w:val="3E14E600"/>
    <w:rsid w:val="3E1DBCB3"/>
    <w:rsid w:val="3E1E66D2"/>
    <w:rsid w:val="3E2630D8"/>
    <w:rsid w:val="3E29A403"/>
    <w:rsid w:val="3E2B2989"/>
    <w:rsid w:val="3E2EDFC2"/>
    <w:rsid w:val="3E380422"/>
    <w:rsid w:val="3E42C4ED"/>
    <w:rsid w:val="3E4CE904"/>
    <w:rsid w:val="3E507812"/>
    <w:rsid w:val="3E52CE44"/>
    <w:rsid w:val="3E5557DA"/>
    <w:rsid w:val="3E5A1A41"/>
    <w:rsid w:val="3E5D606F"/>
    <w:rsid w:val="3E66EEFE"/>
    <w:rsid w:val="3E697B58"/>
    <w:rsid w:val="3E6B887B"/>
    <w:rsid w:val="3E72A33C"/>
    <w:rsid w:val="3E7E099B"/>
    <w:rsid w:val="3E7FCC4B"/>
    <w:rsid w:val="3E85544F"/>
    <w:rsid w:val="3E86DDC5"/>
    <w:rsid w:val="3E8FA5A6"/>
    <w:rsid w:val="3E93FBD5"/>
    <w:rsid w:val="3E9A742F"/>
    <w:rsid w:val="3E9FB32B"/>
    <w:rsid w:val="3EA10B35"/>
    <w:rsid w:val="3EA4DB40"/>
    <w:rsid w:val="3EA8B0A0"/>
    <w:rsid w:val="3EABFF9D"/>
    <w:rsid w:val="3EBA0CE5"/>
    <w:rsid w:val="3EBBE132"/>
    <w:rsid w:val="3EBC82D9"/>
    <w:rsid w:val="3EBCDEF4"/>
    <w:rsid w:val="3ECA822A"/>
    <w:rsid w:val="3ECAC0D2"/>
    <w:rsid w:val="3ECAC5E2"/>
    <w:rsid w:val="3ED44AB5"/>
    <w:rsid w:val="3ED50DBB"/>
    <w:rsid w:val="3ED6EDD1"/>
    <w:rsid w:val="3ED7755E"/>
    <w:rsid w:val="3EDBCF2D"/>
    <w:rsid w:val="3EDE7206"/>
    <w:rsid w:val="3EEB75D9"/>
    <w:rsid w:val="3EF39D1D"/>
    <w:rsid w:val="3EF60C96"/>
    <w:rsid w:val="3EF69B26"/>
    <w:rsid w:val="3EF7ABED"/>
    <w:rsid w:val="3EF8CE97"/>
    <w:rsid w:val="3EFD4A55"/>
    <w:rsid w:val="3EFED283"/>
    <w:rsid w:val="3F02CBE1"/>
    <w:rsid w:val="3F033796"/>
    <w:rsid w:val="3F0C2575"/>
    <w:rsid w:val="3F1143F4"/>
    <w:rsid w:val="3F194992"/>
    <w:rsid w:val="3F1B2FF1"/>
    <w:rsid w:val="3F1C8897"/>
    <w:rsid w:val="3F1F40B9"/>
    <w:rsid w:val="3F275C79"/>
    <w:rsid w:val="3F2F17DC"/>
    <w:rsid w:val="3F2FB330"/>
    <w:rsid w:val="3F367591"/>
    <w:rsid w:val="3F3F7861"/>
    <w:rsid w:val="3F47A5E5"/>
    <w:rsid w:val="3F594734"/>
    <w:rsid w:val="3F66A36B"/>
    <w:rsid w:val="3F687269"/>
    <w:rsid w:val="3F6E4937"/>
    <w:rsid w:val="3F712AA0"/>
    <w:rsid w:val="3F736B31"/>
    <w:rsid w:val="3F7D6F25"/>
    <w:rsid w:val="3F80CF34"/>
    <w:rsid w:val="3F8103CB"/>
    <w:rsid w:val="3F81FFAD"/>
    <w:rsid w:val="3F856394"/>
    <w:rsid w:val="3F881E07"/>
    <w:rsid w:val="3F8B250D"/>
    <w:rsid w:val="3F96EA07"/>
    <w:rsid w:val="3F991D6F"/>
    <w:rsid w:val="3FA1567A"/>
    <w:rsid w:val="3FA2C790"/>
    <w:rsid w:val="3FACB3DF"/>
    <w:rsid w:val="3FACFB14"/>
    <w:rsid w:val="3FAE01B3"/>
    <w:rsid w:val="3FAEFD13"/>
    <w:rsid w:val="3FB3BFD5"/>
    <w:rsid w:val="3FBC9375"/>
    <w:rsid w:val="3FBD601D"/>
    <w:rsid w:val="3FC0903C"/>
    <w:rsid w:val="3FC1529B"/>
    <w:rsid w:val="3FCBEA68"/>
    <w:rsid w:val="3FCDA521"/>
    <w:rsid w:val="3FDC9D78"/>
    <w:rsid w:val="3FDE4F53"/>
    <w:rsid w:val="3FE405AA"/>
    <w:rsid w:val="3FE9A765"/>
    <w:rsid w:val="3FEAB8D9"/>
    <w:rsid w:val="3FF1EE44"/>
    <w:rsid w:val="3FF51BE7"/>
    <w:rsid w:val="3FF77003"/>
    <w:rsid w:val="3FF926B1"/>
    <w:rsid w:val="400383B1"/>
    <w:rsid w:val="40044A3E"/>
    <w:rsid w:val="4004D3BE"/>
    <w:rsid w:val="4010941A"/>
    <w:rsid w:val="401732ED"/>
    <w:rsid w:val="401C8C07"/>
    <w:rsid w:val="401D1C33"/>
    <w:rsid w:val="4031C519"/>
    <w:rsid w:val="4034F54B"/>
    <w:rsid w:val="40355B5F"/>
    <w:rsid w:val="40359645"/>
    <w:rsid w:val="4038399B"/>
    <w:rsid w:val="40497C33"/>
    <w:rsid w:val="4053BD54"/>
    <w:rsid w:val="405732D7"/>
    <w:rsid w:val="40586313"/>
    <w:rsid w:val="405C90F1"/>
    <w:rsid w:val="405CD8CF"/>
    <w:rsid w:val="40611A65"/>
    <w:rsid w:val="4066FC8B"/>
    <w:rsid w:val="40680BCA"/>
    <w:rsid w:val="4069E257"/>
    <w:rsid w:val="4073B8A8"/>
    <w:rsid w:val="4074DDCF"/>
    <w:rsid w:val="407E8D95"/>
    <w:rsid w:val="407F4F11"/>
    <w:rsid w:val="4080C6B3"/>
    <w:rsid w:val="408565C1"/>
    <w:rsid w:val="4085E204"/>
    <w:rsid w:val="409211CC"/>
    <w:rsid w:val="40936D8A"/>
    <w:rsid w:val="40966E71"/>
    <w:rsid w:val="409801A0"/>
    <w:rsid w:val="40A5A9BC"/>
    <w:rsid w:val="40A9D895"/>
    <w:rsid w:val="40ACF48C"/>
    <w:rsid w:val="40B1210E"/>
    <w:rsid w:val="40B41223"/>
    <w:rsid w:val="40B70680"/>
    <w:rsid w:val="40B772AC"/>
    <w:rsid w:val="40BAF547"/>
    <w:rsid w:val="40CC45F0"/>
    <w:rsid w:val="40CE44F4"/>
    <w:rsid w:val="40D344FF"/>
    <w:rsid w:val="40E92651"/>
    <w:rsid w:val="40EF8222"/>
    <w:rsid w:val="40F6EF42"/>
    <w:rsid w:val="40F7D5B6"/>
    <w:rsid w:val="40FB61D6"/>
    <w:rsid w:val="40FF0930"/>
    <w:rsid w:val="4105A9E8"/>
    <w:rsid w:val="410861D2"/>
    <w:rsid w:val="41125115"/>
    <w:rsid w:val="4114DF68"/>
    <w:rsid w:val="41174808"/>
    <w:rsid w:val="4118B4F6"/>
    <w:rsid w:val="41194F45"/>
    <w:rsid w:val="41248BA7"/>
    <w:rsid w:val="4125F8D5"/>
    <w:rsid w:val="412F15EF"/>
    <w:rsid w:val="4130D3D1"/>
    <w:rsid w:val="41372E22"/>
    <w:rsid w:val="41459935"/>
    <w:rsid w:val="4145E218"/>
    <w:rsid w:val="415BAF91"/>
    <w:rsid w:val="415E324E"/>
    <w:rsid w:val="4160FCD8"/>
    <w:rsid w:val="4165565D"/>
    <w:rsid w:val="4165FA15"/>
    <w:rsid w:val="4167309D"/>
    <w:rsid w:val="4168BEFA"/>
    <w:rsid w:val="4169C56E"/>
    <w:rsid w:val="416BC971"/>
    <w:rsid w:val="416C78FB"/>
    <w:rsid w:val="41715812"/>
    <w:rsid w:val="41873DD0"/>
    <w:rsid w:val="4188AE1C"/>
    <w:rsid w:val="418B5178"/>
    <w:rsid w:val="418EF787"/>
    <w:rsid w:val="419456AD"/>
    <w:rsid w:val="419A7F7B"/>
    <w:rsid w:val="419BD269"/>
    <w:rsid w:val="41A350B0"/>
    <w:rsid w:val="41A38B76"/>
    <w:rsid w:val="41A55287"/>
    <w:rsid w:val="41A56B7F"/>
    <w:rsid w:val="41A82055"/>
    <w:rsid w:val="41AAAF8D"/>
    <w:rsid w:val="41B16C8F"/>
    <w:rsid w:val="41B3ED26"/>
    <w:rsid w:val="41B479B9"/>
    <w:rsid w:val="41B8EC94"/>
    <w:rsid w:val="41C3244B"/>
    <w:rsid w:val="41CFAED7"/>
    <w:rsid w:val="41E090E4"/>
    <w:rsid w:val="41E8AFFC"/>
    <w:rsid w:val="41EC5FBC"/>
    <w:rsid w:val="41ED994B"/>
    <w:rsid w:val="41F42C54"/>
    <w:rsid w:val="41F47B4B"/>
    <w:rsid w:val="41F55A97"/>
    <w:rsid w:val="41F822E5"/>
    <w:rsid w:val="41FC658B"/>
    <w:rsid w:val="41FEEAA9"/>
    <w:rsid w:val="41FF2AC4"/>
    <w:rsid w:val="42031534"/>
    <w:rsid w:val="42055908"/>
    <w:rsid w:val="420B5B6A"/>
    <w:rsid w:val="420CA443"/>
    <w:rsid w:val="420F35D2"/>
    <w:rsid w:val="421BEE42"/>
    <w:rsid w:val="421CD780"/>
    <w:rsid w:val="421D8E05"/>
    <w:rsid w:val="421F7DBE"/>
    <w:rsid w:val="42240B0D"/>
    <w:rsid w:val="42246331"/>
    <w:rsid w:val="4225640D"/>
    <w:rsid w:val="4231BC24"/>
    <w:rsid w:val="4235A421"/>
    <w:rsid w:val="4236A891"/>
    <w:rsid w:val="4236B043"/>
    <w:rsid w:val="4237232B"/>
    <w:rsid w:val="423B0D44"/>
    <w:rsid w:val="423B63BC"/>
    <w:rsid w:val="4240C373"/>
    <w:rsid w:val="42484D3E"/>
    <w:rsid w:val="424B5F26"/>
    <w:rsid w:val="424D81E1"/>
    <w:rsid w:val="424FFE30"/>
    <w:rsid w:val="42632524"/>
    <w:rsid w:val="4263CB1C"/>
    <w:rsid w:val="42654441"/>
    <w:rsid w:val="4265BBE5"/>
    <w:rsid w:val="42692465"/>
    <w:rsid w:val="426DC02F"/>
    <w:rsid w:val="427BAF16"/>
    <w:rsid w:val="428153FB"/>
    <w:rsid w:val="4281543D"/>
    <w:rsid w:val="428412A2"/>
    <w:rsid w:val="4287BEEA"/>
    <w:rsid w:val="428DA3DC"/>
    <w:rsid w:val="4297E88D"/>
    <w:rsid w:val="429B7906"/>
    <w:rsid w:val="429E35AE"/>
    <w:rsid w:val="429E69B3"/>
    <w:rsid w:val="42A1BB64"/>
    <w:rsid w:val="42A46C23"/>
    <w:rsid w:val="42AAE41D"/>
    <w:rsid w:val="42B396BA"/>
    <w:rsid w:val="42B643B9"/>
    <w:rsid w:val="42B6EC73"/>
    <w:rsid w:val="42BCDDD8"/>
    <w:rsid w:val="42C3EA4E"/>
    <w:rsid w:val="42C5985C"/>
    <w:rsid w:val="42C7FFCE"/>
    <w:rsid w:val="42D37763"/>
    <w:rsid w:val="42D48CA3"/>
    <w:rsid w:val="42DB25E8"/>
    <w:rsid w:val="42DB6F19"/>
    <w:rsid w:val="42E54363"/>
    <w:rsid w:val="42E8E596"/>
    <w:rsid w:val="42F12C09"/>
    <w:rsid w:val="42FED15A"/>
    <w:rsid w:val="430168AE"/>
    <w:rsid w:val="4303096A"/>
    <w:rsid w:val="4303BE54"/>
    <w:rsid w:val="43093D05"/>
    <w:rsid w:val="430A8D82"/>
    <w:rsid w:val="430D8AF0"/>
    <w:rsid w:val="430FDD76"/>
    <w:rsid w:val="431D3C7D"/>
    <w:rsid w:val="43245C01"/>
    <w:rsid w:val="4327BD3A"/>
    <w:rsid w:val="43284A9E"/>
    <w:rsid w:val="432B49C8"/>
    <w:rsid w:val="432E9DE1"/>
    <w:rsid w:val="433CB96F"/>
    <w:rsid w:val="433FAADB"/>
    <w:rsid w:val="43417F58"/>
    <w:rsid w:val="4346CB9E"/>
    <w:rsid w:val="434BAB52"/>
    <w:rsid w:val="434C69CE"/>
    <w:rsid w:val="434D70FC"/>
    <w:rsid w:val="43516854"/>
    <w:rsid w:val="4353C5D6"/>
    <w:rsid w:val="435AF2F3"/>
    <w:rsid w:val="435C3A04"/>
    <w:rsid w:val="43601218"/>
    <w:rsid w:val="4365D925"/>
    <w:rsid w:val="43665890"/>
    <w:rsid w:val="4369405C"/>
    <w:rsid w:val="436D11BD"/>
    <w:rsid w:val="436E76A3"/>
    <w:rsid w:val="436FD3E6"/>
    <w:rsid w:val="43762F02"/>
    <w:rsid w:val="43821FDF"/>
    <w:rsid w:val="43861C5D"/>
    <w:rsid w:val="438D5B35"/>
    <w:rsid w:val="43A35E9D"/>
    <w:rsid w:val="43B190B6"/>
    <w:rsid w:val="43B4A91B"/>
    <w:rsid w:val="43BB2FDB"/>
    <w:rsid w:val="43BCE4E3"/>
    <w:rsid w:val="43C12540"/>
    <w:rsid w:val="43C4A34C"/>
    <w:rsid w:val="43DBFDEB"/>
    <w:rsid w:val="43E27EEE"/>
    <w:rsid w:val="43E6CAD0"/>
    <w:rsid w:val="43E94A23"/>
    <w:rsid w:val="43ED3880"/>
    <w:rsid w:val="43F2E32E"/>
    <w:rsid w:val="43F39F94"/>
    <w:rsid w:val="43FAF207"/>
    <w:rsid w:val="43FBD9DF"/>
    <w:rsid w:val="43FC47F6"/>
    <w:rsid w:val="43FCEE55"/>
    <w:rsid w:val="44009D19"/>
    <w:rsid w:val="4403A64D"/>
    <w:rsid w:val="440CCBE5"/>
    <w:rsid w:val="44131581"/>
    <w:rsid w:val="44171F0E"/>
    <w:rsid w:val="441C8AF1"/>
    <w:rsid w:val="442EE4B2"/>
    <w:rsid w:val="4430245B"/>
    <w:rsid w:val="44339592"/>
    <w:rsid w:val="4434FF21"/>
    <w:rsid w:val="44354C39"/>
    <w:rsid w:val="44399D50"/>
    <w:rsid w:val="44400E93"/>
    <w:rsid w:val="4441F642"/>
    <w:rsid w:val="44458F8A"/>
    <w:rsid w:val="444A1DC0"/>
    <w:rsid w:val="4453C600"/>
    <w:rsid w:val="44590CB3"/>
    <w:rsid w:val="445E1D77"/>
    <w:rsid w:val="445F3D3E"/>
    <w:rsid w:val="4461A389"/>
    <w:rsid w:val="44651299"/>
    <w:rsid w:val="4469D8A8"/>
    <w:rsid w:val="446FABB7"/>
    <w:rsid w:val="4474CD99"/>
    <w:rsid w:val="44776654"/>
    <w:rsid w:val="4479C982"/>
    <w:rsid w:val="448639C1"/>
    <w:rsid w:val="4488F577"/>
    <w:rsid w:val="448EDC36"/>
    <w:rsid w:val="449074C9"/>
    <w:rsid w:val="4491F460"/>
    <w:rsid w:val="44A5F718"/>
    <w:rsid w:val="44AD028A"/>
    <w:rsid w:val="44AE1609"/>
    <w:rsid w:val="44AED0B5"/>
    <w:rsid w:val="44B0FF62"/>
    <w:rsid w:val="44B8459E"/>
    <w:rsid w:val="44B84AB5"/>
    <w:rsid w:val="44C0C1B5"/>
    <w:rsid w:val="44C25A66"/>
    <w:rsid w:val="44C58AC2"/>
    <w:rsid w:val="44CCB508"/>
    <w:rsid w:val="44CEC791"/>
    <w:rsid w:val="44CF386D"/>
    <w:rsid w:val="44D3B82C"/>
    <w:rsid w:val="44DFFC02"/>
    <w:rsid w:val="44E6588F"/>
    <w:rsid w:val="44E7A0A5"/>
    <w:rsid w:val="44ECCAC3"/>
    <w:rsid w:val="44F08D56"/>
    <w:rsid w:val="44F80EA2"/>
    <w:rsid w:val="44FC534B"/>
    <w:rsid w:val="45008D18"/>
    <w:rsid w:val="4501FD0F"/>
    <w:rsid w:val="450294E0"/>
    <w:rsid w:val="45048464"/>
    <w:rsid w:val="4504D29E"/>
    <w:rsid w:val="450B9B79"/>
    <w:rsid w:val="450F42AD"/>
    <w:rsid w:val="4514AF45"/>
    <w:rsid w:val="45171D05"/>
    <w:rsid w:val="451D2B19"/>
    <w:rsid w:val="45239335"/>
    <w:rsid w:val="45280F12"/>
    <w:rsid w:val="452EB516"/>
    <w:rsid w:val="452FEB76"/>
    <w:rsid w:val="45302DD6"/>
    <w:rsid w:val="453142A8"/>
    <w:rsid w:val="454010CF"/>
    <w:rsid w:val="4542B98B"/>
    <w:rsid w:val="4545EB6B"/>
    <w:rsid w:val="45483ECF"/>
    <w:rsid w:val="454BF5CF"/>
    <w:rsid w:val="454DE9A0"/>
    <w:rsid w:val="455433B3"/>
    <w:rsid w:val="455D2A16"/>
    <w:rsid w:val="45633866"/>
    <w:rsid w:val="457F1824"/>
    <w:rsid w:val="458223FA"/>
    <w:rsid w:val="4583DB75"/>
    <w:rsid w:val="45848E09"/>
    <w:rsid w:val="458BFC6A"/>
    <w:rsid w:val="458E3D5D"/>
    <w:rsid w:val="458FC2D4"/>
    <w:rsid w:val="45922A6F"/>
    <w:rsid w:val="45924BE3"/>
    <w:rsid w:val="4594E39D"/>
    <w:rsid w:val="459E45AD"/>
    <w:rsid w:val="459EEAF0"/>
    <w:rsid w:val="459F4A06"/>
    <w:rsid w:val="45A365A1"/>
    <w:rsid w:val="45AD2E54"/>
    <w:rsid w:val="45B18C8F"/>
    <w:rsid w:val="45B65906"/>
    <w:rsid w:val="45B9D5C2"/>
    <w:rsid w:val="45BB7943"/>
    <w:rsid w:val="45BC88D9"/>
    <w:rsid w:val="45BF55F9"/>
    <w:rsid w:val="45C7F30B"/>
    <w:rsid w:val="45C8BA8B"/>
    <w:rsid w:val="45CD3843"/>
    <w:rsid w:val="45CE36F3"/>
    <w:rsid w:val="45D160D7"/>
    <w:rsid w:val="45E5EE21"/>
    <w:rsid w:val="45EFF3A2"/>
    <w:rsid w:val="45F47051"/>
    <w:rsid w:val="45F826ED"/>
    <w:rsid w:val="45F8BA2E"/>
    <w:rsid w:val="45FFC040"/>
    <w:rsid w:val="4606B3C2"/>
    <w:rsid w:val="460B6028"/>
    <w:rsid w:val="460E1C1F"/>
    <w:rsid w:val="461866BE"/>
    <w:rsid w:val="462722B1"/>
    <w:rsid w:val="46288B2E"/>
    <w:rsid w:val="46352668"/>
    <w:rsid w:val="463E07E4"/>
    <w:rsid w:val="464433B0"/>
    <w:rsid w:val="464AF84E"/>
    <w:rsid w:val="464E4B4A"/>
    <w:rsid w:val="46549D80"/>
    <w:rsid w:val="4656CEA0"/>
    <w:rsid w:val="46596C9B"/>
    <w:rsid w:val="465A1048"/>
    <w:rsid w:val="4662C2A9"/>
    <w:rsid w:val="46641A76"/>
    <w:rsid w:val="466496C6"/>
    <w:rsid w:val="46822B06"/>
    <w:rsid w:val="46871ED4"/>
    <w:rsid w:val="46884DC4"/>
    <w:rsid w:val="4692F19B"/>
    <w:rsid w:val="46948670"/>
    <w:rsid w:val="4694ECB1"/>
    <w:rsid w:val="46972028"/>
    <w:rsid w:val="46988193"/>
    <w:rsid w:val="4699DC88"/>
    <w:rsid w:val="469B8419"/>
    <w:rsid w:val="469C726F"/>
    <w:rsid w:val="46A164FD"/>
    <w:rsid w:val="46A43F53"/>
    <w:rsid w:val="46AB5FA9"/>
    <w:rsid w:val="46ACB261"/>
    <w:rsid w:val="46AD6A2B"/>
    <w:rsid w:val="46B139D0"/>
    <w:rsid w:val="46B4996E"/>
    <w:rsid w:val="46B5020D"/>
    <w:rsid w:val="46BFCA3F"/>
    <w:rsid w:val="46C29CB2"/>
    <w:rsid w:val="46C3373D"/>
    <w:rsid w:val="46C7EBA2"/>
    <w:rsid w:val="46CB56B0"/>
    <w:rsid w:val="46CEC805"/>
    <w:rsid w:val="46D91974"/>
    <w:rsid w:val="46DB53AA"/>
    <w:rsid w:val="46E2704C"/>
    <w:rsid w:val="46E536AD"/>
    <w:rsid w:val="46E658A4"/>
    <w:rsid w:val="46E7BFFF"/>
    <w:rsid w:val="46EB8647"/>
    <w:rsid w:val="46ED1098"/>
    <w:rsid w:val="46F58B99"/>
    <w:rsid w:val="46FCFE53"/>
    <w:rsid w:val="47011950"/>
    <w:rsid w:val="47072612"/>
    <w:rsid w:val="47075CC0"/>
    <w:rsid w:val="47081D05"/>
    <w:rsid w:val="470E7742"/>
    <w:rsid w:val="4714115D"/>
    <w:rsid w:val="4715B952"/>
    <w:rsid w:val="4718839A"/>
    <w:rsid w:val="47190403"/>
    <w:rsid w:val="471C6BAA"/>
    <w:rsid w:val="47272025"/>
    <w:rsid w:val="47391AA6"/>
    <w:rsid w:val="473C04A3"/>
    <w:rsid w:val="473C4607"/>
    <w:rsid w:val="4744234B"/>
    <w:rsid w:val="47447EA6"/>
    <w:rsid w:val="474500AC"/>
    <w:rsid w:val="47451B54"/>
    <w:rsid w:val="474B40A9"/>
    <w:rsid w:val="474C2987"/>
    <w:rsid w:val="47516DBF"/>
    <w:rsid w:val="4751EDBA"/>
    <w:rsid w:val="4757F5CF"/>
    <w:rsid w:val="47613014"/>
    <w:rsid w:val="47655AEB"/>
    <w:rsid w:val="476CFA54"/>
    <w:rsid w:val="4772CEC9"/>
    <w:rsid w:val="477EA431"/>
    <w:rsid w:val="47827406"/>
    <w:rsid w:val="4783E1C5"/>
    <w:rsid w:val="4784389B"/>
    <w:rsid w:val="479C0DD4"/>
    <w:rsid w:val="47A02761"/>
    <w:rsid w:val="47A4545B"/>
    <w:rsid w:val="47BC7F09"/>
    <w:rsid w:val="47BD2D18"/>
    <w:rsid w:val="47BF5C5A"/>
    <w:rsid w:val="47C04ACA"/>
    <w:rsid w:val="47D0C640"/>
    <w:rsid w:val="47D3DE63"/>
    <w:rsid w:val="47D61F3F"/>
    <w:rsid w:val="47DDA3C2"/>
    <w:rsid w:val="47DDBABA"/>
    <w:rsid w:val="47DDBD26"/>
    <w:rsid w:val="47DF63E3"/>
    <w:rsid w:val="47E11389"/>
    <w:rsid w:val="47E47A60"/>
    <w:rsid w:val="47E686C1"/>
    <w:rsid w:val="47F04B60"/>
    <w:rsid w:val="47F17B25"/>
    <w:rsid w:val="47F8CEAC"/>
    <w:rsid w:val="4802B7F1"/>
    <w:rsid w:val="4803C446"/>
    <w:rsid w:val="4806E84D"/>
    <w:rsid w:val="48108E8A"/>
    <w:rsid w:val="481541AB"/>
    <w:rsid w:val="48184135"/>
    <w:rsid w:val="482042A3"/>
    <w:rsid w:val="4826B873"/>
    <w:rsid w:val="48282E18"/>
    <w:rsid w:val="48329529"/>
    <w:rsid w:val="483861AF"/>
    <w:rsid w:val="483B066E"/>
    <w:rsid w:val="483B986C"/>
    <w:rsid w:val="48418FA1"/>
    <w:rsid w:val="48447326"/>
    <w:rsid w:val="484E09A2"/>
    <w:rsid w:val="485173DE"/>
    <w:rsid w:val="48527877"/>
    <w:rsid w:val="485B9E7E"/>
    <w:rsid w:val="48627029"/>
    <w:rsid w:val="486AE9A1"/>
    <w:rsid w:val="486B2BB7"/>
    <w:rsid w:val="4870E596"/>
    <w:rsid w:val="487921B1"/>
    <w:rsid w:val="487A8190"/>
    <w:rsid w:val="487B9D40"/>
    <w:rsid w:val="487E40AB"/>
    <w:rsid w:val="487F6DDE"/>
    <w:rsid w:val="4881070E"/>
    <w:rsid w:val="488DA17F"/>
    <w:rsid w:val="48949229"/>
    <w:rsid w:val="48997BFE"/>
    <w:rsid w:val="4899FCF6"/>
    <w:rsid w:val="48ACEE50"/>
    <w:rsid w:val="48B09F5A"/>
    <w:rsid w:val="48C2D654"/>
    <w:rsid w:val="48C3A36F"/>
    <w:rsid w:val="48C7D732"/>
    <w:rsid w:val="48CAFCA3"/>
    <w:rsid w:val="48CB7A62"/>
    <w:rsid w:val="48CDC062"/>
    <w:rsid w:val="48DB2EA5"/>
    <w:rsid w:val="48DF8645"/>
    <w:rsid w:val="48E26480"/>
    <w:rsid w:val="48E44A0C"/>
    <w:rsid w:val="48EB85BD"/>
    <w:rsid w:val="48F2EC02"/>
    <w:rsid w:val="48F5CBDE"/>
    <w:rsid w:val="48FF8F85"/>
    <w:rsid w:val="48FFE9C8"/>
    <w:rsid w:val="49007D95"/>
    <w:rsid w:val="4900ED4A"/>
    <w:rsid w:val="49037380"/>
    <w:rsid w:val="4904BD2B"/>
    <w:rsid w:val="490C0539"/>
    <w:rsid w:val="4912FB87"/>
    <w:rsid w:val="4918418C"/>
    <w:rsid w:val="491EB8A9"/>
    <w:rsid w:val="49220CC5"/>
    <w:rsid w:val="49262682"/>
    <w:rsid w:val="49299EFB"/>
    <w:rsid w:val="4929A5BC"/>
    <w:rsid w:val="492A6D9D"/>
    <w:rsid w:val="492F4D32"/>
    <w:rsid w:val="49313B18"/>
    <w:rsid w:val="49334D43"/>
    <w:rsid w:val="49486B25"/>
    <w:rsid w:val="494B0865"/>
    <w:rsid w:val="49540CB5"/>
    <w:rsid w:val="495642F4"/>
    <w:rsid w:val="4957B8D1"/>
    <w:rsid w:val="4965F633"/>
    <w:rsid w:val="496D25FD"/>
    <w:rsid w:val="496FFD79"/>
    <w:rsid w:val="49772841"/>
    <w:rsid w:val="497A2B90"/>
    <w:rsid w:val="497BE586"/>
    <w:rsid w:val="49809B61"/>
    <w:rsid w:val="4983C305"/>
    <w:rsid w:val="4984A687"/>
    <w:rsid w:val="49865740"/>
    <w:rsid w:val="49878353"/>
    <w:rsid w:val="499185FC"/>
    <w:rsid w:val="49918947"/>
    <w:rsid w:val="4993785E"/>
    <w:rsid w:val="4994D742"/>
    <w:rsid w:val="4996BC27"/>
    <w:rsid w:val="499D7204"/>
    <w:rsid w:val="49A33FE4"/>
    <w:rsid w:val="49A90919"/>
    <w:rsid w:val="49ABC0D9"/>
    <w:rsid w:val="49BEADC3"/>
    <w:rsid w:val="49D3BAA4"/>
    <w:rsid w:val="49D3CCBC"/>
    <w:rsid w:val="49D9284A"/>
    <w:rsid w:val="49EA79AE"/>
    <w:rsid w:val="49F73A37"/>
    <w:rsid w:val="49FB3425"/>
    <w:rsid w:val="4A01EDEE"/>
    <w:rsid w:val="4A1BE9E8"/>
    <w:rsid w:val="4A1CD76F"/>
    <w:rsid w:val="4A1DD211"/>
    <w:rsid w:val="4A1E263D"/>
    <w:rsid w:val="4A2FFED3"/>
    <w:rsid w:val="4A313335"/>
    <w:rsid w:val="4A33E563"/>
    <w:rsid w:val="4A358758"/>
    <w:rsid w:val="4A3B5456"/>
    <w:rsid w:val="4A43F297"/>
    <w:rsid w:val="4A4559DA"/>
    <w:rsid w:val="4A4F5394"/>
    <w:rsid w:val="4A5346FC"/>
    <w:rsid w:val="4A578A6B"/>
    <w:rsid w:val="4A602527"/>
    <w:rsid w:val="4A6CC7C8"/>
    <w:rsid w:val="4A71F5B0"/>
    <w:rsid w:val="4A82CDED"/>
    <w:rsid w:val="4A94287A"/>
    <w:rsid w:val="4A958657"/>
    <w:rsid w:val="4A985496"/>
    <w:rsid w:val="4A992182"/>
    <w:rsid w:val="4A9F97EE"/>
    <w:rsid w:val="4AA2B6D9"/>
    <w:rsid w:val="4AA935FC"/>
    <w:rsid w:val="4AAB90FB"/>
    <w:rsid w:val="4AACE02C"/>
    <w:rsid w:val="4AB36494"/>
    <w:rsid w:val="4AB3BA1C"/>
    <w:rsid w:val="4AB846F5"/>
    <w:rsid w:val="4ABE73D6"/>
    <w:rsid w:val="4AC0D591"/>
    <w:rsid w:val="4AC67A75"/>
    <w:rsid w:val="4ACE97B1"/>
    <w:rsid w:val="4AD5EA74"/>
    <w:rsid w:val="4AD822BC"/>
    <w:rsid w:val="4ADFA172"/>
    <w:rsid w:val="4AE4D3D1"/>
    <w:rsid w:val="4AE69595"/>
    <w:rsid w:val="4AE9391C"/>
    <w:rsid w:val="4AEDED27"/>
    <w:rsid w:val="4AF81580"/>
    <w:rsid w:val="4AF883C1"/>
    <w:rsid w:val="4B0900EA"/>
    <w:rsid w:val="4B0C9FA5"/>
    <w:rsid w:val="4B10A190"/>
    <w:rsid w:val="4B1664D2"/>
    <w:rsid w:val="4B244159"/>
    <w:rsid w:val="4B255D75"/>
    <w:rsid w:val="4B2C8C13"/>
    <w:rsid w:val="4B2D6899"/>
    <w:rsid w:val="4B430AC9"/>
    <w:rsid w:val="4B43B1D1"/>
    <w:rsid w:val="4B45C502"/>
    <w:rsid w:val="4B47430B"/>
    <w:rsid w:val="4B48B7D1"/>
    <w:rsid w:val="4B49A638"/>
    <w:rsid w:val="4B4B8403"/>
    <w:rsid w:val="4B4DF987"/>
    <w:rsid w:val="4B4ED8E6"/>
    <w:rsid w:val="4B5184D4"/>
    <w:rsid w:val="4B539A52"/>
    <w:rsid w:val="4B563B6E"/>
    <w:rsid w:val="4B608C47"/>
    <w:rsid w:val="4B64DA62"/>
    <w:rsid w:val="4B662996"/>
    <w:rsid w:val="4B6E870D"/>
    <w:rsid w:val="4B716128"/>
    <w:rsid w:val="4B7B7474"/>
    <w:rsid w:val="4B7D7DF1"/>
    <w:rsid w:val="4B7D85A2"/>
    <w:rsid w:val="4B7F87FF"/>
    <w:rsid w:val="4B85F7E8"/>
    <w:rsid w:val="4B876913"/>
    <w:rsid w:val="4B913CDC"/>
    <w:rsid w:val="4B929785"/>
    <w:rsid w:val="4B98FFF2"/>
    <w:rsid w:val="4B99F0A1"/>
    <w:rsid w:val="4B9E9AEA"/>
    <w:rsid w:val="4BA40C96"/>
    <w:rsid w:val="4BAB606D"/>
    <w:rsid w:val="4BB1FBEA"/>
    <w:rsid w:val="4BB4CEF8"/>
    <w:rsid w:val="4BB70C81"/>
    <w:rsid w:val="4BB75C6E"/>
    <w:rsid w:val="4BBCC2F3"/>
    <w:rsid w:val="4BBE225A"/>
    <w:rsid w:val="4BBEE2C8"/>
    <w:rsid w:val="4BCAE105"/>
    <w:rsid w:val="4BCB71CA"/>
    <w:rsid w:val="4BCD8893"/>
    <w:rsid w:val="4BDE7012"/>
    <w:rsid w:val="4BEB5BC9"/>
    <w:rsid w:val="4BF41413"/>
    <w:rsid w:val="4BF6670F"/>
    <w:rsid w:val="4BF8C58F"/>
    <w:rsid w:val="4BF90206"/>
    <w:rsid w:val="4C0257DA"/>
    <w:rsid w:val="4C0305B9"/>
    <w:rsid w:val="4C053C2F"/>
    <w:rsid w:val="4C079AF3"/>
    <w:rsid w:val="4C11AE64"/>
    <w:rsid w:val="4C145DC9"/>
    <w:rsid w:val="4C162CB9"/>
    <w:rsid w:val="4C1B2C85"/>
    <w:rsid w:val="4C217432"/>
    <w:rsid w:val="4C21CB6B"/>
    <w:rsid w:val="4C2DBF10"/>
    <w:rsid w:val="4C3105E1"/>
    <w:rsid w:val="4C3A4326"/>
    <w:rsid w:val="4C3C87E8"/>
    <w:rsid w:val="4C4432FD"/>
    <w:rsid w:val="4C4EEBF8"/>
    <w:rsid w:val="4C58C072"/>
    <w:rsid w:val="4C622C8B"/>
    <w:rsid w:val="4C6F0F27"/>
    <w:rsid w:val="4C6F9F97"/>
    <w:rsid w:val="4C763341"/>
    <w:rsid w:val="4C768B0F"/>
    <w:rsid w:val="4C86668A"/>
    <w:rsid w:val="4C8BF865"/>
    <w:rsid w:val="4C8C5B4B"/>
    <w:rsid w:val="4CA2313C"/>
    <w:rsid w:val="4CA87F30"/>
    <w:rsid w:val="4CB1A0DB"/>
    <w:rsid w:val="4CB685CB"/>
    <w:rsid w:val="4CB76C78"/>
    <w:rsid w:val="4CBDD501"/>
    <w:rsid w:val="4CC6B8CB"/>
    <w:rsid w:val="4CC938FA"/>
    <w:rsid w:val="4CD07C31"/>
    <w:rsid w:val="4CEA28D3"/>
    <w:rsid w:val="4CF4DF1B"/>
    <w:rsid w:val="4CFC4C3F"/>
    <w:rsid w:val="4CFD8E30"/>
    <w:rsid w:val="4CFE5284"/>
    <w:rsid w:val="4D056F6E"/>
    <w:rsid w:val="4D0726EF"/>
    <w:rsid w:val="4D08D52A"/>
    <w:rsid w:val="4D111819"/>
    <w:rsid w:val="4D1B27C5"/>
    <w:rsid w:val="4D1E8497"/>
    <w:rsid w:val="4D21EA3A"/>
    <w:rsid w:val="4D2A83F1"/>
    <w:rsid w:val="4D2B28B2"/>
    <w:rsid w:val="4D2B306D"/>
    <w:rsid w:val="4D311867"/>
    <w:rsid w:val="4D31C030"/>
    <w:rsid w:val="4D344B5B"/>
    <w:rsid w:val="4D37D66D"/>
    <w:rsid w:val="4D39585F"/>
    <w:rsid w:val="4D3FAFAA"/>
    <w:rsid w:val="4D40B15B"/>
    <w:rsid w:val="4D4239A5"/>
    <w:rsid w:val="4D4472C2"/>
    <w:rsid w:val="4D451DAC"/>
    <w:rsid w:val="4D4DA87F"/>
    <w:rsid w:val="4D4E3A77"/>
    <w:rsid w:val="4D4E3B5A"/>
    <w:rsid w:val="4D5AEA8B"/>
    <w:rsid w:val="4D5DE9DC"/>
    <w:rsid w:val="4D5E4CF0"/>
    <w:rsid w:val="4D5E93FB"/>
    <w:rsid w:val="4D73EC89"/>
    <w:rsid w:val="4D792829"/>
    <w:rsid w:val="4D7CB1C2"/>
    <w:rsid w:val="4D91F273"/>
    <w:rsid w:val="4D9853BC"/>
    <w:rsid w:val="4D9F1C57"/>
    <w:rsid w:val="4DA8F1B8"/>
    <w:rsid w:val="4DAE26AB"/>
    <w:rsid w:val="4DB1D83F"/>
    <w:rsid w:val="4DB6EF8E"/>
    <w:rsid w:val="4DBDE86E"/>
    <w:rsid w:val="4DC2CA4D"/>
    <w:rsid w:val="4DC3D453"/>
    <w:rsid w:val="4DC4387D"/>
    <w:rsid w:val="4DC6055A"/>
    <w:rsid w:val="4DD2DFB4"/>
    <w:rsid w:val="4DDEC0D1"/>
    <w:rsid w:val="4DDFC575"/>
    <w:rsid w:val="4DE3EB89"/>
    <w:rsid w:val="4DE4CBAA"/>
    <w:rsid w:val="4DE79B22"/>
    <w:rsid w:val="4DEA88A1"/>
    <w:rsid w:val="4DF46EB9"/>
    <w:rsid w:val="4DF6508E"/>
    <w:rsid w:val="4DF6BF73"/>
    <w:rsid w:val="4E020BA3"/>
    <w:rsid w:val="4E0A20D7"/>
    <w:rsid w:val="4E0B62CA"/>
    <w:rsid w:val="4E0C0BEA"/>
    <w:rsid w:val="4E116A8E"/>
    <w:rsid w:val="4E1CB073"/>
    <w:rsid w:val="4E1E34EF"/>
    <w:rsid w:val="4E1EDB68"/>
    <w:rsid w:val="4E33D727"/>
    <w:rsid w:val="4E342681"/>
    <w:rsid w:val="4E3AEFA0"/>
    <w:rsid w:val="4E3DD71D"/>
    <w:rsid w:val="4E3F34D2"/>
    <w:rsid w:val="4E3F46A3"/>
    <w:rsid w:val="4E42F4EA"/>
    <w:rsid w:val="4E64C71D"/>
    <w:rsid w:val="4E69DE60"/>
    <w:rsid w:val="4E7094C7"/>
    <w:rsid w:val="4E7B649D"/>
    <w:rsid w:val="4E803A41"/>
    <w:rsid w:val="4E8730CD"/>
    <w:rsid w:val="4E8D9ACF"/>
    <w:rsid w:val="4E907A8A"/>
    <w:rsid w:val="4E9906DD"/>
    <w:rsid w:val="4E9BEDA5"/>
    <w:rsid w:val="4E9C150C"/>
    <w:rsid w:val="4EA4A518"/>
    <w:rsid w:val="4EAAC298"/>
    <w:rsid w:val="4EAC7178"/>
    <w:rsid w:val="4EB03F74"/>
    <w:rsid w:val="4EC2E5BE"/>
    <w:rsid w:val="4EC747E8"/>
    <w:rsid w:val="4EC74D97"/>
    <w:rsid w:val="4EC7BC4D"/>
    <w:rsid w:val="4EC8F5F4"/>
    <w:rsid w:val="4ED04955"/>
    <w:rsid w:val="4ED31899"/>
    <w:rsid w:val="4ED88A2B"/>
    <w:rsid w:val="4EDA3FBA"/>
    <w:rsid w:val="4EDDB7FD"/>
    <w:rsid w:val="4EE0556B"/>
    <w:rsid w:val="4EE1D4B9"/>
    <w:rsid w:val="4EECE0EE"/>
    <w:rsid w:val="4EF24659"/>
    <w:rsid w:val="4EFA8DEA"/>
    <w:rsid w:val="4EFAE497"/>
    <w:rsid w:val="4EFE16C2"/>
    <w:rsid w:val="4F0E2C57"/>
    <w:rsid w:val="4F1A84AD"/>
    <w:rsid w:val="4F244299"/>
    <w:rsid w:val="4F29DC5D"/>
    <w:rsid w:val="4F2BA93B"/>
    <w:rsid w:val="4F2BBF02"/>
    <w:rsid w:val="4F2D0A06"/>
    <w:rsid w:val="4F2E0BA1"/>
    <w:rsid w:val="4F301BF5"/>
    <w:rsid w:val="4F34683F"/>
    <w:rsid w:val="4F41FB69"/>
    <w:rsid w:val="4F46A9EF"/>
    <w:rsid w:val="4F522972"/>
    <w:rsid w:val="4F543D3F"/>
    <w:rsid w:val="4F551D82"/>
    <w:rsid w:val="4F560DFA"/>
    <w:rsid w:val="4F579247"/>
    <w:rsid w:val="4F59ECA2"/>
    <w:rsid w:val="4F5D1B04"/>
    <w:rsid w:val="4F60297D"/>
    <w:rsid w:val="4F78AC25"/>
    <w:rsid w:val="4F7C7138"/>
    <w:rsid w:val="4F7CA785"/>
    <w:rsid w:val="4F801913"/>
    <w:rsid w:val="4F845BAF"/>
    <w:rsid w:val="4F92DD51"/>
    <w:rsid w:val="4F9ABC7B"/>
    <w:rsid w:val="4FA7DCFB"/>
    <w:rsid w:val="4FAC53A5"/>
    <w:rsid w:val="4FADB467"/>
    <w:rsid w:val="4FAF76C9"/>
    <w:rsid w:val="4FB3CD78"/>
    <w:rsid w:val="4FB638D1"/>
    <w:rsid w:val="4FBD6EEC"/>
    <w:rsid w:val="4FCDF6F4"/>
    <w:rsid w:val="4FCEA29A"/>
    <w:rsid w:val="4FE0F0A0"/>
    <w:rsid w:val="4FE13F19"/>
    <w:rsid w:val="4FE486D0"/>
    <w:rsid w:val="4FE576A5"/>
    <w:rsid w:val="4FE64D45"/>
    <w:rsid w:val="4FE775A6"/>
    <w:rsid w:val="4FE94D1F"/>
    <w:rsid w:val="4FECF42F"/>
    <w:rsid w:val="4FEDE824"/>
    <w:rsid w:val="4FF85DCD"/>
    <w:rsid w:val="4FFBD3EF"/>
    <w:rsid w:val="4FFF7276"/>
    <w:rsid w:val="50006AFB"/>
    <w:rsid w:val="50012493"/>
    <w:rsid w:val="50016DB1"/>
    <w:rsid w:val="5001EBF1"/>
    <w:rsid w:val="50029D14"/>
    <w:rsid w:val="50057A9E"/>
    <w:rsid w:val="50088A74"/>
    <w:rsid w:val="500EC9C7"/>
    <w:rsid w:val="5011A9B1"/>
    <w:rsid w:val="50277555"/>
    <w:rsid w:val="50298C81"/>
    <w:rsid w:val="5030D7CF"/>
    <w:rsid w:val="50383E42"/>
    <w:rsid w:val="503A86B7"/>
    <w:rsid w:val="503BACFC"/>
    <w:rsid w:val="504659B0"/>
    <w:rsid w:val="504CA272"/>
    <w:rsid w:val="504D7FDF"/>
    <w:rsid w:val="5052294D"/>
    <w:rsid w:val="50583B13"/>
    <w:rsid w:val="505BCE38"/>
    <w:rsid w:val="506B7210"/>
    <w:rsid w:val="506D6E35"/>
    <w:rsid w:val="507CFF0E"/>
    <w:rsid w:val="507DE918"/>
    <w:rsid w:val="507E7584"/>
    <w:rsid w:val="5095AD82"/>
    <w:rsid w:val="509863C5"/>
    <w:rsid w:val="509A45B5"/>
    <w:rsid w:val="509C13F0"/>
    <w:rsid w:val="50A0AE2F"/>
    <w:rsid w:val="50A779B2"/>
    <w:rsid w:val="50AB45A7"/>
    <w:rsid w:val="50B6F3C8"/>
    <w:rsid w:val="50B9C8EE"/>
    <w:rsid w:val="50BCB8C8"/>
    <w:rsid w:val="50C640A6"/>
    <w:rsid w:val="50D02FBD"/>
    <w:rsid w:val="50D1BA4B"/>
    <w:rsid w:val="50DB255D"/>
    <w:rsid w:val="50DB76F0"/>
    <w:rsid w:val="50E6E792"/>
    <w:rsid w:val="50E9D012"/>
    <w:rsid w:val="50F29742"/>
    <w:rsid w:val="50F4CF77"/>
    <w:rsid w:val="510055A3"/>
    <w:rsid w:val="5101AC59"/>
    <w:rsid w:val="5101D1EE"/>
    <w:rsid w:val="5102873C"/>
    <w:rsid w:val="5104CB0D"/>
    <w:rsid w:val="51063C11"/>
    <w:rsid w:val="510C956A"/>
    <w:rsid w:val="510E4CF4"/>
    <w:rsid w:val="51208811"/>
    <w:rsid w:val="512A101F"/>
    <w:rsid w:val="512E9C29"/>
    <w:rsid w:val="51313A10"/>
    <w:rsid w:val="51352754"/>
    <w:rsid w:val="513961C6"/>
    <w:rsid w:val="513C6FD8"/>
    <w:rsid w:val="513C78C7"/>
    <w:rsid w:val="513F9257"/>
    <w:rsid w:val="514459A7"/>
    <w:rsid w:val="514D247A"/>
    <w:rsid w:val="515A710C"/>
    <w:rsid w:val="515B69CC"/>
    <w:rsid w:val="515C9D4D"/>
    <w:rsid w:val="515D4471"/>
    <w:rsid w:val="516F48A9"/>
    <w:rsid w:val="51707D5A"/>
    <w:rsid w:val="5170D281"/>
    <w:rsid w:val="5172C0F2"/>
    <w:rsid w:val="51792708"/>
    <w:rsid w:val="518CAF00"/>
    <w:rsid w:val="5191061A"/>
    <w:rsid w:val="5193A18A"/>
    <w:rsid w:val="519A4602"/>
    <w:rsid w:val="519B17BF"/>
    <w:rsid w:val="519CF323"/>
    <w:rsid w:val="519ECF6B"/>
    <w:rsid w:val="51A3F8F5"/>
    <w:rsid w:val="51A4A1B0"/>
    <w:rsid w:val="51AB1221"/>
    <w:rsid w:val="51AC8E13"/>
    <w:rsid w:val="51AF227D"/>
    <w:rsid w:val="51B76680"/>
    <w:rsid w:val="51B9DCD8"/>
    <w:rsid w:val="51BC368C"/>
    <w:rsid w:val="51BF7BDC"/>
    <w:rsid w:val="51C46B06"/>
    <w:rsid w:val="51CF0BD8"/>
    <w:rsid w:val="51D66D97"/>
    <w:rsid w:val="51D9D5A3"/>
    <w:rsid w:val="51E4D953"/>
    <w:rsid w:val="51ED11A3"/>
    <w:rsid w:val="51ED8F38"/>
    <w:rsid w:val="51EE2058"/>
    <w:rsid w:val="51EF06AA"/>
    <w:rsid w:val="51F6B851"/>
    <w:rsid w:val="51F8AF33"/>
    <w:rsid w:val="51FCF7DC"/>
    <w:rsid w:val="51FD0248"/>
    <w:rsid w:val="51FE51F7"/>
    <w:rsid w:val="5200EB56"/>
    <w:rsid w:val="5203F231"/>
    <w:rsid w:val="520FBB70"/>
    <w:rsid w:val="52106B58"/>
    <w:rsid w:val="52129C23"/>
    <w:rsid w:val="521495EC"/>
    <w:rsid w:val="5217CCB0"/>
    <w:rsid w:val="521F1019"/>
    <w:rsid w:val="52201712"/>
    <w:rsid w:val="52239766"/>
    <w:rsid w:val="52254D75"/>
    <w:rsid w:val="522873D3"/>
    <w:rsid w:val="522ABD82"/>
    <w:rsid w:val="5232977F"/>
    <w:rsid w:val="52353F41"/>
    <w:rsid w:val="52392607"/>
    <w:rsid w:val="523E4A5D"/>
    <w:rsid w:val="52439F1F"/>
    <w:rsid w:val="5243D22C"/>
    <w:rsid w:val="5246987F"/>
    <w:rsid w:val="524935D8"/>
    <w:rsid w:val="524C04BD"/>
    <w:rsid w:val="5254501C"/>
    <w:rsid w:val="52568D8A"/>
    <w:rsid w:val="525B9C38"/>
    <w:rsid w:val="526A0177"/>
    <w:rsid w:val="52728F64"/>
    <w:rsid w:val="5273943C"/>
    <w:rsid w:val="5273DCB2"/>
    <w:rsid w:val="52759B27"/>
    <w:rsid w:val="5278B1C5"/>
    <w:rsid w:val="527BBA5E"/>
    <w:rsid w:val="5281EBCB"/>
    <w:rsid w:val="528207A8"/>
    <w:rsid w:val="5287FAC7"/>
    <w:rsid w:val="5294C09E"/>
    <w:rsid w:val="5295E2E7"/>
    <w:rsid w:val="5297343B"/>
    <w:rsid w:val="529A3CD5"/>
    <w:rsid w:val="529A8A88"/>
    <w:rsid w:val="52A5DCC5"/>
    <w:rsid w:val="52AC557F"/>
    <w:rsid w:val="52AD66C2"/>
    <w:rsid w:val="52AF13D8"/>
    <w:rsid w:val="52B18DA0"/>
    <w:rsid w:val="52B6F4D0"/>
    <w:rsid w:val="52B8E7C0"/>
    <w:rsid w:val="52B99D79"/>
    <w:rsid w:val="52BD9862"/>
    <w:rsid w:val="52C582E3"/>
    <w:rsid w:val="52C6C833"/>
    <w:rsid w:val="52C7C63B"/>
    <w:rsid w:val="52CBC1EB"/>
    <w:rsid w:val="52D0C7EE"/>
    <w:rsid w:val="52D2E05D"/>
    <w:rsid w:val="52D2F78F"/>
    <w:rsid w:val="52DC7898"/>
    <w:rsid w:val="52DE69FD"/>
    <w:rsid w:val="52E7D0CE"/>
    <w:rsid w:val="52EA1850"/>
    <w:rsid w:val="52EDE9E8"/>
    <w:rsid w:val="52EFCD41"/>
    <w:rsid w:val="52FCBD02"/>
    <w:rsid w:val="52FD4956"/>
    <w:rsid w:val="52FEF056"/>
    <w:rsid w:val="53080871"/>
    <w:rsid w:val="530D0A44"/>
    <w:rsid w:val="53134D21"/>
    <w:rsid w:val="5314F25D"/>
    <w:rsid w:val="5317EA37"/>
    <w:rsid w:val="53236FB9"/>
    <w:rsid w:val="5336190B"/>
    <w:rsid w:val="5336637F"/>
    <w:rsid w:val="533DB015"/>
    <w:rsid w:val="534909F6"/>
    <w:rsid w:val="5353538D"/>
    <w:rsid w:val="535D71FD"/>
    <w:rsid w:val="536B26EA"/>
    <w:rsid w:val="536B8749"/>
    <w:rsid w:val="5373ABA3"/>
    <w:rsid w:val="537D9273"/>
    <w:rsid w:val="537F67C5"/>
    <w:rsid w:val="5386C26E"/>
    <w:rsid w:val="5387069D"/>
    <w:rsid w:val="5387A493"/>
    <w:rsid w:val="538CA7D4"/>
    <w:rsid w:val="538F682D"/>
    <w:rsid w:val="53916C93"/>
    <w:rsid w:val="539DE254"/>
    <w:rsid w:val="53A1AA19"/>
    <w:rsid w:val="53AF64C3"/>
    <w:rsid w:val="53B25C96"/>
    <w:rsid w:val="53B72E17"/>
    <w:rsid w:val="53BCA7E7"/>
    <w:rsid w:val="53CF91B1"/>
    <w:rsid w:val="53D1C515"/>
    <w:rsid w:val="53D403A4"/>
    <w:rsid w:val="53DE4E40"/>
    <w:rsid w:val="53E0AD6C"/>
    <w:rsid w:val="53E190BB"/>
    <w:rsid w:val="53E40762"/>
    <w:rsid w:val="53EB641A"/>
    <w:rsid w:val="53EFE034"/>
    <w:rsid w:val="53F1F1BC"/>
    <w:rsid w:val="53FA568C"/>
    <w:rsid w:val="53FA659F"/>
    <w:rsid w:val="53FCABD4"/>
    <w:rsid w:val="5410FA2C"/>
    <w:rsid w:val="5419799B"/>
    <w:rsid w:val="541AC074"/>
    <w:rsid w:val="542002F2"/>
    <w:rsid w:val="5422C004"/>
    <w:rsid w:val="54251B49"/>
    <w:rsid w:val="5429CCAF"/>
    <w:rsid w:val="54368377"/>
    <w:rsid w:val="54530592"/>
    <w:rsid w:val="5455E2C7"/>
    <w:rsid w:val="545828DD"/>
    <w:rsid w:val="545DCEDA"/>
    <w:rsid w:val="545E00AE"/>
    <w:rsid w:val="54633AB2"/>
    <w:rsid w:val="546A6B09"/>
    <w:rsid w:val="54722D14"/>
    <w:rsid w:val="54767413"/>
    <w:rsid w:val="5476F6CA"/>
    <w:rsid w:val="54771E88"/>
    <w:rsid w:val="547A3299"/>
    <w:rsid w:val="5483A81B"/>
    <w:rsid w:val="54914205"/>
    <w:rsid w:val="54973FCD"/>
    <w:rsid w:val="549A8414"/>
    <w:rsid w:val="549AA880"/>
    <w:rsid w:val="549C306E"/>
    <w:rsid w:val="54A13F59"/>
    <w:rsid w:val="54A27529"/>
    <w:rsid w:val="54B3FBAB"/>
    <w:rsid w:val="54B83553"/>
    <w:rsid w:val="54C09A33"/>
    <w:rsid w:val="54C11868"/>
    <w:rsid w:val="54C2C628"/>
    <w:rsid w:val="54C8EEFA"/>
    <w:rsid w:val="54C94951"/>
    <w:rsid w:val="54CB1D7C"/>
    <w:rsid w:val="54D7EF2E"/>
    <w:rsid w:val="54D7FE1B"/>
    <w:rsid w:val="54D876A9"/>
    <w:rsid w:val="54DAC0E5"/>
    <w:rsid w:val="54E18D10"/>
    <w:rsid w:val="54E28493"/>
    <w:rsid w:val="54E7DF1C"/>
    <w:rsid w:val="54EF785A"/>
    <w:rsid w:val="54F6DE00"/>
    <w:rsid w:val="54F9EAB1"/>
    <w:rsid w:val="54FB187E"/>
    <w:rsid w:val="54FB1AD4"/>
    <w:rsid w:val="54FF21BA"/>
    <w:rsid w:val="55076ABD"/>
    <w:rsid w:val="550DBD4C"/>
    <w:rsid w:val="550E7A7C"/>
    <w:rsid w:val="550F7451"/>
    <w:rsid w:val="5514B049"/>
    <w:rsid w:val="5514B122"/>
    <w:rsid w:val="551FCC7C"/>
    <w:rsid w:val="55224EC2"/>
    <w:rsid w:val="552C1A2C"/>
    <w:rsid w:val="552C926E"/>
    <w:rsid w:val="552D74F0"/>
    <w:rsid w:val="55345E33"/>
    <w:rsid w:val="5537F4A0"/>
    <w:rsid w:val="55406E14"/>
    <w:rsid w:val="55479820"/>
    <w:rsid w:val="5556CF1D"/>
    <w:rsid w:val="555E6E59"/>
    <w:rsid w:val="555F9A83"/>
    <w:rsid w:val="55650EDF"/>
    <w:rsid w:val="556D2241"/>
    <w:rsid w:val="5571D410"/>
    <w:rsid w:val="55730C32"/>
    <w:rsid w:val="557BD4C3"/>
    <w:rsid w:val="557C51D6"/>
    <w:rsid w:val="558C5E57"/>
    <w:rsid w:val="55924E26"/>
    <w:rsid w:val="5593E41E"/>
    <w:rsid w:val="55975650"/>
    <w:rsid w:val="559B29E9"/>
    <w:rsid w:val="559CD53F"/>
    <w:rsid w:val="55A2390D"/>
    <w:rsid w:val="55AC446C"/>
    <w:rsid w:val="55BD6991"/>
    <w:rsid w:val="55C291E5"/>
    <w:rsid w:val="55C77B35"/>
    <w:rsid w:val="55C8ED08"/>
    <w:rsid w:val="55D9A834"/>
    <w:rsid w:val="55DFB7E2"/>
    <w:rsid w:val="55E37AAD"/>
    <w:rsid w:val="55EE3FE5"/>
    <w:rsid w:val="55F93E16"/>
    <w:rsid w:val="55FD7E56"/>
    <w:rsid w:val="55FDF520"/>
    <w:rsid w:val="5608ED5C"/>
    <w:rsid w:val="5613C546"/>
    <w:rsid w:val="5614D859"/>
    <w:rsid w:val="56198DF9"/>
    <w:rsid w:val="5624F25A"/>
    <w:rsid w:val="562AAD05"/>
    <w:rsid w:val="5645887C"/>
    <w:rsid w:val="5648626D"/>
    <w:rsid w:val="5649AC21"/>
    <w:rsid w:val="56520BD0"/>
    <w:rsid w:val="5652ED1B"/>
    <w:rsid w:val="565AC525"/>
    <w:rsid w:val="565CF5DB"/>
    <w:rsid w:val="566AD2F6"/>
    <w:rsid w:val="566D1FAD"/>
    <w:rsid w:val="567DE04E"/>
    <w:rsid w:val="567F6DE8"/>
    <w:rsid w:val="568DA874"/>
    <w:rsid w:val="568E4E9A"/>
    <w:rsid w:val="569031AF"/>
    <w:rsid w:val="5691E00D"/>
    <w:rsid w:val="569492C7"/>
    <w:rsid w:val="569C5D1A"/>
    <w:rsid w:val="56A05781"/>
    <w:rsid w:val="56A5A44A"/>
    <w:rsid w:val="56A67073"/>
    <w:rsid w:val="56A9C583"/>
    <w:rsid w:val="56B5E6AF"/>
    <w:rsid w:val="56B7E203"/>
    <w:rsid w:val="56BA1882"/>
    <w:rsid w:val="56C615FF"/>
    <w:rsid w:val="56CA7345"/>
    <w:rsid w:val="56CB2D91"/>
    <w:rsid w:val="56D311CD"/>
    <w:rsid w:val="56D477FB"/>
    <w:rsid w:val="56DF7E63"/>
    <w:rsid w:val="56EA6F4C"/>
    <w:rsid w:val="56EE37C1"/>
    <w:rsid w:val="56F05293"/>
    <w:rsid w:val="56F4BB0C"/>
    <w:rsid w:val="56FB1490"/>
    <w:rsid w:val="56FD5227"/>
    <w:rsid w:val="5700A0AF"/>
    <w:rsid w:val="57027D59"/>
    <w:rsid w:val="57029FDE"/>
    <w:rsid w:val="570912DD"/>
    <w:rsid w:val="570D8020"/>
    <w:rsid w:val="570E3CAF"/>
    <w:rsid w:val="570F7321"/>
    <w:rsid w:val="570FF0AE"/>
    <w:rsid w:val="571194EF"/>
    <w:rsid w:val="57187ACE"/>
    <w:rsid w:val="571EF0A3"/>
    <w:rsid w:val="571F961F"/>
    <w:rsid w:val="57213DEE"/>
    <w:rsid w:val="5721E0A4"/>
    <w:rsid w:val="572731CC"/>
    <w:rsid w:val="57326D24"/>
    <w:rsid w:val="57442CF1"/>
    <w:rsid w:val="574A953A"/>
    <w:rsid w:val="574FE1D4"/>
    <w:rsid w:val="5751C22A"/>
    <w:rsid w:val="57577C08"/>
    <w:rsid w:val="5758A307"/>
    <w:rsid w:val="575ABC8C"/>
    <w:rsid w:val="575D2B48"/>
    <w:rsid w:val="575D5EB0"/>
    <w:rsid w:val="575DE17C"/>
    <w:rsid w:val="57634566"/>
    <w:rsid w:val="5765B33D"/>
    <w:rsid w:val="57671131"/>
    <w:rsid w:val="57675561"/>
    <w:rsid w:val="57693E2F"/>
    <w:rsid w:val="576A09CE"/>
    <w:rsid w:val="576F1423"/>
    <w:rsid w:val="576FAD3E"/>
    <w:rsid w:val="577152BF"/>
    <w:rsid w:val="5776303A"/>
    <w:rsid w:val="577756CF"/>
    <w:rsid w:val="577F6B5E"/>
    <w:rsid w:val="5785A389"/>
    <w:rsid w:val="578770F9"/>
    <w:rsid w:val="578B3966"/>
    <w:rsid w:val="578F4F62"/>
    <w:rsid w:val="579309B7"/>
    <w:rsid w:val="5794ED6D"/>
    <w:rsid w:val="57951BE8"/>
    <w:rsid w:val="57955585"/>
    <w:rsid w:val="579A6E39"/>
    <w:rsid w:val="57A21DFA"/>
    <w:rsid w:val="57A5D7E0"/>
    <w:rsid w:val="57A92606"/>
    <w:rsid w:val="57AA487E"/>
    <w:rsid w:val="57B1E2EF"/>
    <w:rsid w:val="57B1F4D8"/>
    <w:rsid w:val="57B69490"/>
    <w:rsid w:val="57B88ABB"/>
    <w:rsid w:val="57BD74D3"/>
    <w:rsid w:val="57C1F885"/>
    <w:rsid w:val="57C25157"/>
    <w:rsid w:val="57C27DFA"/>
    <w:rsid w:val="57C92C71"/>
    <w:rsid w:val="57D1ECB8"/>
    <w:rsid w:val="57DA8775"/>
    <w:rsid w:val="57DCAA01"/>
    <w:rsid w:val="57E534AA"/>
    <w:rsid w:val="57EE4DC8"/>
    <w:rsid w:val="57F32D74"/>
    <w:rsid w:val="57F34E4A"/>
    <w:rsid w:val="57F57DD1"/>
    <w:rsid w:val="57FC4322"/>
    <w:rsid w:val="580063D2"/>
    <w:rsid w:val="58127367"/>
    <w:rsid w:val="581A00A3"/>
    <w:rsid w:val="58248224"/>
    <w:rsid w:val="582883F6"/>
    <w:rsid w:val="582B67B3"/>
    <w:rsid w:val="58360E18"/>
    <w:rsid w:val="58367382"/>
    <w:rsid w:val="5839FE74"/>
    <w:rsid w:val="583B0B0B"/>
    <w:rsid w:val="583B8FBA"/>
    <w:rsid w:val="583CA281"/>
    <w:rsid w:val="58419F91"/>
    <w:rsid w:val="5842D2EE"/>
    <w:rsid w:val="584897A7"/>
    <w:rsid w:val="58494577"/>
    <w:rsid w:val="58500B43"/>
    <w:rsid w:val="5851D142"/>
    <w:rsid w:val="5853ECFF"/>
    <w:rsid w:val="5859D928"/>
    <w:rsid w:val="585A3E2B"/>
    <w:rsid w:val="585B8BED"/>
    <w:rsid w:val="5862A208"/>
    <w:rsid w:val="5867B063"/>
    <w:rsid w:val="586BE24B"/>
    <w:rsid w:val="58787BE4"/>
    <w:rsid w:val="587965FA"/>
    <w:rsid w:val="587E61C7"/>
    <w:rsid w:val="587FFCC3"/>
    <w:rsid w:val="58859DE4"/>
    <w:rsid w:val="588A7296"/>
    <w:rsid w:val="589FF780"/>
    <w:rsid w:val="58A3D433"/>
    <w:rsid w:val="58AF467E"/>
    <w:rsid w:val="58B046C2"/>
    <w:rsid w:val="58B50B99"/>
    <w:rsid w:val="58BBAF75"/>
    <w:rsid w:val="58BBBBC2"/>
    <w:rsid w:val="58BF7508"/>
    <w:rsid w:val="58C47776"/>
    <w:rsid w:val="58C4DA4B"/>
    <w:rsid w:val="58C6F21A"/>
    <w:rsid w:val="58C9B4EF"/>
    <w:rsid w:val="58CA04D9"/>
    <w:rsid w:val="58D0F092"/>
    <w:rsid w:val="58E3C760"/>
    <w:rsid w:val="58E4CF00"/>
    <w:rsid w:val="58E8A9CB"/>
    <w:rsid w:val="58EF66E7"/>
    <w:rsid w:val="58F5DA18"/>
    <w:rsid w:val="58F64C75"/>
    <w:rsid w:val="58F9D464"/>
    <w:rsid w:val="58FA98A5"/>
    <w:rsid w:val="59009406"/>
    <w:rsid w:val="59098A33"/>
    <w:rsid w:val="590A00FA"/>
    <w:rsid w:val="5911BF25"/>
    <w:rsid w:val="59138337"/>
    <w:rsid w:val="59192BAA"/>
    <w:rsid w:val="591ADFE2"/>
    <w:rsid w:val="591EFC3B"/>
    <w:rsid w:val="59250985"/>
    <w:rsid w:val="5928C777"/>
    <w:rsid w:val="5937F299"/>
    <w:rsid w:val="593A80A3"/>
    <w:rsid w:val="5945CFDF"/>
    <w:rsid w:val="594D3044"/>
    <w:rsid w:val="594D66AB"/>
    <w:rsid w:val="594F05E4"/>
    <w:rsid w:val="59500AA4"/>
    <w:rsid w:val="59507CBB"/>
    <w:rsid w:val="5954E0CE"/>
    <w:rsid w:val="595711CD"/>
    <w:rsid w:val="595B95C4"/>
    <w:rsid w:val="595D793F"/>
    <w:rsid w:val="59656DB8"/>
    <w:rsid w:val="5968F54A"/>
    <w:rsid w:val="59706391"/>
    <w:rsid w:val="59735544"/>
    <w:rsid w:val="59741921"/>
    <w:rsid w:val="597478DF"/>
    <w:rsid w:val="59787A62"/>
    <w:rsid w:val="5978F4AE"/>
    <w:rsid w:val="59813805"/>
    <w:rsid w:val="598309FD"/>
    <w:rsid w:val="598ED9EA"/>
    <w:rsid w:val="5995BF0B"/>
    <w:rsid w:val="59A1EA64"/>
    <w:rsid w:val="59AA62EC"/>
    <w:rsid w:val="59AF6FF5"/>
    <w:rsid w:val="59AFDE13"/>
    <w:rsid w:val="59B02D40"/>
    <w:rsid w:val="59B33B13"/>
    <w:rsid w:val="59B344C6"/>
    <w:rsid w:val="59B3642F"/>
    <w:rsid w:val="59B66E01"/>
    <w:rsid w:val="59B74271"/>
    <w:rsid w:val="59BB5083"/>
    <w:rsid w:val="59BB5434"/>
    <w:rsid w:val="59C3BEA3"/>
    <w:rsid w:val="59C5CEFE"/>
    <w:rsid w:val="59CE3822"/>
    <w:rsid w:val="59D672C4"/>
    <w:rsid w:val="59D7B98E"/>
    <w:rsid w:val="59DC7125"/>
    <w:rsid w:val="59DFED37"/>
    <w:rsid w:val="59E12FDF"/>
    <w:rsid w:val="59E3D91A"/>
    <w:rsid w:val="59E80E9F"/>
    <w:rsid w:val="59EA1C1F"/>
    <w:rsid w:val="59ED13FE"/>
    <w:rsid w:val="59F0656B"/>
    <w:rsid w:val="59F74150"/>
    <w:rsid w:val="59FA162D"/>
    <w:rsid w:val="59FE0DFD"/>
    <w:rsid w:val="59FEB341"/>
    <w:rsid w:val="59FF4BB8"/>
    <w:rsid w:val="59FF88CA"/>
    <w:rsid w:val="5A03B50E"/>
    <w:rsid w:val="5A04648F"/>
    <w:rsid w:val="5A082B67"/>
    <w:rsid w:val="5A12BC6A"/>
    <w:rsid w:val="5A14C594"/>
    <w:rsid w:val="5A191F1A"/>
    <w:rsid w:val="5A19E361"/>
    <w:rsid w:val="5A22F36D"/>
    <w:rsid w:val="5A23C0C9"/>
    <w:rsid w:val="5A259263"/>
    <w:rsid w:val="5A260052"/>
    <w:rsid w:val="5A287556"/>
    <w:rsid w:val="5A289DEA"/>
    <w:rsid w:val="5A3078A8"/>
    <w:rsid w:val="5A35BF56"/>
    <w:rsid w:val="5A4097CE"/>
    <w:rsid w:val="5A55C035"/>
    <w:rsid w:val="5A58C416"/>
    <w:rsid w:val="5A66B6AD"/>
    <w:rsid w:val="5A692152"/>
    <w:rsid w:val="5A704BE1"/>
    <w:rsid w:val="5A7174D6"/>
    <w:rsid w:val="5A732BB9"/>
    <w:rsid w:val="5A770D15"/>
    <w:rsid w:val="5A786244"/>
    <w:rsid w:val="5A7B8626"/>
    <w:rsid w:val="5A8578BA"/>
    <w:rsid w:val="5A8BD4B1"/>
    <w:rsid w:val="5A8DFEC3"/>
    <w:rsid w:val="5A971628"/>
    <w:rsid w:val="5A98D076"/>
    <w:rsid w:val="5AA25E76"/>
    <w:rsid w:val="5AA442F6"/>
    <w:rsid w:val="5AA5F528"/>
    <w:rsid w:val="5AACB5DC"/>
    <w:rsid w:val="5AB4D144"/>
    <w:rsid w:val="5AB5665C"/>
    <w:rsid w:val="5ABB3036"/>
    <w:rsid w:val="5AC227A6"/>
    <w:rsid w:val="5AC29DDC"/>
    <w:rsid w:val="5AD05600"/>
    <w:rsid w:val="5ADC54D8"/>
    <w:rsid w:val="5ADF108C"/>
    <w:rsid w:val="5ADFA777"/>
    <w:rsid w:val="5AE0EFFB"/>
    <w:rsid w:val="5AEE734C"/>
    <w:rsid w:val="5AEF9933"/>
    <w:rsid w:val="5AF2B6AF"/>
    <w:rsid w:val="5AF61C0F"/>
    <w:rsid w:val="5B06DDF4"/>
    <w:rsid w:val="5B07D98F"/>
    <w:rsid w:val="5B08B100"/>
    <w:rsid w:val="5B0A3EEA"/>
    <w:rsid w:val="5B0B83E7"/>
    <w:rsid w:val="5B148547"/>
    <w:rsid w:val="5B16AB6E"/>
    <w:rsid w:val="5B19037C"/>
    <w:rsid w:val="5B1E512A"/>
    <w:rsid w:val="5B260329"/>
    <w:rsid w:val="5B287445"/>
    <w:rsid w:val="5B297333"/>
    <w:rsid w:val="5B2A6406"/>
    <w:rsid w:val="5B37DDB1"/>
    <w:rsid w:val="5B3D5366"/>
    <w:rsid w:val="5B40EB77"/>
    <w:rsid w:val="5B436DD1"/>
    <w:rsid w:val="5B55AC9D"/>
    <w:rsid w:val="5B5849B4"/>
    <w:rsid w:val="5B6120E1"/>
    <w:rsid w:val="5B64467D"/>
    <w:rsid w:val="5B65E108"/>
    <w:rsid w:val="5B6CFE00"/>
    <w:rsid w:val="5B6FB7A2"/>
    <w:rsid w:val="5B707508"/>
    <w:rsid w:val="5B708B87"/>
    <w:rsid w:val="5B70E2E0"/>
    <w:rsid w:val="5B71163E"/>
    <w:rsid w:val="5B71EC21"/>
    <w:rsid w:val="5B7C148E"/>
    <w:rsid w:val="5B7F0472"/>
    <w:rsid w:val="5B825A9F"/>
    <w:rsid w:val="5B83E5E9"/>
    <w:rsid w:val="5B84EA0F"/>
    <w:rsid w:val="5B8AC32E"/>
    <w:rsid w:val="5B939576"/>
    <w:rsid w:val="5B95B361"/>
    <w:rsid w:val="5B98BDD4"/>
    <w:rsid w:val="5B994FEE"/>
    <w:rsid w:val="5B9A70C5"/>
    <w:rsid w:val="5BA18C4A"/>
    <w:rsid w:val="5BA75E2C"/>
    <w:rsid w:val="5BAA0C01"/>
    <w:rsid w:val="5BAECCD6"/>
    <w:rsid w:val="5BAF1FA1"/>
    <w:rsid w:val="5BB6836E"/>
    <w:rsid w:val="5BB87A6C"/>
    <w:rsid w:val="5BB9311C"/>
    <w:rsid w:val="5BBB8D46"/>
    <w:rsid w:val="5BC0DE4F"/>
    <w:rsid w:val="5BC52EC6"/>
    <w:rsid w:val="5BD575E4"/>
    <w:rsid w:val="5BD75D75"/>
    <w:rsid w:val="5BD8A0A0"/>
    <w:rsid w:val="5BDBF518"/>
    <w:rsid w:val="5BDBFBE6"/>
    <w:rsid w:val="5BE16522"/>
    <w:rsid w:val="5BE7E477"/>
    <w:rsid w:val="5BF29599"/>
    <w:rsid w:val="5BF34B9C"/>
    <w:rsid w:val="5BF424EE"/>
    <w:rsid w:val="5BF8CA27"/>
    <w:rsid w:val="5BFE5663"/>
    <w:rsid w:val="5BFF2716"/>
    <w:rsid w:val="5C055167"/>
    <w:rsid w:val="5C1FBEF4"/>
    <w:rsid w:val="5C221167"/>
    <w:rsid w:val="5C23A9D0"/>
    <w:rsid w:val="5C2CC7B0"/>
    <w:rsid w:val="5C37E750"/>
    <w:rsid w:val="5C3AC824"/>
    <w:rsid w:val="5C3B6F77"/>
    <w:rsid w:val="5C4051DF"/>
    <w:rsid w:val="5C47E7A1"/>
    <w:rsid w:val="5C49F675"/>
    <w:rsid w:val="5C4B9F8D"/>
    <w:rsid w:val="5C4FD7FC"/>
    <w:rsid w:val="5C5941AC"/>
    <w:rsid w:val="5C624353"/>
    <w:rsid w:val="5C72B77C"/>
    <w:rsid w:val="5C748B7D"/>
    <w:rsid w:val="5C74C9D1"/>
    <w:rsid w:val="5C76407F"/>
    <w:rsid w:val="5C78DEC6"/>
    <w:rsid w:val="5C7D6316"/>
    <w:rsid w:val="5C84A9EF"/>
    <w:rsid w:val="5C86CF0C"/>
    <w:rsid w:val="5C90BA11"/>
    <w:rsid w:val="5C92E7EE"/>
    <w:rsid w:val="5C97A781"/>
    <w:rsid w:val="5C97BE77"/>
    <w:rsid w:val="5C9A12F5"/>
    <w:rsid w:val="5C9C9B6D"/>
    <w:rsid w:val="5CA1FE2C"/>
    <w:rsid w:val="5CAAE798"/>
    <w:rsid w:val="5CB28394"/>
    <w:rsid w:val="5CB3B98B"/>
    <w:rsid w:val="5CBD0710"/>
    <w:rsid w:val="5CC39CB7"/>
    <w:rsid w:val="5CC470F6"/>
    <w:rsid w:val="5CCCBB86"/>
    <w:rsid w:val="5CD2A931"/>
    <w:rsid w:val="5CDD3D84"/>
    <w:rsid w:val="5CE348D5"/>
    <w:rsid w:val="5CE9D492"/>
    <w:rsid w:val="5CEC124E"/>
    <w:rsid w:val="5CFC9660"/>
    <w:rsid w:val="5D02253D"/>
    <w:rsid w:val="5D027ECA"/>
    <w:rsid w:val="5D05F913"/>
    <w:rsid w:val="5D10F187"/>
    <w:rsid w:val="5D1620ED"/>
    <w:rsid w:val="5D17A1FE"/>
    <w:rsid w:val="5D18A823"/>
    <w:rsid w:val="5D256433"/>
    <w:rsid w:val="5D263C15"/>
    <w:rsid w:val="5D286531"/>
    <w:rsid w:val="5D2FEB33"/>
    <w:rsid w:val="5D33006D"/>
    <w:rsid w:val="5D42DF1F"/>
    <w:rsid w:val="5D47FCAE"/>
    <w:rsid w:val="5D57D864"/>
    <w:rsid w:val="5D5DA226"/>
    <w:rsid w:val="5D63FF48"/>
    <w:rsid w:val="5D681848"/>
    <w:rsid w:val="5D6DA165"/>
    <w:rsid w:val="5D6FD55D"/>
    <w:rsid w:val="5D768226"/>
    <w:rsid w:val="5D7690EC"/>
    <w:rsid w:val="5D808ABC"/>
    <w:rsid w:val="5D84A8C0"/>
    <w:rsid w:val="5D88621B"/>
    <w:rsid w:val="5D89233E"/>
    <w:rsid w:val="5D897137"/>
    <w:rsid w:val="5D8AA7DD"/>
    <w:rsid w:val="5D8D23B4"/>
    <w:rsid w:val="5D914255"/>
    <w:rsid w:val="5D919F65"/>
    <w:rsid w:val="5D91AC73"/>
    <w:rsid w:val="5DA4968B"/>
    <w:rsid w:val="5DAA19BB"/>
    <w:rsid w:val="5DAA83BA"/>
    <w:rsid w:val="5DAD9742"/>
    <w:rsid w:val="5DB40BCE"/>
    <w:rsid w:val="5DB5D328"/>
    <w:rsid w:val="5DBB6792"/>
    <w:rsid w:val="5DBB79EE"/>
    <w:rsid w:val="5DC2AB1F"/>
    <w:rsid w:val="5DC51614"/>
    <w:rsid w:val="5DCCD7FB"/>
    <w:rsid w:val="5DCCF8E4"/>
    <w:rsid w:val="5DCD4CEA"/>
    <w:rsid w:val="5DCEA729"/>
    <w:rsid w:val="5DD74B81"/>
    <w:rsid w:val="5DDBCC2C"/>
    <w:rsid w:val="5DDE55E4"/>
    <w:rsid w:val="5DDEED71"/>
    <w:rsid w:val="5DE28D9C"/>
    <w:rsid w:val="5DF09190"/>
    <w:rsid w:val="5DF6C3A6"/>
    <w:rsid w:val="5DF930B7"/>
    <w:rsid w:val="5DFA3C39"/>
    <w:rsid w:val="5DFB089C"/>
    <w:rsid w:val="5DFCC503"/>
    <w:rsid w:val="5DFDB80F"/>
    <w:rsid w:val="5DFE16C7"/>
    <w:rsid w:val="5E096290"/>
    <w:rsid w:val="5E0F932B"/>
    <w:rsid w:val="5E10D6F0"/>
    <w:rsid w:val="5E144A86"/>
    <w:rsid w:val="5E1914E0"/>
    <w:rsid w:val="5E1D4485"/>
    <w:rsid w:val="5E1E36EA"/>
    <w:rsid w:val="5E2AB8BA"/>
    <w:rsid w:val="5E2C6B9D"/>
    <w:rsid w:val="5E2CB8CD"/>
    <w:rsid w:val="5E2F47CB"/>
    <w:rsid w:val="5E2F5880"/>
    <w:rsid w:val="5E304F2C"/>
    <w:rsid w:val="5E32434B"/>
    <w:rsid w:val="5E355DEB"/>
    <w:rsid w:val="5E3CBA44"/>
    <w:rsid w:val="5E3DA74E"/>
    <w:rsid w:val="5E42B2DE"/>
    <w:rsid w:val="5E4510A2"/>
    <w:rsid w:val="5E478153"/>
    <w:rsid w:val="5E49B850"/>
    <w:rsid w:val="5E4FD091"/>
    <w:rsid w:val="5E50C9F1"/>
    <w:rsid w:val="5E530E96"/>
    <w:rsid w:val="5E539FEC"/>
    <w:rsid w:val="5E53E8BB"/>
    <w:rsid w:val="5E5ADA5D"/>
    <w:rsid w:val="5E6253DD"/>
    <w:rsid w:val="5E6D61BD"/>
    <w:rsid w:val="5E72EC80"/>
    <w:rsid w:val="5E78CD84"/>
    <w:rsid w:val="5E7D76E8"/>
    <w:rsid w:val="5E827834"/>
    <w:rsid w:val="5E841199"/>
    <w:rsid w:val="5E8BDF02"/>
    <w:rsid w:val="5E90313A"/>
    <w:rsid w:val="5E915C61"/>
    <w:rsid w:val="5E921B63"/>
    <w:rsid w:val="5E921F4C"/>
    <w:rsid w:val="5E92A68D"/>
    <w:rsid w:val="5E940809"/>
    <w:rsid w:val="5E96FA34"/>
    <w:rsid w:val="5E988596"/>
    <w:rsid w:val="5EA417CF"/>
    <w:rsid w:val="5EA46D73"/>
    <w:rsid w:val="5EABE209"/>
    <w:rsid w:val="5EAD61FB"/>
    <w:rsid w:val="5EB5B050"/>
    <w:rsid w:val="5EBBA77E"/>
    <w:rsid w:val="5EBF1CFB"/>
    <w:rsid w:val="5EC1D2E2"/>
    <w:rsid w:val="5EC4EFBA"/>
    <w:rsid w:val="5EC59188"/>
    <w:rsid w:val="5ECC0F4C"/>
    <w:rsid w:val="5ECD5235"/>
    <w:rsid w:val="5ED17FEE"/>
    <w:rsid w:val="5ED4A1CB"/>
    <w:rsid w:val="5ED65AC1"/>
    <w:rsid w:val="5ED9B6D1"/>
    <w:rsid w:val="5EDFC7C8"/>
    <w:rsid w:val="5EE28886"/>
    <w:rsid w:val="5EE37F76"/>
    <w:rsid w:val="5EE70744"/>
    <w:rsid w:val="5EE7E2DF"/>
    <w:rsid w:val="5EE8E488"/>
    <w:rsid w:val="5EEC2DCB"/>
    <w:rsid w:val="5EF32D47"/>
    <w:rsid w:val="5F07D420"/>
    <w:rsid w:val="5F175FF8"/>
    <w:rsid w:val="5F1BB77B"/>
    <w:rsid w:val="5F1F7A1C"/>
    <w:rsid w:val="5F24555E"/>
    <w:rsid w:val="5F2F6FEC"/>
    <w:rsid w:val="5F3872D9"/>
    <w:rsid w:val="5F38B898"/>
    <w:rsid w:val="5F38DDDF"/>
    <w:rsid w:val="5F391EB8"/>
    <w:rsid w:val="5F476FE5"/>
    <w:rsid w:val="5F5EF6D3"/>
    <w:rsid w:val="5F5FF650"/>
    <w:rsid w:val="5F672A48"/>
    <w:rsid w:val="5F681A31"/>
    <w:rsid w:val="5F688E2F"/>
    <w:rsid w:val="5F6CFF08"/>
    <w:rsid w:val="5F71BF29"/>
    <w:rsid w:val="5F7ED072"/>
    <w:rsid w:val="5F7EF5C4"/>
    <w:rsid w:val="5F7F10D8"/>
    <w:rsid w:val="5F89FE46"/>
    <w:rsid w:val="5F8A2D71"/>
    <w:rsid w:val="5F8D7FBA"/>
    <w:rsid w:val="5F8F4D8B"/>
    <w:rsid w:val="5F927B48"/>
    <w:rsid w:val="5F954FD0"/>
    <w:rsid w:val="5F98BD8A"/>
    <w:rsid w:val="5F9F7C0D"/>
    <w:rsid w:val="5FA295FA"/>
    <w:rsid w:val="5FA375DE"/>
    <w:rsid w:val="5FA386C7"/>
    <w:rsid w:val="5FA8ED93"/>
    <w:rsid w:val="5FB0C112"/>
    <w:rsid w:val="5FBE437E"/>
    <w:rsid w:val="5FC0DCD4"/>
    <w:rsid w:val="5FC6AC24"/>
    <w:rsid w:val="5FCA54E2"/>
    <w:rsid w:val="5FCBDF05"/>
    <w:rsid w:val="5FCE3126"/>
    <w:rsid w:val="5FCF10ED"/>
    <w:rsid w:val="5FD09CDC"/>
    <w:rsid w:val="5FD83E5C"/>
    <w:rsid w:val="5FD95461"/>
    <w:rsid w:val="5FDB5A83"/>
    <w:rsid w:val="5FE1DE83"/>
    <w:rsid w:val="5FE441E9"/>
    <w:rsid w:val="5FE9FAB7"/>
    <w:rsid w:val="5FEE4D8F"/>
    <w:rsid w:val="5FEF744A"/>
    <w:rsid w:val="5FFAA37A"/>
    <w:rsid w:val="5FFD72F4"/>
    <w:rsid w:val="600B1CD3"/>
    <w:rsid w:val="600BAD99"/>
    <w:rsid w:val="600D9D8B"/>
    <w:rsid w:val="601422AC"/>
    <w:rsid w:val="6022BBEE"/>
    <w:rsid w:val="60269C92"/>
    <w:rsid w:val="60287BF9"/>
    <w:rsid w:val="602F20CF"/>
    <w:rsid w:val="60348AF9"/>
    <w:rsid w:val="6035B408"/>
    <w:rsid w:val="60382434"/>
    <w:rsid w:val="603C6571"/>
    <w:rsid w:val="603D443C"/>
    <w:rsid w:val="603EC949"/>
    <w:rsid w:val="6041B767"/>
    <w:rsid w:val="60439491"/>
    <w:rsid w:val="604DE76B"/>
    <w:rsid w:val="60576F36"/>
    <w:rsid w:val="60616954"/>
    <w:rsid w:val="60629470"/>
    <w:rsid w:val="60661C26"/>
    <w:rsid w:val="606938F6"/>
    <w:rsid w:val="606AC94D"/>
    <w:rsid w:val="606CF537"/>
    <w:rsid w:val="607076F1"/>
    <w:rsid w:val="6074DBE1"/>
    <w:rsid w:val="6077A2AA"/>
    <w:rsid w:val="6080251F"/>
    <w:rsid w:val="608B49BE"/>
    <w:rsid w:val="608D70C2"/>
    <w:rsid w:val="60966FB0"/>
    <w:rsid w:val="609A2C68"/>
    <w:rsid w:val="60AFCEF0"/>
    <w:rsid w:val="60B2F178"/>
    <w:rsid w:val="60B4776F"/>
    <w:rsid w:val="60B70515"/>
    <w:rsid w:val="60B7211E"/>
    <w:rsid w:val="60BB1285"/>
    <w:rsid w:val="60BC7E5E"/>
    <w:rsid w:val="60D81622"/>
    <w:rsid w:val="60DC370E"/>
    <w:rsid w:val="60DCAA28"/>
    <w:rsid w:val="60EC6007"/>
    <w:rsid w:val="60FA0652"/>
    <w:rsid w:val="60FA96B2"/>
    <w:rsid w:val="60FEE0B1"/>
    <w:rsid w:val="60FF17C1"/>
    <w:rsid w:val="610E27C5"/>
    <w:rsid w:val="61152F55"/>
    <w:rsid w:val="611882F4"/>
    <w:rsid w:val="6119A3EB"/>
    <w:rsid w:val="611FB8A4"/>
    <w:rsid w:val="612BE28E"/>
    <w:rsid w:val="613777FC"/>
    <w:rsid w:val="61390F8B"/>
    <w:rsid w:val="61399BF2"/>
    <w:rsid w:val="613BA609"/>
    <w:rsid w:val="614E1ADC"/>
    <w:rsid w:val="615BAE61"/>
    <w:rsid w:val="615E5032"/>
    <w:rsid w:val="6162CB93"/>
    <w:rsid w:val="616334F4"/>
    <w:rsid w:val="616DFA81"/>
    <w:rsid w:val="6177DE08"/>
    <w:rsid w:val="617A87ED"/>
    <w:rsid w:val="617AF246"/>
    <w:rsid w:val="61809913"/>
    <w:rsid w:val="61858989"/>
    <w:rsid w:val="61882068"/>
    <w:rsid w:val="618E8BE2"/>
    <w:rsid w:val="6191CA1B"/>
    <w:rsid w:val="61995607"/>
    <w:rsid w:val="619DD886"/>
    <w:rsid w:val="619E8237"/>
    <w:rsid w:val="61A29CE1"/>
    <w:rsid w:val="61A5605E"/>
    <w:rsid w:val="61A9996E"/>
    <w:rsid w:val="61ABA89F"/>
    <w:rsid w:val="61AF85C3"/>
    <w:rsid w:val="61B094D6"/>
    <w:rsid w:val="61B67B4B"/>
    <w:rsid w:val="61BE35FA"/>
    <w:rsid w:val="61C04B67"/>
    <w:rsid w:val="61C0BCE7"/>
    <w:rsid w:val="61CC9B09"/>
    <w:rsid w:val="61CE3563"/>
    <w:rsid w:val="61DAF73D"/>
    <w:rsid w:val="61DC94AD"/>
    <w:rsid w:val="61DE5AEA"/>
    <w:rsid w:val="61E2C8EC"/>
    <w:rsid w:val="61E3845A"/>
    <w:rsid w:val="61E44B63"/>
    <w:rsid w:val="61E4DD16"/>
    <w:rsid w:val="61F1E71C"/>
    <w:rsid w:val="61F1FEDE"/>
    <w:rsid w:val="61F4A136"/>
    <w:rsid w:val="61F687B4"/>
    <w:rsid w:val="61F75C2F"/>
    <w:rsid w:val="61F80988"/>
    <w:rsid w:val="61FF5B00"/>
    <w:rsid w:val="620635B8"/>
    <w:rsid w:val="6207F15D"/>
    <w:rsid w:val="62105264"/>
    <w:rsid w:val="621121A7"/>
    <w:rsid w:val="6213C725"/>
    <w:rsid w:val="621571BD"/>
    <w:rsid w:val="621AB1EC"/>
    <w:rsid w:val="621F199A"/>
    <w:rsid w:val="6224878D"/>
    <w:rsid w:val="6225EA98"/>
    <w:rsid w:val="622D3A2E"/>
    <w:rsid w:val="6232D8BC"/>
    <w:rsid w:val="623956EF"/>
    <w:rsid w:val="623C6478"/>
    <w:rsid w:val="6245DCD4"/>
    <w:rsid w:val="6247CB0D"/>
    <w:rsid w:val="624CB474"/>
    <w:rsid w:val="6250DA5A"/>
    <w:rsid w:val="6253414A"/>
    <w:rsid w:val="6257925B"/>
    <w:rsid w:val="626B0DE5"/>
    <w:rsid w:val="626E5FB6"/>
    <w:rsid w:val="62734F5C"/>
    <w:rsid w:val="62771457"/>
    <w:rsid w:val="627DCF48"/>
    <w:rsid w:val="62808FD1"/>
    <w:rsid w:val="62826893"/>
    <w:rsid w:val="6286C03A"/>
    <w:rsid w:val="6289ACE2"/>
    <w:rsid w:val="628A6290"/>
    <w:rsid w:val="628B677B"/>
    <w:rsid w:val="628CA7D8"/>
    <w:rsid w:val="629739FD"/>
    <w:rsid w:val="629B26F2"/>
    <w:rsid w:val="62A05978"/>
    <w:rsid w:val="62A23018"/>
    <w:rsid w:val="62A424F8"/>
    <w:rsid w:val="62A72307"/>
    <w:rsid w:val="62BC787E"/>
    <w:rsid w:val="62BCE1F8"/>
    <w:rsid w:val="62C2B03D"/>
    <w:rsid w:val="62C3142E"/>
    <w:rsid w:val="62CA17D8"/>
    <w:rsid w:val="62CB928A"/>
    <w:rsid w:val="62D0F028"/>
    <w:rsid w:val="62D26695"/>
    <w:rsid w:val="62D3D2D4"/>
    <w:rsid w:val="62DCB2F6"/>
    <w:rsid w:val="62ECF26E"/>
    <w:rsid w:val="62ED4781"/>
    <w:rsid w:val="62F0E73C"/>
    <w:rsid w:val="62F366D8"/>
    <w:rsid w:val="62F9F2A8"/>
    <w:rsid w:val="62FC7F4B"/>
    <w:rsid w:val="6309A2B3"/>
    <w:rsid w:val="630BF628"/>
    <w:rsid w:val="630C1B90"/>
    <w:rsid w:val="63123DEE"/>
    <w:rsid w:val="63160DB3"/>
    <w:rsid w:val="6316AB9C"/>
    <w:rsid w:val="631800BB"/>
    <w:rsid w:val="631984E1"/>
    <w:rsid w:val="631AD3BC"/>
    <w:rsid w:val="631EAA5F"/>
    <w:rsid w:val="632311C6"/>
    <w:rsid w:val="6327990A"/>
    <w:rsid w:val="63282396"/>
    <w:rsid w:val="632D5AD4"/>
    <w:rsid w:val="63342282"/>
    <w:rsid w:val="6336DD1E"/>
    <w:rsid w:val="633ABC70"/>
    <w:rsid w:val="633B2994"/>
    <w:rsid w:val="6344528D"/>
    <w:rsid w:val="635344B7"/>
    <w:rsid w:val="6358D5CB"/>
    <w:rsid w:val="63593B88"/>
    <w:rsid w:val="635FB963"/>
    <w:rsid w:val="636B81C8"/>
    <w:rsid w:val="6373A64A"/>
    <w:rsid w:val="637410BE"/>
    <w:rsid w:val="6374C78F"/>
    <w:rsid w:val="637EF5DC"/>
    <w:rsid w:val="637F28E0"/>
    <w:rsid w:val="638A0FB0"/>
    <w:rsid w:val="638D6C84"/>
    <w:rsid w:val="638E5063"/>
    <w:rsid w:val="63944582"/>
    <w:rsid w:val="639500F9"/>
    <w:rsid w:val="639A3B0E"/>
    <w:rsid w:val="639C5C9B"/>
    <w:rsid w:val="63A55D14"/>
    <w:rsid w:val="63B0C2F1"/>
    <w:rsid w:val="63BDD776"/>
    <w:rsid w:val="63BF9890"/>
    <w:rsid w:val="63C11A7A"/>
    <w:rsid w:val="63CAEE34"/>
    <w:rsid w:val="63CD979F"/>
    <w:rsid w:val="63CF1E25"/>
    <w:rsid w:val="63D0FC62"/>
    <w:rsid w:val="63D4D5A5"/>
    <w:rsid w:val="63D9FC19"/>
    <w:rsid w:val="63DDF913"/>
    <w:rsid w:val="63DF6B9D"/>
    <w:rsid w:val="63E13CA5"/>
    <w:rsid w:val="63E1E68F"/>
    <w:rsid w:val="63E4C34F"/>
    <w:rsid w:val="63E6DDB0"/>
    <w:rsid w:val="63E79E7A"/>
    <w:rsid w:val="63F1AA1E"/>
    <w:rsid w:val="63F49D4D"/>
    <w:rsid w:val="63F66C60"/>
    <w:rsid w:val="63FDF041"/>
    <w:rsid w:val="63FE820D"/>
    <w:rsid w:val="63FF6F3A"/>
    <w:rsid w:val="640CD37B"/>
    <w:rsid w:val="640D0002"/>
    <w:rsid w:val="6421410B"/>
    <w:rsid w:val="64218DD2"/>
    <w:rsid w:val="64233A7E"/>
    <w:rsid w:val="642AC39E"/>
    <w:rsid w:val="642E4199"/>
    <w:rsid w:val="643DC16D"/>
    <w:rsid w:val="6443A831"/>
    <w:rsid w:val="6449AEDC"/>
    <w:rsid w:val="644D03A4"/>
    <w:rsid w:val="6452E005"/>
    <w:rsid w:val="64646BB5"/>
    <w:rsid w:val="646D29E1"/>
    <w:rsid w:val="64758C3F"/>
    <w:rsid w:val="64795263"/>
    <w:rsid w:val="647FA80C"/>
    <w:rsid w:val="648243F0"/>
    <w:rsid w:val="6487A3DE"/>
    <w:rsid w:val="648F3134"/>
    <w:rsid w:val="6493B7C3"/>
    <w:rsid w:val="6499820F"/>
    <w:rsid w:val="649B4A1F"/>
    <w:rsid w:val="64A2538A"/>
    <w:rsid w:val="64B1CA09"/>
    <w:rsid w:val="64B69901"/>
    <w:rsid w:val="64C595AB"/>
    <w:rsid w:val="64CB3599"/>
    <w:rsid w:val="64CC79B0"/>
    <w:rsid w:val="64CEFE26"/>
    <w:rsid w:val="64D56EBB"/>
    <w:rsid w:val="64D84313"/>
    <w:rsid w:val="64D8DA9B"/>
    <w:rsid w:val="64DB7173"/>
    <w:rsid w:val="64DC3837"/>
    <w:rsid w:val="64E634CA"/>
    <w:rsid w:val="64EECDFB"/>
    <w:rsid w:val="64EF7007"/>
    <w:rsid w:val="64F9BC1F"/>
    <w:rsid w:val="650783F2"/>
    <w:rsid w:val="6509C46D"/>
    <w:rsid w:val="650BBFC5"/>
    <w:rsid w:val="6512D524"/>
    <w:rsid w:val="651735CD"/>
    <w:rsid w:val="65222257"/>
    <w:rsid w:val="652CAA88"/>
    <w:rsid w:val="652F713E"/>
    <w:rsid w:val="6530FFEE"/>
    <w:rsid w:val="6534B9AA"/>
    <w:rsid w:val="65380E0E"/>
    <w:rsid w:val="653934F2"/>
    <w:rsid w:val="6539D8E3"/>
    <w:rsid w:val="653D704C"/>
    <w:rsid w:val="653E5A89"/>
    <w:rsid w:val="65415997"/>
    <w:rsid w:val="6544B683"/>
    <w:rsid w:val="65478997"/>
    <w:rsid w:val="654809F9"/>
    <w:rsid w:val="654851AC"/>
    <w:rsid w:val="6548E7BD"/>
    <w:rsid w:val="654BB293"/>
    <w:rsid w:val="65507FBC"/>
    <w:rsid w:val="6553BA8C"/>
    <w:rsid w:val="6554BBE5"/>
    <w:rsid w:val="6560047D"/>
    <w:rsid w:val="6565460F"/>
    <w:rsid w:val="657D8A22"/>
    <w:rsid w:val="657DFCA3"/>
    <w:rsid w:val="65864ED0"/>
    <w:rsid w:val="658ED5C8"/>
    <w:rsid w:val="65911148"/>
    <w:rsid w:val="65959D70"/>
    <w:rsid w:val="6597AE15"/>
    <w:rsid w:val="6598AE8A"/>
    <w:rsid w:val="65A0F7D2"/>
    <w:rsid w:val="65A175F0"/>
    <w:rsid w:val="65AE9DCF"/>
    <w:rsid w:val="65B159D4"/>
    <w:rsid w:val="65B97275"/>
    <w:rsid w:val="65BBDADE"/>
    <w:rsid w:val="65BE4496"/>
    <w:rsid w:val="65BFA8F7"/>
    <w:rsid w:val="65C6C8D7"/>
    <w:rsid w:val="65C75E2A"/>
    <w:rsid w:val="65D383FA"/>
    <w:rsid w:val="65D3AE25"/>
    <w:rsid w:val="65DD54E4"/>
    <w:rsid w:val="65E4F5B2"/>
    <w:rsid w:val="65E6B57B"/>
    <w:rsid w:val="65E80E70"/>
    <w:rsid w:val="65E89F5D"/>
    <w:rsid w:val="65F0F3D8"/>
    <w:rsid w:val="65F83107"/>
    <w:rsid w:val="65F9D11C"/>
    <w:rsid w:val="65FB4ED2"/>
    <w:rsid w:val="65FB5DF0"/>
    <w:rsid w:val="65FB5FF7"/>
    <w:rsid w:val="66008C92"/>
    <w:rsid w:val="6604450D"/>
    <w:rsid w:val="660474F5"/>
    <w:rsid w:val="66073938"/>
    <w:rsid w:val="6608E8A2"/>
    <w:rsid w:val="660B397F"/>
    <w:rsid w:val="6614D33A"/>
    <w:rsid w:val="66157233"/>
    <w:rsid w:val="6615BCFE"/>
    <w:rsid w:val="6615F49B"/>
    <w:rsid w:val="6617F9D2"/>
    <w:rsid w:val="661937A7"/>
    <w:rsid w:val="661A407E"/>
    <w:rsid w:val="661C3E70"/>
    <w:rsid w:val="661E091E"/>
    <w:rsid w:val="662E5EC8"/>
    <w:rsid w:val="663047BE"/>
    <w:rsid w:val="6633BBBC"/>
    <w:rsid w:val="66367AE8"/>
    <w:rsid w:val="663B125C"/>
    <w:rsid w:val="6643F7CB"/>
    <w:rsid w:val="6644FC55"/>
    <w:rsid w:val="6647AE96"/>
    <w:rsid w:val="6648CBC9"/>
    <w:rsid w:val="664DBDA1"/>
    <w:rsid w:val="665202C8"/>
    <w:rsid w:val="665343D1"/>
    <w:rsid w:val="6655F14F"/>
    <w:rsid w:val="66561165"/>
    <w:rsid w:val="665E316C"/>
    <w:rsid w:val="6663C494"/>
    <w:rsid w:val="6666220F"/>
    <w:rsid w:val="66730591"/>
    <w:rsid w:val="667810EE"/>
    <w:rsid w:val="667E75F7"/>
    <w:rsid w:val="667FAC1F"/>
    <w:rsid w:val="6684427D"/>
    <w:rsid w:val="66870A8C"/>
    <w:rsid w:val="668AD1E8"/>
    <w:rsid w:val="66934632"/>
    <w:rsid w:val="6694353E"/>
    <w:rsid w:val="66ABD3C5"/>
    <w:rsid w:val="66C6A622"/>
    <w:rsid w:val="66CF8DBA"/>
    <w:rsid w:val="66DABA98"/>
    <w:rsid w:val="66DC3E5B"/>
    <w:rsid w:val="66DF0C29"/>
    <w:rsid w:val="66E72FBA"/>
    <w:rsid w:val="66EEAA64"/>
    <w:rsid w:val="66F8095C"/>
    <w:rsid w:val="66F8C542"/>
    <w:rsid w:val="66FC68A9"/>
    <w:rsid w:val="67041BFE"/>
    <w:rsid w:val="670698D3"/>
    <w:rsid w:val="670C677F"/>
    <w:rsid w:val="671133B2"/>
    <w:rsid w:val="6712C7A3"/>
    <w:rsid w:val="671327E8"/>
    <w:rsid w:val="6715FB05"/>
    <w:rsid w:val="6723BDBA"/>
    <w:rsid w:val="6723CAE5"/>
    <w:rsid w:val="6723E5EA"/>
    <w:rsid w:val="672850E7"/>
    <w:rsid w:val="672E490E"/>
    <w:rsid w:val="67307CEB"/>
    <w:rsid w:val="67361E11"/>
    <w:rsid w:val="6738E9AE"/>
    <w:rsid w:val="673C3B73"/>
    <w:rsid w:val="67463663"/>
    <w:rsid w:val="6747FC14"/>
    <w:rsid w:val="674AFA26"/>
    <w:rsid w:val="674BE1BB"/>
    <w:rsid w:val="67529E4C"/>
    <w:rsid w:val="675BAC2C"/>
    <w:rsid w:val="675DC2D2"/>
    <w:rsid w:val="675E4597"/>
    <w:rsid w:val="675E4BB0"/>
    <w:rsid w:val="675E4DC4"/>
    <w:rsid w:val="6760ED3F"/>
    <w:rsid w:val="67688E1A"/>
    <w:rsid w:val="6768C0FD"/>
    <w:rsid w:val="676E9745"/>
    <w:rsid w:val="67712980"/>
    <w:rsid w:val="677B5D37"/>
    <w:rsid w:val="67961BF9"/>
    <w:rsid w:val="679C8741"/>
    <w:rsid w:val="67AE3C67"/>
    <w:rsid w:val="67B25081"/>
    <w:rsid w:val="67B2ED83"/>
    <w:rsid w:val="67B550BB"/>
    <w:rsid w:val="67B66BFF"/>
    <w:rsid w:val="67B960E0"/>
    <w:rsid w:val="67BCE8A2"/>
    <w:rsid w:val="67C28138"/>
    <w:rsid w:val="67C8F6DC"/>
    <w:rsid w:val="67CA5439"/>
    <w:rsid w:val="67CD2205"/>
    <w:rsid w:val="67DCD034"/>
    <w:rsid w:val="67DE7568"/>
    <w:rsid w:val="67E0044C"/>
    <w:rsid w:val="67FC8D6F"/>
    <w:rsid w:val="68000F6C"/>
    <w:rsid w:val="68034403"/>
    <w:rsid w:val="6806A4F7"/>
    <w:rsid w:val="680A23AC"/>
    <w:rsid w:val="680B52A0"/>
    <w:rsid w:val="680D99D9"/>
    <w:rsid w:val="68104443"/>
    <w:rsid w:val="68125F93"/>
    <w:rsid w:val="6813179E"/>
    <w:rsid w:val="6815EC1E"/>
    <w:rsid w:val="681AE8C4"/>
    <w:rsid w:val="681B16C0"/>
    <w:rsid w:val="681E79C4"/>
    <w:rsid w:val="6821E1FC"/>
    <w:rsid w:val="68239ECC"/>
    <w:rsid w:val="682616B5"/>
    <w:rsid w:val="68267352"/>
    <w:rsid w:val="682ABEEA"/>
    <w:rsid w:val="68301351"/>
    <w:rsid w:val="68317F14"/>
    <w:rsid w:val="68414301"/>
    <w:rsid w:val="68419696"/>
    <w:rsid w:val="684202A3"/>
    <w:rsid w:val="68431E9E"/>
    <w:rsid w:val="68452503"/>
    <w:rsid w:val="684966A9"/>
    <w:rsid w:val="684B42F1"/>
    <w:rsid w:val="6850F2B8"/>
    <w:rsid w:val="68519F87"/>
    <w:rsid w:val="6855AF44"/>
    <w:rsid w:val="685A4510"/>
    <w:rsid w:val="685CE663"/>
    <w:rsid w:val="68620A95"/>
    <w:rsid w:val="68627FE9"/>
    <w:rsid w:val="68668874"/>
    <w:rsid w:val="68727A41"/>
    <w:rsid w:val="687AE001"/>
    <w:rsid w:val="687C7025"/>
    <w:rsid w:val="687FFB80"/>
    <w:rsid w:val="6880AC43"/>
    <w:rsid w:val="688A551C"/>
    <w:rsid w:val="688C80C5"/>
    <w:rsid w:val="689463A7"/>
    <w:rsid w:val="689D3051"/>
    <w:rsid w:val="68A80944"/>
    <w:rsid w:val="68AF986D"/>
    <w:rsid w:val="68B215DF"/>
    <w:rsid w:val="68B9EAD1"/>
    <w:rsid w:val="68BCAED8"/>
    <w:rsid w:val="68C6D905"/>
    <w:rsid w:val="68C95886"/>
    <w:rsid w:val="68CA8373"/>
    <w:rsid w:val="68CB423C"/>
    <w:rsid w:val="68D305CB"/>
    <w:rsid w:val="68D39E8F"/>
    <w:rsid w:val="68D3FAE8"/>
    <w:rsid w:val="68D6A56F"/>
    <w:rsid w:val="68DA35D4"/>
    <w:rsid w:val="68E73CF6"/>
    <w:rsid w:val="68F188F4"/>
    <w:rsid w:val="68F60CD5"/>
    <w:rsid w:val="68F7760A"/>
    <w:rsid w:val="68FA6B7E"/>
    <w:rsid w:val="68FE2F4F"/>
    <w:rsid w:val="690170AC"/>
    <w:rsid w:val="69034857"/>
    <w:rsid w:val="6904ED5B"/>
    <w:rsid w:val="6910A01B"/>
    <w:rsid w:val="69119B89"/>
    <w:rsid w:val="6916E043"/>
    <w:rsid w:val="6917EFBF"/>
    <w:rsid w:val="691F5D5B"/>
    <w:rsid w:val="6922CC54"/>
    <w:rsid w:val="6928DD12"/>
    <w:rsid w:val="69357E41"/>
    <w:rsid w:val="69426A81"/>
    <w:rsid w:val="6944C727"/>
    <w:rsid w:val="69497048"/>
    <w:rsid w:val="694CB314"/>
    <w:rsid w:val="6952933F"/>
    <w:rsid w:val="695838DF"/>
    <w:rsid w:val="695B6268"/>
    <w:rsid w:val="6970268D"/>
    <w:rsid w:val="69718E2B"/>
    <w:rsid w:val="69719C21"/>
    <w:rsid w:val="6977907F"/>
    <w:rsid w:val="697A5552"/>
    <w:rsid w:val="697B29E5"/>
    <w:rsid w:val="697F2D93"/>
    <w:rsid w:val="698168A8"/>
    <w:rsid w:val="6987B6C3"/>
    <w:rsid w:val="6987EFAF"/>
    <w:rsid w:val="6988A5D3"/>
    <w:rsid w:val="698B8C44"/>
    <w:rsid w:val="698D2234"/>
    <w:rsid w:val="699F07B2"/>
    <w:rsid w:val="69A540E5"/>
    <w:rsid w:val="69AA78FB"/>
    <w:rsid w:val="69AE6A93"/>
    <w:rsid w:val="69B1EB0D"/>
    <w:rsid w:val="69C0B419"/>
    <w:rsid w:val="69C9A718"/>
    <w:rsid w:val="69D1528C"/>
    <w:rsid w:val="69D1ECD5"/>
    <w:rsid w:val="69D4E2EE"/>
    <w:rsid w:val="69D94FB3"/>
    <w:rsid w:val="69E1059C"/>
    <w:rsid w:val="69E5B71B"/>
    <w:rsid w:val="69EE33E5"/>
    <w:rsid w:val="69F0F14C"/>
    <w:rsid w:val="69F22692"/>
    <w:rsid w:val="69FF90CC"/>
    <w:rsid w:val="6A00800A"/>
    <w:rsid w:val="6A093E1D"/>
    <w:rsid w:val="6A09AB78"/>
    <w:rsid w:val="6A10A5D4"/>
    <w:rsid w:val="6A10BC7D"/>
    <w:rsid w:val="6A156060"/>
    <w:rsid w:val="6A15D2DD"/>
    <w:rsid w:val="6A1AF185"/>
    <w:rsid w:val="6A319CC9"/>
    <w:rsid w:val="6A38A459"/>
    <w:rsid w:val="6A3B6F00"/>
    <w:rsid w:val="6A3EDB2B"/>
    <w:rsid w:val="6A3F68A6"/>
    <w:rsid w:val="6A46237A"/>
    <w:rsid w:val="6A499DAF"/>
    <w:rsid w:val="6A597469"/>
    <w:rsid w:val="6A604BB8"/>
    <w:rsid w:val="6A67FBDA"/>
    <w:rsid w:val="6A6939A3"/>
    <w:rsid w:val="6A6BAFB5"/>
    <w:rsid w:val="6A73D8F0"/>
    <w:rsid w:val="6A74C519"/>
    <w:rsid w:val="6A7CBE31"/>
    <w:rsid w:val="6A908795"/>
    <w:rsid w:val="6A9398E9"/>
    <w:rsid w:val="6A9725A3"/>
    <w:rsid w:val="6AA2DD52"/>
    <w:rsid w:val="6AA4127D"/>
    <w:rsid w:val="6AA602B6"/>
    <w:rsid w:val="6AA9DD76"/>
    <w:rsid w:val="6AAB6C0A"/>
    <w:rsid w:val="6AAB8CA7"/>
    <w:rsid w:val="6AAF52F9"/>
    <w:rsid w:val="6AB69F0C"/>
    <w:rsid w:val="6ABB6941"/>
    <w:rsid w:val="6ABF70B7"/>
    <w:rsid w:val="6ACA07E6"/>
    <w:rsid w:val="6AD2CE29"/>
    <w:rsid w:val="6AD3E76A"/>
    <w:rsid w:val="6AD4B9D8"/>
    <w:rsid w:val="6AD6832D"/>
    <w:rsid w:val="6ADBA6B8"/>
    <w:rsid w:val="6ADC2D5B"/>
    <w:rsid w:val="6ADE6D2D"/>
    <w:rsid w:val="6AE26489"/>
    <w:rsid w:val="6AE475F4"/>
    <w:rsid w:val="6AE4E65E"/>
    <w:rsid w:val="6AED3647"/>
    <w:rsid w:val="6AF9252E"/>
    <w:rsid w:val="6B0D66E0"/>
    <w:rsid w:val="6B0D73D5"/>
    <w:rsid w:val="6B11EF1A"/>
    <w:rsid w:val="6B172DF8"/>
    <w:rsid w:val="6B175BB5"/>
    <w:rsid w:val="6B1F235A"/>
    <w:rsid w:val="6B238724"/>
    <w:rsid w:val="6B24FA82"/>
    <w:rsid w:val="6B27C3D7"/>
    <w:rsid w:val="6B2BAFDC"/>
    <w:rsid w:val="6B37621F"/>
    <w:rsid w:val="6B3A43D8"/>
    <w:rsid w:val="6B3CF09A"/>
    <w:rsid w:val="6B3DACF2"/>
    <w:rsid w:val="6B410EC6"/>
    <w:rsid w:val="6B4DD6B0"/>
    <w:rsid w:val="6B4FDBE6"/>
    <w:rsid w:val="6B5377F1"/>
    <w:rsid w:val="6B5725CD"/>
    <w:rsid w:val="6B5B0515"/>
    <w:rsid w:val="6B5B5AB5"/>
    <w:rsid w:val="6B5CB095"/>
    <w:rsid w:val="6B6DA4F5"/>
    <w:rsid w:val="6B707FAE"/>
    <w:rsid w:val="6B733ED4"/>
    <w:rsid w:val="6B76620B"/>
    <w:rsid w:val="6B7C0AD4"/>
    <w:rsid w:val="6B7E3B72"/>
    <w:rsid w:val="6B7FF7A3"/>
    <w:rsid w:val="6B81215E"/>
    <w:rsid w:val="6B830787"/>
    <w:rsid w:val="6B844E6B"/>
    <w:rsid w:val="6B859E56"/>
    <w:rsid w:val="6B8DE4E4"/>
    <w:rsid w:val="6B90DD8A"/>
    <w:rsid w:val="6B93157D"/>
    <w:rsid w:val="6B96305B"/>
    <w:rsid w:val="6B97FBCD"/>
    <w:rsid w:val="6B9A898F"/>
    <w:rsid w:val="6BA0C430"/>
    <w:rsid w:val="6BA91DF5"/>
    <w:rsid w:val="6BB6424E"/>
    <w:rsid w:val="6BB67354"/>
    <w:rsid w:val="6BB7252A"/>
    <w:rsid w:val="6BBF272A"/>
    <w:rsid w:val="6BC25195"/>
    <w:rsid w:val="6BC2B335"/>
    <w:rsid w:val="6BC4ABF3"/>
    <w:rsid w:val="6BCD0331"/>
    <w:rsid w:val="6BD5DBB5"/>
    <w:rsid w:val="6BE0C3BE"/>
    <w:rsid w:val="6BE735F4"/>
    <w:rsid w:val="6BE91CA7"/>
    <w:rsid w:val="6BEA53AC"/>
    <w:rsid w:val="6BECB0D7"/>
    <w:rsid w:val="6BF4CE79"/>
    <w:rsid w:val="6BF58CE7"/>
    <w:rsid w:val="6BFA0DD2"/>
    <w:rsid w:val="6BFAC83D"/>
    <w:rsid w:val="6BFF24F0"/>
    <w:rsid w:val="6C0238AD"/>
    <w:rsid w:val="6C046D8C"/>
    <w:rsid w:val="6C0CAB28"/>
    <w:rsid w:val="6C1481F8"/>
    <w:rsid w:val="6C177C8C"/>
    <w:rsid w:val="6C18487D"/>
    <w:rsid w:val="6C1AD84A"/>
    <w:rsid w:val="6C24D6C3"/>
    <w:rsid w:val="6C265F22"/>
    <w:rsid w:val="6C29EE7C"/>
    <w:rsid w:val="6C334001"/>
    <w:rsid w:val="6C34B42A"/>
    <w:rsid w:val="6C393AF7"/>
    <w:rsid w:val="6C3B5624"/>
    <w:rsid w:val="6C4E192A"/>
    <w:rsid w:val="6C5621B5"/>
    <w:rsid w:val="6C59D80D"/>
    <w:rsid w:val="6C5AE3B5"/>
    <w:rsid w:val="6C5FA15C"/>
    <w:rsid w:val="6C68C528"/>
    <w:rsid w:val="6C68E163"/>
    <w:rsid w:val="6C70F6C9"/>
    <w:rsid w:val="6C72495C"/>
    <w:rsid w:val="6C72617F"/>
    <w:rsid w:val="6C7637C5"/>
    <w:rsid w:val="6C76A56F"/>
    <w:rsid w:val="6C778BAB"/>
    <w:rsid w:val="6C7BA81A"/>
    <w:rsid w:val="6C7CAF33"/>
    <w:rsid w:val="6C7DE097"/>
    <w:rsid w:val="6C80A702"/>
    <w:rsid w:val="6C916E33"/>
    <w:rsid w:val="6C93B516"/>
    <w:rsid w:val="6CA26A5F"/>
    <w:rsid w:val="6CA36FFC"/>
    <w:rsid w:val="6CA6B282"/>
    <w:rsid w:val="6CAF0493"/>
    <w:rsid w:val="6CB03C86"/>
    <w:rsid w:val="6CB041BE"/>
    <w:rsid w:val="6CB06D39"/>
    <w:rsid w:val="6CB26044"/>
    <w:rsid w:val="6CB5194A"/>
    <w:rsid w:val="6CB72016"/>
    <w:rsid w:val="6CBC6077"/>
    <w:rsid w:val="6CBE292A"/>
    <w:rsid w:val="6CBEB806"/>
    <w:rsid w:val="6CC00026"/>
    <w:rsid w:val="6CC4D8B1"/>
    <w:rsid w:val="6CC5C83F"/>
    <w:rsid w:val="6CC68CCC"/>
    <w:rsid w:val="6CC72ECE"/>
    <w:rsid w:val="6CC8A306"/>
    <w:rsid w:val="6CCA94F6"/>
    <w:rsid w:val="6CCC6C51"/>
    <w:rsid w:val="6CCC77E5"/>
    <w:rsid w:val="6CD02762"/>
    <w:rsid w:val="6CD9F04B"/>
    <w:rsid w:val="6CDAC508"/>
    <w:rsid w:val="6CDCD168"/>
    <w:rsid w:val="6CDEEF72"/>
    <w:rsid w:val="6CE3358F"/>
    <w:rsid w:val="6CECF396"/>
    <w:rsid w:val="6CEF2F24"/>
    <w:rsid w:val="6CFF60A4"/>
    <w:rsid w:val="6CFFAD5E"/>
    <w:rsid w:val="6D026C4E"/>
    <w:rsid w:val="6D153CFF"/>
    <w:rsid w:val="6D15F050"/>
    <w:rsid w:val="6D1AD477"/>
    <w:rsid w:val="6D1C0677"/>
    <w:rsid w:val="6D1E997E"/>
    <w:rsid w:val="6D22C6D7"/>
    <w:rsid w:val="6D3251D5"/>
    <w:rsid w:val="6D3FF296"/>
    <w:rsid w:val="6D465D59"/>
    <w:rsid w:val="6D507503"/>
    <w:rsid w:val="6D558383"/>
    <w:rsid w:val="6D63BADC"/>
    <w:rsid w:val="6D644AD9"/>
    <w:rsid w:val="6D7116AA"/>
    <w:rsid w:val="6D7132E6"/>
    <w:rsid w:val="6D72A159"/>
    <w:rsid w:val="6D76A930"/>
    <w:rsid w:val="6D80BBFA"/>
    <w:rsid w:val="6D8A3FFD"/>
    <w:rsid w:val="6D8F8AB7"/>
    <w:rsid w:val="6D917821"/>
    <w:rsid w:val="6DA0D984"/>
    <w:rsid w:val="6DA5242C"/>
    <w:rsid w:val="6DAB460C"/>
    <w:rsid w:val="6DAC097A"/>
    <w:rsid w:val="6DB03DBF"/>
    <w:rsid w:val="6DBD4342"/>
    <w:rsid w:val="6DC0BFC8"/>
    <w:rsid w:val="6DC24B95"/>
    <w:rsid w:val="6DC6459B"/>
    <w:rsid w:val="6DC8D9DD"/>
    <w:rsid w:val="6DC947BF"/>
    <w:rsid w:val="6DCC6DF5"/>
    <w:rsid w:val="6DD1B5FA"/>
    <w:rsid w:val="6DD64D6C"/>
    <w:rsid w:val="6DD79A40"/>
    <w:rsid w:val="6DD9F5D4"/>
    <w:rsid w:val="6DDBE9EB"/>
    <w:rsid w:val="6DDE82CE"/>
    <w:rsid w:val="6DDF0C10"/>
    <w:rsid w:val="6DE03A73"/>
    <w:rsid w:val="6DE87A78"/>
    <w:rsid w:val="6DE8EEE9"/>
    <w:rsid w:val="6DF85121"/>
    <w:rsid w:val="6E08EACC"/>
    <w:rsid w:val="6E1879A1"/>
    <w:rsid w:val="6E1A04B5"/>
    <w:rsid w:val="6E2692A1"/>
    <w:rsid w:val="6E279E7E"/>
    <w:rsid w:val="6E360C1A"/>
    <w:rsid w:val="6E386923"/>
    <w:rsid w:val="6E3EC0F6"/>
    <w:rsid w:val="6E3F3129"/>
    <w:rsid w:val="6E41402D"/>
    <w:rsid w:val="6E475B0E"/>
    <w:rsid w:val="6E48FB31"/>
    <w:rsid w:val="6E52923C"/>
    <w:rsid w:val="6E547C09"/>
    <w:rsid w:val="6E587AD5"/>
    <w:rsid w:val="6E5D46E3"/>
    <w:rsid w:val="6E661BD7"/>
    <w:rsid w:val="6E6CD3CB"/>
    <w:rsid w:val="6E772A29"/>
    <w:rsid w:val="6E7876FB"/>
    <w:rsid w:val="6E81527F"/>
    <w:rsid w:val="6E86DF43"/>
    <w:rsid w:val="6E87FFDE"/>
    <w:rsid w:val="6E8B69AB"/>
    <w:rsid w:val="6E8C8BC9"/>
    <w:rsid w:val="6E92F0FE"/>
    <w:rsid w:val="6E93FA94"/>
    <w:rsid w:val="6E9A2DAF"/>
    <w:rsid w:val="6E9AC799"/>
    <w:rsid w:val="6E9D4E14"/>
    <w:rsid w:val="6EA104B4"/>
    <w:rsid w:val="6EA3CF49"/>
    <w:rsid w:val="6EA4A6DE"/>
    <w:rsid w:val="6EA75E1A"/>
    <w:rsid w:val="6EA9AACD"/>
    <w:rsid w:val="6EABB20C"/>
    <w:rsid w:val="6EAC3B3D"/>
    <w:rsid w:val="6EB10895"/>
    <w:rsid w:val="6EBA7F7E"/>
    <w:rsid w:val="6EBE3A0D"/>
    <w:rsid w:val="6EBFAC41"/>
    <w:rsid w:val="6EC3C6B2"/>
    <w:rsid w:val="6ED301EF"/>
    <w:rsid w:val="6EDAD42F"/>
    <w:rsid w:val="6EDDEC78"/>
    <w:rsid w:val="6EDE0A44"/>
    <w:rsid w:val="6EE6275E"/>
    <w:rsid w:val="6EF136BB"/>
    <w:rsid w:val="6EF5A546"/>
    <w:rsid w:val="6EF76526"/>
    <w:rsid w:val="6EFDA045"/>
    <w:rsid w:val="6EFF804D"/>
    <w:rsid w:val="6F045633"/>
    <w:rsid w:val="6F04A8C4"/>
    <w:rsid w:val="6F05DFF5"/>
    <w:rsid w:val="6F0604DE"/>
    <w:rsid w:val="6F06C75E"/>
    <w:rsid w:val="6F0B9930"/>
    <w:rsid w:val="6F0BC169"/>
    <w:rsid w:val="6F0D78F1"/>
    <w:rsid w:val="6F1A00CC"/>
    <w:rsid w:val="6F1FD876"/>
    <w:rsid w:val="6F246FB0"/>
    <w:rsid w:val="6F292C55"/>
    <w:rsid w:val="6F2FF181"/>
    <w:rsid w:val="6F30A6BF"/>
    <w:rsid w:val="6F320DA8"/>
    <w:rsid w:val="6F325B1A"/>
    <w:rsid w:val="6F368FB1"/>
    <w:rsid w:val="6F38F598"/>
    <w:rsid w:val="6F42AD35"/>
    <w:rsid w:val="6F48F59C"/>
    <w:rsid w:val="6F4A1749"/>
    <w:rsid w:val="6F58D10D"/>
    <w:rsid w:val="6F5A7936"/>
    <w:rsid w:val="6F5C7E9A"/>
    <w:rsid w:val="6F5D3EF1"/>
    <w:rsid w:val="6F63F20B"/>
    <w:rsid w:val="6F6534DC"/>
    <w:rsid w:val="6F6C2547"/>
    <w:rsid w:val="6F7C743F"/>
    <w:rsid w:val="6F845D91"/>
    <w:rsid w:val="6FA1108C"/>
    <w:rsid w:val="6FA2F9C4"/>
    <w:rsid w:val="6FA8EFA9"/>
    <w:rsid w:val="6FAAB9C1"/>
    <w:rsid w:val="6FB0A968"/>
    <w:rsid w:val="6FB2926C"/>
    <w:rsid w:val="6FB7EABE"/>
    <w:rsid w:val="6FBB7E7D"/>
    <w:rsid w:val="6FDB0C58"/>
    <w:rsid w:val="6FDF0380"/>
    <w:rsid w:val="6FDF63B8"/>
    <w:rsid w:val="6FF3F63A"/>
    <w:rsid w:val="6FFC1D51"/>
    <w:rsid w:val="7000425D"/>
    <w:rsid w:val="7001DF6F"/>
    <w:rsid w:val="7003B903"/>
    <w:rsid w:val="7008AF15"/>
    <w:rsid w:val="700F8AF0"/>
    <w:rsid w:val="701714E6"/>
    <w:rsid w:val="701A2F2E"/>
    <w:rsid w:val="7023F7B8"/>
    <w:rsid w:val="70269155"/>
    <w:rsid w:val="702C5035"/>
    <w:rsid w:val="7035C8C8"/>
    <w:rsid w:val="70380A3F"/>
    <w:rsid w:val="703A4F7B"/>
    <w:rsid w:val="7044CD83"/>
    <w:rsid w:val="704530DF"/>
    <w:rsid w:val="705151F0"/>
    <w:rsid w:val="7054684F"/>
    <w:rsid w:val="70561610"/>
    <w:rsid w:val="705EB9F7"/>
    <w:rsid w:val="705FD473"/>
    <w:rsid w:val="706548EE"/>
    <w:rsid w:val="706AC7C4"/>
    <w:rsid w:val="706B9E40"/>
    <w:rsid w:val="706BCBA6"/>
    <w:rsid w:val="70779F92"/>
    <w:rsid w:val="707ECEEE"/>
    <w:rsid w:val="70806465"/>
    <w:rsid w:val="708381B1"/>
    <w:rsid w:val="708CC50B"/>
    <w:rsid w:val="708CF968"/>
    <w:rsid w:val="708DAFE3"/>
    <w:rsid w:val="7090892D"/>
    <w:rsid w:val="709B9E75"/>
    <w:rsid w:val="709DE096"/>
    <w:rsid w:val="70A303C9"/>
    <w:rsid w:val="70AE75DD"/>
    <w:rsid w:val="70AECE4E"/>
    <w:rsid w:val="70B4EC6D"/>
    <w:rsid w:val="70B55696"/>
    <w:rsid w:val="70B75B1B"/>
    <w:rsid w:val="70B781D2"/>
    <w:rsid w:val="70CEE842"/>
    <w:rsid w:val="70D31AEB"/>
    <w:rsid w:val="70D64F0D"/>
    <w:rsid w:val="70D7D504"/>
    <w:rsid w:val="70D879AF"/>
    <w:rsid w:val="70DD7B41"/>
    <w:rsid w:val="70E5396E"/>
    <w:rsid w:val="70E920E3"/>
    <w:rsid w:val="70E95E65"/>
    <w:rsid w:val="70EC0607"/>
    <w:rsid w:val="70EFF5B0"/>
    <w:rsid w:val="70F01D5F"/>
    <w:rsid w:val="70F4B2AD"/>
    <w:rsid w:val="70FF2EEE"/>
    <w:rsid w:val="7104B88C"/>
    <w:rsid w:val="71086229"/>
    <w:rsid w:val="710ADBD0"/>
    <w:rsid w:val="710BBBD6"/>
    <w:rsid w:val="71171492"/>
    <w:rsid w:val="711CB2B0"/>
    <w:rsid w:val="71213B1E"/>
    <w:rsid w:val="71238F15"/>
    <w:rsid w:val="71239C3A"/>
    <w:rsid w:val="7125BC83"/>
    <w:rsid w:val="712E5D0A"/>
    <w:rsid w:val="712F57E5"/>
    <w:rsid w:val="7130F69F"/>
    <w:rsid w:val="71364505"/>
    <w:rsid w:val="7148F2DD"/>
    <w:rsid w:val="71493BB6"/>
    <w:rsid w:val="714F3902"/>
    <w:rsid w:val="7168FCDE"/>
    <w:rsid w:val="71703C2A"/>
    <w:rsid w:val="717704DB"/>
    <w:rsid w:val="7180D3E9"/>
    <w:rsid w:val="71863CE4"/>
    <w:rsid w:val="7186F4DB"/>
    <w:rsid w:val="719308D5"/>
    <w:rsid w:val="7193B83E"/>
    <w:rsid w:val="71940ECE"/>
    <w:rsid w:val="7198BB15"/>
    <w:rsid w:val="7199DC16"/>
    <w:rsid w:val="719AE8A3"/>
    <w:rsid w:val="719B6BCE"/>
    <w:rsid w:val="719F0F07"/>
    <w:rsid w:val="71A57599"/>
    <w:rsid w:val="71A68C9B"/>
    <w:rsid w:val="71AD40B0"/>
    <w:rsid w:val="71B7381C"/>
    <w:rsid w:val="71B9912A"/>
    <w:rsid w:val="71BC5417"/>
    <w:rsid w:val="71BED7A9"/>
    <w:rsid w:val="71C8D6D7"/>
    <w:rsid w:val="71C8F759"/>
    <w:rsid w:val="71CAFB2A"/>
    <w:rsid w:val="71CDEC24"/>
    <w:rsid w:val="71D72E68"/>
    <w:rsid w:val="71DBBFA8"/>
    <w:rsid w:val="71E9A30C"/>
    <w:rsid w:val="71E9D562"/>
    <w:rsid w:val="71EFCBD9"/>
    <w:rsid w:val="71F223C7"/>
    <w:rsid w:val="71F3EB9D"/>
    <w:rsid w:val="71FF27DA"/>
    <w:rsid w:val="7209E3FB"/>
    <w:rsid w:val="721733F2"/>
    <w:rsid w:val="721C73E3"/>
    <w:rsid w:val="7221345D"/>
    <w:rsid w:val="722DA8FD"/>
    <w:rsid w:val="722F8448"/>
    <w:rsid w:val="72332638"/>
    <w:rsid w:val="72359952"/>
    <w:rsid w:val="72365D78"/>
    <w:rsid w:val="7238E4EF"/>
    <w:rsid w:val="723BDAFD"/>
    <w:rsid w:val="723CC45F"/>
    <w:rsid w:val="7240A43B"/>
    <w:rsid w:val="7240A71D"/>
    <w:rsid w:val="7247B8FF"/>
    <w:rsid w:val="724F815D"/>
    <w:rsid w:val="72507B44"/>
    <w:rsid w:val="7251768A"/>
    <w:rsid w:val="725188A8"/>
    <w:rsid w:val="7253BBC9"/>
    <w:rsid w:val="7257C877"/>
    <w:rsid w:val="725D81DD"/>
    <w:rsid w:val="725DAEAF"/>
    <w:rsid w:val="7262A611"/>
    <w:rsid w:val="7267D42B"/>
    <w:rsid w:val="726893A2"/>
    <w:rsid w:val="726AA8C9"/>
    <w:rsid w:val="726DC0AA"/>
    <w:rsid w:val="727188E3"/>
    <w:rsid w:val="727728C5"/>
    <w:rsid w:val="727ADBDA"/>
    <w:rsid w:val="727DCF5D"/>
    <w:rsid w:val="72806FAD"/>
    <w:rsid w:val="7280F7D8"/>
    <w:rsid w:val="72828E50"/>
    <w:rsid w:val="728A63EA"/>
    <w:rsid w:val="728DF947"/>
    <w:rsid w:val="7297C5B7"/>
    <w:rsid w:val="729AAF22"/>
    <w:rsid w:val="729BA25A"/>
    <w:rsid w:val="72A13CDD"/>
    <w:rsid w:val="72A21775"/>
    <w:rsid w:val="72AFE907"/>
    <w:rsid w:val="72B387F1"/>
    <w:rsid w:val="72BA30A3"/>
    <w:rsid w:val="72BC8862"/>
    <w:rsid w:val="72CBFAD7"/>
    <w:rsid w:val="72E61871"/>
    <w:rsid w:val="72E914B2"/>
    <w:rsid w:val="72ECB543"/>
    <w:rsid w:val="72F1E1CA"/>
    <w:rsid w:val="72FA6F22"/>
    <w:rsid w:val="72FEB60A"/>
    <w:rsid w:val="7300E047"/>
    <w:rsid w:val="73056B22"/>
    <w:rsid w:val="7305D23B"/>
    <w:rsid w:val="730642D9"/>
    <w:rsid w:val="730760C8"/>
    <w:rsid w:val="7314300B"/>
    <w:rsid w:val="731D1CEF"/>
    <w:rsid w:val="73266897"/>
    <w:rsid w:val="7327E5A1"/>
    <w:rsid w:val="7327FA8C"/>
    <w:rsid w:val="7337E32F"/>
    <w:rsid w:val="733D0F91"/>
    <w:rsid w:val="733D2434"/>
    <w:rsid w:val="733E986B"/>
    <w:rsid w:val="73400A18"/>
    <w:rsid w:val="73457213"/>
    <w:rsid w:val="73457F86"/>
    <w:rsid w:val="7345A1CF"/>
    <w:rsid w:val="734AE715"/>
    <w:rsid w:val="734D4AC9"/>
    <w:rsid w:val="735250AF"/>
    <w:rsid w:val="735403CA"/>
    <w:rsid w:val="735C0A3B"/>
    <w:rsid w:val="735E93B0"/>
    <w:rsid w:val="736114E9"/>
    <w:rsid w:val="73737453"/>
    <w:rsid w:val="7374114E"/>
    <w:rsid w:val="7375A85B"/>
    <w:rsid w:val="73805481"/>
    <w:rsid w:val="7382C428"/>
    <w:rsid w:val="73849FF0"/>
    <w:rsid w:val="7384A969"/>
    <w:rsid w:val="738A35F5"/>
    <w:rsid w:val="738A67F1"/>
    <w:rsid w:val="738AE6CD"/>
    <w:rsid w:val="738C9C43"/>
    <w:rsid w:val="7393331B"/>
    <w:rsid w:val="739B665A"/>
    <w:rsid w:val="739DAAE4"/>
    <w:rsid w:val="73A34456"/>
    <w:rsid w:val="73AF388D"/>
    <w:rsid w:val="73BED293"/>
    <w:rsid w:val="73C001AD"/>
    <w:rsid w:val="73C206FF"/>
    <w:rsid w:val="73C86A54"/>
    <w:rsid w:val="73C90DA0"/>
    <w:rsid w:val="73C9B57B"/>
    <w:rsid w:val="73CB9F6E"/>
    <w:rsid w:val="73CC9B42"/>
    <w:rsid w:val="73D03AB7"/>
    <w:rsid w:val="73E1A263"/>
    <w:rsid w:val="73E2AABE"/>
    <w:rsid w:val="73F4FBF9"/>
    <w:rsid w:val="73F57A46"/>
    <w:rsid w:val="73FC56B3"/>
    <w:rsid w:val="740167BB"/>
    <w:rsid w:val="7404E479"/>
    <w:rsid w:val="7408D28E"/>
    <w:rsid w:val="7416F9DB"/>
    <w:rsid w:val="7418A4A2"/>
    <w:rsid w:val="741DC739"/>
    <w:rsid w:val="7420BDD4"/>
    <w:rsid w:val="742600C2"/>
    <w:rsid w:val="742727FF"/>
    <w:rsid w:val="7427C09E"/>
    <w:rsid w:val="742BAB57"/>
    <w:rsid w:val="742EB8E5"/>
    <w:rsid w:val="7431A4A6"/>
    <w:rsid w:val="74333365"/>
    <w:rsid w:val="74335F6C"/>
    <w:rsid w:val="74340750"/>
    <w:rsid w:val="74440069"/>
    <w:rsid w:val="74458B76"/>
    <w:rsid w:val="7449A681"/>
    <w:rsid w:val="744A1152"/>
    <w:rsid w:val="744B1DE2"/>
    <w:rsid w:val="74560AD3"/>
    <w:rsid w:val="7468CC95"/>
    <w:rsid w:val="74698299"/>
    <w:rsid w:val="7473D1D6"/>
    <w:rsid w:val="74782EAD"/>
    <w:rsid w:val="7482C3B0"/>
    <w:rsid w:val="7484B4A4"/>
    <w:rsid w:val="74857A48"/>
    <w:rsid w:val="7489696E"/>
    <w:rsid w:val="748E0C9A"/>
    <w:rsid w:val="748FAF23"/>
    <w:rsid w:val="7490AF26"/>
    <w:rsid w:val="7492D6B3"/>
    <w:rsid w:val="749DA686"/>
    <w:rsid w:val="749DC435"/>
    <w:rsid w:val="74A46625"/>
    <w:rsid w:val="74A48C47"/>
    <w:rsid w:val="74B30371"/>
    <w:rsid w:val="74BE3F6D"/>
    <w:rsid w:val="74BE64AD"/>
    <w:rsid w:val="74C73FEB"/>
    <w:rsid w:val="74C8155B"/>
    <w:rsid w:val="74CDCD0E"/>
    <w:rsid w:val="74D57390"/>
    <w:rsid w:val="74D98816"/>
    <w:rsid w:val="74DBB5E0"/>
    <w:rsid w:val="74DBB7A1"/>
    <w:rsid w:val="74E48468"/>
    <w:rsid w:val="74E61D32"/>
    <w:rsid w:val="74F253C5"/>
    <w:rsid w:val="75002237"/>
    <w:rsid w:val="7504FA6C"/>
    <w:rsid w:val="750877BA"/>
    <w:rsid w:val="750E13CE"/>
    <w:rsid w:val="751033FE"/>
    <w:rsid w:val="75147919"/>
    <w:rsid w:val="7517ECDE"/>
    <w:rsid w:val="75186154"/>
    <w:rsid w:val="751C5B09"/>
    <w:rsid w:val="751DC555"/>
    <w:rsid w:val="751F62F0"/>
    <w:rsid w:val="75255CA5"/>
    <w:rsid w:val="7528A6AA"/>
    <w:rsid w:val="752AEABE"/>
    <w:rsid w:val="752D4602"/>
    <w:rsid w:val="7531C603"/>
    <w:rsid w:val="753E2400"/>
    <w:rsid w:val="753E3209"/>
    <w:rsid w:val="7541785A"/>
    <w:rsid w:val="7544CC4F"/>
    <w:rsid w:val="7545853C"/>
    <w:rsid w:val="7547FA6B"/>
    <w:rsid w:val="7551824F"/>
    <w:rsid w:val="75528B4E"/>
    <w:rsid w:val="755A7FD1"/>
    <w:rsid w:val="756E3D26"/>
    <w:rsid w:val="756E7EDB"/>
    <w:rsid w:val="7572920A"/>
    <w:rsid w:val="7575E0D1"/>
    <w:rsid w:val="757FE8B0"/>
    <w:rsid w:val="758C6869"/>
    <w:rsid w:val="7594F49E"/>
    <w:rsid w:val="7598D341"/>
    <w:rsid w:val="759B0272"/>
    <w:rsid w:val="759ECA01"/>
    <w:rsid w:val="75A3DC22"/>
    <w:rsid w:val="75ACAED8"/>
    <w:rsid w:val="75AFA7F2"/>
    <w:rsid w:val="75B6126A"/>
    <w:rsid w:val="75B9705C"/>
    <w:rsid w:val="75BED90A"/>
    <w:rsid w:val="75C27709"/>
    <w:rsid w:val="75C4FF7A"/>
    <w:rsid w:val="75CEEBE1"/>
    <w:rsid w:val="75D5F02A"/>
    <w:rsid w:val="75E0252A"/>
    <w:rsid w:val="75E10841"/>
    <w:rsid w:val="75E168C4"/>
    <w:rsid w:val="75E24646"/>
    <w:rsid w:val="75E5FC15"/>
    <w:rsid w:val="75E72C94"/>
    <w:rsid w:val="75ECB7FB"/>
    <w:rsid w:val="75ED6467"/>
    <w:rsid w:val="75ED9A80"/>
    <w:rsid w:val="75F7F9BF"/>
    <w:rsid w:val="75FC7A08"/>
    <w:rsid w:val="7601A808"/>
    <w:rsid w:val="7603F93C"/>
    <w:rsid w:val="760672C4"/>
    <w:rsid w:val="760D206B"/>
    <w:rsid w:val="76100F1C"/>
    <w:rsid w:val="76119AFD"/>
    <w:rsid w:val="761BCCA3"/>
    <w:rsid w:val="7623251B"/>
    <w:rsid w:val="7629E533"/>
    <w:rsid w:val="762BD04A"/>
    <w:rsid w:val="762D359D"/>
    <w:rsid w:val="76303394"/>
    <w:rsid w:val="7630F7E9"/>
    <w:rsid w:val="763225AE"/>
    <w:rsid w:val="7637CD5D"/>
    <w:rsid w:val="7637D405"/>
    <w:rsid w:val="76395A4A"/>
    <w:rsid w:val="7640A9B2"/>
    <w:rsid w:val="7646B365"/>
    <w:rsid w:val="7647AF82"/>
    <w:rsid w:val="764876F4"/>
    <w:rsid w:val="764D50E1"/>
    <w:rsid w:val="764F40AD"/>
    <w:rsid w:val="7650D117"/>
    <w:rsid w:val="76514968"/>
    <w:rsid w:val="76542BD1"/>
    <w:rsid w:val="7656C13F"/>
    <w:rsid w:val="76597F6A"/>
    <w:rsid w:val="765F5350"/>
    <w:rsid w:val="765FEDE6"/>
    <w:rsid w:val="76606B20"/>
    <w:rsid w:val="7667A667"/>
    <w:rsid w:val="7668FFCB"/>
    <w:rsid w:val="766A003E"/>
    <w:rsid w:val="766F65D9"/>
    <w:rsid w:val="76744C20"/>
    <w:rsid w:val="7679C3F0"/>
    <w:rsid w:val="767E6DD6"/>
    <w:rsid w:val="767FB06F"/>
    <w:rsid w:val="76807CEF"/>
    <w:rsid w:val="768213F7"/>
    <w:rsid w:val="7683804C"/>
    <w:rsid w:val="769130E2"/>
    <w:rsid w:val="769AE675"/>
    <w:rsid w:val="769B0A4E"/>
    <w:rsid w:val="769C4F09"/>
    <w:rsid w:val="769E0C86"/>
    <w:rsid w:val="769F2B13"/>
    <w:rsid w:val="76A35452"/>
    <w:rsid w:val="76A544B8"/>
    <w:rsid w:val="76AC51D9"/>
    <w:rsid w:val="76AE582C"/>
    <w:rsid w:val="76B022FE"/>
    <w:rsid w:val="76B396DE"/>
    <w:rsid w:val="76B5D95F"/>
    <w:rsid w:val="76B6882A"/>
    <w:rsid w:val="76B89228"/>
    <w:rsid w:val="76C0DF08"/>
    <w:rsid w:val="76C2F7F5"/>
    <w:rsid w:val="76C36EA7"/>
    <w:rsid w:val="76CF71F0"/>
    <w:rsid w:val="76D03868"/>
    <w:rsid w:val="76D273D5"/>
    <w:rsid w:val="76D42F8C"/>
    <w:rsid w:val="76DF6657"/>
    <w:rsid w:val="76E36B79"/>
    <w:rsid w:val="76E5EFA6"/>
    <w:rsid w:val="76E81CBB"/>
    <w:rsid w:val="76EA311B"/>
    <w:rsid w:val="76EAD363"/>
    <w:rsid w:val="76ECD916"/>
    <w:rsid w:val="76FB486A"/>
    <w:rsid w:val="770651C7"/>
    <w:rsid w:val="77071395"/>
    <w:rsid w:val="77098261"/>
    <w:rsid w:val="770CD13D"/>
    <w:rsid w:val="7715D83A"/>
    <w:rsid w:val="771933CF"/>
    <w:rsid w:val="771CFB8F"/>
    <w:rsid w:val="771E8AFF"/>
    <w:rsid w:val="771FD052"/>
    <w:rsid w:val="772D2478"/>
    <w:rsid w:val="77330E14"/>
    <w:rsid w:val="773381D7"/>
    <w:rsid w:val="773D7A21"/>
    <w:rsid w:val="77411992"/>
    <w:rsid w:val="77498FBC"/>
    <w:rsid w:val="774E6F45"/>
    <w:rsid w:val="7751D88F"/>
    <w:rsid w:val="77571BCF"/>
    <w:rsid w:val="775A9C03"/>
    <w:rsid w:val="776B9920"/>
    <w:rsid w:val="776BD382"/>
    <w:rsid w:val="776D0F1F"/>
    <w:rsid w:val="7773CAA9"/>
    <w:rsid w:val="77831E41"/>
    <w:rsid w:val="77892C24"/>
    <w:rsid w:val="779235AE"/>
    <w:rsid w:val="779BE076"/>
    <w:rsid w:val="77A447E5"/>
    <w:rsid w:val="77A52869"/>
    <w:rsid w:val="77A66675"/>
    <w:rsid w:val="77A9F6C4"/>
    <w:rsid w:val="77AEA7BA"/>
    <w:rsid w:val="77B78EFD"/>
    <w:rsid w:val="77BA98D9"/>
    <w:rsid w:val="77BBC5E1"/>
    <w:rsid w:val="77BD5789"/>
    <w:rsid w:val="77C0A701"/>
    <w:rsid w:val="77C0E320"/>
    <w:rsid w:val="77C4188D"/>
    <w:rsid w:val="77CDACAF"/>
    <w:rsid w:val="77D2ACE0"/>
    <w:rsid w:val="77D436C6"/>
    <w:rsid w:val="77E25FDB"/>
    <w:rsid w:val="77E290A8"/>
    <w:rsid w:val="77E54505"/>
    <w:rsid w:val="77EAC7C4"/>
    <w:rsid w:val="77F0C2A0"/>
    <w:rsid w:val="77F5CCEB"/>
    <w:rsid w:val="77F62A61"/>
    <w:rsid w:val="77FB02D1"/>
    <w:rsid w:val="77FC28A7"/>
    <w:rsid w:val="77FE1FBA"/>
    <w:rsid w:val="78010265"/>
    <w:rsid w:val="780641A5"/>
    <w:rsid w:val="7814474C"/>
    <w:rsid w:val="7817799E"/>
    <w:rsid w:val="781AFA1F"/>
    <w:rsid w:val="781B3072"/>
    <w:rsid w:val="781E9444"/>
    <w:rsid w:val="78237BCC"/>
    <w:rsid w:val="78276199"/>
    <w:rsid w:val="782B38F4"/>
    <w:rsid w:val="782EC883"/>
    <w:rsid w:val="7835AB33"/>
    <w:rsid w:val="783FDD76"/>
    <w:rsid w:val="784154C5"/>
    <w:rsid w:val="7843798F"/>
    <w:rsid w:val="784BC684"/>
    <w:rsid w:val="78501B38"/>
    <w:rsid w:val="78508A05"/>
    <w:rsid w:val="7858CF46"/>
    <w:rsid w:val="78592718"/>
    <w:rsid w:val="785E8B26"/>
    <w:rsid w:val="785EFA4A"/>
    <w:rsid w:val="7860907D"/>
    <w:rsid w:val="78664809"/>
    <w:rsid w:val="78664DAC"/>
    <w:rsid w:val="786A52C1"/>
    <w:rsid w:val="786ACCE1"/>
    <w:rsid w:val="786CB62D"/>
    <w:rsid w:val="786D93BE"/>
    <w:rsid w:val="7872578F"/>
    <w:rsid w:val="78731599"/>
    <w:rsid w:val="787478CD"/>
    <w:rsid w:val="7876E864"/>
    <w:rsid w:val="7883782A"/>
    <w:rsid w:val="788F6FAA"/>
    <w:rsid w:val="7899771F"/>
    <w:rsid w:val="789E5C24"/>
    <w:rsid w:val="78A33AF2"/>
    <w:rsid w:val="78A98E99"/>
    <w:rsid w:val="78B10F37"/>
    <w:rsid w:val="78B69E86"/>
    <w:rsid w:val="78C20D41"/>
    <w:rsid w:val="78C35D39"/>
    <w:rsid w:val="78D05F4E"/>
    <w:rsid w:val="78D1C5A5"/>
    <w:rsid w:val="78D46AD1"/>
    <w:rsid w:val="78DA64E2"/>
    <w:rsid w:val="78DB047D"/>
    <w:rsid w:val="78DC4CBD"/>
    <w:rsid w:val="78DED12F"/>
    <w:rsid w:val="78DEF22B"/>
    <w:rsid w:val="78E38C2B"/>
    <w:rsid w:val="78E49357"/>
    <w:rsid w:val="78E504EF"/>
    <w:rsid w:val="78EC0C83"/>
    <w:rsid w:val="78F1B5F5"/>
    <w:rsid w:val="78FCD4C1"/>
    <w:rsid w:val="79007ED9"/>
    <w:rsid w:val="79050F9A"/>
    <w:rsid w:val="790EBB2B"/>
    <w:rsid w:val="7915B04C"/>
    <w:rsid w:val="791EC2C6"/>
    <w:rsid w:val="791F9990"/>
    <w:rsid w:val="79204B4B"/>
    <w:rsid w:val="7921FF8C"/>
    <w:rsid w:val="7923C5F5"/>
    <w:rsid w:val="7923E973"/>
    <w:rsid w:val="79264B96"/>
    <w:rsid w:val="792A4593"/>
    <w:rsid w:val="792C7287"/>
    <w:rsid w:val="7936EF7F"/>
    <w:rsid w:val="793B5964"/>
    <w:rsid w:val="793BA0B4"/>
    <w:rsid w:val="79422BAA"/>
    <w:rsid w:val="7946C3E2"/>
    <w:rsid w:val="794E0B8C"/>
    <w:rsid w:val="79519C07"/>
    <w:rsid w:val="7953E705"/>
    <w:rsid w:val="7956AA42"/>
    <w:rsid w:val="79617377"/>
    <w:rsid w:val="79683AAA"/>
    <w:rsid w:val="796D0D70"/>
    <w:rsid w:val="79778BC9"/>
    <w:rsid w:val="797C4C7D"/>
    <w:rsid w:val="797F5C72"/>
    <w:rsid w:val="7997D1E8"/>
    <w:rsid w:val="799E7C54"/>
    <w:rsid w:val="799F6568"/>
    <w:rsid w:val="79A11EFD"/>
    <w:rsid w:val="79A40822"/>
    <w:rsid w:val="79A5C17F"/>
    <w:rsid w:val="79A5FA88"/>
    <w:rsid w:val="79AFA87F"/>
    <w:rsid w:val="79B0D72E"/>
    <w:rsid w:val="79B451CF"/>
    <w:rsid w:val="79B51B0B"/>
    <w:rsid w:val="79B85795"/>
    <w:rsid w:val="79BAD33F"/>
    <w:rsid w:val="79BC38EF"/>
    <w:rsid w:val="79C4295F"/>
    <w:rsid w:val="79C9F946"/>
    <w:rsid w:val="79EF58A5"/>
    <w:rsid w:val="79EF8042"/>
    <w:rsid w:val="79FC60DE"/>
    <w:rsid w:val="79FC6AB2"/>
    <w:rsid w:val="79FCBFD3"/>
    <w:rsid w:val="7A0185B9"/>
    <w:rsid w:val="7A12F6BE"/>
    <w:rsid w:val="7A174519"/>
    <w:rsid w:val="7A1799A9"/>
    <w:rsid w:val="7A212BA7"/>
    <w:rsid w:val="7A23CF76"/>
    <w:rsid w:val="7A299950"/>
    <w:rsid w:val="7A302573"/>
    <w:rsid w:val="7A313E54"/>
    <w:rsid w:val="7A3FCE21"/>
    <w:rsid w:val="7A491A88"/>
    <w:rsid w:val="7A4D5636"/>
    <w:rsid w:val="7A502546"/>
    <w:rsid w:val="7A5FA694"/>
    <w:rsid w:val="7A6BBF75"/>
    <w:rsid w:val="7A6EE6F9"/>
    <w:rsid w:val="7A712F8F"/>
    <w:rsid w:val="7A77A8E3"/>
    <w:rsid w:val="7A7AA333"/>
    <w:rsid w:val="7A854FA0"/>
    <w:rsid w:val="7A87D71F"/>
    <w:rsid w:val="7A895AB7"/>
    <w:rsid w:val="7A8C0B73"/>
    <w:rsid w:val="7A903653"/>
    <w:rsid w:val="7A9CA4CE"/>
    <w:rsid w:val="7AAF9628"/>
    <w:rsid w:val="7ABC4439"/>
    <w:rsid w:val="7AC15958"/>
    <w:rsid w:val="7AC46209"/>
    <w:rsid w:val="7AC53564"/>
    <w:rsid w:val="7ACB87C1"/>
    <w:rsid w:val="7ACD5C29"/>
    <w:rsid w:val="7ACEAC52"/>
    <w:rsid w:val="7AD345FD"/>
    <w:rsid w:val="7AD4D51E"/>
    <w:rsid w:val="7AD89CAE"/>
    <w:rsid w:val="7AD8A0FA"/>
    <w:rsid w:val="7ADB8763"/>
    <w:rsid w:val="7ADBC58A"/>
    <w:rsid w:val="7ADD6049"/>
    <w:rsid w:val="7AE6B94D"/>
    <w:rsid w:val="7AEE9DBA"/>
    <w:rsid w:val="7AF66BB1"/>
    <w:rsid w:val="7AF7754A"/>
    <w:rsid w:val="7AF922C7"/>
    <w:rsid w:val="7B00DEE2"/>
    <w:rsid w:val="7B019A6A"/>
    <w:rsid w:val="7B01D9D0"/>
    <w:rsid w:val="7B113945"/>
    <w:rsid w:val="7B12257D"/>
    <w:rsid w:val="7B13EB9A"/>
    <w:rsid w:val="7B1A88AB"/>
    <w:rsid w:val="7B1BA7F6"/>
    <w:rsid w:val="7B1FB516"/>
    <w:rsid w:val="7B2782B7"/>
    <w:rsid w:val="7B2A0B7B"/>
    <w:rsid w:val="7B2D165F"/>
    <w:rsid w:val="7B2D5F32"/>
    <w:rsid w:val="7B2ECEB1"/>
    <w:rsid w:val="7B4941EE"/>
    <w:rsid w:val="7B4E6AC1"/>
    <w:rsid w:val="7B4F3E18"/>
    <w:rsid w:val="7B5196DE"/>
    <w:rsid w:val="7B522337"/>
    <w:rsid w:val="7B563AD8"/>
    <w:rsid w:val="7B5CB7CC"/>
    <w:rsid w:val="7B5E0759"/>
    <w:rsid w:val="7B651BF0"/>
    <w:rsid w:val="7B70E213"/>
    <w:rsid w:val="7B7259E5"/>
    <w:rsid w:val="7B7AB640"/>
    <w:rsid w:val="7B7E1232"/>
    <w:rsid w:val="7B7E91E2"/>
    <w:rsid w:val="7B801AF5"/>
    <w:rsid w:val="7B81E3DC"/>
    <w:rsid w:val="7B832CD4"/>
    <w:rsid w:val="7B839310"/>
    <w:rsid w:val="7B88B14C"/>
    <w:rsid w:val="7B8DADC4"/>
    <w:rsid w:val="7B8EA4B3"/>
    <w:rsid w:val="7B8FB8AB"/>
    <w:rsid w:val="7B9685AD"/>
    <w:rsid w:val="7B98F1A9"/>
    <w:rsid w:val="7B99FCDD"/>
    <w:rsid w:val="7B9BB770"/>
    <w:rsid w:val="7B9E8983"/>
    <w:rsid w:val="7BA15732"/>
    <w:rsid w:val="7BA4EBB4"/>
    <w:rsid w:val="7BB36AB1"/>
    <w:rsid w:val="7BB3985C"/>
    <w:rsid w:val="7BB8C54A"/>
    <w:rsid w:val="7BC25E14"/>
    <w:rsid w:val="7BC865EA"/>
    <w:rsid w:val="7BC89062"/>
    <w:rsid w:val="7BCB78FD"/>
    <w:rsid w:val="7BCDE1FB"/>
    <w:rsid w:val="7BD56366"/>
    <w:rsid w:val="7BD7EEDF"/>
    <w:rsid w:val="7BDC0BF4"/>
    <w:rsid w:val="7BDE83E5"/>
    <w:rsid w:val="7BE08A0C"/>
    <w:rsid w:val="7BE3B665"/>
    <w:rsid w:val="7BE933E6"/>
    <w:rsid w:val="7BE9AF90"/>
    <w:rsid w:val="7BEB7881"/>
    <w:rsid w:val="7BEF5309"/>
    <w:rsid w:val="7BF2F21B"/>
    <w:rsid w:val="7BF98065"/>
    <w:rsid w:val="7BFB66D1"/>
    <w:rsid w:val="7C15D601"/>
    <w:rsid w:val="7C19CCFF"/>
    <w:rsid w:val="7C21D49F"/>
    <w:rsid w:val="7C2A0ED9"/>
    <w:rsid w:val="7C2D3F68"/>
    <w:rsid w:val="7C3A43C6"/>
    <w:rsid w:val="7C45805E"/>
    <w:rsid w:val="7C4B075B"/>
    <w:rsid w:val="7C4B4AED"/>
    <w:rsid w:val="7C57348D"/>
    <w:rsid w:val="7C6C9B4C"/>
    <w:rsid w:val="7C7452EC"/>
    <w:rsid w:val="7C77F45D"/>
    <w:rsid w:val="7C7809DC"/>
    <w:rsid w:val="7C79DBB5"/>
    <w:rsid w:val="7C7B19DB"/>
    <w:rsid w:val="7C7E6EF6"/>
    <w:rsid w:val="7C881DB6"/>
    <w:rsid w:val="7C97A7DD"/>
    <w:rsid w:val="7CA380D0"/>
    <w:rsid w:val="7CA42FA3"/>
    <w:rsid w:val="7CA6EBF7"/>
    <w:rsid w:val="7CA9AF67"/>
    <w:rsid w:val="7CAD3E92"/>
    <w:rsid w:val="7CB36F89"/>
    <w:rsid w:val="7CB4A703"/>
    <w:rsid w:val="7CB50D62"/>
    <w:rsid w:val="7CBA3951"/>
    <w:rsid w:val="7CBF3235"/>
    <w:rsid w:val="7CC64DCF"/>
    <w:rsid w:val="7CCC44B6"/>
    <w:rsid w:val="7CCC7DA7"/>
    <w:rsid w:val="7CD96A45"/>
    <w:rsid w:val="7CE17A0B"/>
    <w:rsid w:val="7CE7C655"/>
    <w:rsid w:val="7CEA0787"/>
    <w:rsid w:val="7CEA75A7"/>
    <w:rsid w:val="7CEE4920"/>
    <w:rsid w:val="7CF2DD4B"/>
    <w:rsid w:val="7CF6AADB"/>
    <w:rsid w:val="7CFCAFBE"/>
    <w:rsid w:val="7CFCFE6A"/>
    <w:rsid w:val="7CFF328E"/>
    <w:rsid w:val="7D0CA691"/>
    <w:rsid w:val="7D20E3A7"/>
    <w:rsid w:val="7D232BAC"/>
    <w:rsid w:val="7D263ED1"/>
    <w:rsid w:val="7D2C4611"/>
    <w:rsid w:val="7D2D5515"/>
    <w:rsid w:val="7D36B3E7"/>
    <w:rsid w:val="7D400A84"/>
    <w:rsid w:val="7D404C1E"/>
    <w:rsid w:val="7D4083A4"/>
    <w:rsid w:val="7D417DA5"/>
    <w:rsid w:val="7D4490F7"/>
    <w:rsid w:val="7D47BED8"/>
    <w:rsid w:val="7D50F386"/>
    <w:rsid w:val="7D52F0E8"/>
    <w:rsid w:val="7D5B9A55"/>
    <w:rsid w:val="7D6EE972"/>
    <w:rsid w:val="7D6F9929"/>
    <w:rsid w:val="7D75D6D0"/>
    <w:rsid w:val="7D7633E5"/>
    <w:rsid w:val="7D7939C7"/>
    <w:rsid w:val="7D7948BE"/>
    <w:rsid w:val="7D799768"/>
    <w:rsid w:val="7D8C86C3"/>
    <w:rsid w:val="7D8F1839"/>
    <w:rsid w:val="7D90A193"/>
    <w:rsid w:val="7D9375FB"/>
    <w:rsid w:val="7D937F81"/>
    <w:rsid w:val="7D9C52DF"/>
    <w:rsid w:val="7DA16C72"/>
    <w:rsid w:val="7DB6FD4E"/>
    <w:rsid w:val="7DC93F94"/>
    <w:rsid w:val="7DD15E3D"/>
    <w:rsid w:val="7DD6C62F"/>
    <w:rsid w:val="7DE060B2"/>
    <w:rsid w:val="7DE1B47C"/>
    <w:rsid w:val="7DE52D9A"/>
    <w:rsid w:val="7DE97457"/>
    <w:rsid w:val="7DEED88D"/>
    <w:rsid w:val="7DF142E3"/>
    <w:rsid w:val="7DFE47EC"/>
    <w:rsid w:val="7E056BE8"/>
    <w:rsid w:val="7E0A99F3"/>
    <w:rsid w:val="7E0B0555"/>
    <w:rsid w:val="7E12931C"/>
    <w:rsid w:val="7E158412"/>
    <w:rsid w:val="7E15C4E2"/>
    <w:rsid w:val="7E1E7523"/>
    <w:rsid w:val="7E23522D"/>
    <w:rsid w:val="7E250D2A"/>
    <w:rsid w:val="7E25126F"/>
    <w:rsid w:val="7E26E9DD"/>
    <w:rsid w:val="7E273905"/>
    <w:rsid w:val="7E2A7229"/>
    <w:rsid w:val="7E2C6097"/>
    <w:rsid w:val="7E2CC4C9"/>
    <w:rsid w:val="7E303889"/>
    <w:rsid w:val="7E3497DD"/>
    <w:rsid w:val="7E34C9E2"/>
    <w:rsid w:val="7E390F94"/>
    <w:rsid w:val="7E39A85D"/>
    <w:rsid w:val="7E43811A"/>
    <w:rsid w:val="7E4E849F"/>
    <w:rsid w:val="7E5E1E77"/>
    <w:rsid w:val="7E645F23"/>
    <w:rsid w:val="7E64C95F"/>
    <w:rsid w:val="7E6BDB51"/>
    <w:rsid w:val="7E7941C4"/>
    <w:rsid w:val="7E7DEA44"/>
    <w:rsid w:val="7E854F29"/>
    <w:rsid w:val="7E8B3BFC"/>
    <w:rsid w:val="7E8F9F20"/>
    <w:rsid w:val="7E906798"/>
    <w:rsid w:val="7E96F4D2"/>
    <w:rsid w:val="7EA6B1AB"/>
    <w:rsid w:val="7EAC3774"/>
    <w:rsid w:val="7EACE5A1"/>
    <w:rsid w:val="7EADFEB3"/>
    <w:rsid w:val="7EC72B88"/>
    <w:rsid w:val="7ED1C0F8"/>
    <w:rsid w:val="7ED8F984"/>
    <w:rsid w:val="7EE1038C"/>
    <w:rsid w:val="7EE42FE6"/>
    <w:rsid w:val="7EEB00D2"/>
    <w:rsid w:val="7EEC82F0"/>
    <w:rsid w:val="7EF1D8C5"/>
    <w:rsid w:val="7EF2F58C"/>
    <w:rsid w:val="7EFBC424"/>
    <w:rsid w:val="7F071535"/>
    <w:rsid w:val="7F09ADDB"/>
    <w:rsid w:val="7F0CF9AB"/>
    <w:rsid w:val="7F110B8B"/>
    <w:rsid w:val="7F1616A3"/>
    <w:rsid w:val="7F1C69D2"/>
    <w:rsid w:val="7F21DB48"/>
    <w:rsid w:val="7F267323"/>
    <w:rsid w:val="7F2F464E"/>
    <w:rsid w:val="7F31BADA"/>
    <w:rsid w:val="7F346688"/>
    <w:rsid w:val="7F3688BB"/>
    <w:rsid w:val="7F3A13EB"/>
    <w:rsid w:val="7F400667"/>
    <w:rsid w:val="7F4345C4"/>
    <w:rsid w:val="7F4AB3E2"/>
    <w:rsid w:val="7F4AEB36"/>
    <w:rsid w:val="7F4C5E4B"/>
    <w:rsid w:val="7F4EE4FA"/>
    <w:rsid w:val="7F58FB05"/>
    <w:rsid w:val="7F5B5F81"/>
    <w:rsid w:val="7F61E801"/>
    <w:rsid w:val="7F68986D"/>
    <w:rsid w:val="7F6AEABF"/>
    <w:rsid w:val="7F779DC3"/>
    <w:rsid w:val="7F7E9439"/>
    <w:rsid w:val="7F88620B"/>
    <w:rsid w:val="7F8ADC41"/>
    <w:rsid w:val="7F8E289F"/>
    <w:rsid w:val="7F8EF09E"/>
    <w:rsid w:val="7F92A4C2"/>
    <w:rsid w:val="7F967C2E"/>
    <w:rsid w:val="7F9744B6"/>
    <w:rsid w:val="7F9D5E85"/>
    <w:rsid w:val="7FA8A68D"/>
    <w:rsid w:val="7FAC5D34"/>
    <w:rsid w:val="7FB4B810"/>
    <w:rsid w:val="7FC3E1AD"/>
    <w:rsid w:val="7FC5289E"/>
    <w:rsid w:val="7FC8C7DC"/>
    <w:rsid w:val="7FCFAEB3"/>
    <w:rsid w:val="7FD21DD3"/>
    <w:rsid w:val="7FDF3B1D"/>
    <w:rsid w:val="7FDFB272"/>
    <w:rsid w:val="7FE724FA"/>
    <w:rsid w:val="7FE963E6"/>
    <w:rsid w:val="7FEA4B01"/>
    <w:rsid w:val="7FEB76C8"/>
    <w:rsid w:val="7FF24878"/>
    <w:rsid w:val="7FF3D3AE"/>
    <w:rsid w:val="7FF46B68"/>
    <w:rsid w:val="7FFBC866"/>
    <w:rsid w:val="7FFCBC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B0AD"/>
  <w15:docId w15:val="{6DF897E3-AB01-47D4-8A60-07F5C55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02"/>
    <w:rPr>
      <w:rFonts w:ascii="Calibri" w:hAnsi="Calibri"/>
    </w:rPr>
  </w:style>
  <w:style w:type="paragraph" w:styleId="Heading1">
    <w:name w:val="heading 1"/>
    <w:basedOn w:val="Normal"/>
    <w:next w:val="Normal"/>
    <w:link w:val="Heading1Char"/>
    <w:qFormat/>
    <w:rsid w:val="004F55FF"/>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284667"/>
    <w:pPr>
      <w:numPr>
        <w:numId w:val="34"/>
      </w:numPr>
      <w:tabs>
        <w:tab w:val="left" w:pos="454"/>
      </w:tabs>
      <w:spacing w:line="240" w:lineRule="atLeast"/>
      <w:ind w:left="0" w:firstLine="0"/>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5FF"/>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284667"/>
    <w:rPr>
      <w:rFonts w:ascii="Calibri" w:eastAsiaTheme="majorEastAsia" w:hAnsi="Calibri"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numPr>
        <w:ilvl w:val="2"/>
        <w:numId w:val="33"/>
      </w:num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14CEC"/>
    <w:pPr>
      <w:numPr>
        <w:numId w:val="28"/>
      </w:numPr>
      <w:tabs>
        <w:tab w:val="left" w:pos="680"/>
      </w:tabs>
      <w:ind w:left="680" w:hanging="680"/>
    </w:pPr>
  </w:style>
  <w:style w:type="paragraph" w:customStyle="1" w:styleId="Numbered11">
    <w:name w:val="Numbered 1.1"/>
    <w:basedOn w:val="Heading2"/>
    <w:next w:val="Normal"/>
    <w:qFormat/>
    <w:rsid w:val="00DA2E98"/>
    <w:pPr>
      <w:numPr>
        <w:ilvl w:val="1"/>
        <w:numId w:val="28"/>
      </w:numPr>
      <w:ind w:left="1021" w:hanging="1021"/>
    </w:pPr>
  </w:style>
  <w:style w:type="paragraph" w:customStyle="1" w:styleId="Numbered111">
    <w:name w:val="Numbered 1.1.1"/>
    <w:basedOn w:val="Heading3"/>
    <w:next w:val="Normal"/>
    <w:qFormat/>
    <w:rsid w:val="007D0718"/>
    <w:pPr>
      <w:numPr>
        <w:ilvl w:val="2"/>
        <w:numId w:val="28"/>
      </w:numPr>
      <w:tabs>
        <w:tab w:val="left" w:pos="1361"/>
      </w:tabs>
      <w:ind w:left="1021" w:hanging="1021"/>
      <w:contextualSpacing/>
    </w:pPr>
  </w:style>
  <w:style w:type="paragraph" w:customStyle="1" w:styleId="Numbered1111">
    <w:name w:val="Numbered 1.1.1.1"/>
    <w:basedOn w:val="Heading4"/>
    <w:next w:val="Normal"/>
    <w:rsid w:val="00DA2E98"/>
    <w:pPr>
      <w:numPr>
        <w:ilvl w:val="3"/>
        <w:numId w:val="28"/>
      </w:numPr>
      <w:tabs>
        <w:tab w:val="left" w:pos="1361"/>
      </w:tabs>
      <w:ind w:left="1361" w:hanging="1361"/>
    </w:pPr>
  </w:style>
  <w:style w:type="paragraph" w:customStyle="1" w:styleId="Numbered11111">
    <w:name w:val="Numbered 1.1.1.1.1"/>
    <w:basedOn w:val="Heading5"/>
    <w:next w:val="Normal"/>
    <w:uiPriority w:val="2"/>
    <w:rsid w:val="00DA2E98"/>
    <w:pPr>
      <w:numPr>
        <w:numId w:val="32"/>
      </w:numPr>
      <w:tabs>
        <w:tab w:val="left" w:pos="1701"/>
      </w:tabs>
    </w:pPr>
    <w:rPr>
      <w:rFonts w:ascii="Trebuchet MS" w:hAnsi="Trebuchet MS"/>
    </w:rPr>
  </w:style>
  <w:style w:type="paragraph" w:customStyle="1" w:styleId="Numbered111111">
    <w:name w:val="Numbered 1.1.1.1.1.1"/>
    <w:basedOn w:val="Heading6"/>
    <w:next w:val="Normal"/>
    <w:uiPriority w:val="2"/>
    <w:rsid w:val="00DA2E98"/>
    <w:pPr>
      <w:numPr>
        <w:ilvl w:val="5"/>
        <w:numId w:val="28"/>
      </w:numPr>
      <w:tabs>
        <w:tab w:val="left" w:pos="1701"/>
      </w:tabs>
      <w:ind w:left="1701" w:hanging="1701"/>
    </w:pPr>
  </w:style>
  <w:style w:type="paragraph" w:styleId="Header">
    <w:name w:val="header"/>
    <w:basedOn w:val="Normal"/>
    <w:link w:val="HeaderChar"/>
    <w:uiPriority w:val="99"/>
    <w:unhideWhenUsed/>
    <w:qFormat/>
    <w:rsid w:val="00E370FD"/>
    <w:pPr>
      <w:numPr>
        <w:ilvl w:val="1"/>
        <w:numId w:val="32"/>
      </w:num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Calibri" w:hAnsi="Calibri"/>
      <w:sz w:val="18"/>
    </w:rPr>
  </w:style>
  <w:style w:type="paragraph" w:styleId="NoSpacing">
    <w:name w:val="No Spacing"/>
    <w:uiPriority w:val="1"/>
    <w:qFormat/>
    <w:rsid w:val="00724A37"/>
    <w:pPr>
      <w:numPr>
        <w:ilvl w:val="2"/>
        <w:numId w:val="32"/>
      </w:num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3"/>
      </w:numPr>
    </w:pPr>
    <w:rPr>
      <w:rFonts w:cs="Times New Roman"/>
    </w:rPr>
  </w:style>
  <w:style w:type="paragraph" w:styleId="ListBullet">
    <w:name w:val="List Bullet"/>
    <w:basedOn w:val="Normal"/>
    <w:uiPriority w:val="99"/>
    <w:rsid w:val="00DC542F"/>
    <w:pPr>
      <w:numPr>
        <w:numId w:val="11"/>
      </w:numPr>
      <w:tabs>
        <w:tab w:val="left" w:pos="340"/>
      </w:tabs>
      <w:spacing w:before="120"/>
      <w:ind w:left="340"/>
    </w:pPr>
  </w:style>
  <w:style w:type="paragraph" w:customStyle="1" w:styleId="Bulletpoint2">
    <w:name w:val="Bullet point 2"/>
    <w:basedOn w:val="ListBullet2"/>
    <w:uiPriority w:val="1"/>
    <w:qFormat/>
    <w:rsid w:val="00E4674F"/>
    <w:pPr>
      <w:numPr>
        <w:numId w:val="10"/>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4"/>
      </w:numPr>
      <w:tabs>
        <w:tab w:val="num" w:pos="680"/>
      </w:tabs>
      <w:spacing w:before="12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977698"/>
    <w:rPr>
      <w:rFonts w:ascii="Calibri" w:hAnsi="Calibri"/>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2"/>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Calibri" w:eastAsiaTheme="majorEastAsia" w:hAnsi="Calibri" w:cstheme="majorBidi"/>
      <w:b/>
      <w:iCs/>
      <w:color w:val="000000" w:themeColor="text1"/>
      <w:sz w:val="24"/>
      <w:szCs w:val="20"/>
    </w:rPr>
  </w:style>
  <w:style w:type="paragraph" w:customStyle="1" w:styleId="Numbered1111111">
    <w:name w:val="Numbered 1.1.1.1.1.1.1"/>
    <w:basedOn w:val="Heading7"/>
    <w:next w:val="Normal"/>
    <w:uiPriority w:val="2"/>
    <w:rsid w:val="00DA2E98"/>
    <w:pPr>
      <w:numPr>
        <w:ilvl w:val="6"/>
        <w:numId w:val="28"/>
      </w:numPr>
      <w:tabs>
        <w:tab w:val="left" w:pos="2041"/>
      </w:tabs>
      <w:ind w:left="2041" w:hanging="2041"/>
    </w:pPr>
  </w:style>
  <w:style w:type="paragraph" w:customStyle="1" w:styleId="Numbered11111111">
    <w:name w:val="Numbered 1.1.1.1.1.1.1.1"/>
    <w:basedOn w:val="Heading8"/>
    <w:next w:val="Normal"/>
    <w:uiPriority w:val="2"/>
    <w:rsid w:val="00DA2E98"/>
    <w:pPr>
      <w:numPr>
        <w:ilvl w:val="7"/>
        <w:numId w:val="28"/>
      </w:numPr>
      <w:tabs>
        <w:tab w:val="left" w:pos="2041"/>
      </w:tabs>
      <w:ind w:left="2041" w:hanging="2041"/>
    </w:pPr>
  </w:style>
  <w:style w:type="table" w:styleId="TableGrid">
    <w:name w:val="Table Grid"/>
    <w:aliases w:val="ACCC Table"/>
    <w:basedOn w:val="TableNormal"/>
    <w:uiPriority w:val="3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FB1E73"/>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99"/>
    <w:qFormat/>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99"/>
    <w:rsid w:val="008454B5"/>
    <w:rPr>
      <w:rFonts w:ascii="Trebuchet MS" w:hAnsi="Trebuchet MS"/>
      <w:sz w:val="16"/>
      <w:szCs w:val="20"/>
    </w:rPr>
  </w:style>
  <w:style w:type="character" w:styleId="FootnoteReference">
    <w:name w:val="footnote reference"/>
    <w:aliases w:val="Footnotemark,FR,Footnotemark1,Footnotemark2,FR1,Footnotemark3,FR2,Footnotemark4,FR3,Footnotemark5,FR4,Footnotemark6,Footnotemark7,Footnotemark8,FR5,Footnotemark11,Footnotemark21,FR11,Footnotemark31,FR21,Footnotemark41,FR31,FR41,FR6"/>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DA2E98"/>
    <w:pPr>
      <w:numPr>
        <w:ilvl w:val="8"/>
        <w:numId w:val="28"/>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5"/>
      </w:numPr>
      <w:tabs>
        <w:tab w:val="num" w:pos="1021"/>
      </w:tabs>
      <w:spacing w:before="120"/>
      <w:ind w:left="1020"/>
    </w:pPr>
  </w:style>
  <w:style w:type="paragraph" w:styleId="ListBullet4">
    <w:name w:val="List Bullet 4"/>
    <w:basedOn w:val="Normal"/>
    <w:uiPriority w:val="99"/>
    <w:rsid w:val="00547CCF"/>
    <w:pPr>
      <w:numPr>
        <w:numId w:val="6"/>
      </w:numPr>
      <w:tabs>
        <w:tab w:val="num" w:pos="1361"/>
      </w:tabs>
      <w:spacing w:before="120"/>
      <w:ind w:hanging="340"/>
    </w:pPr>
  </w:style>
  <w:style w:type="paragraph" w:styleId="ListBullet5">
    <w:name w:val="List Bullet 5"/>
    <w:basedOn w:val="Normal"/>
    <w:uiPriority w:val="99"/>
    <w:rsid w:val="00547CCF"/>
    <w:pPr>
      <w:numPr>
        <w:numId w:val="7"/>
      </w:numPr>
      <w:tabs>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8"/>
      </w:numPr>
      <w:tabs>
        <w:tab w:val="left" w:pos="1701"/>
      </w:tabs>
      <w:spacing w:before="120"/>
    </w:pPr>
  </w:style>
  <w:style w:type="paragraph" w:styleId="ListNumber5">
    <w:name w:val="List Number 5"/>
    <w:basedOn w:val="Normal"/>
    <w:uiPriority w:val="99"/>
    <w:rsid w:val="00BE4C99"/>
    <w:pPr>
      <w:numPr>
        <w:numId w:val="9"/>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ormal"/>
    <w:qFormat/>
    <w:rsid w:val="00C61431"/>
    <w:pPr>
      <w:tabs>
        <w:tab w:val="left" w:pos="1021"/>
      </w:tabs>
      <w:spacing w:line="240" w:lineRule="atLeast"/>
      <w:ind w:left="680" w:hanging="680"/>
    </w:pPr>
    <w:rPr>
      <w:rFonts w:eastAsiaTheme="majorEastAsia" w:cs="Arial"/>
      <w:szCs w:val="26"/>
    </w:rPr>
  </w:style>
  <w:style w:type="character" w:customStyle="1" w:styleId="Numbered1Char">
    <w:name w:val="Numbered 1 Char"/>
    <w:basedOn w:val="Heading1Char"/>
    <w:link w:val="Numbered1"/>
    <w:rsid w:val="00F14CEC"/>
    <w:rPr>
      <w:rFonts w:ascii="Calibri" w:eastAsiaTheme="majorEastAsia" w:hAnsi="Calibri" w:cstheme="majorBidi"/>
      <w:bCs/>
      <w:color w:val="0D45D6" w:themeColor="accent2"/>
      <w:sz w:val="32"/>
      <w:szCs w:val="28"/>
    </w:rPr>
  </w:style>
  <w:style w:type="paragraph" w:customStyle="1" w:styleId="Numberedparagraph">
    <w:name w:val="Numbered paragraph"/>
    <w:basedOn w:val="Normal"/>
    <w:rsid w:val="00B60F5D"/>
    <w:pPr>
      <w:numPr>
        <w:numId w:val="2"/>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aliases w:val="Body,Bullet + line,b,b + line,b1,level 1,bulleted,BodyNum,Bullet Char1,Bullet Char1 Char Char Char Char,b1 Char Char Char,Bullet Char1 Char Char Char Char Char,Bullet Char1 Char Char Char"/>
    <w:basedOn w:val="Normal"/>
    <w:link w:val="BulletChar"/>
    <w:qFormat/>
    <w:rsid w:val="00AE3921"/>
    <w:pPr>
      <w:numPr>
        <w:numId w:val="29"/>
      </w:numPr>
      <w:spacing w:before="0" w:after="160" w:line="259" w:lineRule="auto"/>
    </w:p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ParagraphFont"/>
    <w:link w:val="Bullet"/>
    <w:qFormat/>
    <w:rsid w:val="00AE3921"/>
    <w:rPr>
      <w:rFonts w:ascii="Calibri" w:hAnsi="Calibri"/>
    </w:rPr>
  </w:style>
  <w:style w:type="paragraph" w:customStyle="1" w:styleId="Dash">
    <w:name w:val="Dash"/>
    <w:basedOn w:val="Normal"/>
    <w:link w:val="DashChar"/>
    <w:qFormat/>
    <w:rsid w:val="00365C10"/>
    <w:pPr>
      <w:numPr>
        <w:ilvl w:val="1"/>
        <w:numId w:val="29"/>
      </w:numPr>
      <w:spacing w:before="0" w:after="160" w:line="259" w:lineRule="auto"/>
    </w:pPr>
    <w:rPr>
      <w:rFonts w:asciiTheme="minorHAnsi" w:hAnsiTheme="minorHAnsi"/>
    </w:rPr>
  </w:style>
  <w:style w:type="paragraph" w:customStyle="1" w:styleId="DoubleDot">
    <w:name w:val="Double Dot"/>
    <w:basedOn w:val="Normal"/>
    <w:qFormat/>
    <w:rsid w:val="00365C10"/>
    <w:pPr>
      <w:numPr>
        <w:ilvl w:val="2"/>
        <w:numId w:val="29"/>
      </w:numPr>
      <w:spacing w:before="0" w:after="160" w:line="259" w:lineRule="auto"/>
    </w:pPr>
    <w:rPr>
      <w:rFonts w:asciiTheme="minorHAnsi" w:hAnsiTheme="minorHAnsi"/>
    </w:rPr>
  </w:style>
  <w:style w:type="character" w:customStyle="1" w:styleId="DashChar">
    <w:name w:val="Dash Char"/>
    <w:basedOn w:val="DefaultParagraphFont"/>
    <w:link w:val="Dash"/>
    <w:rsid w:val="00365C10"/>
  </w:style>
  <w:style w:type="paragraph" w:customStyle="1" w:styleId="OutlineNumbered1">
    <w:name w:val="Outline Numbered 1"/>
    <w:basedOn w:val="Normal"/>
    <w:link w:val="OutlineNumbered1Char"/>
    <w:rsid w:val="00365C10"/>
    <w:pPr>
      <w:numPr>
        <w:numId w:val="30"/>
      </w:numPr>
      <w:spacing w:before="0"/>
    </w:pPr>
    <w:rPr>
      <w:rFonts w:asciiTheme="minorHAnsi" w:hAnsiTheme="minorHAnsi"/>
    </w:rPr>
  </w:style>
  <w:style w:type="character" w:customStyle="1" w:styleId="OutlineNumbered1Char">
    <w:name w:val="Outline Numbered 1 Char"/>
    <w:basedOn w:val="BulletChar"/>
    <w:link w:val="OutlineNumbered1"/>
    <w:rsid w:val="00365C10"/>
    <w:rPr>
      <w:rFonts w:ascii="Calibri" w:hAnsi="Calibri"/>
    </w:rPr>
  </w:style>
  <w:style w:type="paragraph" w:customStyle="1" w:styleId="OutlineNumbered2">
    <w:name w:val="Outline Numbered 2"/>
    <w:basedOn w:val="Normal"/>
    <w:rsid w:val="00365C10"/>
    <w:pPr>
      <w:numPr>
        <w:ilvl w:val="1"/>
        <w:numId w:val="30"/>
      </w:numPr>
      <w:spacing w:before="0"/>
    </w:pPr>
    <w:rPr>
      <w:rFonts w:asciiTheme="minorHAnsi" w:hAnsiTheme="minorHAnsi"/>
    </w:rPr>
  </w:style>
  <w:style w:type="paragraph" w:customStyle="1" w:styleId="OutlineNumbered3">
    <w:name w:val="Outline Numbered 3"/>
    <w:basedOn w:val="Normal"/>
    <w:rsid w:val="00365C10"/>
    <w:pPr>
      <w:numPr>
        <w:ilvl w:val="2"/>
        <w:numId w:val="30"/>
      </w:numPr>
      <w:spacing w:before="0"/>
    </w:pPr>
    <w:rPr>
      <w:rFonts w:asciiTheme="minorHAnsi" w:hAnsiTheme="minorHAnsi"/>
    </w:rPr>
  </w:style>
  <w:style w:type="character" w:styleId="CommentReference">
    <w:name w:val="annotation reference"/>
    <w:basedOn w:val="DefaultParagraphFont"/>
    <w:uiPriority w:val="99"/>
    <w:unhideWhenUsed/>
    <w:rsid w:val="00365C10"/>
    <w:rPr>
      <w:sz w:val="16"/>
      <w:szCs w:val="16"/>
    </w:rPr>
  </w:style>
  <w:style w:type="paragraph" w:styleId="CommentText">
    <w:name w:val="annotation text"/>
    <w:basedOn w:val="Normal"/>
    <w:link w:val="CommentTextChar"/>
    <w:uiPriority w:val="99"/>
    <w:unhideWhenUsed/>
    <w:rsid w:val="00365C10"/>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65C10"/>
    <w:rPr>
      <w:sz w:val="20"/>
      <w:szCs w:val="20"/>
    </w:rPr>
  </w:style>
  <w:style w:type="character" w:customStyle="1" w:styleId="subsectionChar">
    <w:name w:val="subsection Char"/>
    <w:aliases w:val="ss Char"/>
    <w:basedOn w:val="DefaultParagraphFont"/>
    <w:link w:val="subsection"/>
    <w:locked/>
    <w:rsid w:val="00365C10"/>
  </w:style>
  <w:style w:type="paragraph" w:customStyle="1" w:styleId="subsection">
    <w:name w:val="subsection"/>
    <w:aliases w:val="ss,Subsection,t_Main"/>
    <w:basedOn w:val="Normal"/>
    <w:link w:val="subsectionChar"/>
    <w:rsid w:val="00365C10"/>
    <w:pPr>
      <w:spacing w:before="180"/>
      <w:ind w:left="1134" w:hanging="1134"/>
    </w:pPr>
    <w:rPr>
      <w:rFonts w:asciiTheme="minorHAnsi" w:hAnsiTheme="minorHAnsi"/>
    </w:rPr>
  </w:style>
  <w:style w:type="paragraph" w:styleId="NormalWeb">
    <w:name w:val="Normal (Web)"/>
    <w:basedOn w:val="Normal"/>
    <w:uiPriority w:val="99"/>
    <w:semiHidden/>
    <w:unhideWhenUsed/>
    <w:rsid w:val="00365C10"/>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364CB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735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7BAF"/>
    <w:pPr>
      <w:spacing w:before="200" w:after="0"/>
    </w:pPr>
    <w:rPr>
      <w:rFonts w:ascii="Trebuchet MS" w:hAnsi="Trebuchet MS"/>
      <w:b/>
      <w:bCs/>
    </w:rPr>
  </w:style>
  <w:style w:type="character" w:customStyle="1" w:styleId="CommentSubjectChar">
    <w:name w:val="Comment Subject Char"/>
    <w:basedOn w:val="CommentTextChar"/>
    <w:link w:val="CommentSubject"/>
    <w:uiPriority w:val="99"/>
    <w:semiHidden/>
    <w:rsid w:val="00727BAF"/>
    <w:rPr>
      <w:rFonts w:ascii="Trebuchet MS" w:hAnsi="Trebuchet MS"/>
      <w:b/>
      <w:bCs/>
      <w:sz w:val="20"/>
      <w:szCs w:val="20"/>
    </w:rPr>
  </w:style>
  <w:style w:type="paragraph" w:styleId="Revision">
    <w:name w:val="Revision"/>
    <w:hidden/>
    <w:uiPriority w:val="99"/>
    <w:semiHidden/>
    <w:rsid w:val="00727BAF"/>
    <w:pPr>
      <w:spacing w:before="0"/>
    </w:pPr>
    <w:rPr>
      <w:rFonts w:ascii="Trebuchet MS" w:hAnsi="Trebuchet MS"/>
    </w:rPr>
  </w:style>
  <w:style w:type="character" w:styleId="FollowedHyperlink">
    <w:name w:val="FollowedHyperlink"/>
    <w:basedOn w:val="DefaultParagraphFont"/>
    <w:uiPriority w:val="99"/>
    <w:semiHidden/>
    <w:unhideWhenUsed/>
    <w:rsid w:val="00EA7255"/>
    <w:rPr>
      <w:color w:val="800080" w:themeColor="followedHyperlink"/>
      <w:u w:val="single"/>
    </w:rPr>
  </w:style>
  <w:style w:type="paragraph" w:customStyle="1" w:styleId="paragraph">
    <w:name w:val="paragraph"/>
    <w:basedOn w:val="Normal"/>
    <w:rsid w:val="001E5FBA"/>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5C6DA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Numberedparagraphs">
    <w:name w:val="Normal - Numbered paragraphs"/>
    <w:basedOn w:val="Normal"/>
    <w:link w:val="Normal-NumberedparagraphsChar"/>
    <w:qFormat/>
    <w:rsid w:val="007F44BE"/>
    <w:pPr>
      <w:numPr>
        <w:numId w:val="31"/>
      </w:numPr>
      <w:spacing w:before="0" w:after="240" w:line="259" w:lineRule="auto"/>
    </w:pPr>
    <w:rPr>
      <w:rFonts w:asciiTheme="minorHAnsi" w:hAnsiTheme="minorHAnsi"/>
    </w:rPr>
  </w:style>
  <w:style w:type="character" w:customStyle="1" w:styleId="Normal-NumberedparagraphsChar">
    <w:name w:val="Normal - Numbered paragraphs Char"/>
    <w:basedOn w:val="DefaultParagraphFont"/>
    <w:link w:val="Normal-Numberedparagraphs"/>
    <w:rsid w:val="000E4217"/>
  </w:style>
  <w:style w:type="character" w:customStyle="1" w:styleId="normaltextrun">
    <w:name w:val="normaltextrun"/>
    <w:basedOn w:val="DefaultParagraphFont"/>
    <w:rsid w:val="00B23CCC"/>
  </w:style>
  <w:style w:type="character" w:customStyle="1" w:styleId="eop">
    <w:name w:val="eop"/>
    <w:basedOn w:val="DefaultParagraphFont"/>
    <w:rsid w:val="00B23CCC"/>
  </w:style>
  <w:style w:type="paragraph" w:customStyle="1" w:styleId="Default">
    <w:name w:val="Default"/>
    <w:rsid w:val="000E575B"/>
    <w:pPr>
      <w:autoSpaceDE w:val="0"/>
      <w:autoSpaceDN w:val="0"/>
      <w:adjustRightInd w:val="0"/>
      <w:spacing w:before="0"/>
    </w:pPr>
    <w:rPr>
      <w:rFonts w:ascii="Calibri" w:hAnsi="Calibri" w:cs="Calibri"/>
      <w:color w:val="000000"/>
      <w:sz w:val="24"/>
      <w:szCs w:val="24"/>
    </w:rPr>
  </w:style>
  <w:style w:type="character" w:customStyle="1" w:styleId="notion-enable-hover">
    <w:name w:val="notion-enable-hover"/>
    <w:basedOn w:val="DefaultParagraphFont"/>
    <w:rsid w:val="00F3174D"/>
  </w:style>
  <w:style w:type="character" w:styleId="Mention">
    <w:name w:val="Mention"/>
    <w:basedOn w:val="DefaultParagraphFont"/>
    <w:uiPriority w:val="99"/>
    <w:unhideWhenUsed/>
    <w:rsid w:val="006455A4"/>
    <w:rPr>
      <w:color w:val="2B579A"/>
      <w:shd w:val="clear" w:color="auto" w:fill="E6E6E6"/>
    </w:rPr>
  </w:style>
  <w:style w:type="character" w:customStyle="1" w:styleId="ui-provider">
    <w:name w:val="ui-provider"/>
    <w:basedOn w:val="DefaultParagraphFont"/>
    <w:rsid w:val="00FE6062"/>
  </w:style>
  <w:style w:type="character" w:customStyle="1" w:styleId="cf01">
    <w:name w:val="cf01"/>
    <w:basedOn w:val="DefaultParagraphFont"/>
    <w:rsid w:val="00AD534D"/>
    <w:rPr>
      <w:rFonts w:ascii="Segoe UI" w:hAnsi="Segoe UI" w:cs="Segoe UI" w:hint="default"/>
      <w:sz w:val="18"/>
      <w:szCs w:val="18"/>
    </w:rPr>
  </w:style>
  <w:style w:type="paragraph" w:customStyle="1" w:styleId="pf0">
    <w:name w:val="pf0"/>
    <w:basedOn w:val="Normal"/>
    <w:rsid w:val="00846656"/>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8466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3520">
      <w:bodyDiv w:val="1"/>
      <w:marLeft w:val="0"/>
      <w:marRight w:val="0"/>
      <w:marTop w:val="0"/>
      <w:marBottom w:val="0"/>
      <w:divBdr>
        <w:top w:val="none" w:sz="0" w:space="0" w:color="auto"/>
        <w:left w:val="none" w:sz="0" w:space="0" w:color="auto"/>
        <w:bottom w:val="none" w:sz="0" w:space="0" w:color="auto"/>
        <w:right w:val="none" w:sz="0" w:space="0" w:color="auto"/>
      </w:divBdr>
    </w:div>
    <w:div w:id="49576043">
      <w:bodyDiv w:val="1"/>
      <w:marLeft w:val="0"/>
      <w:marRight w:val="0"/>
      <w:marTop w:val="0"/>
      <w:marBottom w:val="0"/>
      <w:divBdr>
        <w:top w:val="none" w:sz="0" w:space="0" w:color="auto"/>
        <w:left w:val="none" w:sz="0" w:space="0" w:color="auto"/>
        <w:bottom w:val="none" w:sz="0" w:space="0" w:color="auto"/>
        <w:right w:val="none" w:sz="0" w:space="0" w:color="auto"/>
      </w:divBdr>
    </w:div>
    <w:div w:id="126511338">
      <w:bodyDiv w:val="1"/>
      <w:marLeft w:val="0"/>
      <w:marRight w:val="0"/>
      <w:marTop w:val="0"/>
      <w:marBottom w:val="0"/>
      <w:divBdr>
        <w:top w:val="none" w:sz="0" w:space="0" w:color="auto"/>
        <w:left w:val="none" w:sz="0" w:space="0" w:color="auto"/>
        <w:bottom w:val="none" w:sz="0" w:space="0" w:color="auto"/>
        <w:right w:val="none" w:sz="0" w:space="0" w:color="auto"/>
      </w:divBdr>
      <w:divsChild>
        <w:div w:id="221404606">
          <w:marLeft w:val="0"/>
          <w:marRight w:val="0"/>
          <w:marTop w:val="0"/>
          <w:marBottom w:val="0"/>
          <w:divBdr>
            <w:top w:val="none" w:sz="0" w:space="0" w:color="auto"/>
            <w:left w:val="none" w:sz="0" w:space="0" w:color="auto"/>
            <w:bottom w:val="none" w:sz="0" w:space="0" w:color="auto"/>
            <w:right w:val="none" w:sz="0" w:space="0" w:color="auto"/>
          </w:divBdr>
        </w:div>
        <w:div w:id="1552576286">
          <w:marLeft w:val="0"/>
          <w:marRight w:val="0"/>
          <w:marTop w:val="0"/>
          <w:marBottom w:val="0"/>
          <w:divBdr>
            <w:top w:val="none" w:sz="0" w:space="0" w:color="auto"/>
            <w:left w:val="none" w:sz="0" w:space="0" w:color="auto"/>
            <w:bottom w:val="none" w:sz="0" w:space="0" w:color="auto"/>
            <w:right w:val="none" w:sz="0" w:space="0" w:color="auto"/>
          </w:divBdr>
        </w:div>
        <w:div w:id="1885289133">
          <w:marLeft w:val="0"/>
          <w:marRight w:val="0"/>
          <w:marTop w:val="0"/>
          <w:marBottom w:val="0"/>
          <w:divBdr>
            <w:top w:val="none" w:sz="0" w:space="0" w:color="auto"/>
            <w:left w:val="none" w:sz="0" w:space="0" w:color="auto"/>
            <w:bottom w:val="none" w:sz="0" w:space="0" w:color="auto"/>
            <w:right w:val="none" w:sz="0" w:space="0" w:color="auto"/>
          </w:divBdr>
        </w:div>
      </w:divsChild>
    </w:div>
    <w:div w:id="141312075">
      <w:bodyDiv w:val="1"/>
      <w:marLeft w:val="0"/>
      <w:marRight w:val="0"/>
      <w:marTop w:val="0"/>
      <w:marBottom w:val="0"/>
      <w:divBdr>
        <w:top w:val="none" w:sz="0" w:space="0" w:color="auto"/>
        <w:left w:val="none" w:sz="0" w:space="0" w:color="auto"/>
        <w:bottom w:val="none" w:sz="0" w:space="0" w:color="auto"/>
        <w:right w:val="none" w:sz="0" w:space="0" w:color="auto"/>
      </w:divBdr>
    </w:div>
    <w:div w:id="142160629">
      <w:bodyDiv w:val="1"/>
      <w:marLeft w:val="0"/>
      <w:marRight w:val="0"/>
      <w:marTop w:val="0"/>
      <w:marBottom w:val="0"/>
      <w:divBdr>
        <w:top w:val="none" w:sz="0" w:space="0" w:color="auto"/>
        <w:left w:val="none" w:sz="0" w:space="0" w:color="auto"/>
        <w:bottom w:val="none" w:sz="0" w:space="0" w:color="auto"/>
        <w:right w:val="none" w:sz="0" w:space="0" w:color="auto"/>
      </w:divBdr>
    </w:div>
    <w:div w:id="238950212">
      <w:bodyDiv w:val="1"/>
      <w:marLeft w:val="0"/>
      <w:marRight w:val="0"/>
      <w:marTop w:val="0"/>
      <w:marBottom w:val="0"/>
      <w:divBdr>
        <w:top w:val="none" w:sz="0" w:space="0" w:color="auto"/>
        <w:left w:val="none" w:sz="0" w:space="0" w:color="auto"/>
        <w:bottom w:val="none" w:sz="0" w:space="0" w:color="auto"/>
        <w:right w:val="none" w:sz="0" w:space="0" w:color="auto"/>
      </w:divBdr>
    </w:div>
    <w:div w:id="307708208">
      <w:bodyDiv w:val="1"/>
      <w:marLeft w:val="0"/>
      <w:marRight w:val="0"/>
      <w:marTop w:val="0"/>
      <w:marBottom w:val="0"/>
      <w:divBdr>
        <w:top w:val="none" w:sz="0" w:space="0" w:color="auto"/>
        <w:left w:val="none" w:sz="0" w:space="0" w:color="auto"/>
        <w:bottom w:val="none" w:sz="0" w:space="0" w:color="auto"/>
        <w:right w:val="none" w:sz="0" w:space="0" w:color="auto"/>
      </w:divBdr>
    </w:div>
    <w:div w:id="376009865">
      <w:bodyDiv w:val="1"/>
      <w:marLeft w:val="0"/>
      <w:marRight w:val="0"/>
      <w:marTop w:val="0"/>
      <w:marBottom w:val="0"/>
      <w:divBdr>
        <w:top w:val="none" w:sz="0" w:space="0" w:color="auto"/>
        <w:left w:val="none" w:sz="0" w:space="0" w:color="auto"/>
        <w:bottom w:val="none" w:sz="0" w:space="0" w:color="auto"/>
        <w:right w:val="none" w:sz="0" w:space="0" w:color="auto"/>
      </w:divBdr>
    </w:div>
    <w:div w:id="413479939">
      <w:bodyDiv w:val="1"/>
      <w:marLeft w:val="0"/>
      <w:marRight w:val="0"/>
      <w:marTop w:val="0"/>
      <w:marBottom w:val="0"/>
      <w:divBdr>
        <w:top w:val="none" w:sz="0" w:space="0" w:color="auto"/>
        <w:left w:val="none" w:sz="0" w:space="0" w:color="auto"/>
        <w:bottom w:val="none" w:sz="0" w:space="0" w:color="auto"/>
        <w:right w:val="none" w:sz="0" w:space="0" w:color="auto"/>
      </w:divBdr>
    </w:div>
    <w:div w:id="424109403">
      <w:bodyDiv w:val="1"/>
      <w:marLeft w:val="0"/>
      <w:marRight w:val="0"/>
      <w:marTop w:val="0"/>
      <w:marBottom w:val="0"/>
      <w:divBdr>
        <w:top w:val="none" w:sz="0" w:space="0" w:color="auto"/>
        <w:left w:val="none" w:sz="0" w:space="0" w:color="auto"/>
        <w:bottom w:val="none" w:sz="0" w:space="0" w:color="auto"/>
        <w:right w:val="none" w:sz="0" w:space="0" w:color="auto"/>
      </w:divBdr>
    </w:div>
    <w:div w:id="509681487">
      <w:bodyDiv w:val="1"/>
      <w:marLeft w:val="0"/>
      <w:marRight w:val="0"/>
      <w:marTop w:val="0"/>
      <w:marBottom w:val="0"/>
      <w:divBdr>
        <w:top w:val="none" w:sz="0" w:space="0" w:color="auto"/>
        <w:left w:val="none" w:sz="0" w:space="0" w:color="auto"/>
        <w:bottom w:val="none" w:sz="0" w:space="0" w:color="auto"/>
        <w:right w:val="none" w:sz="0" w:space="0" w:color="auto"/>
      </w:divBdr>
    </w:div>
    <w:div w:id="618686898">
      <w:bodyDiv w:val="1"/>
      <w:marLeft w:val="0"/>
      <w:marRight w:val="0"/>
      <w:marTop w:val="0"/>
      <w:marBottom w:val="0"/>
      <w:divBdr>
        <w:top w:val="none" w:sz="0" w:space="0" w:color="auto"/>
        <w:left w:val="none" w:sz="0" w:space="0" w:color="auto"/>
        <w:bottom w:val="none" w:sz="0" w:space="0" w:color="auto"/>
        <w:right w:val="none" w:sz="0" w:space="0" w:color="auto"/>
      </w:divBdr>
    </w:div>
    <w:div w:id="658462730">
      <w:bodyDiv w:val="1"/>
      <w:marLeft w:val="0"/>
      <w:marRight w:val="0"/>
      <w:marTop w:val="0"/>
      <w:marBottom w:val="0"/>
      <w:divBdr>
        <w:top w:val="none" w:sz="0" w:space="0" w:color="auto"/>
        <w:left w:val="none" w:sz="0" w:space="0" w:color="auto"/>
        <w:bottom w:val="none" w:sz="0" w:space="0" w:color="auto"/>
        <w:right w:val="none" w:sz="0" w:space="0" w:color="auto"/>
      </w:divBdr>
    </w:div>
    <w:div w:id="669215559">
      <w:bodyDiv w:val="1"/>
      <w:marLeft w:val="0"/>
      <w:marRight w:val="0"/>
      <w:marTop w:val="0"/>
      <w:marBottom w:val="0"/>
      <w:divBdr>
        <w:top w:val="none" w:sz="0" w:space="0" w:color="auto"/>
        <w:left w:val="none" w:sz="0" w:space="0" w:color="auto"/>
        <w:bottom w:val="none" w:sz="0" w:space="0" w:color="auto"/>
        <w:right w:val="none" w:sz="0" w:space="0" w:color="auto"/>
      </w:divBdr>
    </w:div>
    <w:div w:id="754740277">
      <w:bodyDiv w:val="1"/>
      <w:marLeft w:val="0"/>
      <w:marRight w:val="0"/>
      <w:marTop w:val="0"/>
      <w:marBottom w:val="0"/>
      <w:divBdr>
        <w:top w:val="none" w:sz="0" w:space="0" w:color="auto"/>
        <w:left w:val="none" w:sz="0" w:space="0" w:color="auto"/>
        <w:bottom w:val="none" w:sz="0" w:space="0" w:color="auto"/>
        <w:right w:val="none" w:sz="0" w:space="0" w:color="auto"/>
      </w:divBdr>
    </w:div>
    <w:div w:id="759061535">
      <w:bodyDiv w:val="1"/>
      <w:marLeft w:val="0"/>
      <w:marRight w:val="0"/>
      <w:marTop w:val="0"/>
      <w:marBottom w:val="0"/>
      <w:divBdr>
        <w:top w:val="none" w:sz="0" w:space="0" w:color="auto"/>
        <w:left w:val="none" w:sz="0" w:space="0" w:color="auto"/>
        <w:bottom w:val="none" w:sz="0" w:space="0" w:color="auto"/>
        <w:right w:val="none" w:sz="0" w:space="0" w:color="auto"/>
      </w:divBdr>
    </w:div>
    <w:div w:id="808789377">
      <w:bodyDiv w:val="1"/>
      <w:marLeft w:val="0"/>
      <w:marRight w:val="0"/>
      <w:marTop w:val="0"/>
      <w:marBottom w:val="0"/>
      <w:divBdr>
        <w:top w:val="none" w:sz="0" w:space="0" w:color="auto"/>
        <w:left w:val="none" w:sz="0" w:space="0" w:color="auto"/>
        <w:bottom w:val="none" w:sz="0" w:space="0" w:color="auto"/>
        <w:right w:val="none" w:sz="0" w:space="0" w:color="auto"/>
      </w:divBdr>
    </w:div>
    <w:div w:id="944386202">
      <w:bodyDiv w:val="1"/>
      <w:marLeft w:val="0"/>
      <w:marRight w:val="0"/>
      <w:marTop w:val="0"/>
      <w:marBottom w:val="0"/>
      <w:divBdr>
        <w:top w:val="none" w:sz="0" w:space="0" w:color="auto"/>
        <w:left w:val="none" w:sz="0" w:space="0" w:color="auto"/>
        <w:bottom w:val="none" w:sz="0" w:space="0" w:color="auto"/>
        <w:right w:val="none" w:sz="0" w:space="0" w:color="auto"/>
      </w:divBdr>
    </w:div>
    <w:div w:id="954558805">
      <w:bodyDiv w:val="1"/>
      <w:marLeft w:val="0"/>
      <w:marRight w:val="0"/>
      <w:marTop w:val="0"/>
      <w:marBottom w:val="0"/>
      <w:divBdr>
        <w:top w:val="none" w:sz="0" w:space="0" w:color="auto"/>
        <w:left w:val="none" w:sz="0" w:space="0" w:color="auto"/>
        <w:bottom w:val="none" w:sz="0" w:space="0" w:color="auto"/>
        <w:right w:val="none" w:sz="0" w:space="0" w:color="auto"/>
      </w:divBdr>
    </w:div>
    <w:div w:id="1029910387">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57970340">
      <w:bodyDiv w:val="1"/>
      <w:marLeft w:val="0"/>
      <w:marRight w:val="0"/>
      <w:marTop w:val="0"/>
      <w:marBottom w:val="0"/>
      <w:divBdr>
        <w:top w:val="none" w:sz="0" w:space="0" w:color="auto"/>
        <w:left w:val="none" w:sz="0" w:space="0" w:color="auto"/>
        <w:bottom w:val="none" w:sz="0" w:space="0" w:color="auto"/>
        <w:right w:val="none" w:sz="0" w:space="0" w:color="auto"/>
      </w:divBdr>
    </w:div>
    <w:div w:id="1086271572">
      <w:bodyDiv w:val="1"/>
      <w:marLeft w:val="0"/>
      <w:marRight w:val="0"/>
      <w:marTop w:val="0"/>
      <w:marBottom w:val="0"/>
      <w:divBdr>
        <w:top w:val="none" w:sz="0" w:space="0" w:color="auto"/>
        <w:left w:val="none" w:sz="0" w:space="0" w:color="auto"/>
        <w:bottom w:val="none" w:sz="0" w:space="0" w:color="auto"/>
        <w:right w:val="none" w:sz="0" w:space="0" w:color="auto"/>
      </w:divBdr>
    </w:div>
    <w:div w:id="1105463359">
      <w:bodyDiv w:val="1"/>
      <w:marLeft w:val="0"/>
      <w:marRight w:val="0"/>
      <w:marTop w:val="0"/>
      <w:marBottom w:val="0"/>
      <w:divBdr>
        <w:top w:val="none" w:sz="0" w:space="0" w:color="auto"/>
        <w:left w:val="none" w:sz="0" w:space="0" w:color="auto"/>
        <w:bottom w:val="none" w:sz="0" w:space="0" w:color="auto"/>
        <w:right w:val="none" w:sz="0" w:space="0" w:color="auto"/>
      </w:divBdr>
    </w:div>
    <w:div w:id="1117717656">
      <w:bodyDiv w:val="1"/>
      <w:marLeft w:val="0"/>
      <w:marRight w:val="0"/>
      <w:marTop w:val="0"/>
      <w:marBottom w:val="0"/>
      <w:divBdr>
        <w:top w:val="none" w:sz="0" w:space="0" w:color="auto"/>
        <w:left w:val="none" w:sz="0" w:space="0" w:color="auto"/>
        <w:bottom w:val="none" w:sz="0" w:space="0" w:color="auto"/>
        <w:right w:val="none" w:sz="0" w:space="0" w:color="auto"/>
      </w:divBdr>
    </w:div>
    <w:div w:id="1186402552">
      <w:bodyDiv w:val="1"/>
      <w:marLeft w:val="0"/>
      <w:marRight w:val="0"/>
      <w:marTop w:val="0"/>
      <w:marBottom w:val="0"/>
      <w:divBdr>
        <w:top w:val="none" w:sz="0" w:space="0" w:color="auto"/>
        <w:left w:val="none" w:sz="0" w:space="0" w:color="auto"/>
        <w:bottom w:val="none" w:sz="0" w:space="0" w:color="auto"/>
        <w:right w:val="none" w:sz="0" w:space="0" w:color="auto"/>
      </w:divBdr>
      <w:divsChild>
        <w:div w:id="1414811825">
          <w:marLeft w:val="0"/>
          <w:marRight w:val="0"/>
          <w:marTop w:val="0"/>
          <w:marBottom w:val="0"/>
          <w:divBdr>
            <w:top w:val="none" w:sz="0" w:space="0" w:color="auto"/>
            <w:left w:val="none" w:sz="0" w:space="0" w:color="auto"/>
            <w:bottom w:val="none" w:sz="0" w:space="0" w:color="auto"/>
            <w:right w:val="none" w:sz="0" w:space="0" w:color="auto"/>
          </w:divBdr>
          <w:divsChild>
            <w:div w:id="270209231">
              <w:marLeft w:val="0"/>
              <w:marRight w:val="0"/>
              <w:marTop w:val="0"/>
              <w:marBottom w:val="0"/>
              <w:divBdr>
                <w:top w:val="none" w:sz="0" w:space="0" w:color="auto"/>
                <w:left w:val="none" w:sz="0" w:space="0" w:color="auto"/>
                <w:bottom w:val="none" w:sz="0" w:space="0" w:color="auto"/>
                <w:right w:val="none" w:sz="0" w:space="0" w:color="auto"/>
              </w:divBdr>
            </w:div>
            <w:div w:id="9755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5040">
      <w:bodyDiv w:val="1"/>
      <w:marLeft w:val="0"/>
      <w:marRight w:val="0"/>
      <w:marTop w:val="0"/>
      <w:marBottom w:val="0"/>
      <w:divBdr>
        <w:top w:val="none" w:sz="0" w:space="0" w:color="auto"/>
        <w:left w:val="none" w:sz="0" w:space="0" w:color="auto"/>
        <w:bottom w:val="none" w:sz="0" w:space="0" w:color="auto"/>
        <w:right w:val="none" w:sz="0" w:space="0" w:color="auto"/>
      </w:divBdr>
    </w:div>
    <w:div w:id="1342776044">
      <w:bodyDiv w:val="1"/>
      <w:marLeft w:val="0"/>
      <w:marRight w:val="0"/>
      <w:marTop w:val="0"/>
      <w:marBottom w:val="0"/>
      <w:divBdr>
        <w:top w:val="none" w:sz="0" w:space="0" w:color="auto"/>
        <w:left w:val="none" w:sz="0" w:space="0" w:color="auto"/>
        <w:bottom w:val="none" w:sz="0" w:space="0" w:color="auto"/>
        <w:right w:val="none" w:sz="0" w:space="0" w:color="auto"/>
      </w:divBdr>
    </w:div>
    <w:div w:id="1355039712">
      <w:bodyDiv w:val="1"/>
      <w:marLeft w:val="0"/>
      <w:marRight w:val="0"/>
      <w:marTop w:val="0"/>
      <w:marBottom w:val="0"/>
      <w:divBdr>
        <w:top w:val="none" w:sz="0" w:space="0" w:color="auto"/>
        <w:left w:val="none" w:sz="0" w:space="0" w:color="auto"/>
        <w:bottom w:val="none" w:sz="0" w:space="0" w:color="auto"/>
        <w:right w:val="none" w:sz="0" w:space="0" w:color="auto"/>
      </w:divBdr>
    </w:div>
    <w:div w:id="1404136187">
      <w:bodyDiv w:val="1"/>
      <w:marLeft w:val="0"/>
      <w:marRight w:val="0"/>
      <w:marTop w:val="0"/>
      <w:marBottom w:val="0"/>
      <w:divBdr>
        <w:top w:val="none" w:sz="0" w:space="0" w:color="auto"/>
        <w:left w:val="none" w:sz="0" w:space="0" w:color="auto"/>
        <w:bottom w:val="none" w:sz="0" w:space="0" w:color="auto"/>
        <w:right w:val="none" w:sz="0" w:space="0" w:color="auto"/>
      </w:divBdr>
    </w:div>
    <w:div w:id="1445230762">
      <w:bodyDiv w:val="1"/>
      <w:marLeft w:val="0"/>
      <w:marRight w:val="0"/>
      <w:marTop w:val="0"/>
      <w:marBottom w:val="0"/>
      <w:divBdr>
        <w:top w:val="none" w:sz="0" w:space="0" w:color="auto"/>
        <w:left w:val="none" w:sz="0" w:space="0" w:color="auto"/>
        <w:bottom w:val="none" w:sz="0" w:space="0" w:color="auto"/>
        <w:right w:val="none" w:sz="0" w:space="0" w:color="auto"/>
      </w:divBdr>
    </w:div>
    <w:div w:id="1476415160">
      <w:bodyDiv w:val="1"/>
      <w:marLeft w:val="0"/>
      <w:marRight w:val="0"/>
      <w:marTop w:val="0"/>
      <w:marBottom w:val="0"/>
      <w:divBdr>
        <w:top w:val="none" w:sz="0" w:space="0" w:color="auto"/>
        <w:left w:val="none" w:sz="0" w:space="0" w:color="auto"/>
        <w:bottom w:val="none" w:sz="0" w:space="0" w:color="auto"/>
        <w:right w:val="none" w:sz="0" w:space="0" w:color="auto"/>
      </w:divBdr>
    </w:div>
    <w:div w:id="1519850480">
      <w:bodyDiv w:val="1"/>
      <w:marLeft w:val="0"/>
      <w:marRight w:val="0"/>
      <w:marTop w:val="0"/>
      <w:marBottom w:val="0"/>
      <w:divBdr>
        <w:top w:val="none" w:sz="0" w:space="0" w:color="auto"/>
        <w:left w:val="none" w:sz="0" w:space="0" w:color="auto"/>
        <w:bottom w:val="none" w:sz="0" w:space="0" w:color="auto"/>
        <w:right w:val="none" w:sz="0" w:space="0" w:color="auto"/>
      </w:divBdr>
    </w:div>
    <w:div w:id="1538007346">
      <w:bodyDiv w:val="1"/>
      <w:marLeft w:val="0"/>
      <w:marRight w:val="0"/>
      <w:marTop w:val="0"/>
      <w:marBottom w:val="0"/>
      <w:divBdr>
        <w:top w:val="none" w:sz="0" w:space="0" w:color="auto"/>
        <w:left w:val="none" w:sz="0" w:space="0" w:color="auto"/>
        <w:bottom w:val="none" w:sz="0" w:space="0" w:color="auto"/>
        <w:right w:val="none" w:sz="0" w:space="0" w:color="auto"/>
      </w:divBdr>
    </w:div>
    <w:div w:id="1540316503">
      <w:bodyDiv w:val="1"/>
      <w:marLeft w:val="0"/>
      <w:marRight w:val="0"/>
      <w:marTop w:val="0"/>
      <w:marBottom w:val="0"/>
      <w:divBdr>
        <w:top w:val="none" w:sz="0" w:space="0" w:color="auto"/>
        <w:left w:val="none" w:sz="0" w:space="0" w:color="auto"/>
        <w:bottom w:val="none" w:sz="0" w:space="0" w:color="auto"/>
        <w:right w:val="none" w:sz="0" w:space="0" w:color="auto"/>
      </w:divBdr>
    </w:div>
    <w:div w:id="1555386326">
      <w:bodyDiv w:val="1"/>
      <w:marLeft w:val="0"/>
      <w:marRight w:val="0"/>
      <w:marTop w:val="0"/>
      <w:marBottom w:val="0"/>
      <w:divBdr>
        <w:top w:val="none" w:sz="0" w:space="0" w:color="auto"/>
        <w:left w:val="none" w:sz="0" w:space="0" w:color="auto"/>
        <w:bottom w:val="none" w:sz="0" w:space="0" w:color="auto"/>
        <w:right w:val="none" w:sz="0" w:space="0" w:color="auto"/>
      </w:divBdr>
    </w:div>
    <w:div w:id="1666591068">
      <w:bodyDiv w:val="1"/>
      <w:marLeft w:val="0"/>
      <w:marRight w:val="0"/>
      <w:marTop w:val="0"/>
      <w:marBottom w:val="0"/>
      <w:divBdr>
        <w:top w:val="none" w:sz="0" w:space="0" w:color="auto"/>
        <w:left w:val="none" w:sz="0" w:space="0" w:color="auto"/>
        <w:bottom w:val="none" w:sz="0" w:space="0" w:color="auto"/>
        <w:right w:val="none" w:sz="0" w:space="0" w:color="auto"/>
      </w:divBdr>
    </w:div>
    <w:div w:id="1922636516">
      <w:bodyDiv w:val="1"/>
      <w:marLeft w:val="0"/>
      <w:marRight w:val="0"/>
      <w:marTop w:val="0"/>
      <w:marBottom w:val="0"/>
      <w:divBdr>
        <w:top w:val="none" w:sz="0" w:space="0" w:color="auto"/>
        <w:left w:val="none" w:sz="0" w:space="0" w:color="auto"/>
        <w:bottom w:val="none" w:sz="0" w:space="0" w:color="auto"/>
        <w:right w:val="none" w:sz="0" w:space="0" w:color="auto"/>
      </w:divBdr>
    </w:div>
    <w:div w:id="1943340674">
      <w:bodyDiv w:val="1"/>
      <w:marLeft w:val="0"/>
      <w:marRight w:val="0"/>
      <w:marTop w:val="0"/>
      <w:marBottom w:val="0"/>
      <w:divBdr>
        <w:top w:val="none" w:sz="0" w:space="0" w:color="auto"/>
        <w:left w:val="none" w:sz="0" w:space="0" w:color="auto"/>
        <w:bottom w:val="none" w:sz="0" w:space="0" w:color="auto"/>
        <w:right w:val="none" w:sz="0" w:space="0" w:color="auto"/>
      </w:divBdr>
    </w:div>
    <w:div w:id="211369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61cds.notion.site/22Q3-Research-R1-3-Consent-Review-Report-432a35e5adb5463bb4e532535d9fed5c" TargetMode="External"/><Relationship Id="rId26" Type="http://schemas.openxmlformats.org/officeDocument/2006/relationships/hyperlink" Target="https://github.com/ConsumerDataStandardsAustralia/standards/issues/321" TargetMode="External"/><Relationship Id="rId39" Type="http://schemas.openxmlformats.org/officeDocument/2006/relationships/theme" Target="theme/theme1.xml"/><Relationship Id="rId21" Type="http://schemas.openxmlformats.org/officeDocument/2006/relationships/hyperlink" Target="https://github.com/ConsumerDataStandardsAustralia/standards/issues" TargetMode="External"/><Relationship Id="rId34" Type="http://schemas.openxmlformats.org/officeDocument/2006/relationships/hyperlink" Target="https://www.figma.com/file/k5rcH4SyeierzW8hJ4Tba6/Consent-Review-Design-Paper-%7C-Consent-Variations?type=design&amp;node-id=91%3A4347&amp;mode=design&amp;t=SmVPyq6WE712sjpe-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ithub.com/ConsumerDataStandardsAustralia/standards/issues/273" TargetMode="External"/><Relationship Id="rId25" Type="http://schemas.openxmlformats.org/officeDocument/2006/relationships/hyperlink" Target="mailto:CDRRules@treasury.gov.au" TargetMode="External"/><Relationship Id="rId33" Type="http://schemas.openxmlformats.org/officeDocument/2006/relationships/hyperlink" Target="https://www.figma.com/file/k5rcH4SyeierzW8hJ4Tba6/Consent-Review-Design-Paper-%7C-Consent-Variations?type=design&amp;node-id=91%3A2172&amp;mode=design&amp;t=SmVPyq6WE712sjpe-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gma.com/file/k5rcH4SyeierzW8hJ4Tba6/Consent-Review-DP-%7C-Consent-Variations?node-id=86-1319" TargetMode="External"/><Relationship Id="rId20" Type="http://schemas.openxmlformats.org/officeDocument/2006/relationships/hyperlink" Target="https://consumerdatastandardsaustralia.github.io/standards/" TargetMode="External"/><Relationship Id="rId29" Type="http://schemas.openxmlformats.org/officeDocument/2006/relationships/hyperlink" Target="https://www.figma.com/file/k5rcH4SyeierzW8hJ4Tba6/Consent-Review-DP-%7C-Consent-Variations?node-id=86-1893&amp;t=Yhcqwtpn4IDVcAxG-1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reasury.gov.au/publication/p2023-404730" TargetMode="External"/><Relationship Id="rId32" Type="http://schemas.openxmlformats.org/officeDocument/2006/relationships/hyperlink" Target="https://www.figma.com/file/k5rcH4SyeierzW8hJ4Tba6/Consent-Review-Design-Paper-%7C-Consent-Variations?type=design&amp;node-id=730%3A2091&amp;mode=design&amp;t=SmVPyq6WE712sjpe-1" TargetMode="External"/><Relationship Id="rId37" Type="http://schemas.openxmlformats.org/officeDocument/2006/relationships/header" Target="header2.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legislation.gov.au/Series/F2020L00094" TargetMode="External"/><Relationship Id="rId23" Type="http://schemas.openxmlformats.org/officeDocument/2006/relationships/hyperlink" Target="https://d61cds.notion.site/" TargetMode="External"/><Relationship Id="rId28" Type="http://schemas.openxmlformats.org/officeDocument/2006/relationships/hyperlink" Target="https://www.figma.com/file/k5rcH4SyeierzW8hJ4Tba6/Consent-Review-DP-%7C-Consent-Variations?node-id=86-1376&amp;t=Yhcqwtpn4IDVcAxG-11" TargetMode="External"/><Relationship Id="rId36" Type="http://schemas.openxmlformats.org/officeDocument/2006/relationships/hyperlink" Target="https://consumerdatastandards.gov.au/sites/consumerdatastandards.gov.au/files/uploads/2019/07/Phase-2-CX-_-Stream-2-_-Manage-and-revoke.pdf" TargetMode="External"/><Relationship Id="rId10" Type="http://schemas.openxmlformats.org/officeDocument/2006/relationships/footnotes" Target="footnotes.xml"/><Relationship Id="rId19" Type="http://schemas.openxmlformats.org/officeDocument/2006/relationships/hyperlink" Target="https://treasury.gov.au/publication/p2022-314513" TargetMode="External"/><Relationship Id="rId31" Type="http://schemas.openxmlformats.org/officeDocument/2006/relationships/hyperlink" Target="https://www.figma.com/file/k5rcH4SyeierzW8hJ4Tba6/Consent-Review-DP-%7C-Consent-Variations?node-id=91-4347&amp;t=Yhcqwtpn4IDVcAxG-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ithub.com/ConsumerDataStandardsAustralia/standards-maintenance/issues" TargetMode="External"/><Relationship Id="rId27" Type="http://schemas.openxmlformats.org/officeDocument/2006/relationships/hyperlink" Target="https://github.com/ConsumerDataStandardsAustralia/standards/issues/273" TargetMode="External"/><Relationship Id="rId30" Type="http://schemas.openxmlformats.org/officeDocument/2006/relationships/hyperlink" Target="https://www.figma.com/file/k5rcH4SyeierzW8hJ4Tba6/Consent-Review-Design-Paper-%7C-Consent-Variations?type=design&amp;node-id=86-2086&amp;mode=design" TargetMode="External"/><Relationship Id="rId35" Type="http://schemas.openxmlformats.org/officeDocument/2006/relationships/hyperlink" Target="https://www.figma.com/file/k5rcH4SyeierzW8hJ4Tba6/Consent-Review-DP-%7C-Consent-Variations?node-id=86%3A2351&amp;t=cugoq5bzO1Wc1w77-1"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notion.so/d61cds/21Q4-1CO3-1CO4-R1-2-Disclosure-Consent-Research-Report-781e77be95574e79aaba9af4af17895a?pvs=4" TargetMode="External"/><Relationship Id="rId18" Type="http://schemas.openxmlformats.org/officeDocument/2006/relationships/hyperlink" Target="https://consumerdatastandardsaustralia.github.io/standards/" TargetMode="External"/><Relationship Id="rId26" Type="http://schemas.openxmlformats.org/officeDocument/2006/relationships/hyperlink" Target="https://consumerdatastandards.gov.au/sites/consumerdatastandards.gov.au/files/uploads/2020/09/CX-Report_Phase-3-Rounds-6.pdf" TargetMode="External"/><Relationship Id="rId21" Type="http://schemas.openxmlformats.org/officeDocument/2006/relationships/hyperlink" Target="https://consumerdatastandards.gov.au/engagement/reports/reports-cx/phase-3-cx-reports" TargetMode="External"/><Relationship Id="rId34" Type="http://schemas.openxmlformats.org/officeDocument/2006/relationships/hyperlink" Target="https://treasury.gov.au/publication/inquiry-future-directions-consumer-data-right-final-report" TargetMode="External"/><Relationship Id="rId7" Type="http://schemas.openxmlformats.org/officeDocument/2006/relationships/hyperlink" Target="https://www.ag.gov.au/rights-and-protections/publications/privacy-act-review-report" TargetMode="External"/><Relationship Id="rId12" Type="http://schemas.openxmlformats.org/officeDocument/2006/relationships/hyperlink" Target="https://www.oaic.gov.au/privacy/australian-privacy-principles/australian-privacy-principles-guidelines/chapter-b-key-concepts" TargetMode="External"/><Relationship Id="rId17" Type="http://schemas.openxmlformats.org/officeDocument/2006/relationships/hyperlink" Target="https://d61cds.notion.site/22Q3-Research-R1-3-Consent-Review-Report-432a35e5adb5463bb4e532535d9fed5c" TargetMode="External"/><Relationship Id="rId25" Type="http://schemas.openxmlformats.org/officeDocument/2006/relationships/hyperlink" Target="https://consumerdatastandards.gov.au/sites/consumerdatastandards.gov.au/files/uploads/2019/07/Phase-2-CX-_-Stream-3-_-Authenticate-Notify-Reauthorise.pdf" TargetMode="External"/><Relationship Id="rId33" Type="http://schemas.openxmlformats.org/officeDocument/2006/relationships/hyperlink" Target="https://consumerdatastandards.gov.au/2020/10/amending-consent-workshop" TargetMode="External"/><Relationship Id="rId38" Type="http://schemas.openxmlformats.org/officeDocument/2006/relationships/hyperlink" Target="https://www.ietf.org/archive/id/draft-ietf-oauth-rar-03.html" TargetMode="External"/><Relationship Id="rId2" Type="http://schemas.openxmlformats.org/officeDocument/2006/relationships/hyperlink" Target="https://consumerdatastandards.gov.au/engagement/reports/reports-cx" TargetMode="External"/><Relationship Id="rId16" Type="http://schemas.openxmlformats.org/officeDocument/2006/relationships/hyperlink" Target="https://consumerdatastandards.gov.au/engagement/reports/reports-cx/phase-3-cx-reports" TargetMode="External"/><Relationship Id="rId20" Type="http://schemas.openxmlformats.org/officeDocument/2006/relationships/hyperlink" Target="https://d61cds.notion.site/Collection-and-use-consents-fcf5e47455274d26b028d218b22f017a" TargetMode="External"/><Relationship Id="rId29" Type="http://schemas.openxmlformats.org/officeDocument/2006/relationships/hyperlink" Target="https://cprc.org.au/wp-content/uploads/2022/06/CPRC-Duped-by-Design-Final-Report-June-2022.pdf" TargetMode="External"/><Relationship Id="rId1" Type="http://schemas.openxmlformats.org/officeDocument/2006/relationships/hyperlink" Target="https://d61cds.notion.site/22Q3-Research-R1-3-Consent-Review-Report-432a35e5adb5463bb4e532535d9fed5c" TargetMode="External"/><Relationship Id="rId6" Type="http://schemas.openxmlformats.org/officeDocument/2006/relationships/hyperlink" Target="https://www.ag.gov.au/rights-and-protections/publications/privacy-act-review-report" TargetMode="External"/><Relationship Id="rId11" Type="http://schemas.openxmlformats.org/officeDocument/2006/relationships/hyperlink" Target="https://www.oaic.gov.au/consumer-data-right/cdr-privacy-safeguard-guidelines/chapter-c-consent-the-basis-for-collecting-and-using-cdr-data" TargetMode="External"/><Relationship Id="rId24" Type="http://schemas.openxmlformats.org/officeDocument/2006/relationships/hyperlink" Target="https://d61cds.notion.site/Collection-and-use-consents-fcf5e47455274d26b028d218b22f017a" TargetMode="External"/><Relationship Id="rId32" Type="http://schemas.openxmlformats.org/officeDocument/2006/relationships/hyperlink" Target="https://www.oecd-ilibrary.org/docserver/44f5e846-en.pdf?expires=1678334845&amp;id=id&amp;accname=guest&amp;checksum=CF59D75225692D66168D5F59C072509B" TargetMode="External"/><Relationship Id="rId37" Type="http://schemas.openxmlformats.org/officeDocument/2006/relationships/hyperlink" Target="https://openid.net/specs/fapi-2_0-security-02.html" TargetMode="External"/><Relationship Id="rId5" Type="http://schemas.openxmlformats.org/officeDocument/2006/relationships/hyperlink" Target="https://www.ag.gov.au/rights-and-protections/publications/privacy-act-review-report" TargetMode="External"/><Relationship Id="rId15" Type="http://schemas.openxmlformats.org/officeDocument/2006/relationships/hyperlink" Target="https://cdr-support.zendesk.com/hc/en-us/articles/900005316646-Guidance-on-screen-scraping" TargetMode="External"/><Relationship Id="rId23" Type="http://schemas.openxmlformats.org/officeDocument/2006/relationships/hyperlink" Target="https://consumerdatastandards.gov.au/sites/consumerdatastandards.gov.au/files/uploads/2020/07/CX-Report-_-Phase-3-_-Rounds4-and-5.pdf" TargetMode="External"/><Relationship Id="rId28" Type="http://schemas.openxmlformats.org/officeDocument/2006/relationships/hyperlink" Target="https://www.accc.gov.au/about-us/publications/serial-publications/digital-platform-services-inquiry-2020-2025/digital-platform-services-inquiry-september-2022-interim-report-regulatory-reform" TargetMode="External"/><Relationship Id="rId36" Type="http://schemas.openxmlformats.org/officeDocument/2006/relationships/hyperlink" Target="https://treasury.gov.au/publication/inquiry-future-directions-consumer-data-right-final-report" TargetMode="External"/><Relationship Id="rId10" Type="http://schemas.openxmlformats.org/officeDocument/2006/relationships/hyperlink" Target="https://github.com/ConsumerDataStandardsAustralia/standards/issues/258" TargetMode="External"/><Relationship Id="rId19" Type="http://schemas.openxmlformats.org/officeDocument/2006/relationships/hyperlink" Target="https://consumerdatastandardsaustralia.github.io/standards/" TargetMode="External"/><Relationship Id="rId31" Type="http://schemas.openxmlformats.org/officeDocument/2006/relationships/hyperlink" Target="https://www.accc.gov.au/system/files/DPB%20-%20DPSI%20-%20September%202021%20-%20Full%20Report%20-%2030%20September%202021%20%283%29_1.pdf" TargetMode="External"/><Relationship Id="rId4" Type="http://schemas.openxmlformats.org/officeDocument/2006/relationships/hyperlink" Target="https://www.aph.gov.au/Parliamentary_Business/Bills_Legislation/Bills_Search_Results/Result?bId=r6950" TargetMode="External"/><Relationship Id="rId9" Type="http://schemas.openxmlformats.org/officeDocument/2006/relationships/hyperlink" Target="https://github.com/ConsumerDataStandardsAustralia/standards/issues/280" TargetMode="External"/><Relationship Id="rId14" Type="http://schemas.openxmlformats.org/officeDocument/2006/relationships/hyperlink" Target="https://consumerdatastandardsaustralia.github.io/standards/" TargetMode="External"/><Relationship Id="rId22" Type="http://schemas.openxmlformats.org/officeDocument/2006/relationships/hyperlink" Target="https://d61cds.notion.site/22Q3-Research-R1-3-Consent-Review-Report-432a35e5adb5463bb4e532535d9fed5c" TargetMode="External"/><Relationship Id="rId27" Type="http://schemas.openxmlformats.org/officeDocument/2006/relationships/hyperlink" Target="https://www.accc.gov.au/about-us/publications/serial-publications/digital-platform-services-inquiry-2020-2025/digital-platform-services-inquiry-september-2022-interim-report-regulatory-reform" TargetMode="External"/><Relationship Id="rId30" Type="http://schemas.openxmlformats.org/officeDocument/2006/relationships/hyperlink" Target="https://www.oecd-ilibrary.org/docserver/44f5e846-en.pdf?expires=1678334845&amp;id=id&amp;accname=guest&amp;checksum=CF59D75225692D66168D5F59C072509B" TargetMode="External"/><Relationship Id="rId35" Type="http://schemas.openxmlformats.org/officeDocument/2006/relationships/hyperlink" Target="https://github.com/ConsumerDataStandardsAustralia/standards/issues/183" TargetMode="External"/><Relationship Id="rId8" Type="http://schemas.openxmlformats.org/officeDocument/2006/relationships/hyperlink" Target="https://github.com/ConsumerDataStandardsAustralia/standards/issues/273" TargetMode="External"/><Relationship Id="rId3" Type="http://schemas.openxmlformats.org/officeDocument/2006/relationships/hyperlink" Target="https://treasury.gov.au/consultation/c2022-3174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blank.dotm"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5" ma:contentTypeDescription="Create a new document." ma:contentTypeScope="" ma:versionID="79878bfb220b2cb5708ee99af227c19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3800a13aad0acca086d869cba6b8a0fc"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3e7bf23-a263-4b03-bd1a-aa45f376bbc6">
      <UserInfo>
        <DisplayName>Karen Gan</DisplayName>
        <AccountId>38</AccountId>
        <AccountType/>
      </UserInfo>
      <UserInfo>
        <DisplayName>Michael Palmyre</DisplayName>
        <AccountId>15</AccountId>
        <AccountType/>
      </UserInfo>
      <UserInfo>
        <DisplayName>Amy Nussbaumer</DisplayName>
        <AccountId>19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18EB78-0BE0-4BC5-80B9-3451FC25B5B3}">
  <ds:schemaRefs>
    <ds:schemaRef ds:uri="http://schemas.openxmlformats.org/officeDocument/2006/bibliography"/>
  </ds:schemaRefs>
</ds:datastoreItem>
</file>

<file path=customXml/itemProps3.xml><?xml version="1.0" encoding="utf-8"?>
<ds:datastoreItem xmlns:ds="http://schemas.openxmlformats.org/officeDocument/2006/customXml" ds:itemID="{C51AEDFE-5459-401E-9D10-DDF48A93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1CD5B-7A5E-4B54-8394-0E7199E06BC7}">
  <ds:schemaRefs>
    <ds:schemaRef ds:uri="9e8a703b-d3e0-4199-a68a-2c6b4d239088"/>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a3e7bf23-a263-4b03-bd1a-aa45f376bbc6"/>
    <ds:schemaRef ds:uri="http://schemas.microsoft.com/office/2006/metadata/properties"/>
  </ds:schemaRefs>
</ds:datastoreItem>
</file>

<file path=customXml/itemProps5.xml><?xml version="1.0" encoding="utf-8"?>
<ds:datastoreItem xmlns:ds="http://schemas.openxmlformats.org/officeDocument/2006/customXml" ds:itemID="{CD68455A-7FD2-49BC-A06E-1C6D6A18D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CDR blank.dotm</Template>
  <TotalTime>16</TotalTime>
  <Pages>25</Pages>
  <Words>10383</Words>
  <Characters>56798</Characters>
  <Application>Microsoft Office Word</Application>
  <DocSecurity>0</DocSecurity>
  <Lines>887</Lines>
  <Paragraphs>339</Paragraphs>
  <ScaleCrop>false</ScaleCrop>
  <HeadingPairs>
    <vt:vector size="2" baseType="variant">
      <vt:variant>
        <vt:lpstr>Title</vt:lpstr>
      </vt:variant>
      <vt:variant>
        <vt:i4>1</vt:i4>
      </vt:variant>
    </vt:vector>
  </HeadingPairs>
  <TitlesOfParts>
    <vt:vector size="1" baseType="lpstr">
      <vt:lpstr>CDR Consent Review - CDR rules and data standards design paper</vt:lpstr>
    </vt:vector>
  </TitlesOfParts>
  <Company/>
  <LinksUpToDate>false</LinksUpToDate>
  <CharactersWithSpaces>66842</CharactersWithSpaces>
  <SharedDoc>false</SharedDoc>
  <HLinks>
    <vt:vector size="462" baseType="variant">
      <vt:variant>
        <vt:i4>1245192</vt:i4>
      </vt:variant>
      <vt:variant>
        <vt:i4>175</vt:i4>
      </vt:variant>
      <vt:variant>
        <vt:i4>0</vt:i4>
      </vt:variant>
      <vt:variant>
        <vt:i4>5</vt:i4>
      </vt:variant>
      <vt:variant>
        <vt:lpwstr>https://consumerdatastandards.gov.au/sites/consumerdatastandards.gov.au/files/uploads/2019/07/Phase-2-CX-_-Stream-2-_-Manage-and-revoke.pdf</vt:lpwstr>
      </vt:variant>
      <vt:variant>
        <vt:lpwstr/>
      </vt:variant>
      <vt:variant>
        <vt:i4>1769555</vt:i4>
      </vt:variant>
      <vt:variant>
        <vt:i4>169</vt:i4>
      </vt:variant>
      <vt:variant>
        <vt:i4>0</vt:i4>
      </vt:variant>
      <vt:variant>
        <vt:i4>5</vt:i4>
      </vt:variant>
      <vt:variant>
        <vt:lpwstr>https://www.figma.com/file/k5rcH4SyeierzW8hJ4Tba6/Consent-Review-DP-%7C-Consent-Variations?node-id=86%3A2351&amp;t=cugoq5bzO1Wc1w77-1</vt:lpwstr>
      </vt:variant>
      <vt:variant>
        <vt:lpwstr/>
      </vt:variant>
      <vt:variant>
        <vt:i4>3670131</vt:i4>
      </vt:variant>
      <vt:variant>
        <vt:i4>163</vt:i4>
      </vt:variant>
      <vt:variant>
        <vt:i4>0</vt:i4>
      </vt:variant>
      <vt:variant>
        <vt:i4>5</vt:i4>
      </vt:variant>
      <vt:variant>
        <vt:lpwstr>https://www.figma.com/file/k5rcH4SyeierzW8hJ4Tba6/Consent-Review-Design-Paper-%7C-Consent-Variations?type=design&amp;node-id=91%3A4347&amp;mode=design&amp;t=SmVPyq6WE712sjpe-1</vt:lpwstr>
      </vt:variant>
      <vt:variant>
        <vt:lpwstr/>
      </vt:variant>
      <vt:variant>
        <vt:i4>4128886</vt:i4>
      </vt:variant>
      <vt:variant>
        <vt:i4>160</vt:i4>
      </vt:variant>
      <vt:variant>
        <vt:i4>0</vt:i4>
      </vt:variant>
      <vt:variant>
        <vt:i4>5</vt:i4>
      </vt:variant>
      <vt:variant>
        <vt:lpwstr>https://www.figma.com/file/k5rcH4SyeierzW8hJ4Tba6/Consent-Review-Design-Paper-%7C-Consent-Variations?type=design&amp;node-id=91%3A2172&amp;mode=design&amp;t=SmVPyq6WE712sjpe-1</vt:lpwstr>
      </vt:variant>
      <vt:variant>
        <vt:lpwstr/>
      </vt:variant>
      <vt:variant>
        <vt:i4>720963</vt:i4>
      </vt:variant>
      <vt:variant>
        <vt:i4>157</vt:i4>
      </vt:variant>
      <vt:variant>
        <vt:i4>0</vt:i4>
      </vt:variant>
      <vt:variant>
        <vt:i4>5</vt:i4>
      </vt:variant>
      <vt:variant>
        <vt:lpwstr>https://www.figma.com/file/k5rcH4SyeierzW8hJ4Tba6/Consent-Review-Design-Paper-%7C-Consent-Variations?type=design&amp;node-id=730%3A2091&amp;mode=design&amp;t=SmVPyq6WE712sjpe-1</vt:lpwstr>
      </vt:variant>
      <vt:variant>
        <vt:lpwstr/>
      </vt:variant>
      <vt:variant>
        <vt:i4>1769484</vt:i4>
      </vt:variant>
      <vt:variant>
        <vt:i4>154</vt:i4>
      </vt:variant>
      <vt:variant>
        <vt:i4>0</vt:i4>
      </vt:variant>
      <vt:variant>
        <vt:i4>5</vt:i4>
      </vt:variant>
      <vt:variant>
        <vt:lpwstr>https://www.figma.com/file/k5rcH4SyeierzW8hJ4Tba6/Consent-Review-DP-%7C-Consent-Variations?node-id=91-4347&amp;t=Yhcqwtpn4IDVcAxG-11</vt:lpwstr>
      </vt:variant>
      <vt:variant>
        <vt:lpwstr/>
      </vt:variant>
      <vt:variant>
        <vt:i4>1441863</vt:i4>
      </vt:variant>
      <vt:variant>
        <vt:i4>151</vt:i4>
      </vt:variant>
      <vt:variant>
        <vt:i4>0</vt:i4>
      </vt:variant>
      <vt:variant>
        <vt:i4>5</vt:i4>
      </vt:variant>
      <vt:variant>
        <vt:lpwstr>https://www.figma.com/file/k5rcH4SyeierzW8hJ4Tba6/Consent-Review-Design-Paper-%7C-Consent-Variations?type=design&amp;node-id=86-2086&amp;mode=design</vt:lpwstr>
      </vt:variant>
      <vt:variant>
        <vt:lpwstr/>
      </vt:variant>
      <vt:variant>
        <vt:i4>1376259</vt:i4>
      </vt:variant>
      <vt:variant>
        <vt:i4>146</vt:i4>
      </vt:variant>
      <vt:variant>
        <vt:i4>0</vt:i4>
      </vt:variant>
      <vt:variant>
        <vt:i4>5</vt:i4>
      </vt:variant>
      <vt:variant>
        <vt:lpwstr>https://www.figma.com/file/k5rcH4SyeierzW8hJ4Tba6/Consent-Review-DP-%7C-Consent-Variations?node-id=86-1893&amp;t=Yhcqwtpn4IDVcAxG-11</vt:lpwstr>
      </vt:variant>
      <vt:variant>
        <vt:lpwstr/>
      </vt:variant>
      <vt:variant>
        <vt:i4>1769485</vt:i4>
      </vt:variant>
      <vt:variant>
        <vt:i4>141</vt:i4>
      </vt:variant>
      <vt:variant>
        <vt:i4>0</vt:i4>
      </vt:variant>
      <vt:variant>
        <vt:i4>5</vt:i4>
      </vt:variant>
      <vt:variant>
        <vt:lpwstr>https://www.figma.com/file/k5rcH4SyeierzW8hJ4Tba6/Consent-Review-DP-%7C-Consent-Variations?node-id=86-1376&amp;t=Yhcqwtpn4IDVcAxG-11</vt:lpwstr>
      </vt:variant>
      <vt:variant>
        <vt:lpwstr/>
      </vt:variant>
      <vt:variant>
        <vt:i4>6553641</vt:i4>
      </vt:variant>
      <vt:variant>
        <vt:i4>138</vt:i4>
      </vt:variant>
      <vt:variant>
        <vt:i4>0</vt:i4>
      </vt:variant>
      <vt:variant>
        <vt:i4>5</vt:i4>
      </vt:variant>
      <vt:variant>
        <vt:lpwstr>https://github.com/ConsumerDataStandardsAustralia/standards/issues/273</vt:lpwstr>
      </vt:variant>
      <vt:variant>
        <vt:lpwstr/>
      </vt:variant>
      <vt:variant>
        <vt:i4>6750252</vt:i4>
      </vt:variant>
      <vt:variant>
        <vt:i4>135</vt:i4>
      </vt:variant>
      <vt:variant>
        <vt:i4>0</vt:i4>
      </vt:variant>
      <vt:variant>
        <vt:i4>5</vt:i4>
      </vt:variant>
      <vt:variant>
        <vt:lpwstr>https://github.com/ConsumerDataStandardsAustralia/standards/issues/321</vt:lpwstr>
      </vt:variant>
      <vt:variant>
        <vt:lpwstr/>
      </vt:variant>
      <vt:variant>
        <vt:i4>4980796</vt:i4>
      </vt:variant>
      <vt:variant>
        <vt:i4>132</vt:i4>
      </vt:variant>
      <vt:variant>
        <vt:i4>0</vt:i4>
      </vt:variant>
      <vt:variant>
        <vt:i4>5</vt:i4>
      </vt:variant>
      <vt:variant>
        <vt:lpwstr>mailto:CDRRules@treasury.gov.au</vt:lpwstr>
      </vt:variant>
      <vt:variant>
        <vt:lpwstr/>
      </vt:variant>
      <vt:variant>
        <vt:i4>327703</vt:i4>
      </vt:variant>
      <vt:variant>
        <vt:i4>129</vt:i4>
      </vt:variant>
      <vt:variant>
        <vt:i4>0</vt:i4>
      </vt:variant>
      <vt:variant>
        <vt:i4>5</vt:i4>
      </vt:variant>
      <vt:variant>
        <vt:lpwstr>https://treasury.gov.au/publication/p2023-404730</vt:lpwstr>
      </vt:variant>
      <vt:variant>
        <vt:lpwstr/>
      </vt:variant>
      <vt:variant>
        <vt:i4>6291504</vt:i4>
      </vt:variant>
      <vt:variant>
        <vt:i4>126</vt:i4>
      </vt:variant>
      <vt:variant>
        <vt:i4>0</vt:i4>
      </vt:variant>
      <vt:variant>
        <vt:i4>5</vt:i4>
      </vt:variant>
      <vt:variant>
        <vt:lpwstr>https://d61cds.notion.site/</vt:lpwstr>
      </vt:variant>
      <vt:variant>
        <vt:lpwstr/>
      </vt:variant>
      <vt:variant>
        <vt:i4>2097188</vt:i4>
      </vt:variant>
      <vt:variant>
        <vt:i4>123</vt:i4>
      </vt:variant>
      <vt:variant>
        <vt:i4>0</vt:i4>
      </vt:variant>
      <vt:variant>
        <vt:i4>5</vt:i4>
      </vt:variant>
      <vt:variant>
        <vt:lpwstr>https://github.com/ConsumerDataStandardsAustralia/standards-maintenance/issues</vt:lpwstr>
      </vt:variant>
      <vt:variant>
        <vt:lpwstr/>
      </vt:variant>
      <vt:variant>
        <vt:i4>6619185</vt:i4>
      </vt:variant>
      <vt:variant>
        <vt:i4>120</vt:i4>
      </vt:variant>
      <vt:variant>
        <vt:i4>0</vt:i4>
      </vt:variant>
      <vt:variant>
        <vt:i4>5</vt:i4>
      </vt:variant>
      <vt:variant>
        <vt:lpwstr>https://github.com/ConsumerDataStandardsAustralia/standards/issues</vt:lpwstr>
      </vt:variant>
      <vt:variant>
        <vt:lpwstr/>
      </vt:variant>
      <vt:variant>
        <vt:i4>3145767</vt:i4>
      </vt:variant>
      <vt:variant>
        <vt:i4>117</vt:i4>
      </vt:variant>
      <vt:variant>
        <vt:i4>0</vt:i4>
      </vt:variant>
      <vt:variant>
        <vt:i4>5</vt:i4>
      </vt:variant>
      <vt:variant>
        <vt:lpwstr>https://consumerdatastandardsaustralia.github.io/standards/</vt:lpwstr>
      </vt:variant>
      <vt:variant>
        <vt:lpwstr/>
      </vt:variant>
      <vt:variant>
        <vt:i4>327699</vt:i4>
      </vt:variant>
      <vt:variant>
        <vt:i4>114</vt:i4>
      </vt:variant>
      <vt:variant>
        <vt:i4>0</vt:i4>
      </vt:variant>
      <vt:variant>
        <vt:i4>5</vt:i4>
      </vt:variant>
      <vt:variant>
        <vt:lpwstr>https://treasury.gov.au/publication/p2022-314513</vt:lpwstr>
      </vt:variant>
      <vt:variant>
        <vt:lpwstr/>
      </vt:variant>
      <vt:variant>
        <vt:i4>5046293</vt:i4>
      </vt:variant>
      <vt:variant>
        <vt:i4>111</vt:i4>
      </vt:variant>
      <vt:variant>
        <vt:i4>0</vt:i4>
      </vt:variant>
      <vt:variant>
        <vt:i4>5</vt:i4>
      </vt:variant>
      <vt:variant>
        <vt:lpwstr>https://d61cds.notion.site/22Q3-Research-R1-3-Consent-Review-Report-432a35e5adb5463bb4e532535d9fed5c</vt:lpwstr>
      </vt:variant>
      <vt:variant>
        <vt:lpwstr/>
      </vt:variant>
      <vt:variant>
        <vt:i4>6553641</vt:i4>
      </vt:variant>
      <vt:variant>
        <vt:i4>108</vt:i4>
      </vt:variant>
      <vt:variant>
        <vt:i4>0</vt:i4>
      </vt:variant>
      <vt:variant>
        <vt:i4>5</vt:i4>
      </vt:variant>
      <vt:variant>
        <vt:lpwstr>https://github.com/ConsumerDataStandardsAustralia/standards/issues/273</vt:lpwstr>
      </vt:variant>
      <vt:variant>
        <vt:lpwstr/>
      </vt:variant>
      <vt:variant>
        <vt:i4>2752571</vt:i4>
      </vt:variant>
      <vt:variant>
        <vt:i4>105</vt:i4>
      </vt:variant>
      <vt:variant>
        <vt:i4>0</vt:i4>
      </vt:variant>
      <vt:variant>
        <vt:i4>5</vt:i4>
      </vt:variant>
      <vt:variant>
        <vt:lpwstr>https://www.figma.com/file/k5rcH4SyeierzW8hJ4Tba6/Consent-Review-DP-%7C-Consent-Variations?node-id=86-1319</vt:lpwstr>
      </vt:variant>
      <vt:variant>
        <vt:lpwstr/>
      </vt:variant>
      <vt:variant>
        <vt:i4>6553641</vt:i4>
      </vt:variant>
      <vt:variant>
        <vt:i4>102</vt:i4>
      </vt:variant>
      <vt:variant>
        <vt:i4>0</vt:i4>
      </vt:variant>
      <vt:variant>
        <vt:i4>5</vt:i4>
      </vt:variant>
      <vt:variant>
        <vt:lpwstr>https://github.com/ConsumerDataStandardsAustralia/standards/issues/273</vt:lpwstr>
      </vt:variant>
      <vt:variant>
        <vt:lpwstr/>
      </vt:variant>
      <vt:variant>
        <vt:i4>458776</vt:i4>
      </vt:variant>
      <vt:variant>
        <vt:i4>99</vt:i4>
      </vt:variant>
      <vt:variant>
        <vt:i4>0</vt:i4>
      </vt:variant>
      <vt:variant>
        <vt:i4>5</vt:i4>
      </vt:variant>
      <vt:variant>
        <vt:lpwstr>https://www.legislation.gov.au/Series/F2020L00094</vt:lpwstr>
      </vt:variant>
      <vt:variant>
        <vt:lpwstr/>
      </vt:variant>
      <vt:variant>
        <vt:i4>1114166</vt:i4>
      </vt:variant>
      <vt:variant>
        <vt:i4>92</vt:i4>
      </vt:variant>
      <vt:variant>
        <vt:i4>0</vt:i4>
      </vt:variant>
      <vt:variant>
        <vt:i4>5</vt:i4>
      </vt:variant>
      <vt:variant>
        <vt:lpwstr/>
      </vt:variant>
      <vt:variant>
        <vt:lpwstr>_Toc143600443</vt:lpwstr>
      </vt:variant>
      <vt:variant>
        <vt:i4>1114166</vt:i4>
      </vt:variant>
      <vt:variant>
        <vt:i4>86</vt:i4>
      </vt:variant>
      <vt:variant>
        <vt:i4>0</vt:i4>
      </vt:variant>
      <vt:variant>
        <vt:i4>5</vt:i4>
      </vt:variant>
      <vt:variant>
        <vt:lpwstr/>
      </vt:variant>
      <vt:variant>
        <vt:lpwstr>_Toc143600442</vt:lpwstr>
      </vt:variant>
      <vt:variant>
        <vt:i4>1114166</vt:i4>
      </vt:variant>
      <vt:variant>
        <vt:i4>80</vt:i4>
      </vt:variant>
      <vt:variant>
        <vt:i4>0</vt:i4>
      </vt:variant>
      <vt:variant>
        <vt:i4>5</vt:i4>
      </vt:variant>
      <vt:variant>
        <vt:lpwstr/>
      </vt:variant>
      <vt:variant>
        <vt:lpwstr>_Toc143600441</vt:lpwstr>
      </vt:variant>
      <vt:variant>
        <vt:i4>1114166</vt:i4>
      </vt:variant>
      <vt:variant>
        <vt:i4>74</vt:i4>
      </vt:variant>
      <vt:variant>
        <vt:i4>0</vt:i4>
      </vt:variant>
      <vt:variant>
        <vt:i4>5</vt:i4>
      </vt:variant>
      <vt:variant>
        <vt:lpwstr/>
      </vt:variant>
      <vt:variant>
        <vt:lpwstr>_Toc143600440</vt:lpwstr>
      </vt:variant>
      <vt:variant>
        <vt:i4>1441846</vt:i4>
      </vt:variant>
      <vt:variant>
        <vt:i4>68</vt:i4>
      </vt:variant>
      <vt:variant>
        <vt:i4>0</vt:i4>
      </vt:variant>
      <vt:variant>
        <vt:i4>5</vt:i4>
      </vt:variant>
      <vt:variant>
        <vt:lpwstr/>
      </vt:variant>
      <vt:variant>
        <vt:lpwstr>_Toc143600439</vt:lpwstr>
      </vt:variant>
      <vt:variant>
        <vt:i4>1441846</vt:i4>
      </vt:variant>
      <vt:variant>
        <vt:i4>62</vt:i4>
      </vt:variant>
      <vt:variant>
        <vt:i4>0</vt:i4>
      </vt:variant>
      <vt:variant>
        <vt:i4>5</vt:i4>
      </vt:variant>
      <vt:variant>
        <vt:lpwstr/>
      </vt:variant>
      <vt:variant>
        <vt:lpwstr>_Toc143600438</vt:lpwstr>
      </vt:variant>
      <vt:variant>
        <vt:i4>1441846</vt:i4>
      </vt:variant>
      <vt:variant>
        <vt:i4>56</vt:i4>
      </vt:variant>
      <vt:variant>
        <vt:i4>0</vt:i4>
      </vt:variant>
      <vt:variant>
        <vt:i4>5</vt:i4>
      </vt:variant>
      <vt:variant>
        <vt:lpwstr/>
      </vt:variant>
      <vt:variant>
        <vt:lpwstr>_Toc143600437</vt:lpwstr>
      </vt:variant>
      <vt:variant>
        <vt:i4>1441846</vt:i4>
      </vt:variant>
      <vt:variant>
        <vt:i4>50</vt:i4>
      </vt:variant>
      <vt:variant>
        <vt:i4>0</vt:i4>
      </vt:variant>
      <vt:variant>
        <vt:i4>5</vt:i4>
      </vt:variant>
      <vt:variant>
        <vt:lpwstr/>
      </vt:variant>
      <vt:variant>
        <vt:lpwstr>_Toc143600436</vt:lpwstr>
      </vt:variant>
      <vt:variant>
        <vt:i4>1441846</vt:i4>
      </vt:variant>
      <vt:variant>
        <vt:i4>44</vt:i4>
      </vt:variant>
      <vt:variant>
        <vt:i4>0</vt:i4>
      </vt:variant>
      <vt:variant>
        <vt:i4>5</vt:i4>
      </vt:variant>
      <vt:variant>
        <vt:lpwstr/>
      </vt:variant>
      <vt:variant>
        <vt:lpwstr>_Toc143600435</vt:lpwstr>
      </vt:variant>
      <vt:variant>
        <vt:i4>1441846</vt:i4>
      </vt:variant>
      <vt:variant>
        <vt:i4>38</vt:i4>
      </vt:variant>
      <vt:variant>
        <vt:i4>0</vt:i4>
      </vt:variant>
      <vt:variant>
        <vt:i4>5</vt:i4>
      </vt:variant>
      <vt:variant>
        <vt:lpwstr/>
      </vt:variant>
      <vt:variant>
        <vt:lpwstr>_Toc143600434</vt:lpwstr>
      </vt:variant>
      <vt:variant>
        <vt:i4>1441846</vt:i4>
      </vt:variant>
      <vt:variant>
        <vt:i4>32</vt:i4>
      </vt:variant>
      <vt:variant>
        <vt:i4>0</vt:i4>
      </vt:variant>
      <vt:variant>
        <vt:i4>5</vt:i4>
      </vt:variant>
      <vt:variant>
        <vt:lpwstr/>
      </vt:variant>
      <vt:variant>
        <vt:lpwstr>_Toc143600433</vt:lpwstr>
      </vt:variant>
      <vt:variant>
        <vt:i4>1441846</vt:i4>
      </vt:variant>
      <vt:variant>
        <vt:i4>26</vt:i4>
      </vt:variant>
      <vt:variant>
        <vt:i4>0</vt:i4>
      </vt:variant>
      <vt:variant>
        <vt:i4>5</vt:i4>
      </vt:variant>
      <vt:variant>
        <vt:lpwstr/>
      </vt:variant>
      <vt:variant>
        <vt:lpwstr>_Toc143600432</vt:lpwstr>
      </vt:variant>
      <vt:variant>
        <vt:i4>1441846</vt:i4>
      </vt:variant>
      <vt:variant>
        <vt:i4>20</vt:i4>
      </vt:variant>
      <vt:variant>
        <vt:i4>0</vt:i4>
      </vt:variant>
      <vt:variant>
        <vt:i4>5</vt:i4>
      </vt:variant>
      <vt:variant>
        <vt:lpwstr/>
      </vt:variant>
      <vt:variant>
        <vt:lpwstr>_Toc143600431</vt:lpwstr>
      </vt:variant>
      <vt:variant>
        <vt:i4>1441846</vt:i4>
      </vt:variant>
      <vt:variant>
        <vt:i4>14</vt:i4>
      </vt:variant>
      <vt:variant>
        <vt:i4>0</vt:i4>
      </vt:variant>
      <vt:variant>
        <vt:i4>5</vt:i4>
      </vt:variant>
      <vt:variant>
        <vt:lpwstr/>
      </vt:variant>
      <vt:variant>
        <vt:lpwstr>_Toc143600430</vt:lpwstr>
      </vt:variant>
      <vt:variant>
        <vt:i4>1507382</vt:i4>
      </vt:variant>
      <vt:variant>
        <vt:i4>8</vt:i4>
      </vt:variant>
      <vt:variant>
        <vt:i4>0</vt:i4>
      </vt:variant>
      <vt:variant>
        <vt:i4>5</vt:i4>
      </vt:variant>
      <vt:variant>
        <vt:lpwstr/>
      </vt:variant>
      <vt:variant>
        <vt:lpwstr>_Toc143600429</vt:lpwstr>
      </vt:variant>
      <vt:variant>
        <vt:i4>1507382</vt:i4>
      </vt:variant>
      <vt:variant>
        <vt:i4>2</vt:i4>
      </vt:variant>
      <vt:variant>
        <vt:i4>0</vt:i4>
      </vt:variant>
      <vt:variant>
        <vt:i4>5</vt:i4>
      </vt:variant>
      <vt:variant>
        <vt:lpwstr/>
      </vt:variant>
      <vt:variant>
        <vt:lpwstr>_Toc143600428</vt:lpwstr>
      </vt:variant>
      <vt:variant>
        <vt:i4>4521994</vt:i4>
      </vt:variant>
      <vt:variant>
        <vt:i4>111</vt:i4>
      </vt:variant>
      <vt:variant>
        <vt:i4>0</vt:i4>
      </vt:variant>
      <vt:variant>
        <vt:i4>5</vt:i4>
      </vt:variant>
      <vt:variant>
        <vt:lpwstr>https://www.ietf.org/archive/id/draft-ietf-oauth-rar-03.html</vt:lpwstr>
      </vt:variant>
      <vt:variant>
        <vt:lpwstr/>
      </vt:variant>
      <vt:variant>
        <vt:i4>5963901</vt:i4>
      </vt:variant>
      <vt:variant>
        <vt:i4>108</vt:i4>
      </vt:variant>
      <vt:variant>
        <vt:i4>0</vt:i4>
      </vt:variant>
      <vt:variant>
        <vt:i4>5</vt:i4>
      </vt:variant>
      <vt:variant>
        <vt:lpwstr>https://openid.net/specs/fapi-2_0-security-02.html</vt:lpwstr>
      </vt:variant>
      <vt:variant>
        <vt:lpwstr/>
      </vt:variant>
      <vt:variant>
        <vt:i4>2621491</vt:i4>
      </vt:variant>
      <vt:variant>
        <vt:i4>105</vt:i4>
      </vt:variant>
      <vt:variant>
        <vt:i4>0</vt:i4>
      </vt:variant>
      <vt:variant>
        <vt:i4>5</vt:i4>
      </vt:variant>
      <vt:variant>
        <vt:lpwstr>https://treasury.gov.au/publication/inquiry-future-directions-consumer-data-right-final-report</vt:lpwstr>
      </vt:variant>
      <vt:variant>
        <vt:lpwstr/>
      </vt:variant>
      <vt:variant>
        <vt:i4>6750246</vt:i4>
      </vt:variant>
      <vt:variant>
        <vt:i4>102</vt:i4>
      </vt:variant>
      <vt:variant>
        <vt:i4>0</vt:i4>
      </vt:variant>
      <vt:variant>
        <vt:i4>5</vt:i4>
      </vt:variant>
      <vt:variant>
        <vt:lpwstr>https://github.com/ConsumerDataStandardsAustralia/standards/issues/183</vt:lpwstr>
      </vt:variant>
      <vt:variant>
        <vt:lpwstr/>
      </vt:variant>
      <vt:variant>
        <vt:i4>2621491</vt:i4>
      </vt:variant>
      <vt:variant>
        <vt:i4>99</vt:i4>
      </vt:variant>
      <vt:variant>
        <vt:i4>0</vt:i4>
      </vt:variant>
      <vt:variant>
        <vt:i4>5</vt:i4>
      </vt:variant>
      <vt:variant>
        <vt:lpwstr>https://treasury.gov.au/publication/inquiry-future-directions-consumer-data-right-final-report</vt:lpwstr>
      </vt:variant>
      <vt:variant>
        <vt:lpwstr/>
      </vt:variant>
      <vt:variant>
        <vt:i4>6815859</vt:i4>
      </vt:variant>
      <vt:variant>
        <vt:i4>96</vt:i4>
      </vt:variant>
      <vt:variant>
        <vt:i4>0</vt:i4>
      </vt:variant>
      <vt:variant>
        <vt:i4>5</vt:i4>
      </vt:variant>
      <vt:variant>
        <vt:lpwstr>https://consumerdatastandards.gov.au/2020/10/amending-consent-workshop</vt:lpwstr>
      </vt:variant>
      <vt:variant>
        <vt:lpwstr/>
      </vt:variant>
      <vt:variant>
        <vt:i4>4456541</vt:i4>
      </vt:variant>
      <vt:variant>
        <vt:i4>93</vt:i4>
      </vt:variant>
      <vt:variant>
        <vt:i4>0</vt:i4>
      </vt:variant>
      <vt:variant>
        <vt:i4>5</vt:i4>
      </vt:variant>
      <vt:variant>
        <vt:lpwstr>https://www.oecd-ilibrary.org/docserver/44f5e846-en.pdf?expires=1678334845&amp;id=id&amp;accname=guest&amp;checksum=CF59D75225692D66168D5F59C072509B</vt:lpwstr>
      </vt:variant>
      <vt:variant>
        <vt:lpwstr/>
      </vt:variant>
      <vt:variant>
        <vt:i4>5439530</vt:i4>
      </vt:variant>
      <vt:variant>
        <vt:i4>90</vt:i4>
      </vt:variant>
      <vt:variant>
        <vt:i4>0</vt:i4>
      </vt:variant>
      <vt:variant>
        <vt:i4>5</vt:i4>
      </vt:variant>
      <vt:variant>
        <vt:lpwstr>https://www.accc.gov.au/system/files/DPB - DPSI - September 2021 - Full Report - 30 September 2021 %283%29_1.pdf</vt:lpwstr>
      </vt:variant>
      <vt:variant>
        <vt:lpwstr/>
      </vt:variant>
      <vt:variant>
        <vt:i4>4456541</vt:i4>
      </vt:variant>
      <vt:variant>
        <vt:i4>87</vt:i4>
      </vt:variant>
      <vt:variant>
        <vt:i4>0</vt:i4>
      </vt:variant>
      <vt:variant>
        <vt:i4>5</vt:i4>
      </vt:variant>
      <vt:variant>
        <vt:lpwstr>https://www.oecd-ilibrary.org/docserver/44f5e846-en.pdf?expires=1678334845&amp;id=id&amp;accname=guest&amp;checksum=CF59D75225692D66168D5F59C072509B</vt:lpwstr>
      </vt:variant>
      <vt:variant>
        <vt:lpwstr/>
      </vt:variant>
      <vt:variant>
        <vt:i4>7929906</vt:i4>
      </vt:variant>
      <vt:variant>
        <vt:i4>84</vt:i4>
      </vt:variant>
      <vt:variant>
        <vt:i4>0</vt:i4>
      </vt:variant>
      <vt:variant>
        <vt:i4>5</vt:i4>
      </vt:variant>
      <vt:variant>
        <vt:lpwstr>https://cprc.org.au/wp-content/uploads/2022/06/CPRC-Duped-by-Design-Final-Report-June-2022.pdf</vt:lpwstr>
      </vt:variant>
      <vt:variant>
        <vt:lpwstr/>
      </vt:variant>
      <vt:variant>
        <vt:i4>7929903</vt:i4>
      </vt:variant>
      <vt:variant>
        <vt:i4>81</vt:i4>
      </vt:variant>
      <vt:variant>
        <vt:i4>0</vt:i4>
      </vt:variant>
      <vt:variant>
        <vt:i4>5</vt:i4>
      </vt:variant>
      <vt:variant>
        <vt:lpwstr>https://www.accc.gov.au/about-us/publications/serial-publications/digital-platform-services-inquiry-2020-2025/digital-platform-services-inquiry-september-2022-interim-report-regulatory-reform</vt:lpwstr>
      </vt:variant>
      <vt:variant>
        <vt:lpwstr/>
      </vt:variant>
      <vt:variant>
        <vt:i4>7929903</vt:i4>
      </vt:variant>
      <vt:variant>
        <vt:i4>78</vt:i4>
      </vt:variant>
      <vt:variant>
        <vt:i4>0</vt:i4>
      </vt:variant>
      <vt:variant>
        <vt:i4>5</vt:i4>
      </vt:variant>
      <vt:variant>
        <vt:lpwstr>https://www.accc.gov.au/about-us/publications/serial-publications/digital-platform-services-inquiry-2020-2025/digital-platform-services-inquiry-september-2022-interim-report-regulatory-reform</vt:lpwstr>
      </vt:variant>
      <vt:variant>
        <vt:lpwstr/>
      </vt:variant>
      <vt:variant>
        <vt:i4>3145815</vt:i4>
      </vt:variant>
      <vt:variant>
        <vt:i4>75</vt:i4>
      </vt:variant>
      <vt:variant>
        <vt:i4>0</vt:i4>
      </vt:variant>
      <vt:variant>
        <vt:i4>5</vt:i4>
      </vt:variant>
      <vt:variant>
        <vt:lpwstr>https://consumerdatastandards.gov.au/sites/consumerdatastandards.gov.au/files/uploads/2020/09/CX-Report_Phase-3-Rounds-6.pdf</vt:lpwstr>
      </vt:variant>
      <vt:variant>
        <vt:lpwstr/>
      </vt:variant>
      <vt:variant>
        <vt:i4>2752553</vt:i4>
      </vt:variant>
      <vt:variant>
        <vt:i4>72</vt:i4>
      </vt:variant>
      <vt:variant>
        <vt:i4>0</vt:i4>
      </vt:variant>
      <vt:variant>
        <vt:i4>5</vt:i4>
      </vt:variant>
      <vt:variant>
        <vt:lpwstr>https://consumerdatastandards.gov.au/sites/consumerdatastandards.gov.au/files/uploads/2019/07/Phase-2-CX-_-Stream-3-_-Authenticate-Notify-Reauthorise.pdf</vt:lpwstr>
      </vt:variant>
      <vt:variant>
        <vt:lpwstr/>
      </vt:variant>
      <vt:variant>
        <vt:i4>7602232</vt:i4>
      </vt:variant>
      <vt:variant>
        <vt:i4>69</vt:i4>
      </vt:variant>
      <vt:variant>
        <vt:i4>0</vt:i4>
      </vt:variant>
      <vt:variant>
        <vt:i4>5</vt:i4>
      </vt:variant>
      <vt:variant>
        <vt:lpwstr>https://d61cds.notion.site/Collection-and-use-consents-fcf5e47455274d26b028d218b22f017a</vt:lpwstr>
      </vt:variant>
      <vt:variant>
        <vt:lpwstr>152ce08b75e64d5c9924ee1eaad87bec</vt:lpwstr>
      </vt:variant>
      <vt:variant>
        <vt:i4>4587594</vt:i4>
      </vt:variant>
      <vt:variant>
        <vt:i4>66</vt:i4>
      </vt:variant>
      <vt:variant>
        <vt:i4>0</vt:i4>
      </vt:variant>
      <vt:variant>
        <vt:i4>5</vt:i4>
      </vt:variant>
      <vt:variant>
        <vt:lpwstr>https://consumerdatastandards.gov.au/sites/consumerdatastandards.gov.au/files/uploads/2020/07/CX-Report-_-Phase-3-_-Rounds4-and-5.pdf</vt:lpwstr>
      </vt:variant>
      <vt:variant>
        <vt:lpwstr/>
      </vt:variant>
      <vt:variant>
        <vt:i4>5046293</vt:i4>
      </vt:variant>
      <vt:variant>
        <vt:i4>63</vt:i4>
      </vt:variant>
      <vt:variant>
        <vt:i4>0</vt:i4>
      </vt:variant>
      <vt:variant>
        <vt:i4>5</vt:i4>
      </vt:variant>
      <vt:variant>
        <vt:lpwstr>https://d61cds.notion.site/22Q3-Research-R1-3-Consent-Review-Report-432a35e5adb5463bb4e532535d9fed5c</vt:lpwstr>
      </vt:variant>
      <vt:variant>
        <vt:lpwstr/>
      </vt:variant>
      <vt:variant>
        <vt:i4>5439553</vt:i4>
      </vt:variant>
      <vt:variant>
        <vt:i4>60</vt:i4>
      </vt:variant>
      <vt:variant>
        <vt:i4>0</vt:i4>
      </vt:variant>
      <vt:variant>
        <vt:i4>5</vt:i4>
      </vt:variant>
      <vt:variant>
        <vt:lpwstr>https://consumerdatastandards.gov.au/engagement/reports/reports-cx/phase-3-cx-reports</vt:lpwstr>
      </vt:variant>
      <vt:variant>
        <vt:lpwstr/>
      </vt:variant>
      <vt:variant>
        <vt:i4>7602232</vt:i4>
      </vt:variant>
      <vt:variant>
        <vt:i4>57</vt:i4>
      </vt:variant>
      <vt:variant>
        <vt:i4>0</vt:i4>
      </vt:variant>
      <vt:variant>
        <vt:i4>5</vt:i4>
      </vt:variant>
      <vt:variant>
        <vt:lpwstr>https://d61cds.notion.site/Collection-and-use-consents-fcf5e47455274d26b028d218b22f017a</vt:lpwstr>
      </vt:variant>
      <vt:variant>
        <vt:lpwstr>152ce08b75e64d5c9924ee1eaad87bec</vt:lpwstr>
      </vt:variant>
      <vt:variant>
        <vt:i4>3080306</vt:i4>
      </vt:variant>
      <vt:variant>
        <vt:i4>54</vt:i4>
      </vt:variant>
      <vt:variant>
        <vt:i4>0</vt:i4>
      </vt:variant>
      <vt:variant>
        <vt:i4>5</vt:i4>
      </vt:variant>
      <vt:variant>
        <vt:lpwstr>https://consumerdatastandardsaustralia.github.io/standards/</vt:lpwstr>
      </vt:variant>
      <vt:variant>
        <vt:lpwstr>withdrawal-standards</vt:lpwstr>
      </vt:variant>
      <vt:variant>
        <vt:i4>4128817</vt:i4>
      </vt:variant>
      <vt:variant>
        <vt:i4>51</vt:i4>
      </vt:variant>
      <vt:variant>
        <vt:i4>0</vt:i4>
      </vt:variant>
      <vt:variant>
        <vt:i4>5</vt:i4>
      </vt:variant>
      <vt:variant>
        <vt:lpwstr>https://consumerdatastandardsaustralia.github.io/standards/</vt:lpwstr>
      </vt:variant>
      <vt:variant>
        <vt:lpwstr>amending-authorisation-standards</vt:lpwstr>
      </vt:variant>
      <vt:variant>
        <vt:i4>5046293</vt:i4>
      </vt:variant>
      <vt:variant>
        <vt:i4>48</vt:i4>
      </vt:variant>
      <vt:variant>
        <vt:i4>0</vt:i4>
      </vt:variant>
      <vt:variant>
        <vt:i4>5</vt:i4>
      </vt:variant>
      <vt:variant>
        <vt:lpwstr>https://d61cds.notion.site/22Q3-Research-R1-3-Consent-Review-Report-432a35e5adb5463bb4e532535d9fed5c</vt:lpwstr>
      </vt:variant>
      <vt:variant>
        <vt:lpwstr/>
      </vt:variant>
      <vt:variant>
        <vt:i4>5439553</vt:i4>
      </vt:variant>
      <vt:variant>
        <vt:i4>45</vt:i4>
      </vt:variant>
      <vt:variant>
        <vt:i4>0</vt:i4>
      </vt:variant>
      <vt:variant>
        <vt:i4>5</vt:i4>
      </vt:variant>
      <vt:variant>
        <vt:lpwstr>https://consumerdatastandards.gov.au/engagement/reports/reports-cx/phase-3-cx-reports</vt:lpwstr>
      </vt:variant>
      <vt:variant>
        <vt:lpwstr/>
      </vt:variant>
      <vt:variant>
        <vt:i4>7798816</vt:i4>
      </vt:variant>
      <vt:variant>
        <vt:i4>42</vt:i4>
      </vt:variant>
      <vt:variant>
        <vt:i4>0</vt:i4>
      </vt:variant>
      <vt:variant>
        <vt:i4>5</vt:i4>
      </vt:variant>
      <vt:variant>
        <vt:lpwstr>https://cdr-support.zendesk.com/hc/en-us/articles/900005316646-Guidance-on-screen-scraping</vt:lpwstr>
      </vt:variant>
      <vt:variant>
        <vt:lpwstr/>
      </vt:variant>
      <vt:variant>
        <vt:i4>7340095</vt:i4>
      </vt:variant>
      <vt:variant>
        <vt:i4>39</vt:i4>
      </vt:variant>
      <vt:variant>
        <vt:i4>0</vt:i4>
      </vt:variant>
      <vt:variant>
        <vt:i4>5</vt:i4>
      </vt:variant>
      <vt:variant>
        <vt:lpwstr>https://consumerdatastandardsaustralia.github.io/standards/</vt:lpwstr>
      </vt:variant>
      <vt:variant>
        <vt:lpwstr>consent-standards</vt:lpwstr>
      </vt:variant>
      <vt:variant>
        <vt:i4>6357033</vt:i4>
      </vt:variant>
      <vt:variant>
        <vt:i4>36</vt:i4>
      </vt:variant>
      <vt:variant>
        <vt:i4>0</vt:i4>
      </vt:variant>
      <vt:variant>
        <vt:i4>5</vt:i4>
      </vt:variant>
      <vt:variant>
        <vt:lpwstr>https://www.notion.so/d61cds/21Q4-1CO3-1CO4-R1-2-Disclosure-Consent-Research-Report-781e77be95574e79aaba9af4af17895a?pvs=4</vt:lpwstr>
      </vt:variant>
      <vt:variant>
        <vt:lpwstr/>
      </vt:variant>
      <vt:variant>
        <vt:i4>5701724</vt:i4>
      </vt:variant>
      <vt:variant>
        <vt:i4>33</vt:i4>
      </vt:variant>
      <vt:variant>
        <vt:i4>0</vt:i4>
      </vt:variant>
      <vt:variant>
        <vt:i4>5</vt:i4>
      </vt:variant>
      <vt:variant>
        <vt:lpwstr>https://www.oaic.gov.au/privacy/australian-privacy-principles/australian-privacy-principles-guidelines/chapter-b-key-concepts</vt:lpwstr>
      </vt:variant>
      <vt:variant>
        <vt:lpwstr/>
      </vt:variant>
      <vt:variant>
        <vt:i4>3342387</vt:i4>
      </vt:variant>
      <vt:variant>
        <vt:i4>30</vt:i4>
      </vt:variant>
      <vt:variant>
        <vt:i4>0</vt:i4>
      </vt:variant>
      <vt:variant>
        <vt:i4>5</vt:i4>
      </vt:variant>
      <vt:variant>
        <vt:lpwstr>https://www.oaic.gov.au/consumer-data-right/cdr-privacy-safeguard-guidelines/chapter-c-consent-the-basis-for-collecting-and-using-cdr-data</vt:lpwstr>
      </vt:variant>
      <vt:variant>
        <vt:lpwstr/>
      </vt:variant>
      <vt:variant>
        <vt:i4>7274539</vt:i4>
      </vt:variant>
      <vt:variant>
        <vt:i4>27</vt:i4>
      </vt:variant>
      <vt:variant>
        <vt:i4>0</vt:i4>
      </vt:variant>
      <vt:variant>
        <vt:i4>5</vt:i4>
      </vt:variant>
      <vt:variant>
        <vt:lpwstr>https://github.com/ConsumerDataStandardsAustralia/standards/issues/258</vt:lpwstr>
      </vt:variant>
      <vt:variant>
        <vt:lpwstr/>
      </vt:variant>
      <vt:variant>
        <vt:i4>6750246</vt:i4>
      </vt:variant>
      <vt:variant>
        <vt:i4>24</vt:i4>
      </vt:variant>
      <vt:variant>
        <vt:i4>0</vt:i4>
      </vt:variant>
      <vt:variant>
        <vt:i4>5</vt:i4>
      </vt:variant>
      <vt:variant>
        <vt:lpwstr>https://github.com/ConsumerDataStandardsAustralia/standards/issues/280</vt:lpwstr>
      </vt:variant>
      <vt:variant>
        <vt:lpwstr/>
      </vt:variant>
      <vt:variant>
        <vt:i4>6553641</vt:i4>
      </vt:variant>
      <vt:variant>
        <vt:i4>21</vt:i4>
      </vt:variant>
      <vt:variant>
        <vt:i4>0</vt:i4>
      </vt:variant>
      <vt:variant>
        <vt:i4>5</vt:i4>
      </vt:variant>
      <vt:variant>
        <vt:lpwstr>https://github.com/ConsumerDataStandardsAustralia/standards/issues/273</vt:lpwstr>
      </vt:variant>
      <vt:variant>
        <vt:lpwstr/>
      </vt:variant>
      <vt:variant>
        <vt:i4>2621497</vt:i4>
      </vt:variant>
      <vt:variant>
        <vt:i4>18</vt:i4>
      </vt:variant>
      <vt:variant>
        <vt:i4>0</vt:i4>
      </vt:variant>
      <vt:variant>
        <vt:i4>5</vt:i4>
      </vt:variant>
      <vt:variant>
        <vt:lpwstr>https://www.ag.gov.au/rights-and-protections/publications/privacy-act-review-report</vt:lpwstr>
      </vt:variant>
      <vt:variant>
        <vt:lpwstr/>
      </vt:variant>
      <vt:variant>
        <vt:i4>2621497</vt:i4>
      </vt:variant>
      <vt:variant>
        <vt:i4>15</vt:i4>
      </vt:variant>
      <vt:variant>
        <vt:i4>0</vt:i4>
      </vt:variant>
      <vt:variant>
        <vt:i4>5</vt:i4>
      </vt:variant>
      <vt:variant>
        <vt:lpwstr>https://www.ag.gov.au/rights-and-protections/publications/privacy-act-review-report</vt:lpwstr>
      </vt:variant>
      <vt:variant>
        <vt:lpwstr/>
      </vt:variant>
      <vt:variant>
        <vt:i4>2621497</vt:i4>
      </vt:variant>
      <vt:variant>
        <vt:i4>12</vt:i4>
      </vt:variant>
      <vt:variant>
        <vt:i4>0</vt:i4>
      </vt:variant>
      <vt:variant>
        <vt:i4>5</vt:i4>
      </vt:variant>
      <vt:variant>
        <vt:lpwstr>https://www.ag.gov.au/rights-and-protections/publications/privacy-act-review-report</vt:lpwstr>
      </vt:variant>
      <vt:variant>
        <vt:lpwstr/>
      </vt:variant>
      <vt:variant>
        <vt:i4>4259870</vt:i4>
      </vt:variant>
      <vt:variant>
        <vt:i4>9</vt:i4>
      </vt:variant>
      <vt:variant>
        <vt:i4>0</vt:i4>
      </vt:variant>
      <vt:variant>
        <vt:i4>5</vt:i4>
      </vt:variant>
      <vt:variant>
        <vt:lpwstr>https://www.aph.gov.au/Parliamentary_Business/Bills_Legislation/Bills_Search_Results/Result?bId=r6950</vt:lpwstr>
      </vt:variant>
      <vt:variant>
        <vt:lpwstr/>
      </vt:variant>
      <vt:variant>
        <vt:i4>1310810</vt:i4>
      </vt:variant>
      <vt:variant>
        <vt:i4>6</vt:i4>
      </vt:variant>
      <vt:variant>
        <vt:i4>0</vt:i4>
      </vt:variant>
      <vt:variant>
        <vt:i4>5</vt:i4>
      </vt:variant>
      <vt:variant>
        <vt:lpwstr>https://treasury.gov.au/consultation/c2022-317468</vt:lpwstr>
      </vt:variant>
      <vt:variant>
        <vt:lpwstr/>
      </vt:variant>
      <vt:variant>
        <vt:i4>2359421</vt:i4>
      </vt:variant>
      <vt:variant>
        <vt:i4>3</vt:i4>
      </vt:variant>
      <vt:variant>
        <vt:i4>0</vt:i4>
      </vt:variant>
      <vt:variant>
        <vt:i4>5</vt:i4>
      </vt:variant>
      <vt:variant>
        <vt:lpwstr>https://consumerdatastandards.gov.au/engagement/reports/reports-cx</vt:lpwstr>
      </vt:variant>
      <vt:variant>
        <vt:lpwstr/>
      </vt:variant>
      <vt:variant>
        <vt:i4>5046293</vt:i4>
      </vt:variant>
      <vt:variant>
        <vt:i4>0</vt:i4>
      </vt:variant>
      <vt:variant>
        <vt:i4>0</vt:i4>
      </vt:variant>
      <vt:variant>
        <vt:i4>5</vt:i4>
      </vt:variant>
      <vt:variant>
        <vt:lpwstr>https://d61cds.notion.site/22Q3-Research-R1-3-Consent-Review-Report-432a35e5adb5463bb4e532535d9fed5c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 Consent Review - CDR rules and data standards design paper</dc:title>
  <dc:subject/>
  <dc:creator>Treasury</dc:creator>
  <cp:keywords/>
  <cp:lastModifiedBy>Hill, Christine</cp:lastModifiedBy>
  <cp:revision>6</cp:revision>
  <cp:lastPrinted>2023-08-23T07:54:00Z</cp:lastPrinted>
  <dcterms:created xsi:type="dcterms:W3CDTF">2023-08-23T07:34:00Z</dcterms:created>
  <dcterms:modified xsi:type="dcterms:W3CDTF">2023-08-24T00:22:00Z</dcterms:modified>
</cp:coreProperties>
</file>