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7B2B8ADE"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3C192C7" wp14:editId="09F54258">
                <wp:simplePos x="0" y="0"/>
                <wp:positionH relativeFrom="page">
                  <wp:align>center</wp:align>
                </wp:positionH>
                <wp:positionV relativeFrom="page">
                  <wp:align>center</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507B5910" w14:textId="77777777" w:rsidR="00A652B8" w:rsidRPr="006D0240" w:rsidRDefault="00A652B8" w:rsidP="001D4EAA">
          <w:pPr>
            <w:pStyle w:val="Header"/>
            <w:spacing w:after="1320"/>
            <w:jc w:val="left"/>
          </w:pPr>
        </w:p>
        <w:p w14:paraId="2714A2BD" w14:textId="238699A2" w:rsidR="00A652B8" w:rsidRPr="001D4EAA" w:rsidRDefault="00EF6862" w:rsidP="001D4EAA">
          <w:pPr>
            <w:pStyle w:val="Title"/>
          </w:pPr>
          <w:r>
            <w:t>Payment Times Procurement Connected Policy</w:t>
          </w:r>
        </w:p>
        <w:p w14:paraId="5DB40406" w14:textId="05FF51A6" w:rsidR="00A652B8" w:rsidRPr="001D4EAA" w:rsidRDefault="00EF6862" w:rsidP="00082FC2">
          <w:pPr>
            <w:pStyle w:val="Subtitle"/>
            <w:spacing w:after="240"/>
          </w:pPr>
          <w:r>
            <w:t>Guidelines</w:t>
          </w:r>
        </w:p>
        <w:p w14:paraId="5E0B5270" w14:textId="3723E52D" w:rsidR="00A652B8" w:rsidRDefault="00A652B8" w:rsidP="001D4EAA">
          <w:pPr>
            <w:pStyle w:val="ReportDate"/>
            <w:rPr>
              <w:rFonts w:ascii="Rockwell" w:hAnsi="Rockwell"/>
              <w:sz w:val="24"/>
            </w:rPr>
          </w:pPr>
        </w:p>
        <w:p w14:paraId="2DFD3BA6" w14:textId="77777777" w:rsidR="00A652B8" w:rsidRDefault="00A652B8" w:rsidP="00775702">
          <w:pPr>
            <w:spacing w:after="1640"/>
          </w:pPr>
        </w:p>
        <w:p w14:paraId="23726865" w14:textId="6E11FFB9" w:rsidR="000E0B74" w:rsidRDefault="00A652B8" w:rsidP="00D76DBD">
          <w:pPr>
            <w:spacing w:before="0" w:after="160" w:line="259" w:lineRule="auto"/>
            <w:sectPr w:rsidR="000E0B74" w:rsidSect="00DE223B">
              <w:pgSz w:w="11906" w:h="16838" w:code="9"/>
              <w:pgMar w:top="1843" w:right="1418" w:bottom="1418" w:left="1418" w:header="709" w:footer="709" w:gutter="0"/>
              <w:pgNumType w:fmt="lowerRoman" w:start="0"/>
              <w:cols w:space="720"/>
              <w:titlePg/>
              <w:docGrid w:linePitch="299"/>
            </w:sectPr>
          </w:pPr>
          <w:r>
            <w:br w:type="page"/>
          </w:r>
        </w:p>
      </w:sdtContent>
    </w:sdt>
    <w:p w14:paraId="082059D7" w14:textId="2430F8E1" w:rsidR="000E0B74" w:rsidRDefault="000E0B74" w:rsidP="000E0B74">
      <w:pPr>
        <w:spacing w:before="240"/>
      </w:pPr>
      <w:r w:rsidRPr="00661BF0">
        <w:lastRenderedPageBreak/>
        <w:t xml:space="preserve">© Commonwealth of </w:t>
      </w:r>
      <w:r w:rsidRPr="007E58E4">
        <w:t>Australia 20</w:t>
      </w:r>
      <w:r w:rsidR="00EF2FBF" w:rsidRPr="007E58E4">
        <w:t>2</w:t>
      </w:r>
      <w:r w:rsidR="007E58E4" w:rsidRPr="007E58E4">
        <w:t>3</w:t>
      </w:r>
    </w:p>
    <w:p w14:paraId="5C233BC9" w14:textId="219C9FC5"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7E58E4">
        <w:t>.</w:t>
      </w:r>
      <w:r w:rsidRPr="002F1BC2">
        <w:t xml:space="preserve">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EB96E14" w14:textId="77777777" w:rsidR="000E0B74" w:rsidRDefault="000E0B74" w:rsidP="000E0B74">
      <w:pPr>
        <w:pStyle w:val="ChartGraphic"/>
        <w:jc w:val="left"/>
      </w:pPr>
      <w:r w:rsidRPr="00E56DFB">
        <w:rPr>
          <w:noProof/>
          <w:lang w:eastAsia="zh-CN"/>
        </w:rPr>
        <w:drawing>
          <wp:inline distT="0" distB="0" distL="0" distR="0" wp14:anchorId="0FA61416" wp14:editId="715D4C3B">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AC0C9DC"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10CD989" w14:textId="4BF3BEA1" w:rsidR="000E0B74" w:rsidRPr="0031276E" w:rsidRDefault="000E0B74" w:rsidP="0031276E">
      <w:pPr>
        <w:spacing w:before="240"/>
        <w:rPr>
          <w:b/>
        </w:rPr>
      </w:pPr>
      <w:r w:rsidRPr="0031276E">
        <w:rPr>
          <w:b/>
        </w:rPr>
        <w:t xml:space="preserve">Treasury material used </w:t>
      </w:r>
      <w:r w:rsidR="008C33E8">
        <w:rPr>
          <w:b/>
        </w:rPr>
        <w:t>‘</w:t>
      </w:r>
      <w:r w:rsidRPr="0031276E">
        <w:rPr>
          <w:b/>
        </w:rPr>
        <w:t>as supplied</w:t>
      </w:r>
      <w:r w:rsidR="008C33E8">
        <w:rPr>
          <w:b/>
        </w:rPr>
        <w:t>’</w:t>
      </w:r>
      <w:r w:rsidRPr="0031276E">
        <w:rPr>
          <w:b/>
        </w:rPr>
        <w:t>.</w:t>
      </w:r>
    </w:p>
    <w:p w14:paraId="350223BA" w14:textId="1033C90A"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862276">
        <w:t xml:space="preserve"> – </w:t>
      </w:r>
      <w:r>
        <w:t>then Treasury prefers t</w:t>
      </w:r>
      <w:r w:rsidRPr="00476F09">
        <w:t xml:space="preserve">he following attribution: </w:t>
      </w:r>
    </w:p>
    <w:p w14:paraId="2E2170EF" w14:textId="60D34839" w:rsidR="000E0B74" w:rsidRPr="00A13A11" w:rsidRDefault="000E0B74" w:rsidP="000E0B74">
      <w:pPr>
        <w:ind w:firstLine="720"/>
      </w:pPr>
      <w:r w:rsidRPr="002F1BC2">
        <w:rPr>
          <w:i/>
        </w:rPr>
        <w:t xml:space="preserve">Source: The </w:t>
      </w:r>
      <w:r w:rsidRPr="002F1BC2">
        <w:rPr>
          <w:i/>
          <w:iCs/>
        </w:rPr>
        <w:t>Australian Government the Treasury</w:t>
      </w:r>
      <w:r>
        <w:t>.</w:t>
      </w:r>
    </w:p>
    <w:p w14:paraId="53F65CE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D57398D"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647A713" w14:textId="60A6C001" w:rsidR="000E0B74" w:rsidRPr="006627B4" w:rsidRDefault="000E0B74" w:rsidP="000E0B74">
      <w:pPr>
        <w:ind w:firstLine="720"/>
      </w:pPr>
      <w:r w:rsidRPr="002F1BC2">
        <w:rPr>
          <w:i/>
        </w:rPr>
        <w:t>Based on The Australian Government the Treasury data</w:t>
      </w:r>
      <w:r>
        <w:t>.</w:t>
      </w:r>
    </w:p>
    <w:p w14:paraId="05E13702" w14:textId="77777777" w:rsidR="000E0B74" w:rsidRPr="006627B4" w:rsidRDefault="000E0B74" w:rsidP="000E0B74">
      <w:pPr>
        <w:spacing w:before="240"/>
        <w:rPr>
          <w:b/>
        </w:rPr>
      </w:pPr>
      <w:r w:rsidRPr="006627B4">
        <w:rPr>
          <w:b/>
        </w:rPr>
        <w:t>Use of the Coat of Arms</w:t>
      </w:r>
    </w:p>
    <w:p w14:paraId="2C07F68F" w14:textId="631C40FD"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w:t>
        </w:r>
        <w:r w:rsidR="008C33E8">
          <w:rPr>
            <w:rStyle w:val="Hyperlink"/>
          </w:rPr>
          <w:noBreakHyphen/>
        </w:r>
        <w:r w:rsidR="00D0797D">
          <w:rPr>
            <w:rStyle w:val="Hyperlink"/>
          </w:rPr>
          <w:t>and</w:t>
        </w:r>
        <w:r w:rsidR="008C33E8">
          <w:rPr>
            <w:rStyle w:val="Hyperlink"/>
          </w:rPr>
          <w:noBreakHyphen/>
        </w:r>
        <w:r w:rsidR="00D0797D">
          <w:rPr>
            <w:rStyle w:val="Hyperlink"/>
          </w:rPr>
          <w:t>symbols/commonwealth</w:t>
        </w:r>
        <w:r w:rsidR="008C33E8">
          <w:rPr>
            <w:rStyle w:val="Hyperlink"/>
          </w:rPr>
          <w:noBreakHyphen/>
        </w:r>
        <w:r w:rsidR="00D0797D">
          <w:rPr>
            <w:rStyle w:val="Hyperlink"/>
          </w:rPr>
          <w:t>coat</w:t>
        </w:r>
        <w:r w:rsidR="008C33E8">
          <w:rPr>
            <w:rStyle w:val="Hyperlink"/>
          </w:rPr>
          <w:noBreakHyphen/>
        </w:r>
        <w:r w:rsidR="00D0797D">
          <w:rPr>
            <w:rStyle w:val="Hyperlink"/>
          </w:rPr>
          <w:t>arms</w:t>
        </w:r>
      </w:hyperlink>
      <w:r w:rsidRPr="004A7BC2">
        <w:t>).</w:t>
      </w:r>
    </w:p>
    <w:p w14:paraId="488A9395" w14:textId="77777777" w:rsidR="000E0B74" w:rsidRPr="006627B4" w:rsidRDefault="000E0B74" w:rsidP="000E0B74">
      <w:pPr>
        <w:spacing w:before="240"/>
        <w:rPr>
          <w:b/>
        </w:rPr>
      </w:pPr>
      <w:r>
        <w:rPr>
          <w:b/>
        </w:rPr>
        <w:t>Other u</w:t>
      </w:r>
      <w:r w:rsidRPr="006627B4">
        <w:rPr>
          <w:b/>
        </w:rPr>
        <w:t>ses</w:t>
      </w:r>
    </w:p>
    <w:p w14:paraId="074C877C" w14:textId="77777777" w:rsidR="000E0B74" w:rsidRPr="006627B4" w:rsidRDefault="000E0B74" w:rsidP="000E0B74">
      <w:r>
        <w:t>E</w:t>
      </w:r>
      <w:r w:rsidRPr="006627B4">
        <w:t>nquiries regarding this licence and any other use of this document are welcome at:</w:t>
      </w:r>
    </w:p>
    <w:p w14:paraId="1DF6570C"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7A5BCB7B" w14:textId="77777777" w:rsidR="000E0B74" w:rsidRDefault="000E0B74" w:rsidP="00110F67">
      <w:pPr>
        <w:pStyle w:val="SingleParagraph"/>
      </w:pPr>
    </w:p>
    <w:p w14:paraId="43C2BE91" w14:textId="328C626D" w:rsidR="007646AB" w:rsidRPr="00AC2126" w:rsidRDefault="007646AB" w:rsidP="00AC2126">
      <w:pPr>
        <w:rPr>
          <w:b/>
          <w:bCs/>
        </w:rPr>
      </w:pPr>
      <w:r w:rsidRPr="00AC2126">
        <w:rPr>
          <w:b/>
          <w:bCs/>
        </w:rPr>
        <w:t>Guideline versions</w:t>
      </w:r>
    </w:p>
    <w:tbl>
      <w:tblPr>
        <w:tblW w:w="5000" w:type="pct"/>
        <w:tblLook w:val="01E0" w:firstRow="1" w:lastRow="1" w:firstColumn="1" w:lastColumn="1" w:noHBand="0" w:noVBand="0"/>
      </w:tblPr>
      <w:tblGrid>
        <w:gridCol w:w="4535"/>
        <w:gridCol w:w="4535"/>
      </w:tblGrid>
      <w:tr w:rsidR="007646AB" w14:paraId="62285B89" w14:textId="77777777" w:rsidTr="002372A6">
        <w:trPr>
          <w:tblHeader/>
        </w:trPr>
        <w:tc>
          <w:tcPr>
            <w:tcW w:w="2500" w:type="pct"/>
            <w:shd w:val="clear" w:color="auto" w:fill="E5E5E5"/>
          </w:tcPr>
          <w:p w14:paraId="5BDA8B74" w14:textId="77777777" w:rsidR="007646AB" w:rsidRDefault="007646AB" w:rsidP="009764BA">
            <w:pPr>
              <w:pStyle w:val="TableTextLeft"/>
            </w:pPr>
            <w:r>
              <w:br w:type="page"/>
              <w:t>1.0</w:t>
            </w:r>
          </w:p>
          <w:p w14:paraId="133B5485" w14:textId="55BF727B" w:rsidR="007646AB" w:rsidRDefault="007646AB" w:rsidP="009764BA">
            <w:pPr>
              <w:pStyle w:val="TableTextLeft"/>
            </w:pPr>
          </w:p>
        </w:tc>
        <w:tc>
          <w:tcPr>
            <w:tcW w:w="2500" w:type="pct"/>
            <w:shd w:val="clear" w:color="auto" w:fill="E5E5E5"/>
          </w:tcPr>
          <w:p w14:paraId="14B74BCD" w14:textId="7D55E1FD" w:rsidR="007646AB" w:rsidRDefault="0064593F" w:rsidP="009764BA">
            <w:pPr>
              <w:pStyle w:val="TableTextLeft"/>
            </w:pPr>
            <w:r>
              <w:t xml:space="preserve">Initial issue </w:t>
            </w:r>
            <w:r w:rsidR="007646AB">
              <w:t>July 2021</w:t>
            </w:r>
            <w:r>
              <w:t>.</w:t>
            </w:r>
          </w:p>
          <w:p w14:paraId="662630BB" w14:textId="68B8CBC7" w:rsidR="007646AB" w:rsidRDefault="00D64488" w:rsidP="009764BA">
            <w:pPr>
              <w:pStyle w:val="TableTextLeft"/>
            </w:pPr>
            <w:r>
              <w:t xml:space="preserve"> </w:t>
            </w:r>
          </w:p>
        </w:tc>
      </w:tr>
      <w:tr w:rsidR="00B41611" w14:paraId="12D39611" w14:textId="77777777" w:rsidTr="002372A6">
        <w:trPr>
          <w:tblHeader/>
        </w:trPr>
        <w:tc>
          <w:tcPr>
            <w:tcW w:w="2500" w:type="pct"/>
            <w:shd w:val="clear" w:color="auto" w:fill="E5E5E5"/>
          </w:tcPr>
          <w:p w14:paraId="752B1EC9" w14:textId="64D37940" w:rsidR="00B41611" w:rsidRDefault="00B41611" w:rsidP="009764BA">
            <w:pPr>
              <w:pStyle w:val="TableTextLeft"/>
            </w:pPr>
            <w:r>
              <w:t>2.0</w:t>
            </w:r>
          </w:p>
        </w:tc>
        <w:tc>
          <w:tcPr>
            <w:tcW w:w="2500" w:type="pct"/>
            <w:shd w:val="clear" w:color="auto" w:fill="E5E5E5"/>
          </w:tcPr>
          <w:p w14:paraId="55063864" w14:textId="77777777" w:rsidR="00B41611" w:rsidRDefault="00B41611" w:rsidP="00B41611">
            <w:pPr>
              <w:pStyle w:val="TableTextLeft"/>
            </w:pPr>
            <w:r>
              <w:t xml:space="preserve">Latest version July 2023. </w:t>
            </w:r>
          </w:p>
          <w:p w14:paraId="1248EDB3" w14:textId="6AAE3DFA" w:rsidR="00B41611" w:rsidRDefault="00B41611" w:rsidP="00B41611">
            <w:pPr>
              <w:pStyle w:val="TableTextLeft"/>
            </w:pPr>
            <w:r>
              <w:rPr>
                <w:i/>
                <w:iCs/>
              </w:rPr>
              <w:t xml:space="preserve">Includes updates to </w:t>
            </w:r>
            <w:r w:rsidRPr="00BC3D9D">
              <w:rPr>
                <w:i/>
                <w:iCs/>
              </w:rPr>
              <w:t>Appendix A and formatting</w:t>
            </w:r>
            <w:r>
              <w:t>.</w:t>
            </w:r>
          </w:p>
        </w:tc>
      </w:tr>
    </w:tbl>
    <w:p w14:paraId="0E762747" w14:textId="278566BA" w:rsidR="007646AB" w:rsidRPr="007646AB" w:rsidRDefault="007646AB" w:rsidP="007646AB">
      <w:pPr>
        <w:sectPr w:rsidR="007646AB" w:rsidRPr="007646AB"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65CD7FF2" w14:textId="77777777" w:rsidR="000E0B74" w:rsidRPr="00354FBB" w:rsidRDefault="000E0B74" w:rsidP="00354FBB">
      <w:pPr>
        <w:pStyle w:val="Heading1"/>
      </w:pPr>
      <w:bookmarkStart w:id="0" w:name="_Toc139533044"/>
      <w:bookmarkStart w:id="1" w:name="_Toc140668082"/>
      <w:bookmarkStart w:id="2" w:name="_Toc140752992"/>
      <w:r w:rsidRPr="00354FBB">
        <w:lastRenderedPageBreak/>
        <w:t>Contents</w:t>
      </w:r>
      <w:bookmarkEnd w:id="0"/>
      <w:bookmarkEnd w:id="1"/>
      <w:bookmarkEnd w:id="2"/>
    </w:p>
    <w:p w14:paraId="1BBB8A22" w14:textId="0879CBBB" w:rsidR="00415412"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p>
    <w:p w14:paraId="04AEEB46" w14:textId="6F48FAFB" w:rsidR="00415412" w:rsidRDefault="0074627C">
      <w:pPr>
        <w:pStyle w:val="TOC1"/>
        <w:rPr>
          <w:rFonts w:asciiTheme="minorHAnsi" w:eastAsiaTheme="minorEastAsia" w:hAnsiTheme="minorHAnsi" w:cstheme="minorBidi"/>
          <w:b w:val="0"/>
          <w:color w:val="auto"/>
        </w:rPr>
      </w:pPr>
      <w:hyperlink w:anchor="_Toc140752993" w:history="1">
        <w:r w:rsidR="00415412" w:rsidRPr="00200F47">
          <w:rPr>
            <w:rStyle w:val="Hyperlink"/>
          </w:rPr>
          <w:t>Payment Times Procurement Connected Policy</w:t>
        </w:r>
        <w:r w:rsidR="00415412">
          <w:rPr>
            <w:webHidden/>
          </w:rPr>
          <w:tab/>
        </w:r>
        <w:r w:rsidR="00415412">
          <w:rPr>
            <w:webHidden/>
          </w:rPr>
          <w:fldChar w:fldCharType="begin"/>
        </w:r>
        <w:r w:rsidR="00415412">
          <w:rPr>
            <w:webHidden/>
          </w:rPr>
          <w:instrText xml:space="preserve"> PAGEREF _Toc140752993 \h </w:instrText>
        </w:r>
        <w:r w:rsidR="00415412">
          <w:rPr>
            <w:webHidden/>
          </w:rPr>
        </w:r>
        <w:r w:rsidR="00415412">
          <w:rPr>
            <w:webHidden/>
          </w:rPr>
          <w:fldChar w:fldCharType="separate"/>
        </w:r>
        <w:r w:rsidR="00F65B99">
          <w:rPr>
            <w:webHidden/>
          </w:rPr>
          <w:t>3</w:t>
        </w:r>
        <w:r w:rsidR="00415412">
          <w:rPr>
            <w:webHidden/>
          </w:rPr>
          <w:fldChar w:fldCharType="end"/>
        </w:r>
      </w:hyperlink>
    </w:p>
    <w:p w14:paraId="4584981C" w14:textId="6EA413BF" w:rsidR="00415412" w:rsidRDefault="0074627C">
      <w:pPr>
        <w:pStyle w:val="TOC1"/>
        <w:tabs>
          <w:tab w:val="left" w:pos="660"/>
        </w:tabs>
        <w:rPr>
          <w:rFonts w:asciiTheme="minorHAnsi" w:eastAsiaTheme="minorEastAsia" w:hAnsiTheme="minorHAnsi" w:cstheme="minorBidi"/>
          <w:b w:val="0"/>
          <w:color w:val="auto"/>
        </w:rPr>
      </w:pPr>
      <w:hyperlink w:anchor="_Toc140752994" w:history="1">
        <w:r w:rsidR="00415412" w:rsidRPr="00200F47">
          <w:rPr>
            <w:rStyle w:val="Hyperlink"/>
          </w:rPr>
          <w:t>1.</w:t>
        </w:r>
        <w:r w:rsidR="00415412">
          <w:rPr>
            <w:rFonts w:asciiTheme="minorHAnsi" w:eastAsiaTheme="minorEastAsia" w:hAnsiTheme="minorHAnsi" w:cstheme="minorBidi"/>
            <w:b w:val="0"/>
            <w:color w:val="auto"/>
          </w:rPr>
          <w:tab/>
        </w:r>
        <w:r w:rsidR="00415412" w:rsidRPr="00200F47">
          <w:rPr>
            <w:rStyle w:val="Hyperlink"/>
          </w:rPr>
          <w:t>Policy Overview</w:t>
        </w:r>
        <w:r w:rsidR="00415412">
          <w:rPr>
            <w:webHidden/>
          </w:rPr>
          <w:tab/>
        </w:r>
        <w:r w:rsidR="00415412">
          <w:rPr>
            <w:webHidden/>
          </w:rPr>
          <w:fldChar w:fldCharType="begin"/>
        </w:r>
        <w:r w:rsidR="00415412">
          <w:rPr>
            <w:webHidden/>
          </w:rPr>
          <w:instrText xml:space="preserve"> PAGEREF _Toc140752994 \h </w:instrText>
        </w:r>
        <w:r w:rsidR="00415412">
          <w:rPr>
            <w:webHidden/>
          </w:rPr>
        </w:r>
        <w:r w:rsidR="00415412">
          <w:rPr>
            <w:webHidden/>
          </w:rPr>
          <w:fldChar w:fldCharType="separate"/>
        </w:r>
        <w:r w:rsidR="00F65B99">
          <w:rPr>
            <w:webHidden/>
          </w:rPr>
          <w:t>3</w:t>
        </w:r>
        <w:r w:rsidR="00415412">
          <w:rPr>
            <w:webHidden/>
          </w:rPr>
          <w:fldChar w:fldCharType="end"/>
        </w:r>
      </w:hyperlink>
    </w:p>
    <w:p w14:paraId="0ACC4ACC" w14:textId="54BEC04A" w:rsidR="00415412" w:rsidRDefault="0074627C">
      <w:pPr>
        <w:pStyle w:val="TOC1"/>
        <w:tabs>
          <w:tab w:val="left" w:pos="660"/>
        </w:tabs>
        <w:rPr>
          <w:rFonts w:asciiTheme="minorHAnsi" w:eastAsiaTheme="minorEastAsia" w:hAnsiTheme="minorHAnsi" w:cstheme="minorBidi"/>
          <w:b w:val="0"/>
          <w:color w:val="auto"/>
        </w:rPr>
      </w:pPr>
      <w:hyperlink w:anchor="_Toc140752995" w:history="1">
        <w:r w:rsidR="00415412" w:rsidRPr="00200F47">
          <w:rPr>
            <w:rStyle w:val="Hyperlink"/>
          </w:rPr>
          <w:t>2.</w:t>
        </w:r>
        <w:r w:rsidR="00415412">
          <w:rPr>
            <w:rFonts w:asciiTheme="minorHAnsi" w:eastAsiaTheme="minorEastAsia" w:hAnsiTheme="minorHAnsi" w:cstheme="minorBidi"/>
            <w:b w:val="0"/>
            <w:color w:val="auto"/>
          </w:rPr>
          <w:tab/>
        </w:r>
        <w:r w:rsidR="00415412" w:rsidRPr="00200F47">
          <w:rPr>
            <w:rStyle w:val="Hyperlink"/>
          </w:rPr>
          <w:t>Policy Application</w:t>
        </w:r>
        <w:r w:rsidR="00415412">
          <w:rPr>
            <w:webHidden/>
          </w:rPr>
          <w:tab/>
        </w:r>
        <w:r w:rsidR="00415412">
          <w:rPr>
            <w:webHidden/>
          </w:rPr>
          <w:fldChar w:fldCharType="begin"/>
        </w:r>
        <w:r w:rsidR="00415412">
          <w:rPr>
            <w:webHidden/>
          </w:rPr>
          <w:instrText xml:space="preserve"> PAGEREF _Toc140752995 \h </w:instrText>
        </w:r>
        <w:r w:rsidR="00415412">
          <w:rPr>
            <w:webHidden/>
          </w:rPr>
        </w:r>
        <w:r w:rsidR="00415412">
          <w:rPr>
            <w:webHidden/>
          </w:rPr>
          <w:fldChar w:fldCharType="separate"/>
        </w:r>
        <w:r w:rsidR="00F65B99">
          <w:rPr>
            <w:webHidden/>
          </w:rPr>
          <w:t>3</w:t>
        </w:r>
        <w:r w:rsidR="00415412">
          <w:rPr>
            <w:webHidden/>
          </w:rPr>
          <w:fldChar w:fldCharType="end"/>
        </w:r>
      </w:hyperlink>
    </w:p>
    <w:p w14:paraId="5A5E1D05" w14:textId="1E2A98F1" w:rsidR="00415412" w:rsidRDefault="0074627C">
      <w:pPr>
        <w:pStyle w:val="TOC2"/>
        <w:tabs>
          <w:tab w:val="left" w:pos="660"/>
        </w:tabs>
        <w:rPr>
          <w:rFonts w:asciiTheme="minorHAnsi" w:eastAsiaTheme="minorEastAsia" w:hAnsiTheme="minorHAnsi" w:cstheme="minorBidi"/>
          <w:color w:val="auto"/>
          <w:szCs w:val="22"/>
        </w:rPr>
      </w:pPr>
      <w:hyperlink w:anchor="_Toc140752996" w:history="1">
        <w:r w:rsidR="00415412" w:rsidRPr="00200F47">
          <w:rPr>
            <w:rStyle w:val="Hyperlink"/>
          </w:rPr>
          <w:t>2.1</w:t>
        </w:r>
        <w:r w:rsidR="00415412">
          <w:rPr>
            <w:rFonts w:asciiTheme="minorHAnsi" w:eastAsiaTheme="minorEastAsia" w:hAnsiTheme="minorHAnsi" w:cstheme="minorBidi"/>
            <w:color w:val="auto"/>
            <w:szCs w:val="22"/>
          </w:rPr>
          <w:tab/>
        </w:r>
        <w:r w:rsidR="00415412" w:rsidRPr="00200F47">
          <w:rPr>
            <w:rStyle w:val="Hyperlink"/>
          </w:rPr>
          <w:t>Limits for the application of this policy</w:t>
        </w:r>
        <w:r w:rsidR="00415412">
          <w:rPr>
            <w:webHidden/>
          </w:rPr>
          <w:tab/>
        </w:r>
        <w:r w:rsidR="00415412">
          <w:rPr>
            <w:webHidden/>
          </w:rPr>
          <w:fldChar w:fldCharType="begin"/>
        </w:r>
        <w:r w:rsidR="00415412">
          <w:rPr>
            <w:webHidden/>
          </w:rPr>
          <w:instrText xml:space="preserve"> PAGEREF _Toc140752996 \h </w:instrText>
        </w:r>
        <w:r w:rsidR="00415412">
          <w:rPr>
            <w:webHidden/>
          </w:rPr>
        </w:r>
        <w:r w:rsidR="00415412">
          <w:rPr>
            <w:webHidden/>
          </w:rPr>
          <w:fldChar w:fldCharType="separate"/>
        </w:r>
        <w:r w:rsidR="00F65B99">
          <w:rPr>
            <w:webHidden/>
          </w:rPr>
          <w:t>4</w:t>
        </w:r>
        <w:r w:rsidR="00415412">
          <w:rPr>
            <w:webHidden/>
          </w:rPr>
          <w:fldChar w:fldCharType="end"/>
        </w:r>
      </w:hyperlink>
    </w:p>
    <w:p w14:paraId="678C2966" w14:textId="46A3EA41" w:rsidR="00415412" w:rsidRDefault="0074627C">
      <w:pPr>
        <w:pStyle w:val="TOC1"/>
        <w:tabs>
          <w:tab w:val="left" w:pos="660"/>
        </w:tabs>
        <w:rPr>
          <w:rFonts w:asciiTheme="minorHAnsi" w:eastAsiaTheme="minorEastAsia" w:hAnsiTheme="minorHAnsi" w:cstheme="minorBidi"/>
          <w:b w:val="0"/>
          <w:color w:val="auto"/>
        </w:rPr>
      </w:pPr>
      <w:hyperlink w:anchor="_Toc140752997" w:history="1">
        <w:r w:rsidR="00415412" w:rsidRPr="00200F47">
          <w:rPr>
            <w:rStyle w:val="Hyperlink"/>
          </w:rPr>
          <w:t>3.</w:t>
        </w:r>
        <w:r w:rsidR="00415412">
          <w:rPr>
            <w:rFonts w:asciiTheme="minorHAnsi" w:eastAsiaTheme="minorEastAsia" w:hAnsiTheme="minorHAnsi" w:cstheme="minorBidi"/>
            <w:b w:val="0"/>
            <w:color w:val="auto"/>
          </w:rPr>
          <w:tab/>
        </w:r>
        <w:r w:rsidR="00415412" w:rsidRPr="00200F47">
          <w:rPr>
            <w:rStyle w:val="Hyperlink"/>
          </w:rPr>
          <w:t>Policy Requirements</w:t>
        </w:r>
        <w:r w:rsidR="00415412">
          <w:rPr>
            <w:webHidden/>
          </w:rPr>
          <w:tab/>
        </w:r>
        <w:r w:rsidR="00415412">
          <w:rPr>
            <w:webHidden/>
          </w:rPr>
          <w:fldChar w:fldCharType="begin"/>
        </w:r>
        <w:r w:rsidR="00415412">
          <w:rPr>
            <w:webHidden/>
          </w:rPr>
          <w:instrText xml:space="preserve"> PAGEREF _Toc140752997 \h </w:instrText>
        </w:r>
        <w:r w:rsidR="00415412">
          <w:rPr>
            <w:webHidden/>
          </w:rPr>
        </w:r>
        <w:r w:rsidR="00415412">
          <w:rPr>
            <w:webHidden/>
          </w:rPr>
          <w:fldChar w:fldCharType="separate"/>
        </w:r>
        <w:r w:rsidR="00F65B99">
          <w:rPr>
            <w:webHidden/>
          </w:rPr>
          <w:t>5</w:t>
        </w:r>
        <w:r w:rsidR="00415412">
          <w:rPr>
            <w:webHidden/>
          </w:rPr>
          <w:fldChar w:fldCharType="end"/>
        </w:r>
      </w:hyperlink>
    </w:p>
    <w:p w14:paraId="071D0D11" w14:textId="5EAA57DF" w:rsidR="00415412" w:rsidRDefault="0074627C">
      <w:pPr>
        <w:pStyle w:val="TOC2"/>
        <w:tabs>
          <w:tab w:val="left" w:pos="660"/>
        </w:tabs>
        <w:rPr>
          <w:rFonts w:asciiTheme="minorHAnsi" w:eastAsiaTheme="minorEastAsia" w:hAnsiTheme="minorHAnsi" w:cstheme="minorBidi"/>
          <w:color w:val="auto"/>
          <w:szCs w:val="22"/>
        </w:rPr>
      </w:pPr>
      <w:hyperlink w:anchor="_Toc140752998" w:history="1">
        <w:r w:rsidR="00415412" w:rsidRPr="00200F47">
          <w:rPr>
            <w:rStyle w:val="Hyperlink"/>
          </w:rPr>
          <w:t>3.1</w:t>
        </w:r>
        <w:r w:rsidR="00415412">
          <w:rPr>
            <w:rFonts w:asciiTheme="minorHAnsi" w:eastAsiaTheme="minorEastAsia" w:hAnsiTheme="minorHAnsi" w:cstheme="minorBidi"/>
            <w:color w:val="auto"/>
            <w:szCs w:val="22"/>
          </w:rPr>
          <w:tab/>
        </w:r>
        <w:r w:rsidR="00415412" w:rsidRPr="00200F47">
          <w:rPr>
            <w:rStyle w:val="Hyperlink"/>
          </w:rPr>
          <w:t>Non</w:t>
        </w:r>
        <w:r w:rsidR="00415412" w:rsidRPr="00200F47">
          <w:rPr>
            <w:rStyle w:val="Hyperlink"/>
          </w:rPr>
          <w:noBreakHyphen/>
          <w:t>corporate Commonwealth Entities</w:t>
        </w:r>
        <w:r w:rsidR="00415412">
          <w:rPr>
            <w:webHidden/>
          </w:rPr>
          <w:tab/>
        </w:r>
        <w:r w:rsidR="00415412">
          <w:rPr>
            <w:webHidden/>
          </w:rPr>
          <w:fldChar w:fldCharType="begin"/>
        </w:r>
        <w:r w:rsidR="00415412">
          <w:rPr>
            <w:webHidden/>
          </w:rPr>
          <w:instrText xml:space="preserve"> PAGEREF _Toc140752998 \h </w:instrText>
        </w:r>
        <w:r w:rsidR="00415412">
          <w:rPr>
            <w:webHidden/>
          </w:rPr>
        </w:r>
        <w:r w:rsidR="00415412">
          <w:rPr>
            <w:webHidden/>
          </w:rPr>
          <w:fldChar w:fldCharType="separate"/>
        </w:r>
        <w:r w:rsidR="00F65B99">
          <w:rPr>
            <w:webHidden/>
          </w:rPr>
          <w:t>5</w:t>
        </w:r>
        <w:r w:rsidR="00415412">
          <w:rPr>
            <w:webHidden/>
          </w:rPr>
          <w:fldChar w:fldCharType="end"/>
        </w:r>
      </w:hyperlink>
    </w:p>
    <w:p w14:paraId="008B04F2" w14:textId="5791E56D" w:rsidR="00415412" w:rsidRDefault="0074627C">
      <w:pPr>
        <w:pStyle w:val="TOC2"/>
        <w:tabs>
          <w:tab w:val="left" w:pos="660"/>
        </w:tabs>
        <w:rPr>
          <w:rFonts w:asciiTheme="minorHAnsi" w:eastAsiaTheme="minorEastAsia" w:hAnsiTheme="minorHAnsi" w:cstheme="minorBidi"/>
          <w:color w:val="auto"/>
          <w:szCs w:val="22"/>
        </w:rPr>
      </w:pPr>
      <w:hyperlink w:anchor="_Toc140752999" w:history="1">
        <w:r w:rsidR="00415412" w:rsidRPr="00200F47">
          <w:rPr>
            <w:rStyle w:val="Hyperlink"/>
          </w:rPr>
          <w:t>3.2</w:t>
        </w:r>
        <w:r w:rsidR="00415412">
          <w:rPr>
            <w:rFonts w:asciiTheme="minorHAnsi" w:eastAsiaTheme="minorEastAsia" w:hAnsiTheme="minorHAnsi" w:cstheme="minorBidi"/>
            <w:color w:val="auto"/>
            <w:szCs w:val="22"/>
          </w:rPr>
          <w:tab/>
        </w:r>
        <w:r w:rsidR="00415412" w:rsidRPr="00200F47">
          <w:rPr>
            <w:rStyle w:val="Hyperlink"/>
          </w:rPr>
          <w:t>Reporting Entities</w:t>
        </w:r>
        <w:r w:rsidR="00415412">
          <w:rPr>
            <w:webHidden/>
          </w:rPr>
          <w:tab/>
        </w:r>
        <w:r w:rsidR="00415412">
          <w:rPr>
            <w:webHidden/>
          </w:rPr>
          <w:fldChar w:fldCharType="begin"/>
        </w:r>
        <w:r w:rsidR="00415412">
          <w:rPr>
            <w:webHidden/>
          </w:rPr>
          <w:instrText xml:space="preserve"> PAGEREF _Toc140752999 \h </w:instrText>
        </w:r>
        <w:r w:rsidR="00415412">
          <w:rPr>
            <w:webHidden/>
          </w:rPr>
        </w:r>
        <w:r w:rsidR="00415412">
          <w:rPr>
            <w:webHidden/>
          </w:rPr>
          <w:fldChar w:fldCharType="separate"/>
        </w:r>
        <w:r w:rsidR="00F65B99">
          <w:rPr>
            <w:webHidden/>
          </w:rPr>
          <w:t>5</w:t>
        </w:r>
        <w:r w:rsidR="00415412">
          <w:rPr>
            <w:webHidden/>
          </w:rPr>
          <w:fldChar w:fldCharType="end"/>
        </w:r>
      </w:hyperlink>
    </w:p>
    <w:p w14:paraId="70495B21" w14:textId="1FCD7224" w:rsidR="00415412" w:rsidRDefault="0074627C">
      <w:pPr>
        <w:pStyle w:val="TOC2"/>
        <w:tabs>
          <w:tab w:val="left" w:pos="660"/>
        </w:tabs>
        <w:rPr>
          <w:rFonts w:asciiTheme="minorHAnsi" w:eastAsiaTheme="minorEastAsia" w:hAnsiTheme="minorHAnsi" w:cstheme="minorBidi"/>
          <w:color w:val="auto"/>
          <w:szCs w:val="22"/>
        </w:rPr>
      </w:pPr>
      <w:hyperlink w:anchor="_Toc140753000" w:history="1">
        <w:r w:rsidR="00415412" w:rsidRPr="00200F47">
          <w:rPr>
            <w:rStyle w:val="Hyperlink"/>
          </w:rPr>
          <w:t>3.3</w:t>
        </w:r>
        <w:r w:rsidR="00415412">
          <w:rPr>
            <w:rFonts w:asciiTheme="minorHAnsi" w:eastAsiaTheme="minorEastAsia" w:hAnsiTheme="minorHAnsi" w:cstheme="minorBidi"/>
            <w:color w:val="auto"/>
            <w:szCs w:val="22"/>
          </w:rPr>
          <w:tab/>
        </w:r>
        <w:r w:rsidR="00415412" w:rsidRPr="00200F47">
          <w:rPr>
            <w:rStyle w:val="Hyperlink"/>
          </w:rPr>
          <w:t>Calculating and Paying Interest</w:t>
        </w:r>
        <w:r w:rsidR="00415412">
          <w:rPr>
            <w:webHidden/>
          </w:rPr>
          <w:tab/>
        </w:r>
        <w:r w:rsidR="00415412">
          <w:rPr>
            <w:webHidden/>
          </w:rPr>
          <w:fldChar w:fldCharType="begin"/>
        </w:r>
        <w:r w:rsidR="00415412">
          <w:rPr>
            <w:webHidden/>
          </w:rPr>
          <w:instrText xml:space="preserve"> PAGEREF _Toc140753000 \h </w:instrText>
        </w:r>
        <w:r w:rsidR="00415412">
          <w:rPr>
            <w:webHidden/>
          </w:rPr>
        </w:r>
        <w:r w:rsidR="00415412">
          <w:rPr>
            <w:webHidden/>
          </w:rPr>
          <w:fldChar w:fldCharType="separate"/>
        </w:r>
        <w:r w:rsidR="00F65B99">
          <w:rPr>
            <w:webHidden/>
          </w:rPr>
          <w:t>6</w:t>
        </w:r>
        <w:r w:rsidR="00415412">
          <w:rPr>
            <w:webHidden/>
          </w:rPr>
          <w:fldChar w:fldCharType="end"/>
        </w:r>
      </w:hyperlink>
    </w:p>
    <w:p w14:paraId="4939E911" w14:textId="57130CD9" w:rsidR="00415412" w:rsidRDefault="0074627C">
      <w:pPr>
        <w:pStyle w:val="TOC1"/>
        <w:tabs>
          <w:tab w:val="left" w:pos="660"/>
        </w:tabs>
        <w:rPr>
          <w:rFonts w:asciiTheme="minorHAnsi" w:eastAsiaTheme="minorEastAsia" w:hAnsiTheme="minorHAnsi" w:cstheme="minorBidi"/>
          <w:b w:val="0"/>
          <w:color w:val="auto"/>
        </w:rPr>
      </w:pPr>
      <w:hyperlink w:anchor="_Toc140753001" w:history="1">
        <w:r w:rsidR="00415412" w:rsidRPr="00200F47">
          <w:rPr>
            <w:rStyle w:val="Hyperlink"/>
          </w:rPr>
          <w:t>4.</w:t>
        </w:r>
        <w:r w:rsidR="00415412">
          <w:rPr>
            <w:rFonts w:asciiTheme="minorHAnsi" w:eastAsiaTheme="minorEastAsia" w:hAnsiTheme="minorHAnsi" w:cstheme="minorBidi"/>
            <w:b w:val="0"/>
            <w:color w:val="auto"/>
          </w:rPr>
          <w:tab/>
        </w:r>
        <w:r w:rsidR="00415412" w:rsidRPr="00200F47">
          <w:rPr>
            <w:rStyle w:val="Hyperlink"/>
          </w:rPr>
          <w:t>How to Lodge a Complaint</w:t>
        </w:r>
        <w:r w:rsidR="00415412">
          <w:rPr>
            <w:webHidden/>
          </w:rPr>
          <w:tab/>
        </w:r>
        <w:r w:rsidR="00415412">
          <w:rPr>
            <w:webHidden/>
          </w:rPr>
          <w:fldChar w:fldCharType="begin"/>
        </w:r>
        <w:r w:rsidR="00415412">
          <w:rPr>
            <w:webHidden/>
          </w:rPr>
          <w:instrText xml:space="preserve"> PAGEREF _Toc140753001 \h </w:instrText>
        </w:r>
        <w:r w:rsidR="00415412">
          <w:rPr>
            <w:webHidden/>
          </w:rPr>
        </w:r>
        <w:r w:rsidR="00415412">
          <w:rPr>
            <w:webHidden/>
          </w:rPr>
          <w:fldChar w:fldCharType="separate"/>
        </w:r>
        <w:r w:rsidR="00F65B99">
          <w:rPr>
            <w:webHidden/>
          </w:rPr>
          <w:t>7</w:t>
        </w:r>
        <w:r w:rsidR="00415412">
          <w:rPr>
            <w:webHidden/>
          </w:rPr>
          <w:fldChar w:fldCharType="end"/>
        </w:r>
      </w:hyperlink>
    </w:p>
    <w:p w14:paraId="4DAEFBBB" w14:textId="18E1C499" w:rsidR="00415412" w:rsidRDefault="0074627C">
      <w:pPr>
        <w:pStyle w:val="TOC2"/>
        <w:tabs>
          <w:tab w:val="left" w:pos="660"/>
        </w:tabs>
        <w:rPr>
          <w:rFonts w:asciiTheme="minorHAnsi" w:eastAsiaTheme="minorEastAsia" w:hAnsiTheme="minorHAnsi" w:cstheme="minorBidi"/>
          <w:color w:val="auto"/>
          <w:szCs w:val="22"/>
        </w:rPr>
      </w:pPr>
      <w:hyperlink w:anchor="_Toc140753002" w:history="1">
        <w:r w:rsidR="00415412" w:rsidRPr="00200F47">
          <w:rPr>
            <w:rStyle w:val="Hyperlink"/>
          </w:rPr>
          <w:t>4.1</w:t>
        </w:r>
        <w:r w:rsidR="00415412">
          <w:rPr>
            <w:rFonts w:asciiTheme="minorHAnsi" w:eastAsiaTheme="minorEastAsia" w:hAnsiTheme="minorHAnsi" w:cstheme="minorBidi"/>
            <w:color w:val="auto"/>
            <w:szCs w:val="22"/>
          </w:rPr>
          <w:tab/>
        </w:r>
        <w:r w:rsidR="00415412" w:rsidRPr="00200F47">
          <w:rPr>
            <w:rStyle w:val="Hyperlink"/>
          </w:rPr>
          <w:t>What is required when lodging a complaint?</w:t>
        </w:r>
        <w:r w:rsidR="00415412">
          <w:rPr>
            <w:webHidden/>
          </w:rPr>
          <w:tab/>
        </w:r>
        <w:r w:rsidR="00415412">
          <w:rPr>
            <w:webHidden/>
          </w:rPr>
          <w:fldChar w:fldCharType="begin"/>
        </w:r>
        <w:r w:rsidR="00415412">
          <w:rPr>
            <w:webHidden/>
          </w:rPr>
          <w:instrText xml:space="preserve"> PAGEREF _Toc140753002 \h </w:instrText>
        </w:r>
        <w:r w:rsidR="00415412">
          <w:rPr>
            <w:webHidden/>
          </w:rPr>
        </w:r>
        <w:r w:rsidR="00415412">
          <w:rPr>
            <w:webHidden/>
          </w:rPr>
          <w:fldChar w:fldCharType="separate"/>
        </w:r>
        <w:r w:rsidR="00F65B99">
          <w:rPr>
            <w:webHidden/>
          </w:rPr>
          <w:t>7</w:t>
        </w:r>
        <w:r w:rsidR="00415412">
          <w:rPr>
            <w:webHidden/>
          </w:rPr>
          <w:fldChar w:fldCharType="end"/>
        </w:r>
      </w:hyperlink>
    </w:p>
    <w:p w14:paraId="4CFC0482" w14:textId="35FCB9AE" w:rsidR="00415412" w:rsidRDefault="0074627C">
      <w:pPr>
        <w:pStyle w:val="TOC2"/>
        <w:tabs>
          <w:tab w:val="left" w:pos="660"/>
        </w:tabs>
        <w:rPr>
          <w:rFonts w:asciiTheme="minorHAnsi" w:eastAsiaTheme="minorEastAsia" w:hAnsiTheme="minorHAnsi" w:cstheme="minorBidi"/>
          <w:color w:val="auto"/>
          <w:szCs w:val="22"/>
        </w:rPr>
      </w:pPr>
      <w:hyperlink w:anchor="_Toc140753003" w:history="1">
        <w:r w:rsidR="00415412" w:rsidRPr="00200F47">
          <w:rPr>
            <w:rStyle w:val="Hyperlink"/>
          </w:rPr>
          <w:t>4.2</w:t>
        </w:r>
        <w:r w:rsidR="00415412">
          <w:rPr>
            <w:rFonts w:asciiTheme="minorHAnsi" w:eastAsiaTheme="minorEastAsia" w:hAnsiTheme="minorHAnsi" w:cstheme="minorBidi"/>
            <w:color w:val="auto"/>
            <w:szCs w:val="22"/>
          </w:rPr>
          <w:tab/>
        </w:r>
        <w:r w:rsidR="00415412" w:rsidRPr="00200F47">
          <w:rPr>
            <w:rStyle w:val="Hyperlink"/>
          </w:rPr>
          <w:t>How will the complaint be handled?</w:t>
        </w:r>
        <w:r w:rsidR="00415412">
          <w:rPr>
            <w:webHidden/>
          </w:rPr>
          <w:tab/>
        </w:r>
        <w:r w:rsidR="00415412">
          <w:rPr>
            <w:webHidden/>
          </w:rPr>
          <w:fldChar w:fldCharType="begin"/>
        </w:r>
        <w:r w:rsidR="00415412">
          <w:rPr>
            <w:webHidden/>
          </w:rPr>
          <w:instrText xml:space="preserve"> PAGEREF _Toc140753003 \h </w:instrText>
        </w:r>
        <w:r w:rsidR="00415412">
          <w:rPr>
            <w:webHidden/>
          </w:rPr>
        </w:r>
        <w:r w:rsidR="00415412">
          <w:rPr>
            <w:webHidden/>
          </w:rPr>
          <w:fldChar w:fldCharType="separate"/>
        </w:r>
        <w:r w:rsidR="00F65B99">
          <w:rPr>
            <w:webHidden/>
          </w:rPr>
          <w:t>7</w:t>
        </w:r>
        <w:r w:rsidR="00415412">
          <w:rPr>
            <w:webHidden/>
          </w:rPr>
          <w:fldChar w:fldCharType="end"/>
        </w:r>
      </w:hyperlink>
    </w:p>
    <w:p w14:paraId="7B45C551" w14:textId="3C945337" w:rsidR="00415412" w:rsidRDefault="0074627C">
      <w:pPr>
        <w:pStyle w:val="TOC3"/>
        <w:rPr>
          <w:rFonts w:asciiTheme="minorHAnsi" w:eastAsiaTheme="minorEastAsia" w:hAnsiTheme="minorHAnsi" w:cstheme="minorBidi"/>
          <w:szCs w:val="22"/>
        </w:rPr>
      </w:pPr>
      <w:hyperlink w:anchor="_Toc140753004" w:history="1">
        <w:r w:rsidR="00415412" w:rsidRPr="00200F47">
          <w:rPr>
            <w:rStyle w:val="Hyperlink"/>
          </w:rPr>
          <w:t>Additional support for small businesses and family enterprises</w:t>
        </w:r>
        <w:r w:rsidR="00415412">
          <w:rPr>
            <w:webHidden/>
          </w:rPr>
          <w:tab/>
        </w:r>
        <w:r w:rsidR="00415412">
          <w:rPr>
            <w:webHidden/>
          </w:rPr>
          <w:fldChar w:fldCharType="begin"/>
        </w:r>
        <w:r w:rsidR="00415412">
          <w:rPr>
            <w:webHidden/>
          </w:rPr>
          <w:instrText xml:space="preserve"> PAGEREF _Toc140753004 \h </w:instrText>
        </w:r>
        <w:r w:rsidR="00415412">
          <w:rPr>
            <w:webHidden/>
          </w:rPr>
        </w:r>
        <w:r w:rsidR="00415412">
          <w:rPr>
            <w:webHidden/>
          </w:rPr>
          <w:fldChar w:fldCharType="separate"/>
        </w:r>
        <w:r w:rsidR="00F65B99">
          <w:rPr>
            <w:webHidden/>
          </w:rPr>
          <w:t>8</w:t>
        </w:r>
        <w:r w:rsidR="00415412">
          <w:rPr>
            <w:webHidden/>
          </w:rPr>
          <w:fldChar w:fldCharType="end"/>
        </w:r>
      </w:hyperlink>
    </w:p>
    <w:p w14:paraId="3EAFA950" w14:textId="139C9D36" w:rsidR="00415412" w:rsidRDefault="0074627C">
      <w:pPr>
        <w:pStyle w:val="TOC2"/>
        <w:tabs>
          <w:tab w:val="left" w:pos="660"/>
        </w:tabs>
        <w:rPr>
          <w:rFonts w:asciiTheme="minorHAnsi" w:eastAsiaTheme="minorEastAsia" w:hAnsiTheme="minorHAnsi" w:cstheme="minorBidi"/>
          <w:color w:val="auto"/>
          <w:szCs w:val="22"/>
        </w:rPr>
      </w:pPr>
      <w:hyperlink w:anchor="_Toc140753005" w:history="1">
        <w:r w:rsidR="00415412" w:rsidRPr="00200F47">
          <w:rPr>
            <w:rStyle w:val="Hyperlink"/>
          </w:rPr>
          <w:t>4.3</w:t>
        </w:r>
        <w:r w:rsidR="00415412">
          <w:rPr>
            <w:rFonts w:asciiTheme="minorHAnsi" w:eastAsiaTheme="minorEastAsia" w:hAnsiTheme="minorHAnsi" w:cstheme="minorBidi"/>
            <w:color w:val="auto"/>
            <w:szCs w:val="22"/>
          </w:rPr>
          <w:tab/>
        </w:r>
        <w:r w:rsidR="00415412" w:rsidRPr="00200F47">
          <w:rPr>
            <w:rStyle w:val="Hyperlink"/>
          </w:rPr>
          <w:t>Role of PT PCP Policy Team</w:t>
        </w:r>
        <w:r w:rsidR="00415412">
          <w:rPr>
            <w:webHidden/>
          </w:rPr>
          <w:tab/>
        </w:r>
        <w:r w:rsidR="00415412">
          <w:rPr>
            <w:webHidden/>
          </w:rPr>
          <w:fldChar w:fldCharType="begin"/>
        </w:r>
        <w:r w:rsidR="00415412">
          <w:rPr>
            <w:webHidden/>
          </w:rPr>
          <w:instrText xml:space="preserve"> PAGEREF _Toc140753005 \h </w:instrText>
        </w:r>
        <w:r w:rsidR="00415412">
          <w:rPr>
            <w:webHidden/>
          </w:rPr>
        </w:r>
        <w:r w:rsidR="00415412">
          <w:rPr>
            <w:webHidden/>
          </w:rPr>
          <w:fldChar w:fldCharType="separate"/>
        </w:r>
        <w:r w:rsidR="00F65B99">
          <w:rPr>
            <w:webHidden/>
          </w:rPr>
          <w:t>8</w:t>
        </w:r>
        <w:r w:rsidR="00415412">
          <w:rPr>
            <w:webHidden/>
          </w:rPr>
          <w:fldChar w:fldCharType="end"/>
        </w:r>
      </w:hyperlink>
    </w:p>
    <w:p w14:paraId="73FF49AF" w14:textId="32FEF31B" w:rsidR="00415412" w:rsidRDefault="0074627C">
      <w:pPr>
        <w:pStyle w:val="TOC1"/>
        <w:tabs>
          <w:tab w:val="left" w:pos="660"/>
        </w:tabs>
        <w:rPr>
          <w:rFonts w:asciiTheme="minorHAnsi" w:eastAsiaTheme="minorEastAsia" w:hAnsiTheme="minorHAnsi" w:cstheme="minorBidi"/>
          <w:b w:val="0"/>
          <w:color w:val="auto"/>
        </w:rPr>
      </w:pPr>
      <w:hyperlink w:anchor="_Toc140753006" w:history="1">
        <w:r w:rsidR="00415412" w:rsidRPr="00200F47">
          <w:rPr>
            <w:rStyle w:val="Hyperlink"/>
          </w:rPr>
          <w:t>5.</w:t>
        </w:r>
        <w:r w:rsidR="00415412">
          <w:rPr>
            <w:rFonts w:asciiTheme="minorHAnsi" w:eastAsiaTheme="minorEastAsia" w:hAnsiTheme="minorHAnsi" w:cstheme="minorBidi"/>
            <w:b w:val="0"/>
            <w:color w:val="auto"/>
          </w:rPr>
          <w:tab/>
        </w:r>
        <w:r w:rsidR="00415412" w:rsidRPr="00200F47">
          <w:rPr>
            <w:rStyle w:val="Hyperlink"/>
          </w:rPr>
          <w:t>Contact us</w:t>
        </w:r>
        <w:r w:rsidR="00415412">
          <w:rPr>
            <w:webHidden/>
          </w:rPr>
          <w:tab/>
        </w:r>
        <w:r w:rsidR="00415412">
          <w:rPr>
            <w:webHidden/>
          </w:rPr>
          <w:fldChar w:fldCharType="begin"/>
        </w:r>
        <w:r w:rsidR="00415412">
          <w:rPr>
            <w:webHidden/>
          </w:rPr>
          <w:instrText xml:space="preserve"> PAGEREF _Toc140753006 \h </w:instrText>
        </w:r>
        <w:r w:rsidR="00415412">
          <w:rPr>
            <w:webHidden/>
          </w:rPr>
        </w:r>
        <w:r w:rsidR="00415412">
          <w:rPr>
            <w:webHidden/>
          </w:rPr>
          <w:fldChar w:fldCharType="separate"/>
        </w:r>
        <w:r w:rsidR="00F65B99">
          <w:rPr>
            <w:webHidden/>
          </w:rPr>
          <w:t>8</w:t>
        </w:r>
        <w:r w:rsidR="00415412">
          <w:rPr>
            <w:webHidden/>
          </w:rPr>
          <w:fldChar w:fldCharType="end"/>
        </w:r>
      </w:hyperlink>
    </w:p>
    <w:p w14:paraId="23BAC6CC" w14:textId="7EF81AB8" w:rsidR="00415412" w:rsidRDefault="0074627C">
      <w:pPr>
        <w:pStyle w:val="TOC1"/>
        <w:rPr>
          <w:rFonts w:asciiTheme="minorHAnsi" w:eastAsiaTheme="minorEastAsia" w:hAnsiTheme="minorHAnsi" w:cstheme="minorBidi"/>
          <w:b w:val="0"/>
          <w:color w:val="auto"/>
        </w:rPr>
      </w:pPr>
      <w:hyperlink w:anchor="_Toc140753007" w:history="1">
        <w:r w:rsidR="00415412" w:rsidRPr="00200F47">
          <w:rPr>
            <w:rStyle w:val="Hyperlink"/>
          </w:rPr>
          <w:t>Appendix A: PT PCP Approach to Market (Tenderer Declaration Response) Clauses and Contract Clauses</w:t>
        </w:r>
        <w:r w:rsidR="00415412">
          <w:rPr>
            <w:webHidden/>
          </w:rPr>
          <w:tab/>
        </w:r>
        <w:r w:rsidR="00415412">
          <w:rPr>
            <w:webHidden/>
          </w:rPr>
          <w:fldChar w:fldCharType="begin"/>
        </w:r>
        <w:r w:rsidR="00415412">
          <w:rPr>
            <w:webHidden/>
          </w:rPr>
          <w:instrText xml:space="preserve"> PAGEREF _Toc140753007 \h </w:instrText>
        </w:r>
        <w:r w:rsidR="00415412">
          <w:rPr>
            <w:webHidden/>
          </w:rPr>
        </w:r>
        <w:r w:rsidR="00415412">
          <w:rPr>
            <w:webHidden/>
          </w:rPr>
          <w:fldChar w:fldCharType="separate"/>
        </w:r>
        <w:r w:rsidR="00F65B99">
          <w:rPr>
            <w:webHidden/>
          </w:rPr>
          <w:t>9</w:t>
        </w:r>
        <w:r w:rsidR="00415412">
          <w:rPr>
            <w:webHidden/>
          </w:rPr>
          <w:fldChar w:fldCharType="end"/>
        </w:r>
      </w:hyperlink>
    </w:p>
    <w:p w14:paraId="4F693C47" w14:textId="418264C3" w:rsidR="00415412" w:rsidRDefault="0074627C">
      <w:pPr>
        <w:pStyle w:val="TOC2"/>
        <w:rPr>
          <w:rFonts w:asciiTheme="minorHAnsi" w:eastAsiaTheme="minorEastAsia" w:hAnsiTheme="minorHAnsi" w:cstheme="minorBidi"/>
          <w:color w:val="auto"/>
          <w:szCs w:val="22"/>
        </w:rPr>
      </w:pPr>
      <w:hyperlink w:anchor="_Toc140753008" w:history="1">
        <w:r w:rsidR="00415412" w:rsidRPr="00200F47">
          <w:rPr>
            <w:rStyle w:val="Hyperlink"/>
          </w:rPr>
          <w:t>PT PCP Approach to Market (Tenderer Response) Clauses</w:t>
        </w:r>
        <w:r w:rsidR="00415412">
          <w:rPr>
            <w:webHidden/>
          </w:rPr>
          <w:tab/>
        </w:r>
        <w:r w:rsidR="00415412">
          <w:rPr>
            <w:webHidden/>
          </w:rPr>
          <w:fldChar w:fldCharType="begin"/>
        </w:r>
        <w:r w:rsidR="00415412">
          <w:rPr>
            <w:webHidden/>
          </w:rPr>
          <w:instrText xml:space="preserve"> PAGEREF _Toc140753008 \h </w:instrText>
        </w:r>
        <w:r w:rsidR="00415412">
          <w:rPr>
            <w:webHidden/>
          </w:rPr>
        </w:r>
        <w:r w:rsidR="00415412">
          <w:rPr>
            <w:webHidden/>
          </w:rPr>
          <w:fldChar w:fldCharType="separate"/>
        </w:r>
        <w:r w:rsidR="00F65B99">
          <w:rPr>
            <w:webHidden/>
          </w:rPr>
          <w:t>9</w:t>
        </w:r>
        <w:r w:rsidR="00415412">
          <w:rPr>
            <w:webHidden/>
          </w:rPr>
          <w:fldChar w:fldCharType="end"/>
        </w:r>
      </w:hyperlink>
    </w:p>
    <w:p w14:paraId="133A442A" w14:textId="04E02EF3" w:rsidR="00415412" w:rsidRDefault="0074627C">
      <w:pPr>
        <w:pStyle w:val="TOC2"/>
        <w:rPr>
          <w:rFonts w:asciiTheme="minorHAnsi" w:eastAsiaTheme="minorEastAsia" w:hAnsiTheme="minorHAnsi" w:cstheme="minorBidi"/>
          <w:color w:val="auto"/>
          <w:szCs w:val="22"/>
        </w:rPr>
      </w:pPr>
      <w:hyperlink w:anchor="_Toc140753009" w:history="1">
        <w:r w:rsidR="00415412" w:rsidRPr="00200F47">
          <w:rPr>
            <w:rStyle w:val="Hyperlink"/>
          </w:rPr>
          <w:t>PT PCP Contract Clauses</w:t>
        </w:r>
        <w:r w:rsidR="00415412">
          <w:rPr>
            <w:webHidden/>
          </w:rPr>
          <w:tab/>
        </w:r>
        <w:r w:rsidR="00415412">
          <w:rPr>
            <w:webHidden/>
          </w:rPr>
          <w:fldChar w:fldCharType="begin"/>
        </w:r>
        <w:r w:rsidR="00415412">
          <w:rPr>
            <w:webHidden/>
          </w:rPr>
          <w:instrText xml:space="preserve"> PAGEREF _Toc140753009 \h </w:instrText>
        </w:r>
        <w:r w:rsidR="00415412">
          <w:rPr>
            <w:webHidden/>
          </w:rPr>
        </w:r>
        <w:r w:rsidR="00415412">
          <w:rPr>
            <w:webHidden/>
          </w:rPr>
          <w:fldChar w:fldCharType="separate"/>
        </w:r>
        <w:r w:rsidR="00F65B99">
          <w:rPr>
            <w:webHidden/>
          </w:rPr>
          <w:t>9</w:t>
        </w:r>
        <w:r w:rsidR="00415412">
          <w:rPr>
            <w:webHidden/>
          </w:rPr>
          <w:fldChar w:fldCharType="end"/>
        </w:r>
      </w:hyperlink>
    </w:p>
    <w:p w14:paraId="3D55C6F7" w14:textId="700130FF" w:rsidR="00415412" w:rsidRDefault="0074627C">
      <w:pPr>
        <w:pStyle w:val="TOC2"/>
        <w:rPr>
          <w:rFonts w:asciiTheme="minorHAnsi" w:eastAsiaTheme="minorEastAsia" w:hAnsiTheme="minorHAnsi" w:cstheme="minorBidi"/>
          <w:color w:val="auto"/>
          <w:szCs w:val="22"/>
        </w:rPr>
      </w:pPr>
      <w:hyperlink w:anchor="_Toc140753010" w:history="1">
        <w:r w:rsidR="00415412" w:rsidRPr="00200F47">
          <w:rPr>
            <w:rStyle w:val="Hyperlink"/>
          </w:rPr>
          <w:t>Glossary</w:t>
        </w:r>
        <w:r w:rsidR="00415412">
          <w:rPr>
            <w:webHidden/>
          </w:rPr>
          <w:tab/>
        </w:r>
        <w:r w:rsidR="00415412">
          <w:rPr>
            <w:webHidden/>
          </w:rPr>
          <w:fldChar w:fldCharType="begin"/>
        </w:r>
        <w:r w:rsidR="00415412">
          <w:rPr>
            <w:webHidden/>
          </w:rPr>
          <w:instrText xml:space="preserve"> PAGEREF _Toc140753010 \h </w:instrText>
        </w:r>
        <w:r w:rsidR="00415412">
          <w:rPr>
            <w:webHidden/>
          </w:rPr>
        </w:r>
        <w:r w:rsidR="00415412">
          <w:rPr>
            <w:webHidden/>
          </w:rPr>
          <w:fldChar w:fldCharType="separate"/>
        </w:r>
        <w:r w:rsidR="00F65B99">
          <w:rPr>
            <w:webHidden/>
          </w:rPr>
          <w:t>13</w:t>
        </w:r>
        <w:r w:rsidR="00415412">
          <w:rPr>
            <w:webHidden/>
          </w:rPr>
          <w:fldChar w:fldCharType="end"/>
        </w:r>
      </w:hyperlink>
    </w:p>
    <w:p w14:paraId="1EBEC50E" w14:textId="3598158B" w:rsidR="00415412" w:rsidRDefault="0074627C">
      <w:pPr>
        <w:pStyle w:val="TOC1"/>
        <w:rPr>
          <w:rFonts w:asciiTheme="minorHAnsi" w:eastAsiaTheme="minorEastAsia" w:hAnsiTheme="minorHAnsi" w:cstheme="minorBidi"/>
          <w:b w:val="0"/>
          <w:color w:val="auto"/>
        </w:rPr>
      </w:pPr>
      <w:hyperlink w:anchor="_Toc140753011" w:history="1">
        <w:r w:rsidR="00415412" w:rsidRPr="00200F47">
          <w:rPr>
            <w:rStyle w:val="Hyperlink"/>
          </w:rPr>
          <w:t>Appendix B: Policy Evaluation Questionnaire for Non</w:t>
        </w:r>
        <w:r w:rsidR="00415412" w:rsidRPr="00200F47">
          <w:rPr>
            <w:rStyle w:val="Hyperlink"/>
          </w:rPr>
          <w:noBreakHyphen/>
          <w:t>corporate Commonwealth entities</w:t>
        </w:r>
        <w:r w:rsidR="00415412">
          <w:rPr>
            <w:webHidden/>
          </w:rPr>
          <w:tab/>
        </w:r>
        <w:r w:rsidR="00415412">
          <w:rPr>
            <w:webHidden/>
          </w:rPr>
          <w:fldChar w:fldCharType="begin"/>
        </w:r>
        <w:r w:rsidR="00415412">
          <w:rPr>
            <w:webHidden/>
          </w:rPr>
          <w:instrText xml:space="preserve"> PAGEREF _Toc140753011 \h </w:instrText>
        </w:r>
        <w:r w:rsidR="00415412">
          <w:rPr>
            <w:webHidden/>
          </w:rPr>
        </w:r>
        <w:r w:rsidR="00415412">
          <w:rPr>
            <w:webHidden/>
          </w:rPr>
          <w:fldChar w:fldCharType="separate"/>
        </w:r>
        <w:r w:rsidR="00F65B99">
          <w:rPr>
            <w:webHidden/>
          </w:rPr>
          <w:t>15</w:t>
        </w:r>
        <w:r w:rsidR="00415412">
          <w:rPr>
            <w:webHidden/>
          </w:rPr>
          <w:fldChar w:fldCharType="end"/>
        </w:r>
      </w:hyperlink>
    </w:p>
    <w:p w14:paraId="179A5CF7" w14:textId="7CCE6B04" w:rsidR="00415412" w:rsidRDefault="0074627C">
      <w:pPr>
        <w:pStyle w:val="TOC1"/>
        <w:rPr>
          <w:rFonts w:asciiTheme="minorHAnsi" w:eastAsiaTheme="minorEastAsia" w:hAnsiTheme="minorHAnsi" w:cstheme="minorBidi"/>
          <w:b w:val="0"/>
          <w:color w:val="auto"/>
        </w:rPr>
      </w:pPr>
      <w:hyperlink w:anchor="_Toc140753012" w:history="1">
        <w:r w:rsidR="00415412" w:rsidRPr="00200F47">
          <w:rPr>
            <w:rStyle w:val="Hyperlink"/>
          </w:rPr>
          <w:t>Appendix C: Policy Evaluation Questionnaire for Reporting Entities</w:t>
        </w:r>
        <w:r w:rsidR="00415412">
          <w:rPr>
            <w:webHidden/>
          </w:rPr>
          <w:tab/>
        </w:r>
        <w:r w:rsidR="00415412">
          <w:rPr>
            <w:webHidden/>
          </w:rPr>
          <w:fldChar w:fldCharType="begin"/>
        </w:r>
        <w:r w:rsidR="00415412">
          <w:rPr>
            <w:webHidden/>
          </w:rPr>
          <w:instrText xml:space="preserve"> PAGEREF _Toc140753012 \h </w:instrText>
        </w:r>
        <w:r w:rsidR="00415412">
          <w:rPr>
            <w:webHidden/>
          </w:rPr>
        </w:r>
        <w:r w:rsidR="00415412">
          <w:rPr>
            <w:webHidden/>
          </w:rPr>
          <w:fldChar w:fldCharType="separate"/>
        </w:r>
        <w:r w:rsidR="00F65B99">
          <w:rPr>
            <w:webHidden/>
          </w:rPr>
          <w:t>16</w:t>
        </w:r>
        <w:r w:rsidR="00415412">
          <w:rPr>
            <w:webHidden/>
          </w:rPr>
          <w:fldChar w:fldCharType="end"/>
        </w:r>
      </w:hyperlink>
    </w:p>
    <w:p w14:paraId="17ED3006" w14:textId="295F737D" w:rsidR="00415412" w:rsidRDefault="0074627C">
      <w:pPr>
        <w:pStyle w:val="TOC1"/>
        <w:rPr>
          <w:rFonts w:asciiTheme="minorHAnsi" w:eastAsiaTheme="minorEastAsia" w:hAnsiTheme="minorHAnsi" w:cstheme="minorBidi"/>
          <w:b w:val="0"/>
          <w:color w:val="auto"/>
        </w:rPr>
      </w:pPr>
      <w:hyperlink w:anchor="_Toc140753013" w:history="1">
        <w:r w:rsidR="00415412" w:rsidRPr="00200F47">
          <w:rPr>
            <w:rStyle w:val="Hyperlink"/>
          </w:rPr>
          <w:t>Appendix D: Payment Times Remediation Plan</w:t>
        </w:r>
        <w:r w:rsidR="00415412">
          <w:rPr>
            <w:webHidden/>
          </w:rPr>
          <w:tab/>
        </w:r>
        <w:r w:rsidR="00415412">
          <w:rPr>
            <w:webHidden/>
          </w:rPr>
          <w:fldChar w:fldCharType="begin"/>
        </w:r>
        <w:r w:rsidR="00415412">
          <w:rPr>
            <w:webHidden/>
          </w:rPr>
          <w:instrText xml:space="preserve"> PAGEREF _Toc140753013 \h </w:instrText>
        </w:r>
        <w:r w:rsidR="00415412">
          <w:rPr>
            <w:webHidden/>
          </w:rPr>
        </w:r>
        <w:r w:rsidR="00415412">
          <w:rPr>
            <w:webHidden/>
          </w:rPr>
          <w:fldChar w:fldCharType="separate"/>
        </w:r>
        <w:r w:rsidR="00F65B99">
          <w:rPr>
            <w:webHidden/>
          </w:rPr>
          <w:t>17</w:t>
        </w:r>
        <w:r w:rsidR="00415412">
          <w:rPr>
            <w:webHidden/>
          </w:rPr>
          <w:fldChar w:fldCharType="end"/>
        </w:r>
      </w:hyperlink>
    </w:p>
    <w:p w14:paraId="0F638E63" w14:textId="015803D1"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24064DC" w14:textId="3CFB4F18" w:rsidR="000E0B74" w:rsidRDefault="002F2A5C" w:rsidP="00354FBB">
      <w:pPr>
        <w:pStyle w:val="Heading1"/>
      </w:pPr>
      <w:bookmarkStart w:id="3" w:name="_Toc140752993"/>
      <w:r>
        <w:lastRenderedPageBreak/>
        <w:t>Payment Times Procurement Connected Policy</w:t>
      </w:r>
      <w:bookmarkEnd w:id="3"/>
    </w:p>
    <w:p w14:paraId="077CF2A4" w14:textId="71A0539D" w:rsidR="003A7450" w:rsidRDefault="003A7450" w:rsidP="007A4099">
      <w:pPr>
        <w:pStyle w:val="Heading1Numbered"/>
      </w:pPr>
      <w:bookmarkStart w:id="4" w:name="_Toc75940042"/>
      <w:bookmarkStart w:id="5" w:name="_Toc140752994"/>
      <w:r w:rsidRPr="00E22D72">
        <w:t>Policy Overview</w:t>
      </w:r>
      <w:bookmarkEnd w:id="4"/>
      <w:bookmarkEnd w:id="5"/>
    </w:p>
    <w:p w14:paraId="393C6AFB" w14:textId="0202ACA4" w:rsidR="004E2FAF" w:rsidRDefault="004E2FAF" w:rsidP="001C6A6B">
      <w:r>
        <w:t>The Payment Times Procurement Connected Policy (PT PCP) commences from 1 July 2021. Non</w:t>
      </w:r>
      <w:r w:rsidR="008C33E8">
        <w:noBreakHyphen/>
      </w:r>
      <w:r>
        <w:t xml:space="preserve">corporate Commonwealth entities (NCEs) and Reporting Entities will be provided a transition period from 1 July 2021 to 30 September 2021 to appropriately adapt their procurement processes and payment systems to comply with the PT PCP. </w:t>
      </w:r>
    </w:p>
    <w:p w14:paraId="5DE0FA98" w14:textId="3C5B0646" w:rsidR="004E2FAF" w:rsidRDefault="004E2FAF" w:rsidP="001C6A6B">
      <w:r>
        <w:t xml:space="preserve">The PT PCP will leverage Commonwealth Government procurement to help improve payment times for Australian small businesses. The PT PCP requires large businesses who enter into a contract with the </w:t>
      </w:r>
      <w:r w:rsidRPr="00DF30E6">
        <w:t xml:space="preserve">Commonwealth to </w:t>
      </w:r>
      <w:r w:rsidR="00D5211B">
        <w:t>complement</w:t>
      </w:r>
      <w:r w:rsidRPr="00DF30E6">
        <w:t xml:space="preserve"> the Government</w:t>
      </w:r>
      <w:r w:rsidR="008C33E8">
        <w:t>’</w:t>
      </w:r>
      <w:r w:rsidRPr="00DF30E6">
        <w:t>s payment times and pay their subcontractors within 20 calendar days. Faster payment</w:t>
      </w:r>
      <w:r>
        <w:t xml:space="preserve"> times will improve businesses</w:t>
      </w:r>
      <w:r w:rsidR="008C33E8">
        <w:t>’</w:t>
      </w:r>
      <w:r>
        <w:t xml:space="preserve"> cash flow and their ability to hire, invest and grow. </w:t>
      </w:r>
    </w:p>
    <w:p w14:paraId="1AFA8A23" w14:textId="537726F8" w:rsidR="004E2FAF" w:rsidRDefault="004E2FAF" w:rsidP="001C6A6B">
      <w:r>
        <w:t>The PT PCP is complementary to the Payment Times Reporting Scheme (PTRS) and the Government</w:t>
      </w:r>
      <w:r w:rsidR="008C33E8">
        <w:t>’</w:t>
      </w:r>
      <w:r>
        <w:t xml:space="preserve">s </w:t>
      </w:r>
      <w:hyperlink r:id="rId18" w:history="1">
        <w:r w:rsidRPr="00BD22F2">
          <w:rPr>
            <w:rStyle w:val="Hyperlink"/>
          </w:rPr>
          <w:t>Supplier Pay</w:t>
        </w:r>
        <w:r w:rsidR="008C33E8">
          <w:rPr>
            <w:rStyle w:val="Hyperlink"/>
          </w:rPr>
          <w:noBreakHyphen/>
        </w:r>
        <w:r w:rsidRPr="00BD22F2">
          <w:rPr>
            <w:rStyle w:val="Hyperlink"/>
          </w:rPr>
          <w:t>On Time or Pay Interest Policy</w:t>
        </w:r>
        <w:r w:rsidR="00862276">
          <w:rPr>
            <w:rStyle w:val="Hyperlink"/>
          </w:rPr>
          <w:t xml:space="preserve"> – </w:t>
        </w:r>
        <w:r w:rsidRPr="00BD22F2">
          <w:rPr>
            <w:rStyle w:val="Hyperlink"/>
          </w:rPr>
          <w:t>Resource Management Guide 417</w:t>
        </w:r>
      </w:hyperlink>
      <w:r>
        <w:t xml:space="preserve"> (RMG 417).</w:t>
      </w:r>
    </w:p>
    <w:p w14:paraId="1892304B" w14:textId="5FEB1EBC" w:rsidR="004E2FAF" w:rsidRDefault="004E2FAF" w:rsidP="007A4099">
      <w:pPr>
        <w:pStyle w:val="Bullet"/>
      </w:pPr>
      <w:r>
        <w:t xml:space="preserve">The PTRS is established under the </w:t>
      </w:r>
      <w:hyperlink r:id="rId19" w:history="1">
        <w:r w:rsidRPr="00A73966">
          <w:rPr>
            <w:rStyle w:val="Hyperlink"/>
            <w:i/>
            <w:iCs/>
          </w:rPr>
          <w:t>Payment Times Reporting Act 2020</w:t>
        </w:r>
      </w:hyperlink>
      <w:r>
        <w:t xml:space="preserve"> and requires large businesses (referred to as </w:t>
      </w:r>
      <w:r w:rsidR="008C33E8">
        <w:t>‘</w:t>
      </w:r>
      <w:r>
        <w:t xml:space="preserve">Reporting </w:t>
      </w:r>
      <w:r w:rsidR="00890988">
        <w:t>Entities</w:t>
      </w:r>
      <w:r w:rsidR="008C33E8">
        <w:t>’</w:t>
      </w:r>
      <w:r w:rsidR="00890988">
        <w:t xml:space="preserve"> and</w:t>
      </w:r>
      <w:r>
        <w:t xml:space="preserve"> defined in the </w:t>
      </w:r>
      <w:r w:rsidRPr="00890988">
        <w:rPr>
          <w:i/>
          <w:iCs/>
        </w:rPr>
        <w:t>Payment Times Reporting Act 2020</w:t>
      </w:r>
      <w:r>
        <w:t xml:space="preserve"> (PTR Act)) to publicly report their payment times and terms to small businesses. Reporting Entities under the PTRS are in the scope of the PT PCP.</w:t>
      </w:r>
    </w:p>
    <w:p w14:paraId="3B535CFA" w14:textId="0B49E135" w:rsidR="004E2FAF" w:rsidRPr="00903053" w:rsidRDefault="0074627C" w:rsidP="007A4099">
      <w:pPr>
        <w:pStyle w:val="Bullet"/>
      </w:pPr>
      <w:hyperlink r:id="rId20" w:history="1">
        <w:r w:rsidR="004E2FAF" w:rsidRPr="00BB629E">
          <w:rPr>
            <w:rStyle w:val="Hyperlink"/>
          </w:rPr>
          <w:t>RMG 417</w:t>
        </w:r>
      </w:hyperlink>
      <w:r w:rsidR="004E2FAF" w:rsidRPr="00903053">
        <w:t xml:space="preserve"> requires non</w:t>
      </w:r>
      <w:r w:rsidR="008C33E8">
        <w:noBreakHyphen/>
      </w:r>
      <w:r w:rsidR="004E2FAF" w:rsidRPr="00903053">
        <w:t>corporate Commonwealth entities (NCEs) to pay invoices for contracts within 20 calendar days</w:t>
      </w:r>
      <w:r w:rsidR="001B7E6A" w:rsidRPr="00903053">
        <w:t xml:space="preserve"> or 5 calendar days for electronic invoicing (eInvoicing)</w:t>
      </w:r>
      <w:r w:rsidR="004E2FAF" w:rsidRPr="00903053">
        <w:t xml:space="preserve">. </w:t>
      </w:r>
    </w:p>
    <w:p w14:paraId="3E6EDA31" w14:textId="4C65E772" w:rsidR="004E2FAF" w:rsidRDefault="004E2FAF" w:rsidP="007A4099">
      <w:pPr>
        <w:pStyle w:val="Bullet"/>
      </w:pPr>
      <w:r>
        <w:t>Capitalised terms have the meaning set out in Appendix A.</w:t>
      </w:r>
    </w:p>
    <w:p w14:paraId="24F40F45" w14:textId="552DF1EE" w:rsidR="000E0B74" w:rsidRDefault="00FA61AE" w:rsidP="007A4099">
      <w:pPr>
        <w:pStyle w:val="Heading1Numbered"/>
      </w:pPr>
      <w:bookmarkStart w:id="6" w:name="_Toc140752995"/>
      <w:r>
        <w:t>Policy Application</w:t>
      </w:r>
      <w:bookmarkEnd w:id="6"/>
    </w:p>
    <w:p w14:paraId="703CC559" w14:textId="2FC8E451" w:rsidR="009742BB" w:rsidRDefault="0074627C" w:rsidP="009742BB">
      <w:hyperlink r:id="rId21" w:history="1">
        <w:r w:rsidR="009742BB" w:rsidRPr="00A1622F">
          <w:rPr>
            <w:rStyle w:val="Hyperlink"/>
          </w:rPr>
          <w:t>Non</w:t>
        </w:r>
        <w:r w:rsidR="008C33E8">
          <w:rPr>
            <w:rStyle w:val="Hyperlink"/>
          </w:rPr>
          <w:noBreakHyphen/>
        </w:r>
        <w:r w:rsidR="009742BB" w:rsidRPr="00A1622F">
          <w:rPr>
            <w:rStyle w:val="Hyperlink"/>
          </w:rPr>
          <w:t>corporate Commonwealth entities</w:t>
        </w:r>
      </w:hyperlink>
      <w:r w:rsidR="009742BB">
        <w:t xml:space="preserve"> (NCEs) must comply with the PT PCP. </w:t>
      </w:r>
    </w:p>
    <w:p w14:paraId="666BDE64" w14:textId="24B58962" w:rsidR="009742BB" w:rsidRDefault="009742BB" w:rsidP="009742BB">
      <w:r>
        <w:t xml:space="preserve">Prescribed corporate Commonwealth entities listed in section 30 of the </w:t>
      </w:r>
      <w:hyperlink r:id="rId22" w:history="1">
        <w:r w:rsidRPr="00615AFC">
          <w:rPr>
            <w:rStyle w:val="Hyperlink"/>
            <w:i/>
            <w:iCs/>
          </w:rPr>
          <w:t>Public Governance, Performance and Accountability Rule 2014</w:t>
        </w:r>
      </w:hyperlink>
      <w:r>
        <w:t xml:space="preserve"> and corporate Commonwealth entities are encouraged to use their best endeavours to apply the PT PCP. </w:t>
      </w:r>
    </w:p>
    <w:p w14:paraId="533F944B" w14:textId="2A2EC058" w:rsidR="009742BB" w:rsidRDefault="009742BB" w:rsidP="009742BB">
      <w:r>
        <w:t xml:space="preserve">The PT PCP does not replace due diligence activities that may be performed by the procuring entity when undertaking a procurement in accordance with the </w:t>
      </w:r>
      <w:hyperlink r:id="rId23" w:history="1">
        <w:r w:rsidRPr="009D6D95">
          <w:rPr>
            <w:rStyle w:val="Hyperlink"/>
          </w:rPr>
          <w:t>Commonwealth Procurement Rules (CPRs)</w:t>
        </w:r>
      </w:hyperlink>
      <w:r>
        <w:t xml:space="preserve">. </w:t>
      </w:r>
    </w:p>
    <w:p w14:paraId="4928E5A6" w14:textId="77777777" w:rsidR="009742BB" w:rsidRDefault="009742BB" w:rsidP="009742BB">
      <w:r>
        <w:t xml:space="preserve">The PT PCP applies to: </w:t>
      </w:r>
    </w:p>
    <w:p w14:paraId="40FEFA6E" w14:textId="4939A18B" w:rsidR="009742BB" w:rsidRDefault="009742BB" w:rsidP="00205DBC">
      <w:pPr>
        <w:pStyle w:val="Bullet"/>
      </w:pPr>
      <w:r>
        <w:t xml:space="preserve">all procurements with an </w:t>
      </w:r>
      <w:r w:rsidRPr="00205DBC">
        <w:t>estimated</w:t>
      </w:r>
      <w:r>
        <w:t xml:space="preserve"> value above $4 million (GST inclusive) for all goods or services at the time of approaching the market, including orders entered into under a standing offer where the value of the order is above $4 million (GST inclusive);</w:t>
      </w:r>
    </w:p>
    <w:p w14:paraId="10DA21BC" w14:textId="1C2808BA" w:rsidR="009742BB" w:rsidRDefault="009742BB" w:rsidP="007A4099">
      <w:pPr>
        <w:pStyle w:val="Bullet"/>
      </w:pPr>
      <w:r>
        <w:t>contracts awarded to a Reporting Entity valued above $4 million; and</w:t>
      </w:r>
    </w:p>
    <w:p w14:paraId="1B4CDF9F" w14:textId="4D8EA7A4" w:rsidR="009742BB" w:rsidRDefault="009742BB" w:rsidP="007A4099">
      <w:pPr>
        <w:pStyle w:val="Bullet"/>
      </w:pPr>
      <w:r>
        <w:lastRenderedPageBreak/>
        <w:t>procurements for the establishment of new standing offers where the estimated value of all anticipated orders awarded under the standing offer is expected to exceed $4 million (GST</w:t>
      </w:r>
      <w:r w:rsidR="00862276">
        <w:t> </w:t>
      </w:r>
      <w:r>
        <w:t>inclusive).</w:t>
      </w:r>
    </w:p>
    <w:p w14:paraId="6F2BA4AF" w14:textId="77777777" w:rsidR="009742BB" w:rsidRDefault="009742BB" w:rsidP="009742BB">
      <w:r w:rsidRPr="00366849">
        <w:rPr>
          <w:b/>
          <w:bCs/>
        </w:rPr>
        <w:t>Note</w:t>
      </w:r>
      <w:r>
        <w:t>: The PT PCP will only apply to orders entered into under a deed of standing offer where the deed of standing offer was entered into from 1 October 2021 and which contains PT PCP clauses.</w:t>
      </w:r>
    </w:p>
    <w:p w14:paraId="7859CA2D" w14:textId="41F2ED19" w:rsidR="009742BB" w:rsidRDefault="009742BB" w:rsidP="009742BB">
      <w:r>
        <w:t>NCEs and Reporting Entities will be provided a transition period from 1 July 2021 to 30</w:t>
      </w:r>
      <w:r w:rsidR="00862276">
        <w:t> </w:t>
      </w:r>
      <w:r>
        <w:t>September</w:t>
      </w:r>
      <w:r w:rsidR="00862276">
        <w:t> </w:t>
      </w:r>
      <w:r>
        <w:t>2021 to appropriately adapt their procurement processes and payment systems to comply with the PT</w:t>
      </w:r>
      <w:r w:rsidR="00862276">
        <w:t xml:space="preserve"> </w:t>
      </w:r>
      <w:r>
        <w:t xml:space="preserve">PCP. </w:t>
      </w:r>
    </w:p>
    <w:p w14:paraId="27AE2340" w14:textId="77777777" w:rsidR="009742BB" w:rsidRDefault="009742BB" w:rsidP="009742BB">
      <w:r>
        <w:t>Under this policy, NCEs must include contract clauses that require Reporting Entities to:</w:t>
      </w:r>
    </w:p>
    <w:p w14:paraId="5E8B0E50" w14:textId="1BBB6249" w:rsidR="009742BB" w:rsidRDefault="009742BB" w:rsidP="007A4099">
      <w:pPr>
        <w:pStyle w:val="OutlineNumbered1"/>
      </w:pPr>
      <w:r>
        <w:t xml:space="preserve">pay direct PT PCP Subcontracts (as defined at Appendix A) within 20 calendar days following the acknowledgement of the satisfactory delivery of goods or services and the receipt of a Correctly Rendered Invoice. </w:t>
      </w:r>
    </w:p>
    <w:p w14:paraId="17B0F885" w14:textId="77777777" w:rsidR="009742BB" w:rsidRDefault="009742BB" w:rsidP="0054292F">
      <w:pPr>
        <w:pStyle w:val="OutlineNumbered1"/>
        <w:numPr>
          <w:ilvl w:val="0"/>
          <w:numId w:val="0"/>
        </w:numPr>
        <w:ind w:left="851"/>
      </w:pPr>
      <w:r w:rsidRPr="00B26B08">
        <w:rPr>
          <w:b/>
          <w:bCs/>
        </w:rPr>
        <w:t>Note</w:t>
      </w:r>
      <w:r>
        <w:t xml:space="preserve">: Disputes over whether there has been satisfactory delivery of the goods or services or whether a Correctly Rendered Invoice has been received are not included in the policy scope. </w:t>
      </w:r>
    </w:p>
    <w:p w14:paraId="7B3AB78A" w14:textId="6BDFC8D8" w:rsidR="009742BB" w:rsidRDefault="009742BB" w:rsidP="00A05A54">
      <w:pPr>
        <w:pStyle w:val="OutlineNumbered1"/>
        <w:spacing w:before="120" w:after="0" w:line="276" w:lineRule="auto"/>
      </w:pPr>
      <w:r>
        <w:t>use reasonable endeavours to reflect the PT PCP requirements in Reporting Entity Subcontracts (as defined in Appendix A) above $4 million (GST inclusive), such that Reporting Entity Subcontractors must also:</w:t>
      </w:r>
    </w:p>
    <w:p w14:paraId="64658C34" w14:textId="307F3299" w:rsidR="00F101EF" w:rsidRPr="00A05A54" w:rsidRDefault="009742BB" w:rsidP="00A05A54">
      <w:pPr>
        <w:pStyle w:val="ListParagraph"/>
        <w:numPr>
          <w:ilvl w:val="0"/>
          <w:numId w:val="36"/>
        </w:numPr>
        <w:spacing w:after="0" w:line="276" w:lineRule="auto"/>
        <w:contextualSpacing w:val="0"/>
        <w:rPr>
          <w:rFonts w:ascii="Calibri Light" w:hAnsi="Calibri Light" w:cs="Calibri Light"/>
        </w:rPr>
      </w:pPr>
      <w:r w:rsidRPr="00F101EF">
        <w:rPr>
          <w:rFonts w:ascii="Calibri Light" w:hAnsi="Calibri Light" w:cs="Calibri Light"/>
        </w:rPr>
        <w:t>make payments under their respective subcontracts valued up to $1 million (GST inclusive) within 20 calendar days from acknowledgement of the satisfactory delivery of goods or services and receipt of a Correctly Rendered Invoice; and</w:t>
      </w:r>
    </w:p>
    <w:p w14:paraId="61EA4763" w14:textId="11493403" w:rsidR="00082FC2" w:rsidRPr="00F101EF" w:rsidRDefault="009742BB" w:rsidP="00A05A54">
      <w:pPr>
        <w:pStyle w:val="ListParagraph"/>
        <w:numPr>
          <w:ilvl w:val="0"/>
          <w:numId w:val="36"/>
        </w:numPr>
        <w:spacing w:after="0" w:line="276" w:lineRule="auto"/>
        <w:contextualSpacing w:val="0"/>
        <w:rPr>
          <w:rFonts w:ascii="Calibri Light" w:hAnsi="Calibri Light" w:cs="Calibri Light"/>
        </w:rPr>
      </w:pPr>
      <w:r w:rsidRPr="00F101EF">
        <w:rPr>
          <w:rFonts w:ascii="Calibri Light" w:hAnsi="Calibri Light" w:cs="Calibri Light"/>
        </w:rPr>
        <w:t>use reasonable endeavours to reflect the same obligations to their subcontractors who also satisfy the definition of a Reporting Entity Subcontractor.</w:t>
      </w:r>
    </w:p>
    <w:p w14:paraId="38698FC0" w14:textId="77777777" w:rsidR="00C716ED" w:rsidRDefault="00C716ED" w:rsidP="007A4099">
      <w:pPr>
        <w:pStyle w:val="Heading2Numbered"/>
      </w:pPr>
      <w:bookmarkStart w:id="7" w:name="_Toc75940044"/>
      <w:bookmarkStart w:id="8" w:name="_Toc140752996"/>
      <w:r>
        <w:t xml:space="preserve">Limits </w:t>
      </w:r>
      <w:r w:rsidRPr="00A64E59">
        <w:t>for</w:t>
      </w:r>
      <w:r>
        <w:t xml:space="preserve"> the application of this policy</w:t>
      </w:r>
      <w:bookmarkEnd w:id="7"/>
      <w:bookmarkEnd w:id="8"/>
    </w:p>
    <w:p w14:paraId="5F338304" w14:textId="77777777" w:rsidR="00D0433F" w:rsidRDefault="00D0433F" w:rsidP="00D0433F">
      <w:r>
        <w:t>The PT PCP does not apply to procurements to which CPR paragraph 2.6 has been applied or when:</w:t>
      </w:r>
    </w:p>
    <w:p w14:paraId="5636286A" w14:textId="1630C052" w:rsidR="00D0433F" w:rsidRDefault="00D0433F" w:rsidP="007A4099">
      <w:pPr>
        <w:pStyle w:val="Bullet"/>
      </w:pPr>
      <w:r>
        <w:t>procuring and consuming goods and services overseas;</w:t>
      </w:r>
    </w:p>
    <w:p w14:paraId="76B93CED" w14:textId="5DDF4914" w:rsidR="00D0433F" w:rsidRDefault="00D0433F" w:rsidP="007A4099">
      <w:pPr>
        <w:pStyle w:val="Bullet"/>
      </w:pPr>
      <w:r>
        <w:t>procuring real property, including leases and licences;</w:t>
      </w:r>
    </w:p>
    <w:p w14:paraId="3B6348CF" w14:textId="1C876D52" w:rsidR="00D0433F" w:rsidRDefault="00D0433F" w:rsidP="007A4099">
      <w:pPr>
        <w:pStyle w:val="Bullet"/>
      </w:pPr>
      <w:r>
        <w:t>the funding source for the procurement is an administered appropriation;</w:t>
      </w:r>
    </w:p>
    <w:p w14:paraId="6AECF8A6" w14:textId="08E90FB2" w:rsidR="00D0433F" w:rsidRDefault="00D0433F" w:rsidP="007A4099">
      <w:pPr>
        <w:pStyle w:val="Bullet"/>
      </w:pPr>
      <w:r>
        <w:t xml:space="preserve">the nature of the goods or services being procured, or the structure of the procurement, would make it impractical for the policy to be applied, such as where the procurement occurs under standard terms and conditions put forward by the supplier rather than the NCE; </w:t>
      </w:r>
    </w:p>
    <w:p w14:paraId="200BF523" w14:textId="0A6683ED" w:rsidR="00D0433F" w:rsidRDefault="00D0433F" w:rsidP="007A4099">
      <w:pPr>
        <w:pStyle w:val="Bullet"/>
      </w:pPr>
      <w:r>
        <w:t>procuring from a Commonwealth Entity; or</w:t>
      </w:r>
    </w:p>
    <w:p w14:paraId="05C80ADF" w14:textId="184100F7" w:rsidR="00D0433F" w:rsidRDefault="00D0433F" w:rsidP="007A4099">
      <w:pPr>
        <w:pStyle w:val="Bullet"/>
      </w:pPr>
      <w:r>
        <w:t>the payment arises from a non</w:t>
      </w:r>
      <w:r w:rsidR="008C33E8">
        <w:noBreakHyphen/>
      </w:r>
      <w:r>
        <w:t>procurement arrangement, such as a grant.</w:t>
      </w:r>
    </w:p>
    <w:p w14:paraId="6655C79B" w14:textId="77777777" w:rsidR="00D0433F" w:rsidRDefault="00D0433F" w:rsidP="00D0433F">
      <w:r>
        <w:t>NCEs or Reporting Entities can choose to adopt shorter timeframes. The PT PCP does not limit any obligation to comply with applicable legislation that provides for a shorter payment period than that mandated under this policy.</w:t>
      </w:r>
    </w:p>
    <w:p w14:paraId="776EBC43" w14:textId="03D760CD" w:rsidR="00C716ED" w:rsidRDefault="00D0433F" w:rsidP="00D0433F">
      <w:r>
        <w:t xml:space="preserve">This policy will be reviewed on an annual basis and further measures (such as stricter monitoring and compliance) may be considered in order to improve the effectiveness of the policy. Lessons learnt </w:t>
      </w:r>
      <w:r>
        <w:lastRenderedPageBreak/>
        <w:t>through annual review will be assessed and evaluated, and updated guidance may be issued if required.</w:t>
      </w:r>
    </w:p>
    <w:p w14:paraId="28E66123" w14:textId="11C7BB5B" w:rsidR="007D2B3E" w:rsidRDefault="00BE702A" w:rsidP="007A4099">
      <w:pPr>
        <w:pStyle w:val="Heading1Numbered"/>
      </w:pPr>
      <w:bookmarkStart w:id="9" w:name="_Toc140752997"/>
      <w:r w:rsidRPr="00BE702A">
        <w:t>Policy Requirements</w:t>
      </w:r>
      <w:bookmarkEnd w:id="9"/>
    </w:p>
    <w:p w14:paraId="25B81E67" w14:textId="68C6D65A" w:rsidR="00426F17" w:rsidRPr="00035952" w:rsidRDefault="00426F17" w:rsidP="007A4099">
      <w:pPr>
        <w:pStyle w:val="Heading2Numbered"/>
      </w:pPr>
      <w:bookmarkStart w:id="10" w:name="_Toc75940046"/>
      <w:bookmarkStart w:id="11" w:name="_Toc140752998"/>
      <w:r>
        <w:t>Non</w:t>
      </w:r>
      <w:r w:rsidR="008C33E8">
        <w:noBreakHyphen/>
      </w:r>
      <w:r>
        <w:t>corporate Commonwealth Entities</w:t>
      </w:r>
      <w:bookmarkEnd w:id="10"/>
      <w:bookmarkEnd w:id="11"/>
    </w:p>
    <w:p w14:paraId="21A54FC1" w14:textId="77777777" w:rsidR="00210EF3" w:rsidRDefault="00210EF3" w:rsidP="00210EF3">
      <w:r w:rsidRPr="003E21E1">
        <w:t xml:space="preserve">When determining the value of the </w:t>
      </w:r>
      <w:r>
        <w:t xml:space="preserve">procurement </w:t>
      </w:r>
      <w:r w:rsidRPr="003E21E1">
        <w:t xml:space="preserve">for the </w:t>
      </w:r>
      <w:r>
        <w:t>purposes of applying the</w:t>
      </w:r>
      <w:r w:rsidRPr="003E21E1">
        <w:t xml:space="preserve"> policy, NCEs should </w:t>
      </w:r>
      <w:r>
        <w:t>estimate the value of the procurement before an approach to market (ATM) is undertaken. Procurements should be estimated in accordance with the Commonwealth Procurement Rules (CPRs).</w:t>
      </w:r>
    </w:p>
    <w:p w14:paraId="5DF16937" w14:textId="77777777" w:rsidR="00210EF3" w:rsidRDefault="00210EF3" w:rsidP="00210EF3">
      <w:r w:rsidRPr="003E21E1">
        <w:t xml:space="preserve">If the value of the </w:t>
      </w:r>
      <w:r>
        <w:t>procurement</w:t>
      </w:r>
      <w:r w:rsidRPr="003E21E1">
        <w:t xml:space="preserve"> is not known, it should be assumed</w:t>
      </w:r>
      <w:r>
        <w:t>,</w:t>
      </w:r>
      <w:r w:rsidRPr="003E21E1">
        <w:t xml:space="preserve"> for the purposes of this policy</w:t>
      </w:r>
      <w:r>
        <w:t>,</w:t>
      </w:r>
      <w:r w:rsidRPr="003E21E1">
        <w:t xml:space="preserve"> that the </w:t>
      </w:r>
      <w:r>
        <w:t xml:space="preserve">procurement </w:t>
      </w:r>
      <w:r w:rsidRPr="003E21E1">
        <w:t xml:space="preserve">is valued </w:t>
      </w:r>
      <w:r>
        <w:t>above</w:t>
      </w:r>
      <w:r w:rsidRPr="003E21E1">
        <w:t xml:space="preserve"> $</w:t>
      </w:r>
      <w:r>
        <w:t>4</w:t>
      </w:r>
      <w:r w:rsidRPr="003E21E1">
        <w:t xml:space="preserve"> million (GST inclusive), unless it is reasonable to assume oth</w:t>
      </w:r>
      <w:r w:rsidRPr="0050058F">
        <w:t>erwise.</w:t>
      </w:r>
    </w:p>
    <w:p w14:paraId="115E5579" w14:textId="77777777" w:rsidR="00210EF3" w:rsidRPr="00FB36F0" w:rsidRDefault="00210EF3" w:rsidP="00210EF3">
      <w:r w:rsidRPr="00FB36F0">
        <w:t xml:space="preserve">When </w:t>
      </w:r>
      <w:r>
        <w:t>issuing an ATM</w:t>
      </w:r>
      <w:r w:rsidRPr="00FB36F0">
        <w:t xml:space="preserve"> with an estimated value </w:t>
      </w:r>
      <w:r>
        <w:t>above</w:t>
      </w:r>
      <w:r w:rsidRPr="00FB36F0">
        <w:t xml:space="preserve"> $4 million (GST inclusive), a</w:t>
      </w:r>
      <w:r>
        <w:t>n</w:t>
      </w:r>
      <w:r w:rsidRPr="00FB36F0">
        <w:t xml:space="preserve"> NCE must:</w:t>
      </w:r>
    </w:p>
    <w:p w14:paraId="6B01CB69" w14:textId="77777777" w:rsidR="00210EF3" w:rsidRPr="00210EF3" w:rsidRDefault="00210EF3" w:rsidP="007A4099">
      <w:pPr>
        <w:pStyle w:val="Bullet"/>
      </w:pPr>
      <w:r w:rsidRPr="00210EF3">
        <w:t>include the PT PCP ATM declaration in the ATM</w:t>
      </w:r>
      <w:r w:rsidRPr="00210EF3" w:rsidDel="00C338F5">
        <w:t xml:space="preserve"> </w:t>
      </w:r>
      <w:r w:rsidRPr="00210EF3">
        <w:t>documentation (the declaration is included at Appendix A); and</w:t>
      </w:r>
    </w:p>
    <w:p w14:paraId="3EE56DC9" w14:textId="77777777" w:rsidR="00210EF3" w:rsidRPr="00210EF3" w:rsidRDefault="00210EF3" w:rsidP="007A4099">
      <w:pPr>
        <w:pStyle w:val="Bullet"/>
      </w:pPr>
      <w:r w:rsidRPr="00210EF3">
        <w:t>where a draft form of contract is provided in the ATM documentation, include the PT PCP contract clauses in the draft form of contract (draft PT PCP clauses are included at Appendix A).</w:t>
      </w:r>
    </w:p>
    <w:p w14:paraId="02B18E91" w14:textId="32B068D3" w:rsidR="00210EF3" w:rsidRDefault="00210EF3" w:rsidP="00210EF3">
      <w:r w:rsidRPr="00FB36F0">
        <w:t xml:space="preserve">If the tenderer has declared that it is a Reporting Entity and the value of the </w:t>
      </w:r>
      <w:r>
        <w:t>contract will be above</w:t>
      </w:r>
      <w:r w:rsidRPr="00FB36F0">
        <w:t xml:space="preserve"> $4</w:t>
      </w:r>
      <w:r w:rsidR="00EE320E">
        <w:t> </w:t>
      </w:r>
      <w:r w:rsidRPr="00FB36F0">
        <w:t>million (GST inclusive)</w:t>
      </w:r>
      <w:r>
        <w:t xml:space="preserve">, </w:t>
      </w:r>
      <w:r w:rsidRPr="00FB36F0">
        <w:t>the NCE must</w:t>
      </w:r>
      <w:r>
        <w:t xml:space="preserve"> </w:t>
      </w:r>
      <w:r w:rsidRPr="00FB36F0">
        <w:t>ensure the PT PCP contract clauses are in</w:t>
      </w:r>
      <w:r>
        <w:t>cluded in</w:t>
      </w:r>
      <w:r w:rsidRPr="00FB36F0">
        <w:t xml:space="preserve"> the final contract prior to execution.</w:t>
      </w:r>
    </w:p>
    <w:p w14:paraId="70B6FC48" w14:textId="77777777" w:rsidR="00210EF3" w:rsidRPr="00FB36F0" w:rsidRDefault="00210EF3" w:rsidP="00210EF3">
      <w:r>
        <w:t>NCEs</w:t>
      </w:r>
      <w:r w:rsidRPr="00FB36F0">
        <w:t xml:space="preserve"> will </w:t>
      </w:r>
      <w:r w:rsidRPr="00FB36F0">
        <w:rPr>
          <w:u w:val="single"/>
        </w:rPr>
        <w:t>not be required</w:t>
      </w:r>
      <w:r w:rsidRPr="00FB36F0">
        <w:t xml:space="preserve"> to:</w:t>
      </w:r>
    </w:p>
    <w:p w14:paraId="36F94B6C" w14:textId="5FA60D29" w:rsidR="00210EF3" w:rsidRPr="00FB36F0" w:rsidRDefault="00210EF3" w:rsidP="007A4099">
      <w:pPr>
        <w:pStyle w:val="Bullet"/>
      </w:pPr>
      <w:r w:rsidRPr="00FB36F0">
        <w:t>ensure the accuracy of tenderers</w:t>
      </w:r>
      <w:r w:rsidR="008C33E8">
        <w:t>’</w:t>
      </w:r>
      <w:r w:rsidRPr="00FB36F0">
        <w:t xml:space="preserve"> self</w:t>
      </w:r>
      <w:r w:rsidR="008C33E8">
        <w:noBreakHyphen/>
      </w:r>
      <w:r w:rsidRPr="00FB36F0">
        <w:t>identification as Reporting Entit</w:t>
      </w:r>
      <w:r>
        <w:t>ies</w:t>
      </w:r>
      <w:r w:rsidRPr="00FB36F0">
        <w:t>; nor</w:t>
      </w:r>
    </w:p>
    <w:p w14:paraId="14CF42FB" w14:textId="295D1AB5" w:rsidR="00210EF3" w:rsidRPr="00FB36F0" w:rsidRDefault="00210EF3" w:rsidP="007A4099">
      <w:pPr>
        <w:pStyle w:val="Bullet"/>
      </w:pPr>
      <w:r w:rsidRPr="00FB36F0">
        <w:t>actively monitor Reporting Entities</w:t>
      </w:r>
      <w:r w:rsidR="008C33E8">
        <w:t>’</w:t>
      </w:r>
      <w:r w:rsidRPr="00FB36F0">
        <w:t xml:space="preserve"> payment times to their subcontractors; nor</w:t>
      </w:r>
    </w:p>
    <w:p w14:paraId="6E495B5E" w14:textId="0310101C" w:rsidR="00210EF3" w:rsidRDefault="00210EF3" w:rsidP="007A4099">
      <w:pPr>
        <w:pStyle w:val="Bullet"/>
      </w:pPr>
      <w:r w:rsidRPr="00FB36F0">
        <w:t>have a working knowledge of, or obtain additional information about, Reporting Entities</w:t>
      </w:r>
      <w:r w:rsidR="008C33E8">
        <w:t>’</w:t>
      </w:r>
      <w:r w:rsidRPr="00FB36F0">
        <w:t xml:space="preserve"> supply chains for the </w:t>
      </w:r>
      <w:r>
        <w:t>day</w:t>
      </w:r>
      <w:r w:rsidR="008C33E8">
        <w:noBreakHyphen/>
      </w:r>
      <w:r>
        <w:t>to</w:t>
      </w:r>
      <w:r w:rsidR="008C33E8">
        <w:noBreakHyphen/>
      </w:r>
      <w:r>
        <w:t xml:space="preserve">day </w:t>
      </w:r>
      <w:r w:rsidRPr="00FB36F0">
        <w:t xml:space="preserve">purposes of the PT PCP. </w:t>
      </w:r>
    </w:p>
    <w:p w14:paraId="4F830B69" w14:textId="4F81F362" w:rsidR="00426F17" w:rsidRDefault="00210EF3" w:rsidP="00426F17">
      <w:r w:rsidRPr="00FB36F0">
        <w:t xml:space="preserve">The </w:t>
      </w:r>
      <w:r>
        <w:t xml:space="preserve">PT PCP </w:t>
      </w:r>
      <w:r w:rsidRPr="00FB36F0">
        <w:rPr>
          <w:rFonts w:eastAsia="Calibri"/>
        </w:rPr>
        <w:t>Policy Team</w:t>
      </w:r>
      <w:r w:rsidRPr="00FB36F0">
        <w:t xml:space="preserve"> may contact </w:t>
      </w:r>
      <w:r>
        <w:t>an NCE</w:t>
      </w:r>
      <w:r w:rsidRPr="00FB36F0">
        <w:t xml:space="preserve"> and nominate </w:t>
      </w:r>
      <w:r>
        <w:t>a</w:t>
      </w:r>
      <w:r w:rsidRPr="00FB36F0">
        <w:t xml:space="preserve"> contract/s </w:t>
      </w:r>
      <w:r>
        <w:rPr>
          <w:rFonts w:eastAsia="Calibri"/>
        </w:rPr>
        <w:t>for evaluation</w:t>
      </w:r>
      <w:r w:rsidRPr="00FB36F0">
        <w:rPr>
          <w:rFonts w:eastAsia="Calibri"/>
        </w:rPr>
        <w:t xml:space="preserve">. </w:t>
      </w:r>
      <w:r>
        <w:rPr>
          <w:rFonts w:eastAsia="Calibri"/>
        </w:rPr>
        <w:t>The NCE</w:t>
      </w:r>
      <w:r w:rsidRPr="00FB36F0">
        <w:rPr>
          <w:rFonts w:eastAsia="Calibri"/>
        </w:rPr>
        <w:t xml:space="preserve"> will be asked to fill out the </w:t>
      </w:r>
      <w:r>
        <w:rPr>
          <w:rFonts w:eastAsia="Calibri"/>
        </w:rPr>
        <w:t xml:space="preserve">Policy Evaluation Questionnaire for NCEs at Appendix B </w:t>
      </w:r>
      <w:r w:rsidRPr="00FB36F0">
        <w:rPr>
          <w:rFonts w:eastAsia="Calibri"/>
        </w:rPr>
        <w:t>for each nominated contract.</w:t>
      </w:r>
      <w:r>
        <w:rPr>
          <w:rFonts w:eastAsia="Calibri"/>
        </w:rPr>
        <w:t xml:space="preserve"> </w:t>
      </w:r>
      <w:r w:rsidRPr="00FB36F0">
        <w:t xml:space="preserve">Where possible, </w:t>
      </w:r>
      <w:r>
        <w:t>NCEs</w:t>
      </w:r>
      <w:r w:rsidRPr="00FB36F0">
        <w:t xml:space="preserve"> should</w:t>
      </w:r>
      <w:r>
        <w:t xml:space="preserve"> endeavour to identify </w:t>
      </w:r>
      <w:r w:rsidRPr="00FB36F0">
        <w:t xml:space="preserve">contracts as </w:t>
      </w:r>
      <w:r w:rsidR="008C33E8">
        <w:t>‘</w:t>
      </w:r>
      <w:r w:rsidRPr="00FB36F0">
        <w:t>PT PCP contracts</w:t>
      </w:r>
      <w:r w:rsidR="008C33E8">
        <w:t>’</w:t>
      </w:r>
      <w:r w:rsidRPr="00FB36F0">
        <w:t xml:space="preserve"> in their financial systems</w:t>
      </w:r>
      <w:r>
        <w:t xml:space="preserve"> to</w:t>
      </w:r>
      <w:r w:rsidRPr="00FB36F0">
        <w:t xml:space="preserve"> allow </w:t>
      </w:r>
      <w:r>
        <w:t xml:space="preserve">NCEs to more easily conduct internal reporting to identify PT PCP contracts and provide this information to the PT PCP Policy Team for the purpose of policy evaluation. </w:t>
      </w:r>
    </w:p>
    <w:p w14:paraId="6BFEB4B3" w14:textId="77777777" w:rsidR="001028A6" w:rsidRDefault="001028A6" w:rsidP="007A4099">
      <w:pPr>
        <w:pStyle w:val="Heading2Numbered"/>
      </w:pPr>
      <w:bookmarkStart w:id="12" w:name="_Toc75940047"/>
      <w:bookmarkStart w:id="13" w:name="_Toc140752999"/>
      <w:r>
        <w:t>Reporting Entities</w:t>
      </w:r>
      <w:bookmarkEnd w:id="12"/>
      <w:bookmarkEnd w:id="13"/>
    </w:p>
    <w:p w14:paraId="11ACF43D" w14:textId="77777777" w:rsidR="00392B32" w:rsidRDefault="00392B32" w:rsidP="00A05A54">
      <w:pPr>
        <w:spacing w:after="0"/>
      </w:pPr>
      <w:r w:rsidRPr="00CF3B11">
        <w:t xml:space="preserve">A business that responds to an ATM </w:t>
      </w:r>
      <w:r>
        <w:t xml:space="preserve">that includes the PT PCP ATM clauses </w:t>
      </w:r>
      <w:r w:rsidRPr="00CF3B11">
        <w:t>must</w:t>
      </w:r>
      <w:r>
        <w:t xml:space="preserve"> determine if they are a PTRS Reporting Entity under the relevant criteria in the PTR Act at the date they respond to the ATM.</w:t>
      </w:r>
    </w:p>
    <w:p w14:paraId="0290730F" w14:textId="43D39AA1" w:rsidR="00862276" w:rsidRDefault="00392B32" w:rsidP="00A05A54">
      <w:pPr>
        <w:pStyle w:val="Bullet"/>
      </w:pPr>
      <w:r w:rsidRPr="00FB36F0">
        <w:t xml:space="preserve">if this status changes after the date of submission of the tender, no changes will be made to the contract to include/exclude PT PCP clauses. </w:t>
      </w:r>
    </w:p>
    <w:p w14:paraId="4EA2DA3B" w14:textId="74DAA247" w:rsidR="00392B32" w:rsidRPr="00FB36F0" w:rsidRDefault="00392B32" w:rsidP="00A05A54">
      <w:pPr>
        <w:keepNext/>
        <w:spacing w:after="0"/>
      </w:pPr>
      <w:r w:rsidRPr="00FB36F0">
        <w:lastRenderedPageBreak/>
        <w:t xml:space="preserve">If the </w:t>
      </w:r>
      <w:r>
        <w:t>business is a PTRS Reporting Entity</w:t>
      </w:r>
      <w:r w:rsidRPr="00FB36F0">
        <w:t xml:space="preserve">, the </w:t>
      </w:r>
      <w:r>
        <w:t>business</w:t>
      </w:r>
      <w:r w:rsidRPr="00FB36F0">
        <w:t xml:space="preserve"> must:</w:t>
      </w:r>
    </w:p>
    <w:p w14:paraId="589AD63C" w14:textId="77777777" w:rsidR="00392B32" w:rsidRPr="00FB36F0" w:rsidRDefault="00392B32" w:rsidP="00A05A54">
      <w:pPr>
        <w:pStyle w:val="Bullet"/>
      </w:pPr>
      <w:r w:rsidRPr="00FB36F0">
        <w:t>agree to</w:t>
      </w:r>
      <w:r>
        <w:t xml:space="preserve"> the</w:t>
      </w:r>
      <w:r w:rsidRPr="00FB36F0">
        <w:t xml:space="preserve"> inclusion of the PT PCP contract clauses (draft clauses are at </w:t>
      </w:r>
      <w:r w:rsidRPr="00870714">
        <w:t>Appendix A) in</w:t>
      </w:r>
      <w:r w:rsidRPr="00FB36F0">
        <w:t xml:space="preserve"> the contract with the </w:t>
      </w:r>
      <w:r>
        <w:t>NCE</w:t>
      </w:r>
      <w:r w:rsidRPr="00FB36F0">
        <w:t xml:space="preserve">. </w:t>
      </w:r>
      <w:r>
        <w:t>T</w:t>
      </w:r>
      <w:r w:rsidRPr="00FB36F0">
        <w:t xml:space="preserve">hose clauses will require </w:t>
      </w:r>
      <w:r>
        <w:t>the business</w:t>
      </w:r>
      <w:r w:rsidRPr="00FB36F0">
        <w:t xml:space="preserve"> to:</w:t>
      </w:r>
    </w:p>
    <w:p w14:paraId="56AD460E" w14:textId="394E7F1E" w:rsidR="00F20467" w:rsidRDefault="00392B32" w:rsidP="00A05A54">
      <w:pPr>
        <w:pStyle w:val="ListParagraph"/>
        <w:numPr>
          <w:ilvl w:val="0"/>
          <w:numId w:val="37"/>
        </w:numPr>
        <w:spacing w:after="0" w:line="276" w:lineRule="auto"/>
        <w:contextualSpacing w:val="0"/>
        <w:rPr>
          <w:rFonts w:ascii="Calibri Light" w:hAnsi="Calibri Light" w:cs="Calibri Light"/>
        </w:rPr>
      </w:pPr>
      <w:r w:rsidRPr="00F20467">
        <w:rPr>
          <w:rFonts w:ascii="Calibri Light" w:hAnsi="Calibri Light" w:cs="Calibri Light"/>
        </w:rPr>
        <w:t xml:space="preserve">pay a Correctly Rendered Invoice following the acknowledgement of the satisfactory receipt of goods or services issued under a PT PCP Subcontract of up to $1 million (GST inclusive) within 20 calendar days; and </w:t>
      </w:r>
    </w:p>
    <w:p w14:paraId="1A49ECAD" w14:textId="27DADF93" w:rsidR="00C41A1E"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pay interest if it fails to pay PT PCP Subcontractors within 20 calendar days and the accrued interest exceeds $100; and</w:t>
      </w:r>
    </w:p>
    <w:p w14:paraId="6F95D8AF" w14:textId="35F46470" w:rsidR="00392B32" w:rsidRPr="00F20467" w:rsidRDefault="00392B32" w:rsidP="00A05A54">
      <w:pPr>
        <w:pStyle w:val="ListParagraph"/>
        <w:numPr>
          <w:ilvl w:val="0"/>
          <w:numId w:val="38"/>
        </w:numPr>
        <w:spacing w:after="0" w:line="276" w:lineRule="auto"/>
        <w:contextualSpacing w:val="0"/>
        <w:rPr>
          <w:rFonts w:ascii="Calibri Light" w:hAnsi="Calibri Light" w:cs="Calibri Light"/>
        </w:rPr>
      </w:pPr>
      <w:r w:rsidRPr="00F20467">
        <w:rPr>
          <w:rFonts w:ascii="Calibri Light" w:hAnsi="Calibri Light" w:cs="Calibri Light"/>
        </w:rPr>
        <w:t xml:space="preserve">The requirement for the Reporting Entity to pay interest to PT PCP Subcontractors </w:t>
      </w:r>
      <w:r w:rsidRPr="00A449C0">
        <w:rPr>
          <w:rFonts w:ascii="Calibri Light" w:hAnsi="Calibri Light" w:cs="Calibri Light"/>
          <w:b/>
          <w:u w:val="single"/>
        </w:rPr>
        <w:t>will not apply</w:t>
      </w:r>
      <w:r w:rsidRPr="00F20467">
        <w:rPr>
          <w:rFonts w:ascii="Calibri Light" w:hAnsi="Calibri Light" w:cs="Calibri Light"/>
        </w:rPr>
        <w:t xml:space="preserve"> if the NCE has failed to pay the Reporting Entity in accordance with the timeframes and requirements under the NCE</w:t>
      </w:r>
      <w:r w:rsidR="008C33E8" w:rsidRPr="00F20467">
        <w:rPr>
          <w:rFonts w:ascii="Calibri Light" w:hAnsi="Calibri Light" w:cs="Calibri Light"/>
        </w:rPr>
        <w:t>’</w:t>
      </w:r>
      <w:r w:rsidRPr="00F20467">
        <w:rPr>
          <w:rFonts w:ascii="Calibri Light" w:hAnsi="Calibri Light" w:cs="Calibri Light"/>
        </w:rPr>
        <w:t>s contract.</w:t>
      </w:r>
    </w:p>
    <w:p w14:paraId="62A6A2A4" w14:textId="77777777" w:rsidR="00392B32"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advise the PT PCP Subcontractor that the subcontract is a PT PCP Subcontract; and</w:t>
      </w:r>
    </w:p>
    <w:p w14:paraId="2DBA4B2A" w14:textId="77777777" w:rsidR="00392B32"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advise that a PT PCP Subcontractor has a right to make a complaint to the PT PCP Policy Team or the relevant NCE if there has been a failure by the Reporting Entity to comply with the PT PCP Subcontract; and</w:t>
      </w:r>
    </w:p>
    <w:p w14:paraId="5EE25F13" w14:textId="1F0260A9" w:rsidR="00392B32"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respond to any complaint of non</w:t>
      </w:r>
      <w:r w:rsidR="008C33E8" w:rsidRPr="00C41A1E">
        <w:rPr>
          <w:rFonts w:ascii="Calibri Light" w:hAnsi="Calibri Light" w:cs="Calibri Light"/>
        </w:rPr>
        <w:noBreakHyphen/>
      </w:r>
      <w:r w:rsidRPr="00C41A1E">
        <w:rPr>
          <w:rFonts w:ascii="Calibri Light" w:hAnsi="Calibri Light" w:cs="Calibri Light"/>
        </w:rPr>
        <w:t xml:space="preserve">compliance and, where required, provide a PT PCP Remediation Plan; </w:t>
      </w:r>
    </w:p>
    <w:p w14:paraId="2D664D6C" w14:textId="77777777" w:rsidR="00392B32"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 xml:space="preserve">ensure their PT PCP Subcontract(s) includes the name of the contracting Commonwealth Entity to whom the PT PCP Subcontractors may make a complaint; and </w:t>
      </w:r>
    </w:p>
    <w:p w14:paraId="48B4E2D4" w14:textId="77777777" w:rsidR="00392B32" w:rsidRPr="00C41A1E" w:rsidRDefault="00392B32" w:rsidP="00A05A54">
      <w:pPr>
        <w:pStyle w:val="ListParagraph"/>
        <w:numPr>
          <w:ilvl w:val="0"/>
          <w:numId w:val="37"/>
        </w:numPr>
        <w:spacing w:after="0" w:line="276" w:lineRule="auto"/>
        <w:contextualSpacing w:val="0"/>
        <w:rPr>
          <w:rFonts w:ascii="Calibri Light" w:hAnsi="Calibri Light" w:cs="Calibri Light"/>
        </w:rPr>
      </w:pPr>
      <w:r w:rsidRPr="00C41A1E">
        <w:rPr>
          <w:rFonts w:ascii="Calibri Light" w:hAnsi="Calibri Light" w:cs="Calibri Light"/>
        </w:rPr>
        <w:t xml:space="preserve">if requested, complete a PT PCP Evaluation Questionnaire (see Appendix C); </w:t>
      </w:r>
    </w:p>
    <w:p w14:paraId="5E6EBA80" w14:textId="77777777" w:rsidR="00392B32" w:rsidRPr="0022420A" w:rsidRDefault="00392B32" w:rsidP="00A05A54">
      <w:pPr>
        <w:pStyle w:val="Bullet"/>
      </w:pPr>
      <w:r w:rsidRPr="0022420A">
        <w:t xml:space="preserve">If it enters into a Reporting Entity Subcontract (as defined in Appendix A) in anticipation of entering (or after) the execution of the NCE </w:t>
      </w:r>
      <w:r w:rsidRPr="00205DBC">
        <w:t>contract</w:t>
      </w:r>
      <w:r w:rsidRPr="0022420A">
        <w:t>, use reasonable endeavours to include clauses in that subcontract requiring the subcontractor to:</w:t>
      </w:r>
    </w:p>
    <w:p w14:paraId="58F5B862" w14:textId="77777777" w:rsidR="00392B32" w:rsidRPr="009F454C" w:rsidRDefault="00392B32" w:rsidP="00A05A54">
      <w:pPr>
        <w:pStyle w:val="ListParagraph"/>
        <w:numPr>
          <w:ilvl w:val="0"/>
          <w:numId w:val="37"/>
        </w:numPr>
        <w:spacing w:after="0" w:line="276" w:lineRule="auto"/>
        <w:contextualSpacing w:val="0"/>
        <w:rPr>
          <w:rFonts w:ascii="Calibri Light" w:hAnsi="Calibri Light" w:cs="Calibri Light"/>
        </w:rPr>
      </w:pPr>
      <w:r w:rsidRPr="009F454C">
        <w:rPr>
          <w:rFonts w:ascii="Calibri Light" w:hAnsi="Calibri Light" w:cs="Calibri Light"/>
        </w:rPr>
        <w:t>make payments under their respective subcontracts valued up to $1 million (GST inclusive) within 20 calendar days from acknowledgement of the satisfactory delivery of the goods or services and a Correctly Rendered Invoice having been received or pay interest if payment is made late; and</w:t>
      </w:r>
    </w:p>
    <w:p w14:paraId="6E33C099" w14:textId="166DE213" w:rsidR="00693F60" w:rsidRPr="00693F60" w:rsidRDefault="00392B32" w:rsidP="00A05A54">
      <w:pPr>
        <w:pStyle w:val="ListParagraph"/>
        <w:numPr>
          <w:ilvl w:val="0"/>
          <w:numId w:val="37"/>
        </w:numPr>
        <w:spacing w:after="0" w:line="276" w:lineRule="auto"/>
        <w:contextualSpacing w:val="0"/>
        <w:rPr>
          <w:rFonts w:ascii="Calibri Light" w:hAnsi="Calibri Light" w:cs="Calibri Light"/>
        </w:rPr>
      </w:pPr>
      <w:r w:rsidRPr="009F454C">
        <w:rPr>
          <w:rFonts w:ascii="Calibri Light" w:hAnsi="Calibri Light" w:cs="Calibri Light"/>
        </w:rPr>
        <w:t>use their reasonable endeavours to flow through the same obligations to their subcontractors who also satisfy the definition of a Reporting Entity Subcontractor.</w:t>
      </w:r>
    </w:p>
    <w:p w14:paraId="4B0C774C" w14:textId="515DEBE9" w:rsidR="001028A6" w:rsidRPr="009F454C" w:rsidRDefault="00392B32" w:rsidP="00A05A54">
      <w:pPr>
        <w:pStyle w:val="ListParagraph"/>
        <w:numPr>
          <w:ilvl w:val="0"/>
          <w:numId w:val="38"/>
        </w:numPr>
        <w:spacing w:after="0" w:line="276" w:lineRule="auto"/>
        <w:contextualSpacing w:val="0"/>
        <w:rPr>
          <w:rFonts w:ascii="Calibri Light" w:hAnsi="Calibri Light" w:cs="Calibri Light"/>
        </w:rPr>
      </w:pPr>
      <w:r w:rsidRPr="009F454C">
        <w:rPr>
          <w:rFonts w:ascii="Calibri Light" w:hAnsi="Calibri Light" w:cs="Calibri Light"/>
        </w:rPr>
        <w:t>Suppliers will therefore need to ask their subcontractors to identify whether or not the subcontractor is a Reporting Entity.</w:t>
      </w:r>
    </w:p>
    <w:p w14:paraId="361D6833" w14:textId="77777777" w:rsidR="008563F0" w:rsidRDefault="008563F0" w:rsidP="007A4099">
      <w:pPr>
        <w:pStyle w:val="Heading2Numbered"/>
      </w:pPr>
      <w:bookmarkStart w:id="14" w:name="_Toc75940048"/>
      <w:bookmarkStart w:id="15" w:name="_Toc140753000"/>
      <w:r>
        <w:t>Calculating and Paying Interest</w:t>
      </w:r>
      <w:bookmarkEnd w:id="14"/>
      <w:bookmarkEnd w:id="15"/>
    </w:p>
    <w:p w14:paraId="101A52DB" w14:textId="77777777" w:rsidR="00BA2418" w:rsidRDefault="00BA2418" w:rsidP="00BA2418">
      <w:r>
        <w:t>Once the Reporting Entity has acknowledged the satisfactory delivery of the goods or services and a Correctly Rendered Invoice has been received, calculation of 20 calendar days commences from the start of the next calendar day.</w:t>
      </w:r>
    </w:p>
    <w:p w14:paraId="5CE942D2" w14:textId="40685912" w:rsidR="00BA2418" w:rsidRDefault="00BA2418" w:rsidP="00BA2418">
      <w:r>
        <w:t>Interest is payable at the general interest charge rate available on the ATO</w:t>
      </w:r>
      <w:r w:rsidR="008C33E8">
        <w:t>’</w:t>
      </w:r>
      <w:r>
        <w:t xml:space="preserve">s website, calculated for each calendar day from the day after payment was due up to and including the day that payment was </w:t>
      </w:r>
      <w:r>
        <w:lastRenderedPageBreak/>
        <w:t>made. If the maximum payment terms fall on a non</w:t>
      </w:r>
      <w:r w:rsidR="008C33E8">
        <w:noBreakHyphen/>
      </w:r>
      <w:r>
        <w:t>business day, payment is not due until the next business day.</w:t>
      </w:r>
    </w:p>
    <w:p w14:paraId="125005F3" w14:textId="2BAF85C4" w:rsidR="00944940" w:rsidRDefault="00BA2418" w:rsidP="00BA2418">
      <w:r>
        <w:t>Interest should be calculated on GST inclusive amounts, however interest itself is not subject to GST.</w:t>
      </w:r>
    </w:p>
    <w:p w14:paraId="21ADC9BA" w14:textId="77777777" w:rsidR="00944940" w:rsidRDefault="00944940" w:rsidP="007A4099">
      <w:pPr>
        <w:pStyle w:val="Heading1Numbered"/>
      </w:pPr>
      <w:bookmarkStart w:id="16" w:name="_Toc75940049"/>
      <w:bookmarkStart w:id="17" w:name="_Toc140753001"/>
      <w:r>
        <w:t>How to Lodge a Complaint</w:t>
      </w:r>
      <w:bookmarkEnd w:id="16"/>
      <w:bookmarkEnd w:id="17"/>
    </w:p>
    <w:p w14:paraId="61464DCF" w14:textId="0C78FA07" w:rsidR="00982FEC" w:rsidRDefault="00982FEC" w:rsidP="00982FEC">
      <w:r>
        <w:t>The following information is relevant to NCEs (or any Commonwealth Entity who chooses to apply the PT PCP), the Reporting Entity and PT PCP Subcontractors.</w:t>
      </w:r>
    </w:p>
    <w:p w14:paraId="6123D976" w14:textId="77777777" w:rsidR="00982FEC" w:rsidRDefault="00982FEC" w:rsidP="00982FEC">
      <w:r>
        <w:t>All disputes that arise between parties under a contract containing PT PCP clauses should be managed, in the first instance, following any standard dispute resolution procedures identified in the contractual arrangement between those parties.</w:t>
      </w:r>
    </w:p>
    <w:p w14:paraId="5A870D7B" w14:textId="70967FAC" w:rsidR="00982FEC" w:rsidRPr="00982FEC" w:rsidRDefault="00982FEC" w:rsidP="00982FEC">
      <w:r>
        <w:t xml:space="preserve">Where a dispute cannot be satisfactorily resolved between both parties following standard dispute resolution procedures, either party may lodge a complaint with the PT PCP Policy Team at </w:t>
      </w:r>
      <w:hyperlink r:id="rId24" w:history="1">
        <w:r w:rsidR="00DA41D3" w:rsidRPr="0000312E">
          <w:rPr>
            <w:rStyle w:val="Hyperlink"/>
          </w:rPr>
          <w:t>ptpcp@treasury.gov.au</w:t>
        </w:r>
      </w:hyperlink>
      <w:r>
        <w:t>.</w:t>
      </w:r>
    </w:p>
    <w:p w14:paraId="1C70FBC3" w14:textId="77777777" w:rsidR="00CE007C" w:rsidRDefault="00CE007C" w:rsidP="007A4099">
      <w:pPr>
        <w:pStyle w:val="Heading2Numbered"/>
      </w:pPr>
      <w:bookmarkStart w:id="18" w:name="_Toc75940050"/>
      <w:bookmarkStart w:id="19" w:name="_Toc140753002"/>
      <w:r>
        <w:t>What is required when lodging a complaint?</w:t>
      </w:r>
      <w:bookmarkEnd w:id="18"/>
      <w:bookmarkEnd w:id="19"/>
    </w:p>
    <w:p w14:paraId="27B4FC24" w14:textId="77777777" w:rsidR="00EE6820" w:rsidRDefault="00EE6820" w:rsidP="00EE6820">
      <w:r>
        <w:t xml:space="preserve">All complaints made to the PT PCP Policy Team must be in writing and include at least the following information: </w:t>
      </w:r>
    </w:p>
    <w:p w14:paraId="6539B855" w14:textId="77777777" w:rsidR="00EE6820" w:rsidRDefault="00EE6820" w:rsidP="001E0229">
      <w:pPr>
        <w:pStyle w:val="OutlineNumbered1"/>
        <w:numPr>
          <w:ilvl w:val="0"/>
          <w:numId w:val="14"/>
        </w:numPr>
      </w:pPr>
      <w:r>
        <w:t>your name, business name, address and telephone contact details; and</w:t>
      </w:r>
    </w:p>
    <w:p w14:paraId="72618B1D" w14:textId="77777777" w:rsidR="00EE6820" w:rsidRDefault="00EE6820" w:rsidP="001E0229">
      <w:pPr>
        <w:pStyle w:val="OutlineNumbered1"/>
      </w:pPr>
      <w:r>
        <w:t>details of the tender or Contract your complaint relates to. Where a Contract has been entered into, include the name of the relevant party; and</w:t>
      </w:r>
    </w:p>
    <w:p w14:paraId="2322C981" w14:textId="77777777" w:rsidR="00EE6820" w:rsidRDefault="00EE6820" w:rsidP="001E0229">
      <w:pPr>
        <w:pStyle w:val="OutlineNumbered1"/>
      </w:pPr>
      <w:r>
        <w:t>your role in supplying goods and/or services as part of the PT PCP Contract; and</w:t>
      </w:r>
    </w:p>
    <w:p w14:paraId="089917FC" w14:textId="77777777" w:rsidR="00EE6820" w:rsidRDefault="00EE6820" w:rsidP="001E0229">
      <w:pPr>
        <w:pStyle w:val="OutlineNumbered1"/>
      </w:pPr>
      <w:r>
        <w:t>confirmation that the Contract and/or invoice value is within the scope of the PT PCP; and</w:t>
      </w:r>
    </w:p>
    <w:p w14:paraId="7439C1E9" w14:textId="77777777" w:rsidR="00EE6820" w:rsidRDefault="00EE6820" w:rsidP="001E0229">
      <w:pPr>
        <w:pStyle w:val="OutlineNumbered1"/>
      </w:pPr>
      <w:r>
        <w:t xml:space="preserve">a factual and concise outline of your complaint in relation to the PT PCP; and </w:t>
      </w:r>
    </w:p>
    <w:p w14:paraId="66D0FDA8" w14:textId="40AD9D9A" w:rsidR="00EE6820" w:rsidRDefault="00EE6820" w:rsidP="001E0229">
      <w:pPr>
        <w:pStyle w:val="OutlineNumbered1"/>
      </w:pPr>
      <w:r>
        <w:t xml:space="preserve">details of any attempt(s) to resolve the complaint, including copies of any documents relating to the complaint and a copy of the </w:t>
      </w:r>
      <w:r w:rsidR="009D0E83">
        <w:t>parties</w:t>
      </w:r>
      <w:r w:rsidR="008C33E8">
        <w:t>’</w:t>
      </w:r>
      <w:r>
        <w:t xml:space="preserve"> response to the complaint (to the extent there are no confidentiality or other legal restrictions on the disclosure of that information).</w:t>
      </w:r>
    </w:p>
    <w:p w14:paraId="3A8C37AB" w14:textId="161F97B4" w:rsidR="00EE6820" w:rsidRPr="00EE6820" w:rsidRDefault="00EE6820" w:rsidP="00EE6820">
      <w:r>
        <w:t>Failure to provide the above information may delay any attempts for the complaint to be resolved.</w:t>
      </w:r>
    </w:p>
    <w:p w14:paraId="5D8C49D9" w14:textId="71D15C85" w:rsidR="00944940" w:rsidRDefault="00D92453" w:rsidP="007A4099">
      <w:pPr>
        <w:pStyle w:val="Heading2Numbered"/>
      </w:pPr>
      <w:bookmarkStart w:id="20" w:name="_Toc140753003"/>
      <w:r w:rsidRPr="00D92453">
        <w:t>How will the complaint be handled?</w:t>
      </w:r>
      <w:bookmarkEnd w:id="20"/>
    </w:p>
    <w:p w14:paraId="646854C9" w14:textId="77777777" w:rsidR="00AA7D29" w:rsidRDefault="00AA7D29" w:rsidP="00AA7D29">
      <w:r>
        <w:t>Where a complaint is received by the PT PCP Policy Team, the PT PCP Policy Team will:</w:t>
      </w:r>
    </w:p>
    <w:p w14:paraId="1189997C" w14:textId="6EA7DA17" w:rsidR="00AA7D29" w:rsidRDefault="00AA7D29" w:rsidP="00205DBC">
      <w:pPr>
        <w:pStyle w:val="OutlineNumbered1"/>
        <w:numPr>
          <w:ilvl w:val="0"/>
          <w:numId w:val="21"/>
        </w:numPr>
      </w:pPr>
      <w:r>
        <w:t>acknowledge receipt of your complaint;</w:t>
      </w:r>
    </w:p>
    <w:p w14:paraId="66D1E430" w14:textId="1AAB24C4" w:rsidR="00AA7D29" w:rsidRDefault="00AA7D29" w:rsidP="00205DBC">
      <w:pPr>
        <w:pStyle w:val="OutlineNumbered1"/>
      </w:pPr>
      <w:r>
        <w:t>assess the complaint and recommend an appropriate course of action. This may include one or more of the following actions:</w:t>
      </w:r>
    </w:p>
    <w:p w14:paraId="0A4B65DB" w14:textId="77777777" w:rsidR="00205DBC" w:rsidRPr="009F703B" w:rsidRDefault="00AA7D29" w:rsidP="009F703B">
      <w:pPr>
        <w:pStyle w:val="ListParagraph"/>
        <w:numPr>
          <w:ilvl w:val="0"/>
          <w:numId w:val="39"/>
        </w:numPr>
        <w:spacing w:after="0" w:line="276" w:lineRule="auto"/>
        <w:ind w:left="1077" w:hanging="357"/>
        <w:contextualSpacing w:val="0"/>
        <w:rPr>
          <w:rFonts w:ascii="Calibri Light" w:hAnsi="Calibri Light" w:cs="Calibri Light"/>
        </w:rPr>
      </w:pPr>
      <w:r w:rsidRPr="009F703B">
        <w:rPr>
          <w:rFonts w:ascii="Calibri Light" w:hAnsi="Calibri Light" w:cs="Calibri Light"/>
        </w:rPr>
        <w:t>Payment of a Correctly Rendered Invoice following the acknowledgement of the satisfactory receipt of goods or services.</w:t>
      </w:r>
    </w:p>
    <w:p w14:paraId="483335E8" w14:textId="77777777" w:rsidR="00205DBC" w:rsidRPr="009F703B" w:rsidRDefault="00AA7D29" w:rsidP="009F703B">
      <w:pPr>
        <w:pStyle w:val="ListParagraph"/>
        <w:numPr>
          <w:ilvl w:val="0"/>
          <w:numId w:val="39"/>
        </w:numPr>
        <w:spacing w:after="0" w:line="276" w:lineRule="auto"/>
        <w:ind w:left="1077" w:hanging="357"/>
        <w:contextualSpacing w:val="0"/>
        <w:rPr>
          <w:rFonts w:ascii="Calibri Light" w:hAnsi="Calibri Light" w:cs="Calibri Light"/>
        </w:rPr>
      </w:pPr>
      <w:r w:rsidRPr="009F703B">
        <w:rPr>
          <w:rFonts w:ascii="Calibri Light" w:hAnsi="Calibri Light" w:cs="Calibri Light"/>
        </w:rPr>
        <w:t>Calculation and payment of interest on late payment in accordance with the policy.</w:t>
      </w:r>
    </w:p>
    <w:p w14:paraId="50512143" w14:textId="46BC7DCF" w:rsidR="00AA7D29" w:rsidRPr="009F703B" w:rsidRDefault="00AA7D29" w:rsidP="009F703B">
      <w:pPr>
        <w:pStyle w:val="ListParagraph"/>
        <w:numPr>
          <w:ilvl w:val="0"/>
          <w:numId w:val="39"/>
        </w:numPr>
        <w:spacing w:after="0" w:line="276" w:lineRule="auto"/>
        <w:ind w:left="1077" w:hanging="357"/>
        <w:contextualSpacing w:val="0"/>
        <w:rPr>
          <w:rFonts w:ascii="Calibri Light" w:hAnsi="Calibri Light" w:cs="Calibri Light"/>
        </w:rPr>
      </w:pPr>
      <w:r w:rsidRPr="009F703B">
        <w:rPr>
          <w:rFonts w:ascii="Calibri Light" w:hAnsi="Calibri Light" w:cs="Calibri Light"/>
        </w:rPr>
        <w:t>Completion of a PT PCP Remediation Plan.</w:t>
      </w:r>
    </w:p>
    <w:p w14:paraId="17320026" w14:textId="77777777" w:rsidR="00916240" w:rsidRDefault="00AA7D29" w:rsidP="00916240">
      <w:pPr>
        <w:pStyle w:val="ListParagraph"/>
        <w:numPr>
          <w:ilvl w:val="1"/>
          <w:numId w:val="39"/>
        </w:numPr>
        <w:spacing w:after="0" w:line="276" w:lineRule="auto"/>
        <w:contextualSpacing w:val="0"/>
        <w:rPr>
          <w:rFonts w:ascii="Calibri Light" w:hAnsi="Calibri Light" w:cs="Calibri Light"/>
        </w:rPr>
      </w:pPr>
      <w:r w:rsidRPr="009F703B">
        <w:rPr>
          <w:rFonts w:ascii="Calibri Light" w:hAnsi="Calibri Light" w:cs="Calibri Light"/>
        </w:rPr>
        <w:lastRenderedPageBreak/>
        <w:t>The PT PCP Remediation Plan template is available at Appendix D.</w:t>
      </w:r>
    </w:p>
    <w:p w14:paraId="6EF5B4BB" w14:textId="6F3674F6" w:rsidR="00AA7D29" w:rsidRPr="009F703B" w:rsidRDefault="00AA7D29" w:rsidP="009F703B">
      <w:pPr>
        <w:pStyle w:val="ListParagraph"/>
        <w:numPr>
          <w:ilvl w:val="0"/>
          <w:numId w:val="39"/>
        </w:numPr>
        <w:spacing w:after="0" w:line="276" w:lineRule="auto"/>
        <w:ind w:left="1077" w:hanging="357"/>
        <w:contextualSpacing w:val="0"/>
        <w:rPr>
          <w:rFonts w:ascii="Calibri Light" w:hAnsi="Calibri Light" w:cs="Calibri Light"/>
        </w:rPr>
      </w:pPr>
      <w:r w:rsidRPr="009F703B">
        <w:rPr>
          <w:rFonts w:ascii="Calibri Light" w:hAnsi="Calibri Light" w:cs="Calibri Light"/>
        </w:rPr>
        <w:t>Referral of the complaint to another party. This may include where the complaint is not directly in relation to the PT PCP.</w:t>
      </w:r>
    </w:p>
    <w:p w14:paraId="3077E727" w14:textId="77124F36" w:rsidR="005638A7" w:rsidRDefault="00AA7D29" w:rsidP="00AA7D29">
      <w:r>
        <w:t xml:space="preserve">If you are not satisfied with how the complaint in relation to the PT PCP has been handled, there may be other courses of action available for you to consider. Please contact the PT PCP Policy Team at </w:t>
      </w:r>
      <w:hyperlink r:id="rId25" w:history="1">
        <w:r w:rsidR="00DA41D3" w:rsidRPr="0000312E">
          <w:rPr>
            <w:rStyle w:val="Hyperlink"/>
          </w:rPr>
          <w:t>ptpcp@treasury.gov.au</w:t>
        </w:r>
      </w:hyperlink>
      <w:r w:rsidR="00DA41D3">
        <w:t xml:space="preserve"> </w:t>
      </w:r>
      <w:r>
        <w:t>to discuss.</w:t>
      </w:r>
    </w:p>
    <w:p w14:paraId="1F943F2D" w14:textId="77777777" w:rsidR="005638A7" w:rsidRDefault="005638A7" w:rsidP="002E0ED6">
      <w:pPr>
        <w:pStyle w:val="Heading3"/>
      </w:pPr>
      <w:bookmarkStart w:id="21" w:name="_Toc140753004"/>
      <w:r>
        <w:t>Additional support for small businesses and family enterprises</w:t>
      </w:r>
      <w:bookmarkEnd w:id="21"/>
    </w:p>
    <w:p w14:paraId="1085285A" w14:textId="3FDB668F" w:rsidR="005638A7" w:rsidRDefault="005638A7" w:rsidP="00AA7D29">
      <w:r>
        <w:t>The Australian Small Business and Family Enterprise Ombudsman</w:t>
      </w:r>
      <w:r w:rsidR="008C33E8">
        <w:t>’</w:t>
      </w:r>
      <w:r>
        <w:t xml:space="preserve">s </w:t>
      </w:r>
      <w:r w:rsidRPr="00BF0F21">
        <w:t>(ASBFEO)</w:t>
      </w:r>
      <w:r>
        <w:t xml:space="preserve"> office provides access to dispute resolution services for small businesses and family enterprises in dispute with other businesses or Commonwealth Entities. The ASBFEO provides guidance on how to resolve the dispute, facilitates discussions between the disputing parties and work towards a solution through communication. The</w:t>
      </w:r>
      <w:hyperlink r:id="rId26" w:history="1">
        <w:r>
          <w:rPr>
            <w:rStyle w:val="Hyperlink"/>
          </w:rPr>
          <w:t xml:space="preserve"> </w:t>
        </w:r>
        <w:r w:rsidR="008C33E8">
          <w:rPr>
            <w:rStyle w:val="Hyperlink"/>
          </w:rPr>
          <w:t>‘</w:t>
        </w:r>
        <w:r>
          <w:rPr>
            <w:rStyle w:val="Hyperlink"/>
          </w:rPr>
          <w:t>5 steps to resolve your dispute</w:t>
        </w:r>
        <w:r w:rsidR="008C33E8">
          <w:rPr>
            <w:rStyle w:val="Hyperlink"/>
          </w:rPr>
          <w:t>’</w:t>
        </w:r>
      </w:hyperlink>
      <w:r>
        <w:t xml:space="preserve"> page on the </w:t>
      </w:r>
      <w:hyperlink r:id="rId27" w:history="1">
        <w:r>
          <w:rPr>
            <w:rStyle w:val="Hyperlink"/>
          </w:rPr>
          <w:t>ASBFEO website</w:t>
        </w:r>
      </w:hyperlink>
      <w:r>
        <w:t xml:space="preserve"> details suggested steps to try and resolve a dispute.</w:t>
      </w:r>
    </w:p>
    <w:p w14:paraId="4EC2CA98" w14:textId="77777777" w:rsidR="001B1869" w:rsidRDefault="001B1869" w:rsidP="007A4099">
      <w:pPr>
        <w:pStyle w:val="Heading2Numbered"/>
      </w:pPr>
      <w:bookmarkStart w:id="22" w:name="_Toc75940052"/>
      <w:bookmarkStart w:id="23" w:name="_Toc140753005"/>
      <w:r>
        <w:t>Role of PT PCP Policy Team</w:t>
      </w:r>
      <w:bookmarkEnd w:id="22"/>
      <w:bookmarkEnd w:id="23"/>
    </w:p>
    <w:p w14:paraId="21E30D7A" w14:textId="77777777" w:rsidR="001B1869" w:rsidRDefault="001B1869" w:rsidP="00205DBC">
      <w:r>
        <w:t>The roles and responsibilities of the PT PCP Policy Team are:</w:t>
      </w:r>
    </w:p>
    <w:p w14:paraId="1E88B626" w14:textId="77777777" w:rsidR="001B1869" w:rsidRDefault="001B1869" w:rsidP="00205DBC">
      <w:pPr>
        <w:pStyle w:val="Bullet"/>
      </w:pPr>
      <w:r>
        <w:t xml:space="preserve">providing </w:t>
      </w:r>
      <w:r w:rsidRPr="00205DBC">
        <w:t>external</w:t>
      </w:r>
      <w:r>
        <w:t xml:space="preserve"> parties with an understanding of the PT PCP;</w:t>
      </w:r>
    </w:p>
    <w:p w14:paraId="7DC08573" w14:textId="77777777" w:rsidR="001B1869" w:rsidRDefault="001B1869" w:rsidP="00205DBC">
      <w:pPr>
        <w:pStyle w:val="Bullet"/>
      </w:pPr>
      <w:r>
        <w:t xml:space="preserve">handling of complaints which cannot be satisfactorily </w:t>
      </w:r>
      <w:r w:rsidRPr="00205DBC">
        <w:t>resolved</w:t>
      </w:r>
      <w:r>
        <w:t xml:space="preserve"> by the contracted parties;</w:t>
      </w:r>
    </w:p>
    <w:p w14:paraId="5DCC8F13" w14:textId="77777777" w:rsidR="001B1869" w:rsidRDefault="001B1869" w:rsidP="00205DBC">
      <w:pPr>
        <w:pStyle w:val="Bullet"/>
      </w:pPr>
      <w:r>
        <w:t xml:space="preserve">maintenance and monitoring issues related to PT </w:t>
      </w:r>
      <w:r w:rsidRPr="00205DBC">
        <w:t>PCP</w:t>
      </w:r>
      <w:r>
        <w:t>; and</w:t>
      </w:r>
    </w:p>
    <w:p w14:paraId="0B99C750" w14:textId="77777777" w:rsidR="001B1869" w:rsidRPr="00FB36F0" w:rsidRDefault="001B1869" w:rsidP="00205DBC">
      <w:pPr>
        <w:pStyle w:val="Bullet"/>
      </w:pPr>
      <w:r>
        <w:t xml:space="preserve">reporting in relation to the PT PCP where </w:t>
      </w:r>
      <w:r w:rsidRPr="00205DBC">
        <w:t>necessary</w:t>
      </w:r>
      <w:r>
        <w:t>.</w:t>
      </w:r>
    </w:p>
    <w:p w14:paraId="258001C2" w14:textId="77777777" w:rsidR="001B1869" w:rsidRDefault="001B1869" w:rsidP="007A4099">
      <w:pPr>
        <w:pStyle w:val="Heading1Numbered"/>
      </w:pPr>
      <w:bookmarkStart w:id="24" w:name="_Toc75940053"/>
      <w:bookmarkStart w:id="25" w:name="_Toc140753006"/>
      <w:r>
        <w:t>Contact us</w:t>
      </w:r>
      <w:bookmarkEnd w:id="24"/>
      <w:bookmarkEnd w:id="25"/>
    </w:p>
    <w:p w14:paraId="3AD04412" w14:textId="77777777" w:rsidR="001B1869" w:rsidRPr="00FB36F0" w:rsidRDefault="001B1869" w:rsidP="001B1869">
      <w:r w:rsidRPr="00FB36F0">
        <w:t xml:space="preserve">Email:  </w:t>
      </w:r>
      <w:hyperlink r:id="rId28" w:history="1">
        <w:r w:rsidRPr="009204EC">
          <w:rPr>
            <w:rStyle w:val="Hyperlink"/>
          </w:rPr>
          <w:t>ptpcp@treasury.gov.au</w:t>
        </w:r>
      </w:hyperlink>
    </w:p>
    <w:p w14:paraId="6A846D20" w14:textId="77777777" w:rsidR="001B1869" w:rsidRDefault="001B1869" w:rsidP="00AA7D29"/>
    <w:p w14:paraId="7562F7DF" w14:textId="77777777" w:rsidR="00AF177B" w:rsidRDefault="00AF177B" w:rsidP="00AA7D29">
      <w:pPr>
        <w:sectPr w:rsidR="00AF177B" w:rsidSect="00F523F5">
          <w:headerReference w:type="even" r:id="rId29"/>
          <w:headerReference w:type="default" r:id="rId30"/>
          <w:footerReference w:type="even" r:id="rId31"/>
          <w:footerReference w:type="default" r:id="rId32"/>
          <w:headerReference w:type="first" r:id="rId33"/>
          <w:footerReference w:type="first" r:id="rId34"/>
          <w:pgSz w:w="11906" w:h="16838" w:code="9"/>
          <w:pgMar w:top="1843" w:right="1418" w:bottom="1418" w:left="1418" w:header="709" w:footer="709" w:gutter="0"/>
          <w:cols w:space="708"/>
          <w:docGrid w:linePitch="360"/>
        </w:sectPr>
      </w:pPr>
    </w:p>
    <w:p w14:paraId="35642A5C" w14:textId="5E5B6AAD" w:rsidR="00EB7743" w:rsidRPr="00112086" w:rsidRDefault="00EB7743" w:rsidP="00A915A7">
      <w:pPr>
        <w:pStyle w:val="Heading1"/>
      </w:pPr>
      <w:bookmarkStart w:id="26" w:name="_Toc140753007"/>
      <w:r w:rsidRPr="00112086">
        <w:lastRenderedPageBreak/>
        <w:t>Appendix A: PT PCP Approach to Market (Tenderer Declaration Response) Clauses and Contract Clauses</w:t>
      </w:r>
      <w:bookmarkEnd w:id="26"/>
    </w:p>
    <w:p w14:paraId="209347E6" w14:textId="77777777" w:rsidR="009B73B0" w:rsidRPr="009B73B0" w:rsidRDefault="009B73B0" w:rsidP="00F754A3">
      <w:pPr>
        <w:pStyle w:val="Heading2"/>
      </w:pPr>
      <w:bookmarkStart w:id="27" w:name="_Toc140753008"/>
      <w:r w:rsidRPr="009B73B0">
        <w:t>PT PCP Approach to Market (Tenderer Response) Clauses</w:t>
      </w:r>
      <w:bookmarkEnd w:id="27"/>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9B73B0" w14:paraId="05043EC1" w14:textId="77777777" w:rsidTr="00D0797D">
        <w:tc>
          <w:tcPr>
            <w:tcW w:w="5000" w:type="pct"/>
            <w:shd w:val="clear" w:color="auto" w:fill="EEEEEE" w:themeFill="background2"/>
          </w:tcPr>
          <w:p w14:paraId="4F7B1681" w14:textId="77777777" w:rsidR="006B5DA1" w:rsidRDefault="009B73B0" w:rsidP="009B73B0">
            <w:pPr>
              <w:rPr>
                <w:b/>
                <w:color w:val="2C384A" w:themeColor="accent1"/>
                <w:sz w:val="28"/>
              </w:rPr>
            </w:pPr>
            <w:r w:rsidRPr="006B5DA1">
              <w:rPr>
                <w:b/>
                <w:color w:val="2C384A" w:themeColor="accent1"/>
                <w:sz w:val="28"/>
                <w:szCs w:val="26"/>
              </w:rPr>
              <w:t>Note to drafters</w:t>
            </w:r>
          </w:p>
          <w:p w14:paraId="520E2DEA" w14:textId="4F822966" w:rsidR="009B73B0" w:rsidRPr="009B73B0" w:rsidRDefault="009B73B0" w:rsidP="009B73B0">
            <w:pPr>
              <w:rPr>
                <w:b/>
                <w:i/>
              </w:rPr>
            </w:pPr>
            <w:r w:rsidRPr="009B73B0">
              <w:rPr>
                <w:b/>
                <w:i/>
              </w:rPr>
              <w:t xml:space="preserve">Tenderers are to complete this declaration as part of their tender response. The requirement to identify as a Reporting Entity must be included in the Approach to Market documentation where the estimated value of the procurement is valued above $4,000,000 (GST inclusive). </w:t>
            </w:r>
          </w:p>
        </w:tc>
      </w:tr>
    </w:tbl>
    <w:p w14:paraId="43CE6082" w14:textId="72D5285C" w:rsidR="009B73B0" w:rsidRDefault="009B73B0" w:rsidP="00955866">
      <w:r>
        <w:t xml:space="preserve">Identify by ticking the relevant boxes below whether or not you are a </w:t>
      </w:r>
      <w:r w:rsidR="008C33E8">
        <w:t>‘</w:t>
      </w:r>
      <w:r>
        <w:t>Reporting Entity</w:t>
      </w:r>
      <w:r w:rsidR="008C33E8">
        <w:t>’</w:t>
      </w:r>
      <w:r>
        <w:t xml:space="preserve"> for the purposes of the Payment Times Procurement Connected Policy (PT PCP). </w:t>
      </w:r>
    </w:p>
    <w:p w14:paraId="5F593F67" w14:textId="710286BD" w:rsidR="009B73B0" w:rsidRDefault="009B73B0" w:rsidP="009B73B0">
      <w:r w:rsidRPr="006147E2">
        <w:rPr>
          <w:b/>
        </w:rPr>
        <w:t>Note:</w:t>
      </w:r>
      <w:r>
        <w:t xml:space="preserve"> A Reporting Entity means a </w:t>
      </w:r>
      <w:r w:rsidR="008C33E8">
        <w:t>‘</w:t>
      </w:r>
      <w:r>
        <w:t>Reporting Entity</w:t>
      </w:r>
      <w:r w:rsidR="008C33E8">
        <w:t>’</w:t>
      </w:r>
      <w:r>
        <w:t xml:space="preserve"> within the meaning of the </w:t>
      </w:r>
      <w:r w:rsidRPr="006147E2">
        <w:rPr>
          <w:i/>
        </w:rPr>
        <w:t>Payment Times Reporting Act 2020</w:t>
      </w:r>
      <w:r>
        <w:t xml:space="preserve"> (Cth) (PTR Act). </w:t>
      </w:r>
    </w:p>
    <w:p w14:paraId="7DE24CFF" w14:textId="77777777" w:rsidR="009B73B0" w:rsidRDefault="009B73B0" w:rsidP="009B73B0">
      <w:r>
        <w:rPr>
          <w:rFonts w:ascii="Segoe UI Symbol" w:hAnsi="Segoe UI Symbol" w:cs="Segoe UI Symbol"/>
        </w:rPr>
        <w:t>☐</w:t>
      </w:r>
      <w:r>
        <w:t xml:space="preserve"> The tenderer </w:t>
      </w:r>
      <w:r w:rsidRPr="006147E2">
        <w:rPr>
          <w:b/>
          <w:u w:val="single"/>
        </w:rPr>
        <w:t>is</w:t>
      </w:r>
      <w:r>
        <w:t xml:space="preserve"> a Reporting Entity.</w:t>
      </w:r>
    </w:p>
    <w:p w14:paraId="4BC402E5" w14:textId="6DB0D921" w:rsidR="007D32FE" w:rsidRDefault="009B73B0" w:rsidP="009B73B0">
      <w:r>
        <w:rPr>
          <w:rFonts w:ascii="Segoe UI Symbol" w:hAnsi="Segoe UI Symbol" w:cs="Segoe UI Symbol"/>
        </w:rPr>
        <w:t>☐</w:t>
      </w:r>
      <w:r>
        <w:t xml:space="preserve"> The tenderer </w:t>
      </w:r>
      <w:r w:rsidRPr="006147E2">
        <w:rPr>
          <w:b/>
          <w:u w:val="single"/>
        </w:rPr>
        <w:t>is not</w:t>
      </w:r>
      <w:r>
        <w:t xml:space="preserve"> a Reporting Entity.</w:t>
      </w:r>
    </w:p>
    <w:p w14:paraId="27601A69" w14:textId="77777777" w:rsidR="00112086" w:rsidRDefault="00112086" w:rsidP="00F754A3">
      <w:pPr>
        <w:pStyle w:val="Heading2"/>
      </w:pPr>
      <w:bookmarkStart w:id="28" w:name="_Toc140753009"/>
      <w:r>
        <w:t>PT PCP Contract Clauses</w:t>
      </w:r>
      <w:bookmarkEnd w:id="28"/>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7609D9" w14:paraId="15FC3F71" w14:textId="77777777" w:rsidTr="00D0797D">
        <w:tc>
          <w:tcPr>
            <w:tcW w:w="5000" w:type="pct"/>
            <w:shd w:val="clear" w:color="auto" w:fill="EEEEEE" w:themeFill="background2"/>
          </w:tcPr>
          <w:p w14:paraId="03537437" w14:textId="77777777" w:rsidR="001A1BBB" w:rsidRDefault="007609D9" w:rsidP="007609D9">
            <w:pPr>
              <w:pStyle w:val="BoxText"/>
              <w:rPr>
                <w:b/>
                <w:i/>
              </w:rPr>
            </w:pPr>
            <w:r w:rsidRPr="001A1BBB">
              <w:rPr>
                <w:b/>
                <w:color w:val="2C384A" w:themeColor="accent1"/>
                <w:sz w:val="28"/>
                <w:szCs w:val="26"/>
              </w:rPr>
              <w:t>Note to drafters</w:t>
            </w:r>
            <w:r w:rsidRPr="007609D9">
              <w:rPr>
                <w:b/>
                <w:i/>
              </w:rPr>
              <w:t xml:space="preserve"> </w:t>
            </w:r>
          </w:p>
          <w:p w14:paraId="75E44B6B" w14:textId="75CE3851" w:rsidR="007609D9" w:rsidRPr="007609D9" w:rsidRDefault="007609D9" w:rsidP="007609D9">
            <w:pPr>
              <w:pStyle w:val="BoxText"/>
              <w:rPr>
                <w:b/>
                <w:i/>
              </w:rPr>
            </w:pPr>
            <w:r w:rsidRPr="007609D9">
              <w:rPr>
                <w:b/>
                <w:i/>
              </w:rPr>
              <w:t>If a draft form of contract is included in the Approach to Market documentation, the below PT PCP Clauses are to be included in the draft form of contract.</w:t>
            </w:r>
          </w:p>
          <w:p w14:paraId="522E380A" w14:textId="77777777" w:rsidR="007609D9" w:rsidRPr="007609D9" w:rsidRDefault="007609D9" w:rsidP="007609D9">
            <w:pPr>
              <w:pStyle w:val="BoxText"/>
              <w:rPr>
                <w:b/>
                <w:i/>
              </w:rPr>
            </w:pPr>
            <w:r w:rsidRPr="007609D9">
              <w:rPr>
                <w:b/>
                <w:i/>
              </w:rPr>
              <w:t xml:space="preserve">The below clauses are only to be included in the </w:t>
            </w:r>
            <w:r w:rsidRPr="0098495C">
              <w:rPr>
                <w:b/>
                <w:i/>
                <w:u w:val="single"/>
              </w:rPr>
              <w:t>executed</w:t>
            </w:r>
            <w:r w:rsidRPr="007609D9">
              <w:rPr>
                <w:b/>
                <w:i/>
              </w:rPr>
              <w:t xml:space="preserve"> contract if:</w:t>
            </w:r>
          </w:p>
          <w:p w14:paraId="5228AE53" w14:textId="77777777" w:rsidR="007609D9" w:rsidRPr="007609D9" w:rsidRDefault="007609D9" w:rsidP="007609D9">
            <w:pPr>
              <w:pStyle w:val="BoxText"/>
              <w:rPr>
                <w:b/>
                <w:i/>
              </w:rPr>
            </w:pPr>
            <w:r w:rsidRPr="007609D9">
              <w:rPr>
                <w:b/>
                <w:i/>
              </w:rPr>
              <w:t>•</w:t>
            </w:r>
            <w:r w:rsidRPr="007609D9">
              <w:rPr>
                <w:b/>
                <w:i/>
              </w:rPr>
              <w:tab/>
              <w:t>the Tenderer is a Reporting Entity as at the date of its tender response; and</w:t>
            </w:r>
          </w:p>
          <w:p w14:paraId="1187DA79" w14:textId="660F3306" w:rsidR="007609D9" w:rsidRPr="007609D9" w:rsidRDefault="007609D9" w:rsidP="007609D9">
            <w:pPr>
              <w:pStyle w:val="BoxText"/>
              <w:rPr>
                <w:b/>
                <w:i/>
              </w:rPr>
            </w:pPr>
            <w:r w:rsidRPr="007609D9">
              <w:rPr>
                <w:b/>
                <w:i/>
              </w:rPr>
              <w:t>•</w:t>
            </w:r>
            <w:r w:rsidRPr="007609D9">
              <w:rPr>
                <w:b/>
                <w:i/>
              </w:rPr>
              <w:tab/>
              <w:t>the value of the Contract is above $4,000,000 (GST inclusive) as at contract execution.</w:t>
            </w:r>
          </w:p>
          <w:p w14:paraId="23D51286" w14:textId="77777777" w:rsidR="007609D9" w:rsidRPr="007609D9" w:rsidRDefault="007609D9" w:rsidP="007609D9">
            <w:pPr>
              <w:pStyle w:val="BoxText"/>
              <w:rPr>
                <w:b/>
                <w:i/>
              </w:rPr>
            </w:pPr>
            <w:r w:rsidRPr="007609D9">
              <w:rPr>
                <w:b/>
                <w:i/>
              </w:rPr>
              <w:t xml:space="preserve">It is not mandatory to include the clauses if any of the limitations at 2.1 of the policy apply. </w:t>
            </w:r>
          </w:p>
          <w:p w14:paraId="5010222F" w14:textId="4D6499EB" w:rsidR="007609D9" w:rsidRPr="000D1284" w:rsidRDefault="007609D9" w:rsidP="007609D9">
            <w:pPr>
              <w:pStyle w:val="BoxText"/>
            </w:pPr>
            <w:r w:rsidRPr="007609D9">
              <w:rPr>
                <w:b/>
                <w:i/>
              </w:rPr>
              <w:t>Terminology should be amended as applicable/required (</w:t>
            </w:r>
            <w:r w:rsidR="00886D2C">
              <w:rPr>
                <w:b/>
                <w:i/>
              </w:rPr>
              <w:t>for example,</w:t>
            </w:r>
            <w:r w:rsidRPr="007609D9">
              <w:rPr>
                <w:b/>
                <w:i/>
              </w:rPr>
              <w:t xml:space="preserve"> </w:t>
            </w:r>
            <w:r w:rsidR="00785DCA">
              <w:rPr>
                <w:b/>
                <w:i/>
              </w:rPr>
              <w:t>r</w:t>
            </w:r>
            <w:r w:rsidRPr="007609D9">
              <w:rPr>
                <w:b/>
                <w:i/>
              </w:rPr>
              <w:t xml:space="preserve">eplacing </w:t>
            </w:r>
            <w:r w:rsidR="008C33E8">
              <w:rPr>
                <w:b/>
                <w:i/>
              </w:rPr>
              <w:t>‘</w:t>
            </w:r>
            <w:r w:rsidRPr="007609D9">
              <w:rPr>
                <w:b/>
                <w:i/>
              </w:rPr>
              <w:t>Supplier</w:t>
            </w:r>
            <w:r w:rsidR="008C33E8">
              <w:rPr>
                <w:b/>
                <w:i/>
              </w:rPr>
              <w:t>’</w:t>
            </w:r>
            <w:r w:rsidRPr="007609D9">
              <w:rPr>
                <w:b/>
                <w:i/>
              </w:rPr>
              <w:t xml:space="preserve"> with </w:t>
            </w:r>
            <w:r w:rsidR="008C33E8">
              <w:rPr>
                <w:b/>
                <w:i/>
              </w:rPr>
              <w:t>‘</w:t>
            </w:r>
            <w:r w:rsidRPr="007609D9">
              <w:rPr>
                <w:b/>
                <w:i/>
              </w:rPr>
              <w:t>Contractor</w:t>
            </w:r>
            <w:r w:rsidR="008C33E8">
              <w:rPr>
                <w:b/>
                <w:i/>
              </w:rPr>
              <w:t>’</w:t>
            </w:r>
            <w:r w:rsidRPr="007609D9">
              <w:rPr>
                <w:b/>
                <w:i/>
              </w:rPr>
              <w:t xml:space="preserve"> etc. or use existing clauses or definitions where applicable).</w:t>
            </w:r>
          </w:p>
        </w:tc>
      </w:tr>
    </w:tbl>
    <w:p w14:paraId="091A87C7" w14:textId="77777777" w:rsidR="007609D9" w:rsidRDefault="007609D9" w:rsidP="00434BA0"/>
    <w:p w14:paraId="3EF6EE39" w14:textId="1559F404" w:rsidR="007609D9" w:rsidRPr="002A736B" w:rsidRDefault="00491687" w:rsidP="0049745A">
      <w:pPr>
        <w:pStyle w:val="OutlineNumbered1"/>
        <w:numPr>
          <w:ilvl w:val="0"/>
          <w:numId w:val="30"/>
        </w:numPr>
        <w:rPr>
          <w:b/>
          <w:bCs/>
          <w:sz w:val="32"/>
          <w:szCs w:val="32"/>
        </w:rPr>
      </w:pPr>
      <w:r w:rsidRPr="002A736B">
        <w:rPr>
          <w:b/>
          <w:bCs/>
          <w:sz w:val="32"/>
          <w:szCs w:val="32"/>
        </w:rPr>
        <w:t>Payment Times Procurement Connected Policy</w:t>
      </w:r>
    </w:p>
    <w:p w14:paraId="1BB75E01" w14:textId="2F686351" w:rsidR="004E487E" w:rsidRPr="00202668" w:rsidRDefault="00E45D2E" w:rsidP="00C41B6C">
      <w:pPr>
        <w:pStyle w:val="OutlineNumbered2"/>
        <w:rPr>
          <w:b/>
          <w:bCs/>
          <w:sz w:val="28"/>
          <w:szCs w:val="28"/>
        </w:rPr>
      </w:pPr>
      <w:r w:rsidRPr="00202668">
        <w:rPr>
          <w:b/>
          <w:bCs/>
          <w:sz w:val="28"/>
          <w:szCs w:val="28"/>
        </w:rPr>
        <w:t>PT PCP Subcontracts</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C50736" w14:paraId="50EA2D44" w14:textId="77777777" w:rsidTr="00D0797D">
        <w:tc>
          <w:tcPr>
            <w:tcW w:w="5000" w:type="pct"/>
            <w:shd w:val="clear" w:color="auto" w:fill="EEEEEE" w:themeFill="background2"/>
          </w:tcPr>
          <w:p w14:paraId="12671ECA" w14:textId="437AFB7E" w:rsidR="00C50736" w:rsidRPr="000D1284" w:rsidRDefault="00455AE4" w:rsidP="000D1284">
            <w:pPr>
              <w:pStyle w:val="BoxHeading"/>
            </w:pPr>
            <w:r w:rsidRPr="00455AE4">
              <w:lastRenderedPageBreak/>
              <w:t>Note to tenderers</w:t>
            </w:r>
            <w:r w:rsidR="00862276">
              <w:t xml:space="preserve"> – </w:t>
            </w:r>
            <w:r w:rsidRPr="00455AE4">
              <w:t>the following clauses will be included in the Contract if:</w:t>
            </w:r>
          </w:p>
          <w:p w14:paraId="3DA6969D" w14:textId="5ACDB18D" w:rsidR="00DD2788" w:rsidRPr="00DD2788" w:rsidRDefault="00DD2788" w:rsidP="007A4099">
            <w:pPr>
              <w:pStyle w:val="Bullet"/>
              <w:rPr>
                <w:b/>
                <w:i/>
              </w:rPr>
            </w:pPr>
            <w:r w:rsidRPr="00DD2788">
              <w:rPr>
                <w:b/>
                <w:i/>
              </w:rPr>
              <w:t>the Tenderer is a Reporting Entity as at the date of its tender response; and</w:t>
            </w:r>
          </w:p>
          <w:p w14:paraId="2B2F348F" w14:textId="6B70D7DD" w:rsidR="00DD2788" w:rsidRPr="00DD2788" w:rsidRDefault="00DD2788" w:rsidP="007A4099">
            <w:pPr>
              <w:pStyle w:val="Bullet"/>
              <w:rPr>
                <w:b/>
                <w:i/>
              </w:rPr>
            </w:pPr>
            <w:r w:rsidRPr="00DD2788">
              <w:rPr>
                <w:b/>
                <w:i/>
              </w:rPr>
              <w:t>the value of the Contract is above $4,000,000 (GST inclusive) as at contract execution.</w:t>
            </w:r>
          </w:p>
          <w:p w14:paraId="1914E036" w14:textId="65A1E94B" w:rsidR="00C50736" w:rsidRPr="000D1284" w:rsidRDefault="00DD2788" w:rsidP="007A4099">
            <w:pPr>
              <w:pStyle w:val="Bullet"/>
            </w:pPr>
            <w:r w:rsidRPr="00DD2788">
              <w:rPr>
                <w:b/>
                <w:i/>
              </w:rPr>
              <w:t>If the above applies, then the tenderer is expected to accept the PT PCP clauses in the form of the draft contract.</w:t>
            </w:r>
          </w:p>
        </w:tc>
      </w:tr>
    </w:tbl>
    <w:p w14:paraId="11C4BE66" w14:textId="6BE05EE4" w:rsidR="00C50736" w:rsidRDefault="00C92A02" w:rsidP="00C50736">
      <w:r w:rsidRPr="00C92A02">
        <w:t>(a)</w:t>
      </w:r>
      <w:r w:rsidRPr="00C92A02">
        <w:tab/>
        <w:t>The Supplier must comply with the PT PCP.</w:t>
      </w:r>
    </w:p>
    <w:p w14:paraId="34E5001C" w14:textId="7D978882" w:rsidR="004944C9" w:rsidRDefault="004944C9" w:rsidP="00C50736">
      <w:r w:rsidRPr="004944C9">
        <w:t>(b)</w:t>
      </w:r>
      <w:r w:rsidRPr="004944C9">
        <w:tab/>
        <w:t>If the Supplier enters into a PT PCP Subcontract, the Supplier must include in that subcontract:</w:t>
      </w:r>
    </w:p>
    <w:p w14:paraId="29157A75" w14:textId="77777777" w:rsidR="00F839BC" w:rsidRDefault="00F839BC" w:rsidP="00F839BC">
      <w:pPr>
        <w:pStyle w:val="NormalIndent"/>
      </w:pPr>
      <w:r>
        <w:t>(i)</w:t>
      </w:r>
      <w:r>
        <w:tab/>
        <w:t>a requirement for the Supplier to pay the PT PCP Subcontractor:</w:t>
      </w:r>
    </w:p>
    <w:p w14:paraId="38079B05" w14:textId="77777777" w:rsidR="00F839BC" w:rsidRDefault="00F839BC" w:rsidP="0098495C">
      <w:pPr>
        <w:pStyle w:val="NormalIndent"/>
        <w:ind w:left="2160" w:hanging="720"/>
      </w:pPr>
      <w:r>
        <w:t>A.</w:t>
      </w:r>
      <w:r>
        <w:tab/>
        <w:t>subject to clause 1.1(d), within 20 calendar days after the Acknowledgement of the Satisfactory Delivery of the Goods or Services and receipt of a Correctly Rendered Invoice. If this period ends on a day that is not a Business Day, payment is due on the next Business Day; and</w:t>
      </w:r>
    </w:p>
    <w:p w14:paraId="16D2D15B" w14:textId="358140D6" w:rsidR="00F839BC" w:rsidRDefault="00F839BC" w:rsidP="0098495C">
      <w:pPr>
        <w:ind w:left="2160" w:hanging="720"/>
      </w:pPr>
      <w:r>
        <w:t>B.</w:t>
      </w:r>
      <w:r>
        <w:tab/>
        <w:t>subject to clause 1.1(e), for payments made by the Supplier after the payment is due, the unpaid amount plus interest on the unpaid amount calculated in accordance with clause 1.1(</w:t>
      </w:r>
      <w:r w:rsidR="005423D8">
        <w:t>f</w:t>
      </w:r>
      <w:r>
        <w:t xml:space="preserve">); </w:t>
      </w:r>
    </w:p>
    <w:p w14:paraId="30B64EED" w14:textId="77777777" w:rsidR="00F839BC" w:rsidRDefault="00F839BC" w:rsidP="00967E9E">
      <w:pPr>
        <w:ind w:firstLine="720"/>
      </w:pPr>
      <w:r>
        <w:t>(ii)</w:t>
      </w:r>
      <w:r>
        <w:tab/>
        <w:t>a statement that the PT PCP applies to that subcontract; and</w:t>
      </w:r>
    </w:p>
    <w:p w14:paraId="5CFE9CC8" w14:textId="2D4CA0ED" w:rsidR="00F839BC" w:rsidRDefault="00F839BC" w:rsidP="00967E9E">
      <w:pPr>
        <w:ind w:left="1440" w:hanging="720"/>
      </w:pPr>
      <w:r>
        <w:t>(iii)</w:t>
      </w:r>
      <w:r>
        <w:tab/>
        <w:t xml:space="preserve">a statement that the subcontractor may make a complaint to the PT PCP Policy Team or to the Commonwealth as represented by </w:t>
      </w:r>
      <w:r w:rsidRPr="001E7CC9">
        <w:rPr>
          <w:highlight w:val="lightGray"/>
        </w:rPr>
        <w:t>[</w:t>
      </w:r>
      <w:r w:rsidRPr="001E7CC9">
        <w:rPr>
          <w:i/>
          <w:highlight w:val="lightGray"/>
        </w:rPr>
        <w:t>name of contracting Commonwealth Entity</w:t>
      </w:r>
      <w:r w:rsidR="0045047D" w:rsidRPr="001E7CC9">
        <w:rPr>
          <w:highlight w:val="lightGray"/>
        </w:rPr>
        <w:t>]</w:t>
      </w:r>
      <w:r>
        <w:t xml:space="preserve"> in accordance with the PT PCP if there has been </w:t>
      </w:r>
      <w:r w:rsidR="001F3919">
        <w:t>non</w:t>
      </w:r>
      <w:r w:rsidR="008C33E8">
        <w:noBreakHyphen/>
      </w:r>
      <w:r w:rsidR="001F3919">
        <w:t>compliance</w:t>
      </w:r>
      <w:r>
        <w:t xml:space="preserve"> with the requirements of this clause 1.1(b).</w:t>
      </w:r>
    </w:p>
    <w:p w14:paraId="2ED197D3" w14:textId="77777777" w:rsidR="00F839BC" w:rsidRDefault="00F839BC" w:rsidP="00AF5C54">
      <w:pPr>
        <w:ind w:left="720" w:hanging="720"/>
      </w:pPr>
      <w:r>
        <w:t>(c)</w:t>
      </w:r>
      <w:r>
        <w:tab/>
        <w:t>If the Supplier enters into a Reporting Entity Subcontract in anticipation of (or after) entering the Contract, the Supplier must use reasonable endeavours to include in that subcontract:</w:t>
      </w:r>
    </w:p>
    <w:p w14:paraId="39BA3419" w14:textId="2B0F3710" w:rsidR="00F839BC" w:rsidRDefault="00F839BC" w:rsidP="005E2512">
      <w:pPr>
        <w:ind w:firstLine="720"/>
      </w:pPr>
      <w:r>
        <w:t>(i)</w:t>
      </w:r>
      <w:r>
        <w:tab/>
        <w:t>obligations equivalent to those in clause 1.1(</w:t>
      </w:r>
      <w:r w:rsidR="00B068F1">
        <w:t>b</w:t>
      </w:r>
      <w:r>
        <w:t>); and</w:t>
      </w:r>
    </w:p>
    <w:p w14:paraId="376D70A2" w14:textId="77777777" w:rsidR="00F839BC" w:rsidRDefault="00F839BC" w:rsidP="005E2512">
      <w:pPr>
        <w:ind w:left="1440" w:hanging="720"/>
      </w:pPr>
      <w:r>
        <w:t>(ii)</w:t>
      </w:r>
      <w:r>
        <w:tab/>
        <w:t>a requirement that if the Reporting Entity Subcontractor in turn enters into a Reporting Entity Subcontract, then that subcontract will include:</w:t>
      </w:r>
    </w:p>
    <w:p w14:paraId="7C86D09D" w14:textId="7AAD59F5" w:rsidR="00F839BC" w:rsidRDefault="00F839BC" w:rsidP="005E2512">
      <w:pPr>
        <w:ind w:left="720" w:firstLine="720"/>
      </w:pPr>
      <w:r>
        <w:t>A.</w:t>
      </w:r>
      <w:r>
        <w:tab/>
        <w:t>obligations equivalent to those in clause 1.1(</w:t>
      </w:r>
      <w:r w:rsidR="005714FC">
        <w:t>b</w:t>
      </w:r>
      <w:r>
        <w:t>); and</w:t>
      </w:r>
    </w:p>
    <w:p w14:paraId="5AFE081A" w14:textId="4D7BB76F" w:rsidR="00F839BC" w:rsidRDefault="00F839BC" w:rsidP="005E2512">
      <w:pPr>
        <w:ind w:left="2160" w:hanging="720"/>
      </w:pPr>
      <w:r>
        <w:t>B.</w:t>
      </w:r>
      <w:r>
        <w:tab/>
        <w:t>obligations equivalent to this clause 1.1(</w:t>
      </w:r>
      <w:r w:rsidR="005714FC">
        <w:t>c</w:t>
      </w:r>
      <w:r>
        <w:t>)(ii) (such that the obligations in this clause 1.1(</w:t>
      </w:r>
      <w:r w:rsidR="003C2FA1">
        <w:t>c</w:t>
      </w:r>
      <w:r>
        <w:t xml:space="preserve">)(ii) are to continue to be flowed down the supply chain to all Reporting Entity Subcontractors). </w:t>
      </w:r>
    </w:p>
    <w:p w14:paraId="5E89AB07" w14:textId="77777777" w:rsidR="00F839BC" w:rsidRDefault="00F839BC" w:rsidP="0098495C">
      <w:pPr>
        <w:ind w:left="720" w:hanging="720"/>
      </w:pPr>
      <w:r>
        <w:t>(d)</w:t>
      </w:r>
      <w:r>
        <w:tab/>
        <w:t>Clause 1.1(b)(i)A does not limit any obligation to comply with applicable legislation that provides for a shorter payment period than the period in clause 1.1(b)(i)A.</w:t>
      </w:r>
    </w:p>
    <w:p w14:paraId="627326B9" w14:textId="77777777" w:rsidR="00F839BC" w:rsidRDefault="00F839BC" w:rsidP="00F839BC">
      <w:r>
        <w:t>(e)</w:t>
      </w:r>
      <w:r>
        <w:tab/>
        <w:t>The Supplier is not required to pay interest in accordance with clause 1.1(b)(i)B if either:</w:t>
      </w:r>
    </w:p>
    <w:p w14:paraId="76A178B8" w14:textId="77777777" w:rsidR="00F839BC" w:rsidRDefault="00F839BC" w:rsidP="0045047D">
      <w:pPr>
        <w:ind w:left="1440" w:hanging="720"/>
      </w:pPr>
      <w:r>
        <w:t>(i)</w:t>
      </w:r>
      <w:r>
        <w:tab/>
        <w:t xml:space="preserve">the Commonwealth has failed to pay the Supplier in accordance with the timeframes and requirements under this Contract; or </w:t>
      </w:r>
    </w:p>
    <w:p w14:paraId="2BA1322A" w14:textId="77777777" w:rsidR="00F839BC" w:rsidRDefault="00F839BC" w:rsidP="0045047D">
      <w:pPr>
        <w:ind w:firstLine="720"/>
      </w:pPr>
      <w:r>
        <w:t>(ii)</w:t>
      </w:r>
      <w:r>
        <w:tab/>
        <w:t xml:space="preserve">the amount of the interest payable is less than $100 (GST inclusive). </w:t>
      </w:r>
    </w:p>
    <w:p w14:paraId="620E50E5" w14:textId="77777777" w:rsidR="00F839BC" w:rsidRDefault="00F839BC" w:rsidP="0098495C">
      <w:pPr>
        <w:ind w:left="720" w:hanging="720"/>
      </w:pPr>
      <w:r>
        <w:t>(f)</w:t>
      </w:r>
      <w:r>
        <w:tab/>
        <w:t>Interest payable under clause 1.1(b)(i)B will be simple interest calculated in respect of each calendar day from the day after the amount was due and payable, up to and including the day that the Supplier effects payment as represented by the following formula:</w:t>
      </w:r>
    </w:p>
    <w:p w14:paraId="5A4240A6" w14:textId="28880CCB" w:rsidR="00F839BC" w:rsidRDefault="00F839BC" w:rsidP="0045047D">
      <w:pPr>
        <w:ind w:left="720" w:firstLine="720"/>
      </w:pPr>
      <w:r>
        <w:lastRenderedPageBreak/>
        <w:t xml:space="preserve">SI </w:t>
      </w:r>
      <w:r>
        <w:tab/>
        <w:t xml:space="preserve">= </w:t>
      </w:r>
      <w:r w:rsidR="003C22B7">
        <w:tab/>
      </w:r>
      <w:r>
        <w:t xml:space="preserve">UA  x  GIC  x  D </w:t>
      </w:r>
    </w:p>
    <w:p w14:paraId="3AB709E1" w14:textId="77777777" w:rsidR="00F839BC" w:rsidRDefault="00F839BC" w:rsidP="0045047D">
      <w:pPr>
        <w:ind w:left="720" w:firstLine="720"/>
      </w:pPr>
      <w:r>
        <w:t>Where:</w:t>
      </w:r>
    </w:p>
    <w:p w14:paraId="1B02D3F5" w14:textId="77777777" w:rsidR="00F839BC" w:rsidRDefault="00F839BC" w:rsidP="0045047D">
      <w:pPr>
        <w:ind w:left="720" w:firstLine="720"/>
      </w:pPr>
      <w:r>
        <w:t>SI</w:t>
      </w:r>
      <w:r>
        <w:tab/>
        <w:t>=</w:t>
      </w:r>
      <w:r>
        <w:tab/>
        <w:t>simple interest amount;</w:t>
      </w:r>
    </w:p>
    <w:p w14:paraId="568A21F6" w14:textId="77777777" w:rsidR="00F839BC" w:rsidRDefault="00F839BC" w:rsidP="0045047D">
      <w:pPr>
        <w:ind w:left="720" w:firstLine="720"/>
      </w:pPr>
      <w:r>
        <w:t>UA</w:t>
      </w:r>
      <w:r>
        <w:tab/>
        <w:t>=</w:t>
      </w:r>
      <w:r>
        <w:tab/>
        <w:t>the unpaid amount;</w:t>
      </w:r>
    </w:p>
    <w:p w14:paraId="0C45D0E8" w14:textId="77777777" w:rsidR="00F839BC" w:rsidRDefault="00F839BC" w:rsidP="008F18B3">
      <w:pPr>
        <w:ind w:left="720" w:firstLine="720"/>
      </w:pPr>
      <w:r>
        <w:t>GIC</w:t>
      </w:r>
      <w:r>
        <w:tab/>
        <w:t>=</w:t>
      </w:r>
      <w:r>
        <w:tab/>
        <w:t>General Interest Charge Rate daily rate; and</w:t>
      </w:r>
    </w:p>
    <w:p w14:paraId="2509A4F4" w14:textId="6D6C1564" w:rsidR="00F839BC" w:rsidRDefault="00F839BC" w:rsidP="008F18B3">
      <w:pPr>
        <w:ind w:left="1440"/>
      </w:pPr>
      <w:r>
        <w:t>D</w:t>
      </w:r>
      <w:r>
        <w:tab/>
        <w:t>=</w:t>
      </w:r>
      <w:r>
        <w:tab/>
        <w:t>the number of days from the day after payment was due up to and including the day that payment is made.</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3712CE" w14:paraId="0894574F" w14:textId="77777777" w:rsidTr="00D0797D">
        <w:tc>
          <w:tcPr>
            <w:tcW w:w="5000" w:type="pct"/>
            <w:shd w:val="clear" w:color="auto" w:fill="EEEEEE" w:themeFill="background2"/>
          </w:tcPr>
          <w:p w14:paraId="3DA2B900" w14:textId="26F32668" w:rsidR="00DB004A" w:rsidRDefault="005249E7" w:rsidP="000D1284">
            <w:pPr>
              <w:pStyle w:val="BoxText"/>
              <w:rPr>
                <w:b/>
                <w:color w:val="2C384A" w:themeColor="accent1"/>
                <w:sz w:val="28"/>
                <w:szCs w:val="26"/>
              </w:rPr>
            </w:pPr>
            <w:r w:rsidRPr="005249E7">
              <w:rPr>
                <w:b/>
                <w:color w:val="2C384A" w:themeColor="accent1"/>
                <w:sz w:val="28"/>
                <w:szCs w:val="26"/>
              </w:rPr>
              <w:t>Note to drafters</w:t>
            </w:r>
          </w:p>
          <w:p w14:paraId="55BE822A" w14:textId="38349473" w:rsidR="003712CE" w:rsidRPr="0034395B" w:rsidRDefault="00DB004A" w:rsidP="000D1284">
            <w:pPr>
              <w:pStyle w:val="BoxText"/>
              <w:rPr>
                <w:b/>
                <w:i/>
              </w:rPr>
            </w:pPr>
            <w:r w:rsidRPr="0034395B">
              <w:rPr>
                <w:b/>
                <w:i/>
              </w:rPr>
              <w:t xml:space="preserve">If the Contract already has a </w:t>
            </w:r>
            <w:r w:rsidR="008C33E8">
              <w:rPr>
                <w:b/>
                <w:i/>
              </w:rPr>
              <w:t>‘</w:t>
            </w:r>
            <w:r w:rsidRPr="0034395B">
              <w:rPr>
                <w:b/>
                <w:i/>
              </w:rPr>
              <w:t>late interest calculation</w:t>
            </w:r>
            <w:r w:rsidR="008C33E8">
              <w:rPr>
                <w:b/>
                <w:i/>
              </w:rPr>
              <w:t>’</w:t>
            </w:r>
            <w:r w:rsidRPr="0034395B">
              <w:rPr>
                <w:b/>
                <w:i/>
              </w:rPr>
              <w:t xml:space="preserve"> clause that calculates interest using the GIC, then clause 1.1(f) can reference that clause</w:t>
            </w:r>
            <w:r w:rsidR="002D4273">
              <w:rPr>
                <w:b/>
                <w:i/>
              </w:rPr>
              <w:t>, for example</w:t>
            </w:r>
            <w:r w:rsidRPr="0034395B">
              <w:rPr>
                <w:b/>
                <w:i/>
              </w:rPr>
              <w:t xml:space="preserve">: </w:t>
            </w:r>
            <w:r w:rsidR="008C33E8">
              <w:rPr>
                <w:b/>
                <w:i/>
              </w:rPr>
              <w:t>‘</w:t>
            </w:r>
            <w:r w:rsidRPr="0034395B">
              <w:rPr>
                <w:b/>
                <w:i/>
              </w:rPr>
              <w:t>For the purpose of clause 1.1(b)(i)B., interest is to be calculated in accordance with the formula at clause xx</w:t>
            </w:r>
            <w:r w:rsidR="008C33E8">
              <w:rPr>
                <w:b/>
                <w:i/>
              </w:rPr>
              <w:t>’</w:t>
            </w:r>
            <w:r w:rsidRPr="0034395B">
              <w:rPr>
                <w:b/>
                <w:i/>
              </w:rPr>
              <w:t>.]</w:t>
            </w:r>
          </w:p>
        </w:tc>
      </w:tr>
    </w:tbl>
    <w:p w14:paraId="7CD3E04F" w14:textId="77777777" w:rsidR="003A270D" w:rsidRDefault="003A270D" w:rsidP="003A270D">
      <w:pPr>
        <w:pStyle w:val="OutlineNumbered2"/>
        <w:numPr>
          <w:ilvl w:val="0"/>
          <w:numId w:val="0"/>
        </w:numPr>
        <w:ind w:left="1134"/>
        <w:rPr>
          <w:sz w:val="28"/>
          <w:szCs w:val="28"/>
        </w:rPr>
      </w:pPr>
    </w:p>
    <w:p w14:paraId="627C3F92" w14:textId="09437B0A" w:rsidR="003712CE" w:rsidRPr="009D50B2" w:rsidRDefault="00BD04BC" w:rsidP="000C00E2">
      <w:pPr>
        <w:pStyle w:val="OutlineNumbered2"/>
        <w:rPr>
          <w:b/>
          <w:sz w:val="28"/>
          <w:szCs w:val="28"/>
        </w:rPr>
      </w:pPr>
      <w:r w:rsidRPr="009D50B2">
        <w:rPr>
          <w:b/>
          <w:sz w:val="28"/>
          <w:szCs w:val="28"/>
        </w:rPr>
        <w:t>PT PCP Evaluation Questionnaire</w:t>
      </w:r>
    </w:p>
    <w:p w14:paraId="675CEEF0" w14:textId="3DF86E09" w:rsidR="006C247E" w:rsidRDefault="00643A82" w:rsidP="00DA47CD">
      <w:r w:rsidRPr="00643A82">
        <w:t>If requested in writing by the Commonwealth, the Supplier must properly complete and return a PT PCP Evaluation Questionnaire within 30 Calendar Days of the request.</w:t>
      </w:r>
    </w:p>
    <w:p w14:paraId="2BBBB94B" w14:textId="298A3803" w:rsidR="006C247E" w:rsidRPr="00052F46" w:rsidRDefault="00890415" w:rsidP="003A270D">
      <w:pPr>
        <w:pStyle w:val="OutlineNumbered2"/>
        <w:rPr>
          <w:b/>
          <w:sz w:val="28"/>
          <w:szCs w:val="28"/>
        </w:rPr>
      </w:pPr>
      <w:r w:rsidRPr="00052F46">
        <w:rPr>
          <w:b/>
          <w:sz w:val="28"/>
          <w:szCs w:val="28"/>
        </w:rPr>
        <w:t>Non</w:t>
      </w:r>
      <w:r w:rsidR="008C33E8" w:rsidRPr="00052F46">
        <w:rPr>
          <w:b/>
          <w:sz w:val="28"/>
          <w:szCs w:val="28"/>
        </w:rPr>
        <w:noBreakHyphen/>
      </w:r>
      <w:r w:rsidR="00B774E6" w:rsidRPr="00052F46">
        <w:rPr>
          <w:b/>
          <w:sz w:val="28"/>
          <w:szCs w:val="28"/>
        </w:rPr>
        <w:t>c</w:t>
      </w:r>
      <w:r w:rsidRPr="00052F46">
        <w:rPr>
          <w:b/>
          <w:sz w:val="28"/>
          <w:szCs w:val="28"/>
        </w:rPr>
        <w:t>ompliance</w:t>
      </w:r>
      <w:r w:rsidR="006C247E" w:rsidRPr="00052F46">
        <w:rPr>
          <w:b/>
          <w:sz w:val="28"/>
          <w:szCs w:val="28"/>
        </w:rPr>
        <w:t xml:space="preserve"> and Remediation</w:t>
      </w:r>
    </w:p>
    <w:p w14:paraId="6B6B065A" w14:textId="03124AC6" w:rsidR="00F72C2C" w:rsidRPr="00C25C8B" w:rsidRDefault="00BA0AD6" w:rsidP="001F41B4">
      <w:pPr>
        <w:ind w:left="720" w:hanging="720"/>
      </w:pPr>
      <w:r>
        <w:t>(a)</w:t>
      </w:r>
      <w:r>
        <w:tab/>
      </w:r>
      <w:r w:rsidR="00F72C2C" w:rsidRPr="00C25C8B">
        <w:t>If the Commonwealth considers or becomes aware that the Supplier has not or may not have complied with:</w:t>
      </w:r>
    </w:p>
    <w:p w14:paraId="03DF9AB8" w14:textId="77777777" w:rsidR="00F72C2C" w:rsidRDefault="00F72C2C" w:rsidP="00943F56">
      <w:pPr>
        <w:ind w:left="720"/>
      </w:pPr>
      <w:r>
        <w:t>(i)</w:t>
      </w:r>
      <w:r>
        <w:tab/>
        <w:t xml:space="preserve">the requirements of clause 1.1; or </w:t>
      </w:r>
    </w:p>
    <w:p w14:paraId="343F273D" w14:textId="77777777" w:rsidR="00F72C2C" w:rsidRDefault="00F72C2C" w:rsidP="00943F56">
      <w:pPr>
        <w:ind w:left="720"/>
      </w:pPr>
      <w:r>
        <w:t>(ii)</w:t>
      </w:r>
      <w:r>
        <w:tab/>
        <w:t>the payment requirements of a PT PCP Subcontract,</w:t>
      </w:r>
    </w:p>
    <w:p w14:paraId="75D110F2" w14:textId="77777777" w:rsidR="00F72C2C" w:rsidRDefault="00F72C2C" w:rsidP="00943F56">
      <w:pPr>
        <w:ind w:left="720"/>
      </w:pPr>
      <w:r>
        <w:t>the Commonwealth may direct the Supplier to provide to the Commonwealth either or both of the following within the timeframes specified by the Commonwealth:</w:t>
      </w:r>
    </w:p>
    <w:p w14:paraId="7084002F" w14:textId="1A2AB09F" w:rsidR="00F72C2C" w:rsidRDefault="00F72C2C" w:rsidP="00943F56">
      <w:pPr>
        <w:ind w:left="720"/>
      </w:pPr>
      <w:r>
        <w:t>(iii)</w:t>
      </w:r>
      <w:r>
        <w:tab/>
        <w:t>information to enable the Commonwealth to review the Supplier</w:t>
      </w:r>
      <w:r w:rsidR="008C33E8">
        <w:t>’</w:t>
      </w:r>
      <w:r>
        <w:t>s compliance; or</w:t>
      </w:r>
    </w:p>
    <w:p w14:paraId="1307F70D" w14:textId="77777777" w:rsidR="00F72C2C" w:rsidRDefault="00F72C2C" w:rsidP="00943F56">
      <w:pPr>
        <w:ind w:left="720"/>
      </w:pPr>
      <w:r>
        <w:t>(iv)</w:t>
      </w:r>
      <w:r>
        <w:tab/>
        <w:t xml:space="preserve">a properly completed PT PCP Remediation Plan. </w:t>
      </w:r>
    </w:p>
    <w:p w14:paraId="339D5775" w14:textId="79C410AB" w:rsidR="00F72C2C" w:rsidRDefault="00BA0AD6" w:rsidP="00CC5F9E">
      <w:pPr>
        <w:pStyle w:val="OutlineNumbered1"/>
        <w:numPr>
          <w:ilvl w:val="0"/>
          <w:numId w:val="0"/>
        </w:numPr>
        <w:ind w:left="709" w:hanging="709"/>
      </w:pPr>
      <w:r>
        <w:t>(b)</w:t>
      </w:r>
      <w:r w:rsidR="003A0349">
        <w:tab/>
        <w:t>T</w:t>
      </w:r>
      <w:r w:rsidR="00F72C2C" w:rsidRPr="00C25C8B">
        <w:t>he Supplier must complete all of the steps and activities contained in the PT PCP Remediation Plan provided under clause 1.3(a)(iv).</w:t>
      </w:r>
    </w:p>
    <w:p w14:paraId="36310403" w14:textId="46D882CB" w:rsidR="00F72C2C" w:rsidRPr="00BA0AD6" w:rsidRDefault="00BA0AD6" w:rsidP="00943F56">
      <w:pPr>
        <w:ind w:left="720" w:hanging="720"/>
        <w:rPr>
          <w:rFonts w:cs="Calibri Light"/>
        </w:rPr>
      </w:pPr>
      <w:r>
        <w:t>(c)</w:t>
      </w:r>
      <w:r>
        <w:tab/>
      </w:r>
      <w:r w:rsidR="00F72C2C" w:rsidRPr="00BA0AD6">
        <w:rPr>
          <w:rFonts w:cs="Calibri Light"/>
        </w:rPr>
        <w:t>If the Commonwealth considers that the Supplier has failed to comply with any of its obligations under this clause 1, without limiting the Commonwealth</w:t>
      </w:r>
      <w:r w:rsidR="008C33E8">
        <w:rPr>
          <w:rFonts w:cs="Calibri Light"/>
        </w:rPr>
        <w:t>’</w:t>
      </w:r>
      <w:r w:rsidR="00F72C2C" w:rsidRPr="00BA0AD6">
        <w:rPr>
          <w:rFonts w:cs="Calibri Light"/>
        </w:rPr>
        <w:t>s rights and remedies at law or otherwise under the Contract, the Commonwealth may do either or both of the following:</w:t>
      </w:r>
    </w:p>
    <w:p w14:paraId="1173BF22" w14:textId="1BF28F52" w:rsidR="00F72C2C" w:rsidRDefault="00F72C2C" w:rsidP="00943F56">
      <w:pPr>
        <w:ind w:left="1440" w:hanging="720"/>
      </w:pPr>
      <w:r>
        <w:t>(i)</w:t>
      </w:r>
      <w:r>
        <w:tab/>
        <w:t xml:space="preserve">take the failure or </w:t>
      </w:r>
      <w:r w:rsidR="005C0A6C">
        <w:t>non</w:t>
      </w:r>
      <w:r w:rsidR="008C33E8">
        <w:noBreakHyphen/>
      </w:r>
      <w:r w:rsidR="005C0A6C">
        <w:t>compliance</w:t>
      </w:r>
      <w:r>
        <w:t xml:space="preserve"> into account as part of the Commonwealth</w:t>
      </w:r>
      <w:r w:rsidR="008C33E8">
        <w:t>’</w:t>
      </w:r>
      <w:r>
        <w:t>s monitoring of the Supplier</w:t>
      </w:r>
      <w:r w:rsidR="008C33E8">
        <w:t>’</w:t>
      </w:r>
      <w:r>
        <w:t>s performance under the Contract; or</w:t>
      </w:r>
    </w:p>
    <w:p w14:paraId="20783F3D" w14:textId="614BF734" w:rsidR="00F72C2C" w:rsidRDefault="00F72C2C" w:rsidP="00943F56">
      <w:pPr>
        <w:ind w:left="1440" w:hanging="720"/>
      </w:pPr>
      <w:r>
        <w:t>(ii)</w:t>
      </w:r>
      <w:r>
        <w:tab/>
        <w:t xml:space="preserve">report the </w:t>
      </w:r>
      <w:r w:rsidR="005C0A6C">
        <w:t>non</w:t>
      </w:r>
      <w:r w:rsidR="008C33E8">
        <w:noBreakHyphen/>
      </w:r>
      <w:r w:rsidR="005C0A6C">
        <w:t>compliance</w:t>
      </w:r>
      <w:r>
        <w:t xml:space="preserve"> (and provide a copy of the completed PT PCP Remediation Plan) to the Policy Team.</w:t>
      </w:r>
    </w:p>
    <w:p w14:paraId="401ED05E" w14:textId="5A7DEE16" w:rsidR="00F72C2C" w:rsidRPr="00BA6DE2" w:rsidRDefault="00BA6DE2" w:rsidP="00943F56">
      <w:pPr>
        <w:ind w:left="720" w:hanging="720"/>
        <w:rPr>
          <w:rFonts w:cs="Calibri Light"/>
        </w:rPr>
      </w:pPr>
      <w:r>
        <w:t>(d)</w:t>
      </w:r>
      <w:r>
        <w:tab/>
      </w:r>
      <w:r w:rsidR="00F72C2C" w:rsidRPr="00BA6DE2">
        <w:rPr>
          <w:rFonts w:cs="Calibri Light"/>
        </w:rPr>
        <w:t>The Supplier agrees that if it is the subject of a complaint in relation to its compliance with clause 1.1 or the associated payment provisions of a PT PCP Subcontract:</w:t>
      </w:r>
    </w:p>
    <w:p w14:paraId="792C6B61" w14:textId="77777777" w:rsidR="00F72C2C" w:rsidRDefault="00F72C2C" w:rsidP="00943F56">
      <w:pPr>
        <w:ind w:left="1440" w:hanging="720"/>
      </w:pPr>
      <w:r>
        <w:lastRenderedPageBreak/>
        <w:t>(i)</w:t>
      </w:r>
      <w:r>
        <w:tab/>
        <w:t>it will not take any prejudicial action against the complainant due to the complaint or any investigation or inquiry in relation to the complaint; and</w:t>
      </w:r>
    </w:p>
    <w:p w14:paraId="63A46437" w14:textId="38206226" w:rsidR="00F72C2C" w:rsidRDefault="00F72C2C" w:rsidP="00943F56">
      <w:pPr>
        <w:ind w:left="1440" w:hanging="720"/>
      </w:pPr>
      <w:r>
        <w:t>(ii)</w:t>
      </w:r>
      <w:r>
        <w:tab/>
        <w:t>it will cooperate in good faith with the Commonwealth in connection with any investigation or inquiry and any attempt to resolve the complaint.</w:t>
      </w:r>
    </w:p>
    <w:p w14:paraId="2972F3EE" w14:textId="5ECA3C3B" w:rsidR="00326CFD" w:rsidRPr="009D50B2" w:rsidRDefault="00326CFD" w:rsidP="00461002">
      <w:pPr>
        <w:pStyle w:val="OutlineNumbered2"/>
        <w:rPr>
          <w:b/>
          <w:sz w:val="28"/>
          <w:szCs w:val="28"/>
        </w:rPr>
      </w:pPr>
      <w:r w:rsidRPr="009D50B2">
        <w:rPr>
          <w:b/>
          <w:sz w:val="28"/>
          <w:szCs w:val="28"/>
        </w:rPr>
        <w:t>Consent</w:t>
      </w:r>
    </w:p>
    <w:p w14:paraId="58EE304C" w14:textId="77777777" w:rsidR="0029456E" w:rsidRDefault="0029456E" w:rsidP="0029456E">
      <w:r>
        <w:t>(a)</w:t>
      </w:r>
      <w:r>
        <w:tab/>
        <w:t>For any PT PCP Purpose, the Supplier consents to the Commonwealth:</w:t>
      </w:r>
    </w:p>
    <w:p w14:paraId="44BFB025" w14:textId="77777777" w:rsidR="0029456E" w:rsidRDefault="0029456E" w:rsidP="00943F56">
      <w:pPr>
        <w:ind w:left="1440" w:hanging="720"/>
      </w:pPr>
      <w:r>
        <w:t>(i)</w:t>
      </w:r>
      <w:r>
        <w:tab/>
        <w:t xml:space="preserve">using and sharing with any other Commonwealth Entity the information provided by the Supplier as part of a PT PCP Evaluation Questionnaire, a PT PCP Remediation Plan, or otherwise received or obtained by the Commonwealth in connection with this Contract or a PT PCP Subcontract; and </w:t>
      </w:r>
    </w:p>
    <w:p w14:paraId="08D561CC" w14:textId="55FD0CA6" w:rsidR="0029456E" w:rsidRDefault="0029456E" w:rsidP="00943F56">
      <w:pPr>
        <w:ind w:left="1440" w:hanging="720"/>
      </w:pPr>
      <w:r>
        <w:t>(ii)</w:t>
      </w:r>
      <w:r>
        <w:tab/>
        <w:t>receiving information obtained under, or in accordance with, the PTR Act (</w:t>
      </w:r>
      <w:r w:rsidR="008C33E8">
        <w:t>‘</w:t>
      </w:r>
      <w:r>
        <w:t>Protected Information</w:t>
      </w:r>
      <w:r w:rsidR="008C33E8">
        <w:t>’</w:t>
      </w:r>
      <w:r>
        <w:t>) from an Entrusted Person and using such Protected Information.</w:t>
      </w:r>
    </w:p>
    <w:p w14:paraId="09809A5F" w14:textId="7D15873A" w:rsidR="0029456E" w:rsidRDefault="0029456E" w:rsidP="00CC5F9E">
      <w:pPr>
        <w:ind w:left="709" w:hanging="709"/>
      </w:pPr>
      <w:r>
        <w:t>(b)</w:t>
      </w:r>
      <w:r>
        <w:tab/>
        <w:t xml:space="preserve">By submitting a PT PCP Evaluation Questionnaire or a PT PCP Remediation Plan or other document in connection with the PT PCP that includes any personal information within the meaning of </w:t>
      </w:r>
      <w:r w:rsidRPr="00A00ABD">
        <w:rPr>
          <w:i/>
        </w:rPr>
        <w:t>Privacy Act 1988</w:t>
      </w:r>
      <w:r>
        <w:t xml:space="preserve"> (Cth), the Supplier warrants and represents that it has obtained all necessary consents in accordance with relevant privacy laws to the collection, use and disclosure of such information in the manner contemplated by this clause 1.4. The Supplier will provide evidence of such consents to the Commonwealth on request.</w:t>
      </w:r>
    </w:p>
    <w:p w14:paraId="5772818E" w14:textId="3DBD8770" w:rsidR="00173838" w:rsidRPr="009D50B2" w:rsidRDefault="00173838" w:rsidP="009D50B2">
      <w:pPr>
        <w:pStyle w:val="OutlineNumbered2"/>
        <w:rPr>
          <w:b/>
          <w:sz w:val="28"/>
          <w:szCs w:val="28"/>
        </w:rPr>
      </w:pPr>
      <w:r w:rsidRPr="009D50B2">
        <w:rPr>
          <w:b/>
          <w:sz w:val="28"/>
          <w:szCs w:val="28"/>
        </w:rPr>
        <w:t>Interpretation</w:t>
      </w:r>
    </w:p>
    <w:p w14:paraId="5025D437" w14:textId="468E2889" w:rsidR="00A35214" w:rsidRDefault="0007093B" w:rsidP="00D33663">
      <w:r w:rsidRPr="0007093B">
        <w:t>A reference to the Commonwealth in clauses 1.2, 1.3(a), 1.3(d)(ii) and 1.4 includes the Policy Team.</w:t>
      </w:r>
    </w:p>
    <w:p w14:paraId="5317FC8D" w14:textId="2CBC966C" w:rsidR="00F02311" w:rsidRDefault="00F02311">
      <w:pPr>
        <w:spacing w:before="0" w:after="160" w:line="259" w:lineRule="auto"/>
      </w:pPr>
      <w:r>
        <w:br w:type="page"/>
      </w:r>
    </w:p>
    <w:p w14:paraId="7773190A" w14:textId="5C3F15B6" w:rsidR="00A35214" w:rsidRDefault="00A35214" w:rsidP="00A35214">
      <w:pPr>
        <w:pStyle w:val="Heading2"/>
      </w:pPr>
      <w:bookmarkStart w:id="29" w:name="_Toc75940055"/>
      <w:bookmarkStart w:id="30" w:name="_Toc140753010"/>
      <w:r>
        <w:lastRenderedPageBreak/>
        <w:t>Glossary</w:t>
      </w:r>
      <w:bookmarkEnd w:id="29"/>
      <w:bookmarkEnd w:id="30"/>
    </w:p>
    <w:tbl>
      <w:tblPr>
        <w:tblStyle w:val="TableGrid1"/>
        <w:tblW w:w="5000" w:type="pct"/>
        <w:tblInd w:w="-5" w:type="dxa"/>
        <w:tblCellMar>
          <w:left w:w="0" w:type="dxa"/>
          <w:right w:w="28" w:type="dxa"/>
        </w:tblCellMar>
        <w:tblLook w:val="04A0" w:firstRow="1" w:lastRow="0" w:firstColumn="1" w:lastColumn="0" w:noHBand="0" w:noVBand="1"/>
      </w:tblPr>
      <w:tblGrid>
        <w:gridCol w:w="2756"/>
        <w:gridCol w:w="6304"/>
      </w:tblGrid>
      <w:tr w:rsidR="004A312C" w:rsidRPr="00BC1BC1" w14:paraId="6F88B72C" w14:textId="77777777" w:rsidTr="00BA5AE8">
        <w:trPr>
          <w:tblHeader/>
        </w:trPr>
        <w:tc>
          <w:tcPr>
            <w:tcW w:w="2835" w:type="dxa"/>
          </w:tcPr>
          <w:p w14:paraId="61CF1F4E" w14:textId="77777777" w:rsidR="004A312C" w:rsidRPr="00BC1BC1" w:rsidRDefault="004A312C" w:rsidP="00861C82">
            <w:pPr>
              <w:pStyle w:val="TableColumnHeadingLeft"/>
            </w:pPr>
            <w:r w:rsidRPr="00BC1BC1">
              <w:t>Term</w:t>
            </w:r>
          </w:p>
        </w:tc>
        <w:tc>
          <w:tcPr>
            <w:tcW w:w="6521" w:type="dxa"/>
          </w:tcPr>
          <w:p w14:paraId="61F0D783" w14:textId="77777777" w:rsidR="004A312C" w:rsidRPr="00BC1BC1" w:rsidRDefault="004A312C" w:rsidP="00861C82">
            <w:pPr>
              <w:pStyle w:val="TableColumnHeadingLeft"/>
            </w:pPr>
            <w:r w:rsidRPr="00BC1BC1">
              <w:t>Definition</w:t>
            </w:r>
          </w:p>
        </w:tc>
      </w:tr>
      <w:tr w:rsidR="004A312C" w:rsidRPr="00BC1BC1" w14:paraId="7F4FE44D" w14:textId="77777777" w:rsidTr="00BA5AE8">
        <w:tc>
          <w:tcPr>
            <w:tcW w:w="2835" w:type="dxa"/>
          </w:tcPr>
          <w:p w14:paraId="6AE7F31D" w14:textId="77777777" w:rsidR="004A312C" w:rsidRPr="00BC1BC1" w:rsidRDefault="004A312C" w:rsidP="00861C82">
            <w:pPr>
              <w:pStyle w:val="TableTextLeft"/>
            </w:pPr>
            <w:r w:rsidRPr="00BC1BC1">
              <w:t>Approach to Market or ATM</w:t>
            </w:r>
          </w:p>
        </w:tc>
        <w:tc>
          <w:tcPr>
            <w:tcW w:w="6521" w:type="dxa"/>
          </w:tcPr>
          <w:p w14:paraId="5F66A189" w14:textId="77777777" w:rsidR="004A312C" w:rsidRPr="00BC1BC1" w:rsidRDefault="004A312C" w:rsidP="00861C82">
            <w:pPr>
              <w:pStyle w:val="TableTextLeft"/>
            </w:pPr>
            <w:r w:rsidRPr="00BC1BC1">
              <w:t>means any notice inviting potential suppliers to participate in a procurement which may include a request for tender, request for quote, request for expression of interest, request for information or request for proposal</w:t>
            </w:r>
            <w:r w:rsidRPr="00BC1BC1">
              <w:rPr>
                <w:color w:val="1F497D"/>
              </w:rPr>
              <w:t>.</w:t>
            </w:r>
          </w:p>
        </w:tc>
      </w:tr>
      <w:tr w:rsidR="004A312C" w:rsidRPr="00BC1BC1" w14:paraId="7DE803CC" w14:textId="77777777" w:rsidTr="00BA5AE8">
        <w:tc>
          <w:tcPr>
            <w:tcW w:w="2835" w:type="dxa"/>
          </w:tcPr>
          <w:p w14:paraId="36F64E84" w14:textId="77777777" w:rsidR="004A312C" w:rsidRPr="00BC1BC1" w:rsidRDefault="004A312C" w:rsidP="00861C82">
            <w:pPr>
              <w:pStyle w:val="TableTextLeft"/>
            </w:pPr>
            <w:r w:rsidRPr="00BC1BC1">
              <w:t>Contract</w:t>
            </w:r>
          </w:p>
        </w:tc>
        <w:tc>
          <w:tcPr>
            <w:tcW w:w="6521" w:type="dxa"/>
          </w:tcPr>
          <w:p w14:paraId="222EF133" w14:textId="77777777" w:rsidR="004A312C" w:rsidRPr="00BC1BC1" w:rsidRDefault="004A312C" w:rsidP="00861C82">
            <w:pPr>
              <w:pStyle w:val="TableTextLeft"/>
            </w:pPr>
            <w:r w:rsidRPr="00BC1BC1">
              <w:t>means the contract between the Commonwealth and the Supplier.</w:t>
            </w:r>
          </w:p>
        </w:tc>
      </w:tr>
      <w:tr w:rsidR="004A312C" w:rsidRPr="00BC1BC1" w14:paraId="605F6DAE" w14:textId="77777777" w:rsidTr="00BA5AE8">
        <w:tc>
          <w:tcPr>
            <w:tcW w:w="2835" w:type="dxa"/>
          </w:tcPr>
          <w:p w14:paraId="48E693E2" w14:textId="77777777" w:rsidR="004A312C" w:rsidRPr="00BC1BC1" w:rsidRDefault="004A312C" w:rsidP="00784D9A">
            <w:pPr>
              <w:pStyle w:val="TableTextLeft"/>
            </w:pPr>
            <w:r w:rsidRPr="00BC1BC1">
              <w:t>Correctly Rendered Invoice</w:t>
            </w:r>
          </w:p>
        </w:tc>
        <w:tc>
          <w:tcPr>
            <w:tcW w:w="6521" w:type="dxa"/>
          </w:tcPr>
          <w:p w14:paraId="50C418CC" w14:textId="77777777" w:rsidR="004A312C" w:rsidRPr="00BC1BC1" w:rsidRDefault="004A312C" w:rsidP="006C6EE9">
            <w:pPr>
              <w:pStyle w:val="TableTextLeft"/>
            </w:pPr>
            <w:r w:rsidRPr="00BC1BC1">
              <w:rPr>
                <w:b/>
                <w:bCs/>
                <w:iCs/>
              </w:rPr>
              <w:t>Correctly Rendered Invoice</w:t>
            </w:r>
            <w:r w:rsidRPr="00BC1BC1">
              <w:rPr>
                <w:i/>
              </w:rPr>
              <w:t xml:space="preserve"> </w:t>
            </w:r>
            <w:r w:rsidRPr="00BC1BC1">
              <w:t>means an invoice which is:</w:t>
            </w:r>
          </w:p>
          <w:p w14:paraId="0DF81FD5" w14:textId="77777777" w:rsidR="004A312C" w:rsidRDefault="004A312C" w:rsidP="00666638">
            <w:pPr>
              <w:pStyle w:val="TableTextLeft"/>
              <w:numPr>
                <w:ilvl w:val="0"/>
                <w:numId w:val="23"/>
              </w:numPr>
            </w:pPr>
            <w:r w:rsidRPr="003F6005">
              <w:t>rendered in accordance with all of the requirements of the written contract (note that written contracts will often specify that the invoice must be a tax invoice and/or that certain information must be included in the invoice and/or the format of the invoice); and</w:t>
            </w:r>
          </w:p>
          <w:p w14:paraId="02E9DA11" w14:textId="77777777" w:rsidR="004A312C" w:rsidRPr="00BC1BC1" w:rsidRDefault="004A312C" w:rsidP="003F6005">
            <w:pPr>
              <w:pStyle w:val="TableTextLeft"/>
              <w:numPr>
                <w:ilvl w:val="0"/>
                <w:numId w:val="23"/>
              </w:numPr>
            </w:pPr>
            <w:r w:rsidRPr="00BC1BC1">
              <w:t>for amounts that are correctly calculated and due for payment and payable under the terms of the written contract.</w:t>
            </w:r>
          </w:p>
        </w:tc>
      </w:tr>
      <w:tr w:rsidR="004A312C" w:rsidRPr="00BC1BC1" w14:paraId="1E1FC96A" w14:textId="77777777" w:rsidTr="00BA5AE8">
        <w:tc>
          <w:tcPr>
            <w:tcW w:w="2835" w:type="dxa"/>
          </w:tcPr>
          <w:p w14:paraId="47FF8C32" w14:textId="77777777" w:rsidR="004A312C" w:rsidRPr="00BC1BC1" w:rsidRDefault="004A312C" w:rsidP="00666638">
            <w:pPr>
              <w:pStyle w:val="TableTextLeft"/>
            </w:pPr>
            <w:r w:rsidRPr="00BC1BC1">
              <w:t xml:space="preserve">Entrusted Person </w:t>
            </w:r>
          </w:p>
        </w:tc>
        <w:tc>
          <w:tcPr>
            <w:tcW w:w="6521" w:type="dxa"/>
          </w:tcPr>
          <w:p w14:paraId="31B23ECB" w14:textId="77777777" w:rsidR="004A312C" w:rsidRPr="00BC1BC1" w:rsidRDefault="004A312C" w:rsidP="00666638">
            <w:pPr>
              <w:pStyle w:val="TableTextLeft"/>
            </w:pPr>
            <w:r w:rsidRPr="00BC1BC1">
              <w:t xml:space="preserve">has the meaning given to this term in the </w:t>
            </w:r>
            <w:r w:rsidRPr="00BC1BC1">
              <w:rPr>
                <w:i/>
              </w:rPr>
              <w:t>PTR Act.</w:t>
            </w:r>
          </w:p>
        </w:tc>
      </w:tr>
      <w:tr w:rsidR="004A312C" w:rsidRPr="00BC1BC1" w14:paraId="38D64FA6" w14:textId="77777777" w:rsidTr="00BA5AE8">
        <w:tc>
          <w:tcPr>
            <w:tcW w:w="2835" w:type="dxa"/>
          </w:tcPr>
          <w:p w14:paraId="447EAEEA" w14:textId="77777777" w:rsidR="004A312C" w:rsidRPr="00BC1BC1" w:rsidRDefault="004A312C" w:rsidP="00666638">
            <w:pPr>
              <w:pStyle w:val="TableTextLeft"/>
            </w:pPr>
            <w:r w:rsidRPr="00BC1BC1">
              <w:t>General Interest Charge Rate</w:t>
            </w:r>
          </w:p>
        </w:tc>
        <w:tc>
          <w:tcPr>
            <w:tcW w:w="6521" w:type="dxa"/>
          </w:tcPr>
          <w:p w14:paraId="4B0924D1" w14:textId="77777777" w:rsidR="004A312C" w:rsidRPr="00BC1BC1" w:rsidRDefault="004A312C" w:rsidP="00666638">
            <w:pPr>
              <w:pStyle w:val="TableTextLeft"/>
            </w:pPr>
            <w:r w:rsidRPr="00BC1BC1">
              <w:t xml:space="preserve">means the general interest charge rate determined under section 8AAD of the </w:t>
            </w:r>
            <w:r w:rsidRPr="00BC1BC1">
              <w:rPr>
                <w:i/>
              </w:rPr>
              <w:t>Taxation Administration Act 1953</w:t>
            </w:r>
            <w:r w:rsidRPr="00BC1BC1">
              <w:t xml:space="preserve"> (Cth) on the day payment is due, expressed as a decimal rate per day.</w:t>
            </w:r>
          </w:p>
        </w:tc>
      </w:tr>
      <w:tr w:rsidR="004A312C" w:rsidRPr="00BC1BC1" w14:paraId="4DEC056A" w14:textId="77777777" w:rsidTr="00BA5AE8">
        <w:tc>
          <w:tcPr>
            <w:tcW w:w="2835" w:type="dxa"/>
          </w:tcPr>
          <w:p w14:paraId="10BA7876" w14:textId="77777777" w:rsidR="004A312C" w:rsidRPr="00BC1BC1" w:rsidRDefault="004A312C" w:rsidP="00666638">
            <w:pPr>
              <w:pStyle w:val="TableTextLeft"/>
            </w:pPr>
            <w:r w:rsidRPr="00BC1BC1">
              <w:t>Commonwealth Entity</w:t>
            </w:r>
          </w:p>
        </w:tc>
        <w:tc>
          <w:tcPr>
            <w:tcW w:w="6521" w:type="dxa"/>
          </w:tcPr>
          <w:p w14:paraId="5CAC0295" w14:textId="77777777" w:rsidR="004A312C" w:rsidRPr="00BC1BC1" w:rsidRDefault="004A312C" w:rsidP="00666638">
            <w:pPr>
              <w:pStyle w:val="TableTextLeft"/>
            </w:pPr>
            <w:r w:rsidRPr="00BC1BC1">
              <w:t xml:space="preserve">has the meaning given to this term in the </w:t>
            </w:r>
            <w:r w:rsidRPr="00BC1BC1">
              <w:rPr>
                <w:i/>
              </w:rPr>
              <w:t xml:space="preserve">Public Governance, Performance and Accountability Act 2013 </w:t>
            </w:r>
            <w:r w:rsidRPr="00BC1BC1">
              <w:t xml:space="preserve">(Cth). </w:t>
            </w:r>
          </w:p>
        </w:tc>
      </w:tr>
      <w:tr w:rsidR="004A312C" w:rsidRPr="00BC1BC1" w14:paraId="0A91A349" w14:textId="77777777" w:rsidTr="00BA5AE8">
        <w:tc>
          <w:tcPr>
            <w:tcW w:w="2835" w:type="dxa"/>
          </w:tcPr>
          <w:p w14:paraId="729893F0" w14:textId="77777777" w:rsidR="004A312C" w:rsidRPr="00BC1BC1" w:rsidRDefault="004A312C" w:rsidP="00666638">
            <w:pPr>
              <w:pStyle w:val="TableTextLeft"/>
              <w:rPr>
                <w:bCs/>
              </w:rPr>
            </w:pPr>
            <w:r w:rsidRPr="00BC1BC1">
              <w:t>PT PCP Policy Team</w:t>
            </w:r>
          </w:p>
        </w:tc>
        <w:tc>
          <w:tcPr>
            <w:tcW w:w="6521" w:type="dxa"/>
          </w:tcPr>
          <w:p w14:paraId="6270559F" w14:textId="77777777" w:rsidR="004A312C" w:rsidRPr="00BC1BC1" w:rsidRDefault="004A312C" w:rsidP="00666638">
            <w:pPr>
              <w:pStyle w:val="TableTextLeft"/>
            </w:pPr>
            <w:r w:rsidRPr="00BC1BC1">
              <w:t>means the relevant Minister, department or authority that administers or otherwise deals with the PT PCP on the relevant day.</w:t>
            </w:r>
          </w:p>
        </w:tc>
      </w:tr>
      <w:tr w:rsidR="004A312C" w:rsidRPr="00BC1BC1" w14:paraId="11A1CC93" w14:textId="77777777" w:rsidTr="00BA5AE8">
        <w:tc>
          <w:tcPr>
            <w:tcW w:w="2835" w:type="dxa"/>
          </w:tcPr>
          <w:p w14:paraId="1031D7ED" w14:textId="77777777" w:rsidR="004A312C" w:rsidRPr="00BC1BC1" w:rsidRDefault="004A312C" w:rsidP="00666638">
            <w:pPr>
              <w:pStyle w:val="TableTextLeft"/>
            </w:pPr>
            <w:r w:rsidRPr="00BC1BC1">
              <w:t>Protected Information</w:t>
            </w:r>
          </w:p>
        </w:tc>
        <w:tc>
          <w:tcPr>
            <w:tcW w:w="6521" w:type="dxa"/>
          </w:tcPr>
          <w:p w14:paraId="63355F9C" w14:textId="77777777" w:rsidR="004A312C" w:rsidRPr="00BC1BC1" w:rsidDel="003C5491" w:rsidRDefault="004A312C" w:rsidP="00666638">
            <w:pPr>
              <w:pStyle w:val="TableTextLeft"/>
            </w:pPr>
            <w:r w:rsidRPr="00BC1BC1">
              <w:t xml:space="preserve">has the meaning given to this term in the </w:t>
            </w:r>
            <w:r w:rsidRPr="00BC1BC1">
              <w:rPr>
                <w:iCs/>
              </w:rPr>
              <w:t>PTR Act</w:t>
            </w:r>
            <w:r w:rsidRPr="00BC1BC1">
              <w:rPr>
                <w:i/>
              </w:rPr>
              <w:t>.</w:t>
            </w:r>
          </w:p>
        </w:tc>
      </w:tr>
      <w:tr w:rsidR="004A312C" w:rsidRPr="00BC1BC1" w14:paraId="78483FE9" w14:textId="77777777" w:rsidTr="00BA5AE8">
        <w:tc>
          <w:tcPr>
            <w:tcW w:w="2835" w:type="dxa"/>
          </w:tcPr>
          <w:p w14:paraId="0731E245" w14:textId="77777777" w:rsidR="004A312C" w:rsidRPr="00BC1BC1" w:rsidRDefault="004A312C" w:rsidP="00CC2562">
            <w:pPr>
              <w:pStyle w:val="TableTextLeft"/>
            </w:pPr>
            <w:r w:rsidRPr="00BC1BC1">
              <w:t xml:space="preserve">PT PCP </w:t>
            </w:r>
          </w:p>
        </w:tc>
        <w:tc>
          <w:tcPr>
            <w:tcW w:w="6521" w:type="dxa"/>
          </w:tcPr>
          <w:p w14:paraId="1FC233C1" w14:textId="16DAAA46" w:rsidR="004A312C" w:rsidRPr="00BC1BC1" w:rsidRDefault="004A312C" w:rsidP="00CC2562">
            <w:pPr>
              <w:pStyle w:val="TableTextLeft"/>
            </w:pPr>
            <w:r w:rsidRPr="00BC1BC1">
              <w:t>means the Commonwealth</w:t>
            </w:r>
            <w:r w:rsidR="008C33E8" w:rsidRPr="00BC1BC1">
              <w:t>’</w:t>
            </w:r>
            <w:r w:rsidRPr="00BC1BC1">
              <w:t xml:space="preserve">s </w:t>
            </w:r>
            <w:r w:rsidR="008C33E8" w:rsidRPr="00BC1BC1">
              <w:t>‘</w:t>
            </w:r>
            <w:r w:rsidRPr="00BC1BC1">
              <w:t>Payment Times Procurement Connected Policy</w:t>
            </w:r>
            <w:r w:rsidR="008C33E8" w:rsidRPr="00BC1BC1">
              <w:t>’</w:t>
            </w:r>
            <w:r w:rsidRPr="00BC1BC1">
              <w:t>.</w:t>
            </w:r>
          </w:p>
        </w:tc>
      </w:tr>
      <w:tr w:rsidR="004A312C" w:rsidRPr="00BC1BC1" w14:paraId="4AF2D916" w14:textId="77777777" w:rsidTr="00BA5AE8">
        <w:tc>
          <w:tcPr>
            <w:tcW w:w="2835" w:type="dxa"/>
          </w:tcPr>
          <w:p w14:paraId="06C8D4D2" w14:textId="77777777" w:rsidR="004A312C" w:rsidRPr="00BC1BC1" w:rsidRDefault="004A312C" w:rsidP="00CC2562">
            <w:pPr>
              <w:pStyle w:val="TableTextLeft"/>
            </w:pPr>
            <w:r w:rsidRPr="00BC1BC1">
              <w:t xml:space="preserve">PT PCP Evaluation Questionnaire </w:t>
            </w:r>
          </w:p>
        </w:tc>
        <w:tc>
          <w:tcPr>
            <w:tcW w:w="6521" w:type="dxa"/>
          </w:tcPr>
          <w:p w14:paraId="6199237A" w14:textId="77777777" w:rsidR="004A312C" w:rsidRPr="00BC1BC1" w:rsidRDefault="004A312C" w:rsidP="00CC2562">
            <w:pPr>
              <w:pStyle w:val="TableTextLeft"/>
            </w:pPr>
            <w:r w:rsidRPr="00BC1BC1">
              <w:t xml:space="preserve">means a questionnaire in substantially the form of Appendix C of the PT PCP. </w:t>
            </w:r>
          </w:p>
        </w:tc>
      </w:tr>
      <w:tr w:rsidR="004A312C" w:rsidRPr="00BC1BC1" w14:paraId="5220D934" w14:textId="77777777" w:rsidTr="00BA5AE8">
        <w:tc>
          <w:tcPr>
            <w:tcW w:w="2835" w:type="dxa"/>
          </w:tcPr>
          <w:p w14:paraId="617EEBB2" w14:textId="77777777" w:rsidR="004A312C" w:rsidRPr="00BC1BC1" w:rsidRDefault="004A312C" w:rsidP="00266852">
            <w:pPr>
              <w:pStyle w:val="TableTextLeft"/>
            </w:pPr>
            <w:r w:rsidRPr="00BC1BC1">
              <w:t xml:space="preserve">PT PCP Purpose </w:t>
            </w:r>
          </w:p>
        </w:tc>
        <w:tc>
          <w:tcPr>
            <w:tcW w:w="6521" w:type="dxa"/>
          </w:tcPr>
          <w:p w14:paraId="5D24E92C" w14:textId="77777777" w:rsidR="004A312C" w:rsidRPr="00BC1BC1" w:rsidRDefault="004A312C" w:rsidP="00266852">
            <w:pPr>
              <w:pStyle w:val="TableTextLeft"/>
            </w:pPr>
            <w:r w:rsidRPr="00BC1BC1">
              <w:t>means:</w:t>
            </w:r>
          </w:p>
          <w:p w14:paraId="6C123132" w14:textId="1AB122AC" w:rsidR="004A312C" w:rsidRDefault="004A312C" w:rsidP="00266852">
            <w:pPr>
              <w:pStyle w:val="TableTextLeft"/>
              <w:numPr>
                <w:ilvl w:val="0"/>
                <w:numId w:val="24"/>
              </w:numPr>
            </w:pPr>
            <w:r w:rsidRPr="00BC1BC1">
              <w:t>the review, evaluation, monitoring, assessment and reporting on the PT PCP, including the compliance by those Commonwealth</w:t>
            </w:r>
            <w:r w:rsidR="008C33E8" w:rsidRPr="00BC1BC1">
              <w:t>’</w:t>
            </w:r>
            <w:r w:rsidRPr="00BC1BC1">
              <w:t>s suppliers and their subcontractors that are Reporting Entities; or</w:t>
            </w:r>
          </w:p>
          <w:p w14:paraId="10F640CE" w14:textId="77777777" w:rsidR="004A312C" w:rsidRPr="00266852" w:rsidRDefault="004A312C" w:rsidP="00266852">
            <w:pPr>
              <w:pStyle w:val="TableTextLeft"/>
              <w:numPr>
                <w:ilvl w:val="0"/>
                <w:numId w:val="24"/>
              </w:numPr>
            </w:pPr>
            <w:r w:rsidRPr="00BC1BC1">
              <w:t xml:space="preserve">improving payment times to PT PCP Subcontractors. </w:t>
            </w:r>
          </w:p>
        </w:tc>
      </w:tr>
      <w:tr w:rsidR="004A312C" w:rsidRPr="00BC1BC1" w14:paraId="5C7CA9D1" w14:textId="77777777" w:rsidTr="00BA5AE8">
        <w:tc>
          <w:tcPr>
            <w:tcW w:w="2835" w:type="dxa"/>
          </w:tcPr>
          <w:p w14:paraId="51398CD6" w14:textId="77777777" w:rsidR="004A312C" w:rsidRPr="00BC1BC1" w:rsidRDefault="004A312C" w:rsidP="006D4FD9">
            <w:pPr>
              <w:pStyle w:val="TableTextLeft"/>
            </w:pPr>
            <w:r w:rsidRPr="00BC1BC1">
              <w:t>PT PCP Remediation Plan</w:t>
            </w:r>
          </w:p>
        </w:tc>
        <w:tc>
          <w:tcPr>
            <w:tcW w:w="6521" w:type="dxa"/>
          </w:tcPr>
          <w:p w14:paraId="27DCCBA1" w14:textId="262C46C2" w:rsidR="004A312C" w:rsidRPr="00BC1BC1" w:rsidRDefault="004A312C" w:rsidP="006D4FD9">
            <w:pPr>
              <w:pStyle w:val="TableTextLeft"/>
            </w:pPr>
            <w:r w:rsidRPr="00BC1BC1">
              <w:t>means a written remediation plan substantially in the form of Appendix D of the PT</w:t>
            </w:r>
            <w:r w:rsidR="00F21F56">
              <w:t xml:space="preserve"> </w:t>
            </w:r>
            <w:r w:rsidRPr="00BC1BC1">
              <w:t xml:space="preserve">PCP. </w:t>
            </w:r>
          </w:p>
        </w:tc>
      </w:tr>
      <w:tr w:rsidR="004A312C" w:rsidRPr="00BC1BC1" w14:paraId="063B390F" w14:textId="77777777" w:rsidTr="00BA5AE8">
        <w:tc>
          <w:tcPr>
            <w:tcW w:w="2835" w:type="dxa"/>
          </w:tcPr>
          <w:p w14:paraId="358B97F5" w14:textId="77777777" w:rsidR="004A312C" w:rsidRPr="00BC1BC1" w:rsidRDefault="004A312C" w:rsidP="006D4FD9">
            <w:pPr>
              <w:pStyle w:val="TableTextLeft"/>
            </w:pPr>
            <w:r w:rsidRPr="00BC1BC1">
              <w:t>PT PCP Subcontract</w:t>
            </w:r>
          </w:p>
        </w:tc>
        <w:tc>
          <w:tcPr>
            <w:tcW w:w="6521" w:type="dxa"/>
          </w:tcPr>
          <w:p w14:paraId="47517476" w14:textId="77777777" w:rsidR="004A312C" w:rsidRPr="00BC1BC1" w:rsidRDefault="004A312C" w:rsidP="006D4FD9">
            <w:pPr>
              <w:pStyle w:val="TableTextLeft"/>
            </w:pPr>
            <w:r w:rsidRPr="00BC1BC1">
              <w:t>means a subcontract between a Reporting Entity and another party (</w:t>
            </w:r>
            <w:r w:rsidRPr="00BC1BC1">
              <w:rPr>
                <w:b/>
              </w:rPr>
              <w:t>Other Party</w:t>
            </w:r>
            <w:r w:rsidRPr="00BC1BC1">
              <w:t>) where:</w:t>
            </w:r>
          </w:p>
          <w:p w14:paraId="1AEDA045" w14:textId="77777777" w:rsidR="004A312C" w:rsidRDefault="004A312C" w:rsidP="00DB0E3E">
            <w:pPr>
              <w:pStyle w:val="OutlineNumbered1"/>
              <w:numPr>
                <w:ilvl w:val="0"/>
                <w:numId w:val="26"/>
              </w:numPr>
            </w:pPr>
            <w:r w:rsidRPr="00DB0E3E">
              <w:t xml:space="preserve">the subcontract is (wholly or in part) for the provision of goods or services for the purposes of the Contract; </w:t>
            </w:r>
          </w:p>
          <w:p w14:paraId="292A42E5" w14:textId="77777777" w:rsidR="004A312C" w:rsidRPr="00DB0E3E" w:rsidRDefault="004A312C" w:rsidP="00DB0E3E">
            <w:pPr>
              <w:pStyle w:val="OutlineNumbered1"/>
              <w:numPr>
                <w:ilvl w:val="0"/>
                <w:numId w:val="26"/>
              </w:numPr>
            </w:pPr>
            <w:r w:rsidRPr="00DB0E3E">
              <w:rPr>
                <w:szCs w:val="22"/>
              </w:rPr>
              <w:t>both parties are carrying on business in Australia; and</w:t>
            </w:r>
          </w:p>
          <w:p w14:paraId="55551E23" w14:textId="77777777" w:rsidR="004A312C" w:rsidRPr="00DB0E3E" w:rsidRDefault="004A312C" w:rsidP="00DB0E3E">
            <w:pPr>
              <w:pStyle w:val="OutlineNumbered1"/>
              <w:numPr>
                <w:ilvl w:val="0"/>
                <w:numId w:val="26"/>
              </w:numPr>
            </w:pPr>
            <w:r w:rsidRPr="00DB0E3E">
              <w:rPr>
                <w:szCs w:val="22"/>
              </w:rPr>
              <w:t>the component of the subcontract for the provision of goods or services for the purposes of the Contract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3D72017A" w14:textId="77777777" w:rsidR="004A312C" w:rsidRDefault="004A312C" w:rsidP="006D4FD9">
            <w:pPr>
              <w:pStyle w:val="TableTextLeft"/>
            </w:pPr>
            <w:r w:rsidRPr="00BC1BC1">
              <w:t>but does not include the following subcontracts:</w:t>
            </w:r>
          </w:p>
          <w:p w14:paraId="6F47D330" w14:textId="77777777" w:rsidR="00F21F56" w:rsidRPr="00BC1BC1" w:rsidRDefault="00F21F56" w:rsidP="006D4FD9">
            <w:pPr>
              <w:pStyle w:val="TableTextLeft"/>
            </w:pPr>
          </w:p>
          <w:p w14:paraId="59AF7A36" w14:textId="48B6A5E0" w:rsidR="004A312C" w:rsidRDefault="004A312C" w:rsidP="00F21F56">
            <w:pPr>
              <w:pStyle w:val="TableTextLeft"/>
              <w:numPr>
                <w:ilvl w:val="0"/>
                <w:numId w:val="26"/>
              </w:numPr>
            </w:pPr>
            <w:r w:rsidRPr="00BC1BC1">
              <w:t>subcontracts entered into prior to the Reporting Entities</w:t>
            </w:r>
            <w:r w:rsidR="008C33E8" w:rsidRPr="00BC1BC1">
              <w:t>’</w:t>
            </w:r>
            <w:r w:rsidRPr="00BC1BC1">
              <w:t xml:space="preserve"> tender response for the Contract; </w:t>
            </w:r>
          </w:p>
          <w:p w14:paraId="3BF0621A" w14:textId="77777777" w:rsidR="004A312C" w:rsidRPr="00166F06" w:rsidRDefault="004A312C" w:rsidP="00166F06">
            <w:pPr>
              <w:pStyle w:val="TableTextLeft"/>
              <w:numPr>
                <w:ilvl w:val="0"/>
                <w:numId w:val="26"/>
              </w:numPr>
            </w:pPr>
            <w:r w:rsidRPr="00166F06">
              <w:rPr>
                <w:szCs w:val="22"/>
              </w:rPr>
              <w:lastRenderedPageBreak/>
              <w:t>subcontracts which contain standard terms and conditions put forward by the Other Party and which cannot reasonably be negotiated by the Reporting Entity; or</w:t>
            </w:r>
          </w:p>
          <w:p w14:paraId="0FF05C49" w14:textId="77777777" w:rsidR="004A312C" w:rsidRPr="00076BA9" w:rsidRDefault="004A312C" w:rsidP="00166F06">
            <w:pPr>
              <w:pStyle w:val="TableTextLeft"/>
              <w:numPr>
                <w:ilvl w:val="0"/>
                <w:numId w:val="26"/>
              </w:numPr>
            </w:pPr>
            <w:r w:rsidRPr="00166F06">
              <w:rPr>
                <w:szCs w:val="22"/>
              </w:rPr>
              <w:t>subcontracts for the purposes of:</w:t>
            </w:r>
          </w:p>
          <w:p w14:paraId="13111205" w14:textId="62DD20E1" w:rsidR="004A312C" w:rsidRDefault="004A312C" w:rsidP="005B4BAA">
            <w:pPr>
              <w:pStyle w:val="TableTextLeft"/>
              <w:numPr>
                <w:ilvl w:val="0"/>
                <w:numId w:val="28"/>
              </w:numPr>
            </w:pPr>
            <w:r w:rsidRPr="00076BA9">
              <w:t>procuring and consuming goods or services overseas; or</w:t>
            </w:r>
          </w:p>
          <w:p w14:paraId="10ED17D2" w14:textId="16E9E95F" w:rsidR="004A312C" w:rsidRPr="009A7339" w:rsidRDefault="004A312C" w:rsidP="005B4BAA">
            <w:pPr>
              <w:pStyle w:val="TableTextLeft"/>
              <w:numPr>
                <w:ilvl w:val="0"/>
                <w:numId w:val="28"/>
              </w:numPr>
            </w:pPr>
            <w:r w:rsidRPr="005B4BAA">
              <w:rPr>
                <w:szCs w:val="22"/>
              </w:rPr>
              <w:t xml:space="preserve">procuring real property, including leases and licences. </w:t>
            </w:r>
          </w:p>
          <w:p w14:paraId="454E21E3" w14:textId="77777777" w:rsidR="009A7339" w:rsidRPr="005B4BAA" w:rsidRDefault="009A7339" w:rsidP="009A7339">
            <w:pPr>
              <w:pStyle w:val="TableTextLeft"/>
              <w:ind w:left="1080"/>
            </w:pPr>
          </w:p>
          <w:p w14:paraId="1D129057" w14:textId="77777777" w:rsidR="004A312C" w:rsidRDefault="004A312C" w:rsidP="009A7339">
            <w:pPr>
              <w:pStyle w:val="TableTextLeft"/>
              <w:rPr>
                <w:b/>
                <w:i/>
              </w:rPr>
            </w:pPr>
            <w:r w:rsidRPr="009A7339">
              <w:rPr>
                <w:b/>
                <w:i/>
                <w:highlight w:val="lightGray"/>
              </w:rPr>
              <w:t>Note to Reporting Entities: you will need to identify whether a subcontract delivers goods or services for the purposes of the Contract with the Commonwealth.</w:t>
            </w:r>
            <w:r w:rsidRPr="009A7339">
              <w:rPr>
                <w:b/>
                <w:i/>
              </w:rPr>
              <w:t xml:space="preserve"> </w:t>
            </w:r>
          </w:p>
          <w:p w14:paraId="72B78A22" w14:textId="5B63C1E7" w:rsidR="00E434BE" w:rsidRPr="009A7339" w:rsidRDefault="00E434BE" w:rsidP="009A7339">
            <w:pPr>
              <w:pStyle w:val="TableTextLeft"/>
              <w:rPr>
                <w:b/>
                <w:i/>
              </w:rPr>
            </w:pPr>
          </w:p>
        </w:tc>
      </w:tr>
      <w:tr w:rsidR="004A312C" w:rsidRPr="00BC1BC1" w14:paraId="526E7635" w14:textId="77777777" w:rsidTr="00BA5AE8">
        <w:tc>
          <w:tcPr>
            <w:tcW w:w="2835" w:type="dxa"/>
          </w:tcPr>
          <w:p w14:paraId="2908ADEC" w14:textId="77777777" w:rsidR="004A312C" w:rsidRPr="00BC1BC1" w:rsidRDefault="004A312C" w:rsidP="00E434BE">
            <w:pPr>
              <w:pStyle w:val="TableTextLeft"/>
            </w:pPr>
            <w:r w:rsidRPr="00BC1BC1">
              <w:lastRenderedPageBreak/>
              <w:t>PT PCP Subcontractor</w:t>
            </w:r>
          </w:p>
        </w:tc>
        <w:tc>
          <w:tcPr>
            <w:tcW w:w="6521" w:type="dxa"/>
          </w:tcPr>
          <w:p w14:paraId="4D04F66C" w14:textId="77777777" w:rsidR="004A312C" w:rsidRPr="00BC1BC1" w:rsidRDefault="004A312C" w:rsidP="00E434BE">
            <w:pPr>
              <w:pStyle w:val="TableTextLeft"/>
            </w:pPr>
            <w:r w:rsidRPr="00BC1BC1">
              <w:t xml:space="preserve">means the party that is entitled to receive payment for the provision of goods or services under a PT PCP Subcontract. </w:t>
            </w:r>
          </w:p>
        </w:tc>
      </w:tr>
      <w:tr w:rsidR="004A312C" w:rsidRPr="00BC1BC1" w14:paraId="25BC6002" w14:textId="77777777" w:rsidTr="00BA5AE8">
        <w:tc>
          <w:tcPr>
            <w:tcW w:w="2835" w:type="dxa"/>
          </w:tcPr>
          <w:p w14:paraId="72B9BB73" w14:textId="77777777" w:rsidR="004A312C" w:rsidRPr="00BC1BC1" w:rsidRDefault="004A312C" w:rsidP="00E434BE">
            <w:pPr>
              <w:pStyle w:val="TableTextLeft"/>
            </w:pPr>
            <w:r w:rsidRPr="00BC1BC1">
              <w:t>PTR Act</w:t>
            </w:r>
          </w:p>
        </w:tc>
        <w:tc>
          <w:tcPr>
            <w:tcW w:w="6521" w:type="dxa"/>
          </w:tcPr>
          <w:p w14:paraId="5A590FB4" w14:textId="77777777" w:rsidR="004A312C" w:rsidRPr="00BC1BC1" w:rsidRDefault="004A312C" w:rsidP="00E434BE">
            <w:pPr>
              <w:pStyle w:val="TableTextLeft"/>
            </w:pPr>
            <w:r w:rsidRPr="00BC1BC1">
              <w:t xml:space="preserve">means the </w:t>
            </w:r>
            <w:hyperlink r:id="rId35" w:history="1">
              <w:r w:rsidRPr="00CA20F9">
                <w:rPr>
                  <w:rStyle w:val="Hyperlink"/>
                  <w:i/>
                  <w:szCs w:val="18"/>
                </w:rPr>
                <w:t>Payment Times Reporting Act 2020</w:t>
              </w:r>
              <w:r w:rsidRPr="00CA20F9">
                <w:rPr>
                  <w:rStyle w:val="Hyperlink"/>
                  <w:szCs w:val="18"/>
                </w:rPr>
                <w:t xml:space="preserve"> (Cth</w:t>
              </w:r>
            </w:hyperlink>
            <w:r w:rsidRPr="00CA20F9">
              <w:rPr>
                <w:szCs w:val="18"/>
              </w:rPr>
              <w:t>),</w:t>
            </w:r>
            <w:r w:rsidRPr="00BC1BC1">
              <w:t xml:space="preserve"> as amended from time to time, and includes a reference to any subordinate legislation made under the Act.</w:t>
            </w:r>
          </w:p>
        </w:tc>
      </w:tr>
      <w:tr w:rsidR="004A312C" w:rsidRPr="00BC1BC1" w14:paraId="3EE57881" w14:textId="77777777" w:rsidTr="00BA5AE8">
        <w:tc>
          <w:tcPr>
            <w:tcW w:w="2835" w:type="dxa"/>
          </w:tcPr>
          <w:p w14:paraId="46BBEA9E" w14:textId="77777777" w:rsidR="004A312C" w:rsidRPr="00BC1BC1" w:rsidRDefault="004A312C" w:rsidP="007263A5">
            <w:pPr>
              <w:pStyle w:val="TableTextLeft"/>
            </w:pPr>
            <w:r w:rsidRPr="00BC1BC1">
              <w:t>Reporting Entity</w:t>
            </w:r>
          </w:p>
        </w:tc>
        <w:tc>
          <w:tcPr>
            <w:tcW w:w="6521" w:type="dxa"/>
          </w:tcPr>
          <w:p w14:paraId="32248A96" w14:textId="77777777" w:rsidR="004A312C" w:rsidRPr="00BC1BC1" w:rsidRDefault="004A312C" w:rsidP="007263A5">
            <w:pPr>
              <w:pStyle w:val="TableTextLeft"/>
            </w:pPr>
            <w:r w:rsidRPr="00BC1BC1">
              <w:t xml:space="preserve">has the meaning given to this term in the </w:t>
            </w:r>
            <w:r w:rsidRPr="00BC1BC1">
              <w:rPr>
                <w:iCs/>
              </w:rPr>
              <w:t>PTR Act.</w:t>
            </w:r>
          </w:p>
        </w:tc>
      </w:tr>
      <w:tr w:rsidR="004A312C" w:rsidRPr="00BC1BC1" w14:paraId="67E36B19" w14:textId="77777777" w:rsidTr="00BA5AE8">
        <w:tc>
          <w:tcPr>
            <w:tcW w:w="2835" w:type="dxa"/>
          </w:tcPr>
          <w:p w14:paraId="044CC8CE" w14:textId="77777777" w:rsidR="004A312C" w:rsidRPr="00BC1BC1" w:rsidRDefault="004A312C" w:rsidP="00357414">
            <w:pPr>
              <w:pStyle w:val="TableTextLeft"/>
            </w:pPr>
            <w:r w:rsidRPr="00BC1BC1">
              <w:t>Reporting Entity Subcontractor</w:t>
            </w:r>
          </w:p>
        </w:tc>
        <w:tc>
          <w:tcPr>
            <w:tcW w:w="6521" w:type="dxa"/>
          </w:tcPr>
          <w:p w14:paraId="10C03572" w14:textId="77777777" w:rsidR="004A312C" w:rsidRPr="00BC1BC1" w:rsidRDefault="004A312C" w:rsidP="007263A5">
            <w:pPr>
              <w:pStyle w:val="TableTextLeft"/>
            </w:pPr>
            <w:r w:rsidRPr="00BC1BC1">
              <w:t>means any person that:</w:t>
            </w:r>
          </w:p>
          <w:p w14:paraId="38CF0924" w14:textId="77777777" w:rsidR="004A312C" w:rsidRDefault="004A312C" w:rsidP="00357414">
            <w:pPr>
              <w:pStyle w:val="ListParagraph"/>
              <w:numPr>
                <w:ilvl w:val="0"/>
                <w:numId w:val="29"/>
              </w:numPr>
            </w:pPr>
            <w:r w:rsidRPr="00357414">
              <w:t>is a Reporting Entity; and</w:t>
            </w:r>
          </w:p>
          <w:p w14:paraId="799E82CA" w14:textId="77777777" w:rsidR="004A312C" w:rsidRPr="00357414" w:rsidRDefault="004A312C" w:rsidP="00357414">
            <w:pPr>
              <w:pStyle w:val="ListParagraph"/>
              <w:numPr>
                <w:ilvl w:val="0"/>
                <w:numId w:val="29"/>
              </w:numPr>
            </w:pPr>
            <w:r w:rsidRPr="00357414">
              <w:rPr>
                <w:szCs w:val="22"/>
              </w:rPr>
              <w:t xml:space="preserve">provides goods or services directly or indirectly to the Supplier for the purposes of the Contract where the value of such goods or services are estimated to exceed $4,000,000 (GST inclusive). </w:t>
            </w:r>
          </w:p>
          <w:p w14:paraId="510C81FB" w14:textId="279A830E" w:rsidR="004A312C" w:rsidRPr="00BC1BC1" w:rsidRDefault="008C33E8" w:rsidP="00357414">
            <w:pPr>
              <w:pStyle w:val="TableTextLeft"/>
            </w:pPr>
            <w:r w:rsidRPr="00BC1BC1">
              <w:t>‘</w:t>
            </w:r>
            <w:r w:rsidR="004A312C" w:rsidRPr="00BC1BC1">
              <w:t>Reporting Entity Subcontract</w:t>
            </w:r>
            <w:r w:rsidRPr="00BC1BC1">
              <w:t>’</w:t>
            </w:r>
            <w:r w:rsidR="004A312C" w:rsidRPr="00BC1BC1">
              <w:t xml:space="preserve"> has a corresponding meaning.</w:t>
            </w:r>
          </w:p>
        </w:tc>
      </w:tr>
    </w:tbl>
    <w:p w14:paraId="1BE25107" w14:textId="77777777" w:rsidR="002A5DED" w:rsidRDefault="002A5DED" w:rsidP="004A312C"/>
    <w:p w14:paraId="3DD6DFB1" w14:textId="38B892BE" w:rsidR="00CC5F9E" w:rsidRDefault="00CC5F9E" w:rsidP="004A312C">
      <w:pPr>
        <w:sectPr w:rsidR="00CC5F9E" w:rsidSect="009927E5">
          <w:headerReference w:type="even" r:id="rId36"/>
          <w:headerReference w:type="default" r:id="rId37"/>
          <w:footerReference w:type="even" r:id="rId38"/>
          <w:footerReference w:type="default" r:id="rId39"/>
          <w:headerReference w:type="first" r:id="rId40"/>
          <w:footerReference w:type="first" r:id="rId41"/>
          <w:pgSz w:w="11906" w:h="16838" w:code="9"/>
          <w:pgMar w:top="1843" w:right="1418" w:bottom="1418" w:left="1418" w:header="709" w:footer="709" w:gutter="0"/>
          <w:cols w:space="708"/>
          <w:docGrid w:linePitch="360"/>
        </w:sectPr>
      </w:pPr>
    </w:p>
    <w:p w14:paraId="7F16DFDB" w14:textId="48BD8F8A" w:rsidR="002A5DED" w:rsidRDefault="00624567" w:rsidP="00F25612">
      <w:pPr>
        <w:pStyle w:val="Heading1"/>
      </w:pPr>
      <w:bookmarkStart w:id="31" w:name="_Toc140753011"/>
      <w:r w:rsidRPr="00624567">
        <w:lastRenderedPageBreak/>
        <w:t>Appendix B: Policy Evaluation Questionnaire for Non</w:t>
      </w:r>
      <w:r w:rsidR="008C33E8">
        <w:noBreakHyphen/>
      </w:r>
      <w:r w:rsidRPr="00624567">
        <w:t>corporate Commonwealth entities</w:t>
      </w:r>
      <w:bookmarkEnd w:id="31"/>
    </w:p>
    <w:p w14:paraId="58B5A9FB" w14:textId="2B35D976" w:rsidR="00572BC9" w:rsidRPr="009A097F" w:rsidRDefault="002537AF" w:rsidP="009A097F">
      <w:pPr>
        <w:rPr>
          <w:b/>
          <w:bCs/>
        </w:rPr>
      </w:pPr>
      <w:bookmarkStart w:id="32" w:name="_Toc75940057"/>
      <w:r w:rsidRPr="009A097F">
        <w:rPr>
          <w:b/>
          <w:bCs/>
        </w:rPr>
        <w:t>Payment Times Procurement Connected Policy (PT PCP)</w:t>
      </w:r>
      <w:bookmarkEnd w:id="32"/>
    </w:p>
    <w:p w14:paraId="0EA411F8" w14:textId="77777777" w:rsidR="00572BC9" w:rsidRDefault="00572BC9" w:rsidP="009A097F">
      <w:pPr>
        <w:rPr>
          <w:rFonts w:eastAsia="Calibri"/>
          <w:color w:val="000000"/>
        </w:rPr>
      </w:pPr>
      <w:r w:rsidRPr="00FB36F0">
        <w:rPr>
          <w:rFonts w:eastAsia="Calibri"/>
          <w:color w:val="000000"/>
        </w:rPr>
        <w:t xml:space="preserve">Note: </w:t>
      </w:r>
      <w:r w:rsidRPr="00FB36F0">
        <w:rPr>
          <w:color w:val="000000"/>
        </w:rPr>
        <w:t xml:space="preserve">The </w:t>
      </w:r>
      <w:r>
        <w:rPr>
          <w:color w:val="000000"/>
        </w:rPr>
        <w:t xml:space="preserve">PT PCP </w:t>
      </w:r>
      <w:r w:rsidRPr="00FB36F0">
        <w:rPr>
          <w:rFonts w:eastAsia="Calibri"/>
          <w:color w:val="000000"/>
        </w:rPr>
        <w:t>Policy Team</w:t>
      </w:r>
      <w:r w:rsidRPr="00FB36F0">
        <w:rPr>
          <w:color w:val="000000"/>
        </w:rPr>
        <w:t xml:space="preserve"> may contact you and nominate the contract/s </w:t>
      </w:r>
      <w:r w:rsidRPr="00FB36F0">
        <w:rPr>
          <w:rFonts w:eastAsia="Calibri"/>
          <w:color w:val="000000"/>
        </w:rPr>
        <w:t>it is</w:t>
      </w:r>
      <w:r w:rsidRPr="00FB36F0">
        <w:rPr>
          <w:color w:val="000000"/>
        </w:rPr>
        <w:t xml:space="preserve"> interested in evaluating</w:t>
      </w:r>
      <w:r w:rsidRPr="00FB36F0">
        <w:rPr>
          <w:rFonts w:eastAsia="Calibri"/>
          <w:color w:val="000000"/>
        </w:rPr>
        <w:t>. You will then be asked to fill out the following form for each nominated contract.</w:t>
      </w:r>
    </w:p>
    <w:p w14:paraId="15E750E8" w14:textId="77777777" w:rsidR="00CF680B" w:rsidRPr="00FB36F0" w:rsidRDefault="00CF680B" w:rsidP="00572BC9">
      <w:pPr>
        <w:rPr>
          <w:rFonts w:eastAsia="Calibri"/>
          <w:color w:val="000000"/>
        </w:rPr>
      </w:pPr>
    </w:p>
    <w:tbl>
      <w:tblPr>
        <w:tblW w:w="5000" w:type="pct"/>
        <w:tblCellMar>
          <w:left w:w="0" w:type="dxa"/>
          <w:right w:w="0" w:type="dxa"/>
        </w:tblCellMar>
        <w:tblLook w:val="04A0" w:firstRow="1" w:lastRow="0" w:firstColumn="1" w:lastColumn="0" w:noHBand="0" w:noVBand="1"/>
      </w:tblPr>
      <w:tblGrid>
        <w:gridCol w:w="1704"/>
        <w:gridCol w:w="4329"/>
        <w:gridCol w:w="3017"/>
      </w:tblGrid>
      <w:tr w:rsidR="00572BC9" w:rsidRPr="00FB36F0" w14:paraId="4591565A"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212A9" w14:textId="77777777" w:rsidR="00572BC9" w:rsidRPr="00FB36F0" w:rsidRDefault="00572BC9" w:rsidP="00CF680B">
            <w:pPr>
              <w:pStyle w:val="TableColumnHeadingLeft"/>
              <w:rPr>
                <w:rFonts w:eastAsia="Calibri"/>
                <w:sz w:val="21"/>
                <w:szCs w:val="21"/>
              </w:rPr>
            </w:pPr>
            <w:r w:rsidRPr="00FB36F0">
              <w:rPr>
                <w:rFonts w:eastAsia="Calibri"/>
              </w:rPr>
              <w:t>Type of field</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A2C6BF" w14:textId="77777777" w:rsidR="00572BC9" w:rsidRPr="00FB36F0" w:rsidRDefault="00572BC9" w:rsidP="00CF680B">
            <w:pPr>
              <w:pStyle w:val="TableColumnHeadingLeft"/>
              <w:rPr>
                <w:rFonts w:eastAsia="Calibri"/>
              </w:rPr>
            </w:pPr>
            <w:r w:rsidRPr="00FB36F0">
              <w:rPr>
                <w:rFonts w:eastAsia="Calibri"/>
              </w:rPr>
              <w:t>Question</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F4FB3" w14:textId="77777777" w:rsidR="00572BC9" w:rsidRPr="00FB36F0" w:rsidRDefault="00572BC9" w:rsidP="00CF680B">
            <w:pPr>
              <w:pStyle w:val="TableColumnHeadingLeft"/>
              <w:rPr>
                <w:rFonts w:eastAsia="Calibri"/>
              </w:rPr>
            </w:pPr>
            <w:r w:rsidRPr="00FB36F0">
              <w:rPr>
                <w:rFonts w:eastAsia="Calibri"/>
              </w:rPr>
              <w:t>Answer</w:t>
            </w:r>
          </w:p>
        </w:tc>
      </w:tr>
      <w:tr w:rsidR="00572BC9" w:rsidRPr="00FB36F0" w14:paraId="5A90CCE4"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AA89BE" w14:textId="77777777" w:rsidR="00572BC9" w:rsidRPr="00CF680B" w:rsidRDefault="00572BC9" w:rsidP="00CF680B">
            <w:pPr>
              <w:pStyle w:val="TableTextLeft"/>
              <w:rPr>
                <w:rFonts w:eastAsia="Calibri"/>
                <w:b/>
              </w:rPr>
            </w:pPr>
            <w:r w:rsidRPr="00CF680B">
              <w:rPr>
                <w:rFonts w:eastAsia="Calibri"/>
                <w:b/>
              </w:rPr>
              <w:t>Short free text</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33010" w14:textId="77777777" w:rsidR="00572BC9" w:rsidRPr="00FB36F0" w:rsidRDefault="00572BC9" w:rsidP="00CF680B">
            <w:pPr>
              <w:pStyle w:val="TableTextLeft"/>
              <w:rPr>
                <w:rFonts w:eastAsia="Calibri"/>
              </w:rPr>
            </w:pPr>
            <w:r w:rsidRPr="00FB36F0">
              <w:rPr>
                <w:rFonts w:eastAsia="Calibri"/>
              </w:rPr>
              <w:t>C</w:t>
            </w:r>
            <w:r>
              <w:rPr>
                <w:rFonts w:eastAsia="Calibri"/>
              </w:rPr>
              <w:t>ontract Reference Number</w:t>
            </w:r>
            <w:r w:rsidRPr="00FB36F0">
              <w:rPr>
                <w:rFonts w:eastAsia="Calibri"/>
              </w:rPr>
              <w:t xml:space="preserve"> </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07C157" w14:textId="77777777" w:rsidR="00572BC9" w:rsidRPr="00FB36F0" w:rsidRDefault="00572BC9" w:rsidP="009764BA">
            <w:pPr>
              <w:spacing w:after="0" w:line="276" w:lineRule="auto"/>
              <w:rPr>
                <w:rFonts w:eastAsia="Calibri" w:cs="Calibri"/>
              </w:rPr>
            </w:pPr>
          </w:p>
        </w:tc>
      </w:tr>
      <w:tr w:rsidR="00572BC9" w:rsidRPr="00FB36F0" w14:paraId="0EE0C98A"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114011" w14:textId="77777777" w:rsidR="00572BC9" w:rsidRPr="00CF680B" w:rsidRDefault="00572BC9" w:rsidP="00CF680B">
            <w:pPr>
              <w:pStyle w:val="TableTextLeft"/>
              <w:rPr>
                <w:rFonts w:eastAsia="Calibri"/>
                <w:b/>
              </w:rPr>
            </w:pPr>
            <w:r w:rsidRPr="00CF680B">
              <w:rPr>
                <w:rFonts w:eastAsia="Calibri"/>
                <w:b/>
              </w:rPr>
              <w:t>Short free text</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D37B9B" w14:textId="77777777" w:rsidR="00572BC9" w:rsidRPr="00FB36F0" w:rsidRDefault="00572BC9" w:rsidP="00CF680B">
            <w:pPr>
              <w:pStyle w:val="TableTextLeft"/>
              <w:rPr>
                <w:rFonts w:eastAsia="Calibri"/>
              </w:rPr>
            </w:pPr>
            <w:r w:rsidRPr="00FB36F0">
              <w:rPr>
                <w:rFonts w:eastAsia="Calibri"/>
              </w:rPr>
              <w:t>Prime contractor</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39C253" w14:textId="77777777" w:rsidR="00572BC9" w:rsidRPr="00FB36F0" w:rsidRDefault="00572BC9" w:rsidP="009764BA">
            <w:pPr>
              <w:spacing w:after="0" w:line="276" w:lineRule="auto"/>
              <w:rPr>
                <w:rFonts w:eastAsia="Calibri" w:cs="Calibri"/>
              </w:rPr>
            </w:pPr>
          </w:p>
        </w:tc>
      </w:tr>
      <w:tr w:rsidR="00572BC9" w:rsidRPr="00FB36F0" w14:paraId="6DEDC45E"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A06F60" w14:textId="77777777" w:rsidR="00572BC9" w:rsidRPr="00CF680B" w:rsidRDefault="00572BC9" w:rsidP="00CF680B">
            <w:pPr>
              <w:pStyle w:val="TableTextLeft"/>
              <w:rPr>
                <w:rFonts w:eastAsia="Calibri"/>
                <w:b/>
              </w:rPr>
            </w:pPr>
            <w:r w:rsidRPr="00CF680B">
              <w:rPr>
                <w:rFonts w:eastAsia="Calibri"/>
                <w:b/>
              </w:rPr>
              <w:t>Yes/No</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DD9137" w14:textId="77777777" w:rsidR="00572BC9" w:rsidRPr="00FB36F0" w:rsidRDefault="00572BC9" w:rsidP="00CF680B">
            <w:pPr>
              <w:pStyle w:val="TableTextLeft"/>
              <w:rPr>
                <w:rFonts w:eastAsia="Calibri"/>
              </w:rPr>
            </w:pPr>
            <w:r w:rsidRPr="00FB36F0">
              <w:rPr>
                <w:rFonts w:eastAsia="Calibri"/>
              </w:rPr>
              <w:t>Is the contract a PT PCP contract?</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8AE91" w14:textId="77777777" w:rsidR="00572BC9" w:rsidRPr="00FB36F0" w:rsidRDefault="00572BC9" w:rsidP="009764BA">
            <w:pPr>
              <w:spacing w:after="0" w:line="276" w:lineRule="auto"/>
              <w:rPr>
                <w:rFonts w:eastAsia="Calibri" w:cs="Calibri"/>
              </w:rPr>
            </w:pPr>
          </w:p>
        </w:tc>
      </w:tr>
      <w:tr w:rsidR="00572BC9" w:rsidRPr="00FB36F0" w14:paraId="5EECC434"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817AE6" w14:textId="77777777" w:rsidR="009A5592" w:rsidRDefault="00572BC9" w:rsidP="00CF680B">
            <w:pPr>
              <w:pStyle w:val="TableTextLeft"/>
              <w:rPr>
                <w:rFonts w:eastAsia="Calibri"/>
                <w:b/>
              </w:rPr>
            </w:pPr>
            <w:r w:rsidRPr="00CF680B">
              <w:rPr>
                <w:rFonts w:eastAsia="Calibri"/>
                <w:b/>
              </w:rPr>
              <w:t xml:space="preserve">If Yes, move on. </w:t>
            </w:r>
          </w:p>
          <w:p w14:paraId="5593463B" w14:textId="2241B31F" w:rsidR="00572BC9" w:rsidRPr="00CF680B" w:rsidRDefault="00572BC9" w:rsidP="00CF680B">
            <w:pPr>
              <w:pStyle w:val="TableTextLeft"/>
              <w:rPr>
                <w:rFonts w:eastAsia="Calibri"/>
                <w:b/>
              </w:rPr>
            </w:pPr>
            <w:r w:rsidRPr="00CF680B">
              <w:rPr>
                <w:rFonts w:eastAsia="Calibri"/>
                <w:b/>
              </w:rPr>
              <w:t xml:space="preserve">If No: </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FA177C" w14:textId="77777777" w:rsidR="00572BC9" w:rsidRPr="00FB36F0" w:rsidRDefault="00572BC9" w:rsidP="00CF680B">
            <w:pPr>
              <w:pStyle w:val="TableTextLeft"/>
              <w:rPr>
                <w:rFonts w:eastAsia="Calibri"/>
              </w:rPr>
            </w:pPr>
            <w:r w:rsidRPr="00FB36F0">
              <w:rPr>
                <w:rFonts w:eastAsia="Calibri"/>
              </w:rPr>
              <w:t>Why not? Exemption applied?</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639F8D" w14:textId="77777777" w:rsidR="00572BC9" w:rsidRPr="00FB36F0" w:rsidRDefault="00572BC9" w:rsidP="009764BA">
            <w:pPr>
              <w:spacing w:after="0" w:line="276" w:lineRule="auto"/>
              <w:rPr>
                <w:rFonts w:eastAsia="Calibri" w:cs="Calibri"/>
              </w:rPr>
            </w:pPr>
          </w:p>
        </w:tc>
      </w:tr>
      <w:tr w:rsidR="00572BC9" w:rsidRPr="00FB36F0" w14:paraId="4998E605" w14:textId="77777777" w:rsidTr="00CC5F9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FF2E1" w14:textId="77777777" w:rsidR="00572BC9" w:rsidRPr="00CF680B" w:rsidRDefault="00572BC9" w:rsidP="00CF680B">
            <w:pPr>
              <w:pStyle w:val="TableTextLeft"/>
              <w:rPr>
                <w:rFonts w:eastAsia="Calibri"/>
                <w:b/>
              </w:rPr>
            </w:pPr>
            <w:r w:rsidRPr="00CF680B">
              <w:rPr>
                <w:rFonts w:eastAsia="Calibri"/>
                <w:b/>
              </w:rPr>
              <w:t>If Yes:</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58279" w14:textId="77777777" w:rsidR="00572BC9" w:rsidRPr="00FB36F0" w:rsidRDefault="00572BC9" w:rsidP="00CF680B">
            <w:pPr>
              <w:pStyle w:val="TableTextLeft"/>
              <w:rPr>
                <w:rFonts w:eastAsia="Calibri"/>
              </w:rPr>
            </w:pPr>
            <w:r w:rsidRPr="00FB36F0">
              <w:rPr>
                <w:rFonts w:eastAsia="Calibri"/>
              </w:rPr>
              <w:t>Identify any associated PT PCP activities (complaints/Remediation Plans)</w:t>
            </w:r>
          </w:p>
        </w:tc>
        <w:tc>
          <w:tcPr>
            <w:tcW w:w="3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B228B" w14:textId="77777777" w:rsidR="00572BC9" w:rsidRPr="00FB36F0" w:rsidRDefault="00572BC9" w:rsidP="009764BA">
            <w:pPr>
              <w:spacing w:after="0" w:line="276" w:lineRule="auto"/>
              <w:rPr>
                <w:rFonts w:eastAsia="Calibri" w:cs="Calibri"/>
              </w:rPr>
            </w:pPr>
          </w:p>
        </w:tc>
      </w:tr>
      <w:tr w:rsidR="00572BC9" w:rsidRPr="00FB36F0" w14:paraId="329D67E9" w14:textId="77777777" w:rsidTr="00CC5F9E">
        <w:tc>
          <w:tcPr>
            <w:tcW w:w="16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BD1826" w14:textId="77777777" w:rsidR="00572BC9" w:rsidRPr="00CF680B" w:rsidRDefault="00572BC9" w:rsidP="00CF680B">
            <w:pPr>
              <w:pStyle w:val="TableTextLeft"/>
              <w:rPr>
                <w:rFonts w:eastAsia="Calibri"/>
                <w:b/>
              </w:rPr>
            </w:pPr>
            <w:r w:rsidRPr="00CF680B">
              <w:rPr>
                <w:rFonts w:eastAsia="Calibri"/>
                <w:b/>
              </w:rPr>
              <w:t>Short free text</w:t>
            </w:r>
          </w:p>
        </w:tc>
        <w:tc>
          <w:tcPr>
            <w:tcW w:w="43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542479" w14:textId="77777777" w:rsidR="00572BC9" w:rsidRPr="00FB36F0" w:rsidRDefault="00572BC9" w:rsidP="00CF680B">
            <w:pPr>
              <w:pStyle w:val="TableTextLeft"/>
              <w:rPr>
                <w:rFonts w:eastAsia="Calibri"/>
              </w:rPr>
            </w:pPr>
            <w:r w:rsidRPr="00FB36F0">
              <w:rPr>
                <w:rFonts w:eastAsia="Calibri"/>
              </w:rPr>
              <w:t>Departmental contract manager and email</w:t>
            </w:r>
          </w:p>
        </w:tc>
        <w:tc>
          <w:tcPr>
            <w:tcW w:w="30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5081869" w14:textId="77777777" w:rsidR="00572BC9" w:rsidRPr="00FB36F0" w:rsidRDefault="00572BC9" w:rsidP="009764BA">
            <w:pPr>
              <w:spacing w:after="0" w:line="276" w:lineRule="auto"/>
              <w:rPr>
                <w:rFonts w:eastAsia="Calibri" w:cs="Calibri"/>
              </w:rPr>
            </w:pPr>
          </w:p>
        </w:tc>
      </w:tr>
    </w:tbl>
    <w:p w14:paraId="6DE9335C" w14:textId="715DF97A" w:rsidR="00572BC9" w:rsidRDefault="00572BC9">
      <w:pPr>
        <w:spacing w:before="0" w:after="160" w:line="259" w:lineRule="auto"/>
      </w:pPr>
      <w:r>
        <w:br w:type="page"/>
      </w:r>
    </w:p>
    <w:p w14:paraId="48902B69" w14:textId="1F82910B" w:rsidR="002A5DED" w:rsidRDefault="00CB63B3" w:rsidP="00CB63B3">
      <w:pPr>
        <w:pStyle w:val="Heading1"/>
      </w:pPr>
      <w:bookmarkStart w:id="33" w:name="_Toc140753012"/>
      <w:r w:rsidRPr="00CB63B3">
        <w:lastRenderedPageBreak/>
        <w:t>Appendix C: Policy Evaluation Questionnaire for Reporting Entities</w:t>
      </w:r>
      <w:bookmarkEnd w:id="33"/>
    </w:p>
    <w:p w14:paraId="1D5B4241" w14:textId="4A7A561A" w:rsidR="0069297F" w:rsidRPr="009A097F" w:rsidRDefault="0069297F" w:rsidP="009A097F">
      <w:pPr>
        <w:rPr>
          <w:b/>
        </w:rPr>
      </w:pPr>
      <w:r w:rsidRPr="009A097F">
        <w:rPr>
          <w:b/>
        </w:rPr>
        <w:t>Payment Times Procurement Connected Policy (PT PCP)</w:t>
      </w:r>
    </w:p>
    <w:p w14:paraId="1F0C2AD0" w14:textId="69C805F2" w:rsidR="001868A9" w:rsidRDefault="001868A9" w:rsidP="009A097F">
      <w:r w:rsidRPr="009A097F">
        <w:rPr>
          <w:b/>
          <w:bCs/>
        </w:rPr>
        <w:t>Note</w:t>
      </w:r>
      <w:r w:rsidRPr="001868A9">
        <w:t xml:space="preserve">: </w:t>
      </w:r>
      <w:r w:rsidRPr="008C5963">
        <w:rPr>
          <w:bCs/>
        </w:rPr>
        <w:t>this report should encompass all direct subcontracts to each Commonwealth contract within the scope of the PT PCP selected for reporting, from the date the contract was entered into to the date the contract was selected for reporting.</w:t>
      </w:r>
    </w:p>
    <w:tbl>
      <w:tblPr>
        <w:tblW w:w="5000" w:type="pct"/>
        <w:tblCellMar>
          <w:left w:w="0" w:type="dxa"/>
          <w:right w:w="0" w:type="dxa"/>
        </w:tblCellMar>
        <w:tblLook w:val="04A0" w:firstRow="1" w:lastRow="0" w:firstColumn="1" w:lastColumn="0" w:noHBand="0" w:noVBand="1"/>
      </w:tblPr>
      <w:tblGrid>
        <w:gridCol w:w="1891"/>
        <w:gridCol w:w="4400"/>
        <w:gridCol w:w="2759"/>
      </w:tblGrid>
      <w:tr w:rsidR="00072BE1" w:rsidRPr="00FB36F0" w14:paraId="60B903C0" w14:textId="77777777" w:rsidTr="000072CF">
        <w:tc>
          <w:tcPr>
            <w:tcW w:w="1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CB160F" w14:textId="77777777" w:rsidR="00072BE1" w:rsidRPr="00FB36F0" w:rsidRDefault="00072BE1" w:rsidP="00A24A59">
            <w:pPr>
              <w:pStyle w:val="TableColumnHeadingLeft"/>
              <w:rPr>
                <w:rFonts w:eastAsia="Calibri"/>
                <w:sz w:val="21"/>
                <w:szCs w:val="21"/>
              </w:rPr>
            </w:pPr>
            <w:r w:rsidRPr="00FB36F0">
              <w:rPr>
                <w:rFonts w:eastAsia="Calibri"/>
              </w:rPr>
              <w:t>Type of field</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A1A48" w14:textId="77777777" w:rsidR="00072BE1" w:rsidRPr="00FB36F0" w:rsidRDefault="00072BE1" w:rsidP="00A24A59">
            <w:pPr>
              <w:pStyle w:val="TableColumnHeadingLeft"/>
              <w:rPr>
                <w:rFonts w:eastAsia="Calibri"/>
              </w:rPr>
            </w:pPr>
            <w:r w:rsidRPr="00FB36F0">
              <w:rPr>
                <w:rFonts w:eastAsia="Calibri"/>
              </w:rPr>
              <w:t>Question</w:t>
            </w:r>
          </w:p>
        </w:tc>
        <w:tc>
          <w:tcPr>
            <w:tcW w:w="27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F3E61" w14:textId="77777777" w:rsidR="00072BE1" w:rsidRPr="00FB36F0" w:rsidRDefault="00072BE1" w:rsidP="00A24A59">
            <w:pPr>
              <w:pStyle w:val="TableColumnHeadingLeft"/>
              <w:rPr>
                <w:rFonts w:eastAsia="Calibri"/>
              </w:rPr>
            </w:pPr>
            <w:r w:rsidRPr="00FB36F0">
              <w:rPr>
                <w:rFonts w:eastAsia="Calibri"/>
              </w:rPr>
              <w:t>Answer</w:t>
            </w:r>
          </w:p>
        </w:tc>
      </w:tr>
      <w:tr w:rsidR="00072BE1" w:rsidRPr="00FB36F0" w14:paraId="413D2363" w14:textId="77777777" w:rsidTr="000072CF">
        <w:tc>
          <w:tcPr>
            <w:tcW w:w="1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D1C7E6"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EE92A7" w14:textId="77777777" w:rsidR="00072BE1" w:rsidRPr="00FB36F0" w:rsidRDefault="00072BE1" w:rsidP="00A24A59">
            <w:pPr>
              <w:pStyle w:val="TableTextLeft"/>
              <w:rPr>
                <w:rFonts w:eastAsia="Calibri"/>
              </w:rPr>
            </w:pPr>
            <w:r w:rsidRPr="00FB36F0">
              <w:rPr>
                <w:rFonts w:eastAsia="Calibri"/>
              </w:rPr>
              <w:t xml:space="preserve">Contract </w:t>
            </w:r>
            <w:r>
              <w:rPr>
                <w:rFonts w:eastAsia="Calibri"/>
              </w:rPr>
              <w:t xml:space="preserve">name and </w:t>
            </w:r>
            <w:r w:rsidRPr="00FB36F0">
              <w:rPr>
                <w:rFonts w:eastAsia="Calibri"/>
              </w:rPr>
              <w:t xml:space="preserve">reference number </w:t>
            </w:r>
            <w:r>
              <w:rPr>
                <w:rFonts w:eastAsia="Calibri"/>
              </w:rPr>
              <w:t>(if applicable)</w:t>
            </w:r>
            <w:r w:rsidRPr="00FB36F0">
              <w:rPr>
                <w:rFonts w:eastAsia="Calibri"/>
              </w:rPr>
              <w:t xml:space="preserve"> </w:t>
            </w:r>
          </w:p>
        </w:tc>
        <w:tc>
          <w:tcPr>
            <w:tcW w:w="27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7CF12D" w14:textId="77777777" w:rsidR="00072BE1" w:rsidRPr="00FB36F0" w:rsidRDefault="00072BE1" w:rsidP="009764BA">
            <w:pPr>
              <w:spacing w:after="0" w:line="276" w:lineRule="auto"/>
              <w:rPr>
                <w:rFonts w:eastAsia="Calibri" w:cs="Calibri"/>
              </w:rPr>
            </w:pPr>
          </w:p>
        </w:tc>
      </w:tr>
      <w:tr w:rsidR="00072BE1" w:rsidRPr="00FB36F0" w14:paraId="1C21CA08" w14:textId="77777777" w:rsidTr="000072CF">
        <w:tc>
          <w:tcPr>
            <w:tcW w:w="189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837736" w14:textId="77777777" w:rsidR="00072BE1" w:rsidRPr="00A24A59" w:rsidRDefault="00072BE1" w:rsidP="00A24A59">
            <w:pPr>
              <w:pStyle w:val="TableTextLeft"/>
              <w:rPr>
                <w:rFonts w:eastAsia="Calibri"/>
                <w:b/>
              </w:rPr>
            </w:pPr>
            <w:r w:rsidRPr="00A24A59">
              <w:rPr>
                <w:rFonts w:eastAsia="Calibri"/>
                <w:b/>
              </w:rPr>
              <w:t>Drop menu</w:t>
            </w:r>
          </w:p>
        </w:tc>
        <w:tc>
          <w:tcPr>
            <w:tcW w:w="4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814230" w14:textId="77777777" w:rsidR="00072BE1" w:rsidRPr="00FB36F0" w:rsidRDefault="00072BE1" w:rsidP="00A24A59">
            <w:pPr>
              <w:pStyle w:val="TableTextLeft"/>
              <w:rPr>
                <w:rFonts w:eastAsia="Calibri"/>
              </w:rPr>
            </w:pPr>
            <w:r>
              <w:rPr>
                <w:rFonts w:eastAsia="Calibri"/>
              </w:rPr>
              <w:t>NCE (</w:t>
            </w:r>
            <w:r w:rsidRPr="00FB36F0">
              <w:rPr>
                <w:rFonts w:eastAsia="Calibri"/>
              </w:rPr>
              <w:t>Commonwealth agency</w:t>
            </w:r>
            <w:r>
              <w:rPr>
                <w:rFonts w:eastAsia="Calibri"/>
              </w:rPr>
              <w:t>)</w:t>
            </w:r>
            <w:r w:rsidRPr="00FB36F0">
              <w:rPr>
                <w:rFonts w:eastAsia="Calibri"/>
              </w:rPr>
              <w:t xml:space="preserve"> contract is with</w:t>
            </w:r>
          </w:p>
        </w:tc>
        <w:tc>
          <w:tcPr>
            <w:tcW w:w="27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D4F0AB" w14:textId="77777777" w:rsidR="00072BE1" w:rsidRPr="00FB36F0" w:rsidRDefault="00072BE1" w:rsidP="009764BA">
            <w:pPr>
              <w:spacing w:after="0" w:line="276" w:lineRule="auto"/>
              <w:rPr>
                <w:rFonts w:eastAsia="Calibri" w:cs="Calibri"/>
              </w:rPr>
            </w:pPr>
          </w:p>
        </w:tc>
      </w:tr>
      <w:tr w:rsidR="00072BE1" w:rsidRPr="00FB36F0" w14:paraId="05266CAC"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505CC3" w14:textId="77777777" w:rsidR="00072BE1" w:rsidRPr="00A24A59" w:rsidRDefault="00072BE1" w:rsidP="00A24A59">
            <w:pPr>
              <w:pStyle w:val="TableTextLeft"/>
              <w:rPr>
                <w:rFonts w:eastAsia="Calibri"/>
                <w:b/>
              </w:rPr>
            </w:pPr>
            <w:r w:rsidRPr="00A24A59">
              <w:rPr>
                <w:rFonts w:eastAsia="Calibri"/>
                <w:b/>
              </w:rPr>
              <w:t>Calendar</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038619" w14:textId="77777777" w:rsidR="00072BE1" w:rsidRPr="00FB36F0" w:rsidRDefault="00072BE1" w:rsidP="00A24A59">
            <w:pPr>
              <w:pStyle w:val="TableTextLeft"/>
              <w:rPr>
                <w:rFonts w:eastAsia="Calibri"/>
              </w:rPr>
            </w:pPr>
            <w:r w:rsidRPr="00FB36F0">
              <w:rPr>
                <w:rFonts w:eastAsia="Calibri"/>
              </w:rPr>
              <w:t>Contract start date and end date</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3C3E14" w14:textId="77777777" w:rsidR="00072BE1" w:rsidRPr="00FB36F0" w:rsidRDefault="00072BE1" w:rsidP="009764BA">
            <w:pPr>
              <w:spacing w:after="0" w:line="276" w:lineRule="auto"/>
              <w:rPr>
                <w:rFonts w:eastAsia="Calibri" w:cs="Calibri"/>
              </w:rPr>
            </w:pPr>
          </w:p>
        </w:tc>
      </w:tr>
      <w:tr w:rsidR="00072BE1" w:rsidRPr="00FB36F0" w14:paraId="6D841687"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E23A913"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1A0649" w14:textId="77777777" w:rsidR="00072BE1" w:rsidRPr="00FB36F0" w:rsidRDefault="00072BE1" w:rsidP="00A24A59">
            <w:pPr>
              <w:pStyle w:val="TableTextLeft"/>
              <w:rPr>
                <w:rFonts w:eastAsia="Calibri"/>
              </w:rPr>
            </w:pPr>
            <w:r>
              <w:rPr>
                <w:rFonts w:eastAsia="Calibri"/>
              </w:rPr>
              <w:t xml:space="preserve">Entity </w:t>
            </w:r>
            <w:r w:rsidRPr="00FB36F0">
              <w:rPr>
                <w:rFonts w:eastAsia="Calibri"/>
              </w:rPr>
              <w:t>name</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6FE3D4" w14:textId="77777777" w:rsidR="00072BE1" w:rsidRPr="00FB36F0" w:rsidRDefault="00072BE1" w:rsidP="009764BA">
            <w:pPr>
              <w:spacing w:after="0" w:line="276" w:lineRule="auto"/>
              <w:rPr>
                <w:rFonts w:eastAsia="Calibri" w:cs="Calibri"/>
              </w:rPr>
            </w:pPr>
          </w:p>
        </w:tc>
      </w:tr>
      <w:tr w:rsidR="00072BE1" w:rsidRPr="00FB36F0" w14:paraId="08C61F94"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612310"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8B1DEA" w14:textId="77777777" w:rsidR="00072BE1" w:rsidRPr="00FB36F0" w:rsidRDefault="00072BE1" w:rsidP="00A24A59">
            <w:pPr>
              <w:pStyle w:val="TableTextLeft"/>
              <w:rPr>
                <w:rFonts w:eastAsia="Calibri"/>
              </w:rPr>
            </w:pPr>
            <w:r w:rsidRPr="00FB36F0">
              <w:rPr>
                <w:rFonts w:eastAsia="Calibri"/>
              </w:rPr>
              <w:t>ABN</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0772A7" w14:textId="77777777" w:rsidR="00072BE1" w:rsidRPr="00FB36F0" w:rsidRDefault="00072BE1" w:rsidP="009764BA">
            <w:pPr>
              <w:spacing w:after="0" w:line="276" w:lineRule="auto"/>
              <w:rPr>
                <w:rFonts w:eastAsia="Calibri" w:cs="Calibri"/>
              </w:rPr>
            </w:pPr>
          </w:p>
        </w:tc>
      </w:tr>
      <w:tr w:rsidR="00072BE1" w:rsidRPr="00FB36F0" w14:paraId="7D6F6278"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B61901"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EA0398" w14:textId="77777777" w:rsidR="00072BE1" w:rsidRPr="00FB36F0" w:rsidRDefault="00072BE1" w:rsidP="00A24A59">
            <w:pPr>
              <w:pStyle w:val="TableTextLeft"/>
              <w:rPr>
                <w:rFonts w:eastAsia="Calibri"/>
              </w:rPr>
            </w:pPr>
            <w:r w:rsidRPr="00FB36F0">
              <w:rPr>
                <w:rFonts w:eastAsia="Calibri"/>
              </w:rPr>
              <w:t xml:space="preserve">Total </w:t>
            </w:r>
            <w:r w:rsidRPr="00A24A59">
              <w:rPr>
                <w:rFonts w:eastAsia="Calibri"/>
                <w:b/>
              </w:rPr>
              <w:t>number</w:t>
            </w:r>
            <w:r w:rsidRPr="00FB36F0">
              <w:rPr>
                <w:rFonts w:eastAsia="Calibri"/>
              </w:rPr>
              <w:t xml:space="preserve"> of the &lt;$1 million subcontracts under this PT PCP contract</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98BBF5" w14:textId="77777777" w:rsidR="00072BE1" w:rsidRPr="00FB36F0" w:rsidRDefault="00072BE1" w:rsidP="009764BA">
            <w:pPr>
              <w:spacing w:after="0" w:line="276" w:lineRule="auto"/>
              <w:rPr>
                <w:rFonts w:eastAsia="Calibri" w:cs="Calibri"/>
              </w:rPr>
            </w:pPr>
          </w:p>
        </w:tc>
      </w:tr>
      <w:tr w:rsidR="00072BE1" w:rsidRPr="00FB36F0" w14:paraId="420EA12D"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2185D6"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18407A" w14:textId="77777777" w:rsidR="00072BE1" w:rsidRPr="00FB36F0" w:rsidRDefault="00072BE1" w:rsidP="00A24A59">
            <w:pPr>
              <w:pStyle w:val="TableTextLeft"/>
              <w:rPr>
                <w:rFonts w:eastAsia="Calibri"/>
              </w:rPr>
            </w:pPr>
            <w:r w:rsidRPr="00FB36F0">
              <w:rPr>
                <w:rFonts w:eastAsia="Calibri"/>
              </w:rPr>
              <w:t>Percentage by</w:t>
            </w:r>
            <w:r w:rsidRPr="00A24A59">
              <w:rPr>
                <w:rFonts w:eastAsia="Calibri"/>
                <w:b/>
              </w:rPr>
              <w:t xml:space="preserve"> number</w:t>
            </w:r>
            <w:r w:rsidRPr="00FB36F0">
              <w:rPr>
                <w:rFonts w:eastAsia="Calibri"/>
              </w:rPr>
              <w:t xml:space="preserve"> of invoices paid within 20 calendar days </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6E6B13" w14:textId="77777777" w:rsidR="00072BE1" w:rsidRPr="00FB36F0" w:rsidRDefault="00072BE1" w:rsidP="009764BA">
            <w:pPr>
              <w:spacing w:after="0" w:line="276" w:lineRule="auto"/>
              <w:rPr>
                <w:rFonts w:eastAsia="Calibri" w:cs="Calibri"/>
              </w:rPr>
            </w:pPr>
          </w:p>
        </w:tc>
      </w:tr>
      <w:tr w:rsidR="00072BE1" w:rsidRPr="00FB36F0" w14:paraId="270A0AD4"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4A1D0E"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497688" w14:textId="1378BD70" w:rsidR="00072BE1" w:rsidRPr="00FB36F0" w:rsidRDefault="00072BE1" w:rsidP="00A24A59">
            <w:pPr>
              <w:pStyle w:val="TableTextLeft"/>
              <w:rPr>
                <w:rFonts w:eastAsia="Calibri"/>
              </w:rPr>
            </w:pPr>
            <w:r w:rsidRPr="00FB36F0">
              <w:rPr>
                <w:rFonts w:eastAsia="Calibri"/>
              </w:rPr>
              <w:t xml:space="preserve">Percentage by </w:t>
            </w:r>
            <w:r w:rsidRPr="004977D8">
              <w:rPr>
                <w:rFonts w:eastAsia="Calibri"/>
                <w:b/>
              </w:rPr>
              <w:t>number</w:t>
            </w:r>
            <w:r w:rsidRPr="00FB36F0">
              <w:rPr>
                <w:rFonts w:eastAsia="Calibri"/>
              </w:rPr>
              <w:t xml:space="preserve"> of invoices paid after 20</w:t>
            </w:r>
            <w:r w:rsidR="00862276">
              <w:rPr>
                <w:rFonts w:eastAsia="Calibri"/>
              </w:rPr>
              <w:t> </w:t>
            </w:r>
            <w:r w:rsidRPr="00FB36F0">
              <w:rPr>
                <w:rFonts w:eastAsia="Calibri"/>
              </w:rPr>
              <w:t>calendar days</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550E15" w14:textId="77777777" w:rsidR="00072BE1" w:rsidRPr="00FB36F0" w:rsidRDefault="00072BE1" w:rsidP="009764BA">
            <w:pPr>
              <w:spacing w:after="0" w:line="276" w:lineRule="auto"/>
              <w:rPr>
                <w:rFonts w:eastAsia="Calibri" w:cs="Calibri"/>
              </w:rPr>
            </w:pPr>
          </w:p>
        </w:tc>
      </w:tr>
      <w:tr w:rsidR="00072BE1" w:rsidRPr="00FB36F0" w14:paraId="0BFBA746"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4E40A1"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012439F" w14:textId="77777777" w:rsidR="00072BE1" w:rsidRPr="00FB36F0" w:rsidRDefault="00072BE1" w:rsidP="00A24A59">
            <w:pPr>
              <w:pStyle w:val="TableTextLeft"/>
              <w:rPr>
                <w:rFonts w:eastAsia="Calibri"/>
              </w:rPr>
            </w:pPr>
            <w:r w:rsidRPr="00FB36F0">
              <w:rPr>
                <w:rFonts w:eastAsia="Calibri"/>
              </w:rPr>
              <w:t>What is the</w:t>
            </w:r>
            <w:r w:rsidRPr="00027750">
              <w:rPr>
                <w:rFonts w:eastAsia="Calibri"/>
                <w:bCs/>
              </w:rPr>
              <w:t xml:space="preserve"> total</w:t>
            </w:r>
            <w:r w:rsidRPr="004977D8">
              <w:rPr>
                <w:rFonts w:eastAsia="Calibri"/>
                <w:b/>
              </w:rPr>
              <w:t xml:space="preserve"> value</w:t>
            </w:r>
            <w:r w:rsidRPr="00FB36F0">
              <w:rPr>
                <w:rFonts w:eastAsia="Calibri"/>
              </w:rPr>
              <w:t xml:space="preserve"> of the &lt;$1 million subcontracts under this PT PCP contract?</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B8EA26" w14:textId="77777777" w:rsidR="00072BE1" w:rsidRPr="00FB36F0" w:rsidRDefault="00072BE1" w:rsidP="009764BA">
            <w:pPr>
              <w:spacing w:after="0" w:line="276" w:lineRule="auto"/>
              <w:rPr>
                <w:rFonts w:eastAsia="Calibri" w:cs="Calibri"/>
              </w:rPr>
            </w:pPr>
          </w:p>
        </w:tc>
      </w:tr>
      <w:tr w:rsidR="00072BE1" w:rsidRPr="00FB36F0" w14:paraId="7BFC5DCD"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4CD875"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18EAE7" w14:textId="77777777" w:rsidR="00072BE1" w:rsidRPr="00FB36F0" w:rsidRDefault="00072BE1" w:rsidP="00A24A59">
            <w:pPr>
              <w:pStyle w:val="TableTextLeft"/>
              <w:rPr>
                <w:rFonts w:eastAsia="Calibri"/>
              </w:rPr>
            </w:pPr>
            <w:r w:rsidRPr="00FB36F0">
              <w:rPr>
                <w:rFonts w:eastAsia="Calibri"/>
              </w:rPr>
              <w:t xml:space="preserve">Percentage by </w:t>
            </w:r>
            <w:r w:rsidRPr="004977D8">
              <w:rPr>
                <w:rFonts w:eastAsia="Calibri"/>
                <w:b/>
              </w:rPr>
              <w:t>value</w:t>
            </w:r>
            <w:r w:rsidRPr="00FB36F0">
              <w:rPr>
                <w:rFonts w:eastAsia="Calibri"/>
              </w:rPr>
              <w:t xml:space="preserve"> of these invoices </w:t>
            </w:r>
            <w:r>
              <w:rPr>
                <w:rFonts w:eastAsia="Calibri"/>
              </w:rPr>
              <w:t>which</w:t>
            </w:r>
            <w:r w:rsidRPr="00FB36F0">
              <w:rPr>
                <w:rFonts w:eastAsia="Calibri"/>
              </w:rPr>
              <w:t xml:space="preserve"> were paid within 20 calendar days?</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F8770F" w14:textId="77777777" w:rsidR="00072BE1" w:rsidRPr="00FB36F0" w:rsidRDefault="00072BE1" w:rsidP="009764BA">
            <w:pPr>
              <w:spacing w:after="0" w:line="276" w:lineRule="auto"/>
              <w:rPr>
                <w:rFonts w:eastAsia="Calibri" w:cs="Calibri"/>
              </w:rPr>
            </w:pPr>
          </w:p>
        </w:tc>
      </w:tr>
      <w:tr w:rsidR="00072BE1" w:rsidRPr="00FB36F0" w14:paraId="359026DE"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A77C22" w14:textId="77777777" w:rsidR="00072BE1" w:rsidRPr="00A24A59" w:rsidRDefault="00072BE1" w:rsidP="00A24A59">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51E52B" w14:textId="77777777" w:rsidR="00072BE1" w:rsidRPr="00FB36F0" w:rsidRDefault="00072BE1" w:rsidP="00A24A59">
            <w:pPr>
              <w:pStyle w:val="TableTextLeft"/>
              <w:rPr>
                <w:rFonts w:eastAsia="Calibri"/>
              </w:rPr>
            </w:pPr>
            <w:r w:rsidRPr="00FB36F0">
              <w:rPr>
                <w:rFonts w:eastAsia="Calibri"/>
              </w:rPr>
              <w:t xml:space="preserve">What percentage by </w:t>
            </w:r>
            <w:r w:rsidRPr="00027750">
              <w:rPr>
                <w:rFonts w:eastAsia="Calibri"/>
                <w:b/>
              </w:rPr>
              <w:t>value</w:t>
            </w:r>
            <w:r w:rsidRPr="00FB36F0">
              <w:rPr>
                <w:rFonts w:eastAsia="Calibri"/>
              </w:rPr>
              <w:t xml:space="preserve"> of these invoices were paid after 20 calendar days?</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D15AAA" w14:textId="77777777" w:rsidR="00072BE1" w:rsidRPr="00FB36F0" w:rsidRDefault="00072BE1" w:rsidP="009764BA">
            <w:pPr>
              <w:spacing w:after="0" w:line="276" w:lineRule="auto"/>
              <w:rPr>
                <w:rFonts w:eastAsia="Calibri" w:cs="Calibri"/>
              </w:rPr>
            </w:pPr>
          </w:p>
        </w:tc>
      </w:tr>
      <w:tr w:rsidR="00FE1EF5" w:rsidRPr="00FB36F0" w14:paraId="49BBF548"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F57789" w14:textId="5BF1F004" w:rsidR="00FE1EF5" w:rsidRPr="00A24A59" w:rsidRDefault="00FE1EF5" w:rsidP="00FE1EF5">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F77D24" w14:textId="6B91BDAA" w:rsidR="00FE1EF5" w:rsidRPr="00FB36F0" w:rsidRDefault="00FE1EF5" w:rsidP="00FE1EF5">
            <w:pPr>
              <w:pStyle w:val="TableTextLeft"/>
              <w:rPr>
                <w:rFonts w:eastAsia="Calibri"/>
              </w:rPr>
            </w:pPr>
            <w:r w:rsidRPr="00FB36F0">
              <w:rPr>
                <w:rFonts w:eastAsia="Calibri"/>
              </w:rPr>
              <w:t xml:space="preserve">Of those invoices paid after 20 calendar days, what was the average payment time? </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8894AA" w14:textId="77777777" w:rsidR="00FE1EF5" w:rsidRPr="00FB36F0" w:rsidRDefault="00FE1EF5" w:rsidP="00FE1EF5">
            <w:pPr>
              <w:spacing w:after="0" w:line="276" w:lineRule="auto"/>
              <w:rPr>
                <w:rFonts w:eastAsia="Calibri" w:cs="Calibri"/>
              </w:rPr>
            </w:pPr>
          </w:p>
        </w:tc>
      </w:tr>
      <w:tr w:rsidR="00FE1EF5" w:rsidRPr="00FB36F0" w14:paraId="1AEF6087"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603C79" w14:textId="5DBA284E" w:rsidR="00FE1EF5" w:rsidRPr="00A24A59" w:rsidRDefault="00FE1EF5" w:rsidP="00FE1EF5">
            <w:pPr>
              <w:pStyle w:val="TableTextLeft"/>
              <w:rPr>
                <w:rFonts w:eastAsia="Calibri"/>
                <w:b/>
              </w:rPr>
            </w:pPr>
            <w:r w:rsidRPr="00A24A59">
              <w:rPr>
                <w:rFonts w:eastAsia="Calibri"/>
                <w:b/>
              </w:rPr>
              <w:t>Short 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FCE876" w14:textId="49A9285A" w:rsidR="00FE1EF5" w:rsidRPr="00FB36F0" w:rsidRDefault="00FE1EF5" w:rsidP="00FE1EF5">
            <w:pPr>
              <w:pStyle w:val="TableTextLeft"/>
              <w:rPr>
                <w:rFonts w:eastAsia="Calibri"/>
              </w:rPr>
            </w:pPr>
            <w:r w:rsidRPr="00FB36F0">
              <w:rPr>
                <w:rFonts w:eastAsia="Calibri"/>
              </w:rPr>
              <w:t xml:space="preserve">What value of interest (if any) was paid on late payments? </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B6EF665" w14:textId="77777777" w:rsidR="00FE1EF5" w:rsidRPr="00FB36F0" w:rsidRDefault="00FE1EF5" w:rsidP="00FE1EF5">
            <w:pPr>
              <w:spacing w:after="0" w:line="276" w:lineRule="auto"/>
              <w:rPr>
                <w:rFonts w:eastAsia="Calibri" w:cs="Calibri"/>
              </w:rPr>
            </w:pPr>
          </w:p>
        </w:tc>
      </w:tr>
      <w:tr w:rsidR="00FE1EF5" w:rsidRPr="00FB36F0" w14:paraId="1B748775"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AE44E7" w14:textId="2B148893" w:rsidR="00FE1EF5" w:rsidRPr="00A24A59" w:rsidRDefault="00FE1EF5" w:rsidP="00FE1EF5">
            <w:pPr>
              <w:pStyle w:val="TableTextLeft"/>
              <w:rPr>
                <w:rFonts w:eastAsia="Calibri"/>
                <w:b/>
              </w:rPr>
            </w:pPr>
            <w:r w:rsidRPr="00A24A59">
              <w:rPr>
                <w:rFonts w:eastAsia="Calibri"/>
                <w:b/>
              </w:rPr>
              <w:t>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96240A" w14:textId="4DC82E0B" w:rsidR="00FE1EF5" w:rsidRPr="00FB36F0" w:rsidRDefault="00FE1EF5" w:rsidP="00FE1EF5">
            <w:pPr>
              <w:pStyle w:val="TableTextLeft"/>
              <w:rPr>
                <w:rFonts w:eastAsia="Calibri"/>
              </w:rPr>
            </w:pPr>
            <w:r w:rsidRPr="00FB36F0">
              <w:rPr>
                <w:rFonts w:eastAsia="Calibri"/>
              </w:rPr>
              <w:t>If payments were made late, why?</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F17077" w14:textId="77777777" w:rsidR="00FE1EF5" w:rsidRPr="00FB36F0" w:rsidRDefault="00FE1EF5" w:rsidP="00FE1EF5">
            <w:pPr>
              <w:spacing w:after="0" w:line="276" w:lineRule="auto"/>
              <w:rPr>
                <w:rFonts w:eastAsia="Calibri" w:cs="Calibri"/>
              </w:rPr>
            </w:pPr>
          </w:p>
        </w:tc>
      </w:tr>
      <w:tr w:rsidR="00FE1EF5" w:rsidRPr="00FB36F0" w14:paraId="73143EAF" w14:textId="77777777" w:rsidTr="000072CF">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7D61A7" w14:textId="7F56A2F9" w:rsidR="00FE1EF5" w:rsidRPr="00A24A59" w:rsidRDefault="00FE1EF5" w:rsidP="00FE1EF5">
            <w:pPr>
              <w:pStyle w:val="TableTextLeft"/>
              <w:rPr>
                <w:rFonts w:eastAsia="Calibri"/>
                <w:b/>
              </w:rPr>
            </w:pPr>
            <w:r w:rsidRPr="00A24A59">
              <w:rPr>
                <w:rFonts w:eastAsia="Calibri"/>
                <w:b/>
              </w:rPr>
              <w:t>Free text</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5182ED1" w14:textId="39B726C4" w:rsidR="00FE1EF5" w:rsidRPr="00FB36F0" w:rsidRDefault="00FE1EF5" w:rsidP="00FE1EF5">
            <w:pPr>
              <w:pStyle w:val="TableTextLeft"/>
              <w:rPr>
                <w:rFonts w:eastAsia="Calibri"/>
              </w:rPr>
            </w:pPr>
            <w:r w:rsidRPr="00FB36F0">
              <w:rPr>
                <w:rFonts w:eastAsia="Calibri"/>
              </w:rPr>
              <w:t>How difficult did you find it to comply with the policy?</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C8D806" w14:textId="77777777" w:rsidR="00FE1EF5" w:rsidRPr="00FB36F0" w:rsidRDefault="00FE1EF5" w:rsidP="00FE1EF5">
            <w:pPr>
              <w:spacing w:after="0" w:line="276" w:lineRule="auto"/>
              <w:rPr>
                <w:rFonts w:eastAsia="Calibri" w:cs="Calibri"/>
              </w:rPr>
            </w:pPr>
          </w:p>
        </w:tc>
      </w:tr>
      <w:tr w:rsidR="00BB2FC0" w:rsidRPr="00FB36F0" w14:paraId="05A27D8A" w14:textId="77777777" w:rsidTr="003F30CB">
        <w:tc>
          <w:tcPr>
            <w:tcW w:w="18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E4972" w14:textId="47089EAB" w:rsidR="00BB2FC0" w:rsidRPr="00A24A59" w:rsidRDefault="00BB2FC0" w:rsidP="00BB2FC0">
            <w:pPr>
              <w:pStyle w:val="TableTextLeft"/>
              <w:rPr>
                <w:rFonts w:eastAsia="Calibri"/>
                <w:b/>
              </w:rPr>
            </w:pPr>
            <w:r w:rsidRPr="00A24A59">
              <w:rPr>
                <w:rFonts w:eastAsia="Calibri"/>
                <w:b/>
              </w:rPr>
              <w:t>No field</w:t>
            </w:r>
          </w:p>
        </w:tc>
        <w:tc>
          <w:tcPr>
            <w:tcW w:w="4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4148172" w14:textId="30BBF05F" w:rsidR="00BB2FC0" w:rsidRPr="00FB36F0" w:rsidRDefault="00BB2FC0" w:rsidP="00BB2FC0">
            <w:pPr>
              <w:pStyle w:val="TableTextLeft"/>
              <w:rPr>
                <w:rFonts w:eastAsia="Calibri"/>
              </w:rPr>
            </w:pPr>
            <w:r w:rsidRPr="00FB36F0">
              <w:rPr>
                <w:rFonts w:eastAsia="Calibri"/>
              </w:rPr>
              <w:t>If you have any questions, ple</w:t>
            </w:r>
            <w:r>
              <w:rPr>
                <w:rFonts w:eastAsia="Calibri"/>
              </w:rPr>
              <w:t>ase contact us at ptpcp@treasury</w:t>
            </w:r>
            <w:r w:rsidRPr="00FB36F0">
              <w:rPr>
                <w:rFonts w:eastAsia="Calibri"/>
              </w:rPr>
              <w:t>.gov.au</w:t>
            </w:r>
          </w:p>
        </w:tc>
        <w:tc>
          <w:tcPr>
            <w:tcW w:w="27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B69C99" w14:textId="77777777" w:rsidR="00BB2FC0" w:rsidRPr="00FB36F0" w:rsidRDefault="00BB2FC0" w:rsidP="00BB2FC0">
            <w:pPr>
              <w:spacing w:after="0" w:line="276" w:lineRule="auto"/>
              <w:rPr>
                <w:rFonts w:eastAsia="Calibri" w:cs="Calibri"/>
              </w:rPr>
            </w:pPr>
          </w:p>
        </w:tc>
      </w:tr>
    </w:tbl>
    <w:p w14:paraId="6D88A50C" w14:textId="6965BC30" w:rsidR="00315A92" w:rsidRDefault="00315A92" w:rsidP="000072CF">
      <w:pPr>
        <w:pStyle w:val="Heading1"/>
      </w:pPr>
    </w:p>
    <w:p w14:paraId="7EF15D7E" w14:textId="77777777" w:rsidR="00315A92" w:rsidRDefault="00315A92">
      <w:pPr>
        <w:spacing w:before="0" w:after="160" w:line="259" w:lineRule="auto"/>
        <w:rPr>
          <w:rFonts w:ascii="Calibri" w:hAnsi="Calibri" w:cs="Arial"/>
          <w:b/>
          <w:color w:val="5D779D" w:themeColor="accent3"/>
          <w:kern w:val="32"/>
          <w:sz w:val="44"/>
          <w:szCs w:val="36"/>
        </w:rPr>
      </w:pPr>
      <w:r>
        <w:br w:type="page"/>
      </w:r>
    </w:p>
    <w:p w14:paraId="57DD9760" w14:textId="50F8A2C1" w:rsidR="00072BE1" w:rsidRDefault="000072CF" w:rsidP="000072CF">
      <w:pPr>
        <w:pStyle w:val="Heading1"/>
      </w:pPr>
      <w:bookmarkStart w:id="34" w:name="_Toc140753013"/>
      <w:r w:rsidRPr="000072CF">
        <w:lastRenderedPageBreak/>
        <w:t>Appendix D: Payment Times Remediation Plan</w:t>
      </w:r>
      <w:bookmarkEnd w:id="34"/>
    </w:p>
    <w:p w14:paraId="251A8B9C" w14:textId="0ABDD819" w:rsidR="00902864" w:rsidRDefault="00902864" w:rsidP="00902864">
      <w:pPr>
        <w:rPr>
          <w:b/>
        </w:rPr>
      </w:pPr>
      <w:r w:rsidRPr="00902864">
        <w:rPr>
          <w:b/>
        </w:rPr>
        <w:t>Payment Times Procurement Connected Policy (PT PCP)</w:t>
      </w:r>
    </w:p>
    <w:p w14:paraId="4AB85BDE" w14:textId="6C93DDD1" w:rsidR="005F3DA0" w:rsidRPr="005B4ACF" w:rsidRDefault="005F3DA0" w:rsidP="005B4ACF">
      <w:pPr>
        <w:rPr>
          <w:b/>
        </w:rPr>
      </w:pPr>
      <w:r w:rsidRPr="005B4ACF">
        <w:rPr>
          <w:b/>
        </w:rPr>
        <w:t>Remediation Plan</w:t>
      </w:r>
    </w:p>
    <w:p w14:paraId="62ED6E64" w14:textId="759DABB4" w:rsidR="006F7E9C" w:rsidRDefault="006F7E9C" w:rsidP="00442122">
      <w:r>
        <w:t>Date of the plan submission: _________</w:t>
      </w:r>
      <w:r>
        <w:tab/>
      </w:r>
      <w:r>
        <w:tab/>
        <w:t>AusTender Contract Notice ID: CN_______</w:t>
      </w:r>
      <w:r w:rsidR="008C33E8">
        <w:noBreakHyphen/>
      </w:r>
      <w:r>
        <w:t>__</w:t>
      </w:r>
    </w:p>
    <w:p w14:paraId="49B0DC6D" w14:textId="77777777" w:rsidR="006F7E9C" w:rsidRDefault="006F7E9C" w:rsidP="00442122">
      <w:r>
        <w:t>Supplier name: ________________________</w:t>
      </w:r>
      <w:r>
        <w:tab/>
      </w:r>
      <w:r>
        <w:tab/>
      </w:r>
      <w:r>
        <w:tab/>
        <w:t>ABN: __ ___ ___ ___</w:t>
      </w:r>
    </w:p>
    <w:p w14:paraId="2105233B" w14:textId="77777777" w:rsidR="006F7E9C" w:rsidRDefault="006F7E9C" w:rsidP="00442122">
      <w:r>
        <w:t>Commonwealth Entity the contract is with: ________________________________________</w:t>
      </w:r>
    </w:p>
    <w:p w14:paraId="5D255BE8" w14:textId="0B78E9FA" w:rsidR="006F7E9C" w:rsidRDefault="006F7E9C" w:rsidP="00442122">
      <w:r>
        <w:t>Commonwealth Entity</w:t>
      </w:r>
      <w:r w:rsidR="008C33E8">
        <w:t>’</w:t>
      </w:r>
      <w:r>
        <w:t>s Contract Manager name: _______________</w:t>
      </w:r>
    </w:p>
    <w:p w14:paraId="7D43CC70" w14:textId="77777777" w:rsidR="006F7E9C" w:rsidRDefault="006F7E9C" w:rsidP="00442122">
      <w:r>
        <w:t>Complainant company name: ________________</w:t>
      </w:r>
    </w:p>
    <w:p w14:paraId="2D06D9E0" w14:textId="77777777" w:rsidR="006F7E9C" w:rsidRDefault="006F7E9C" w:rsidP="00442122"/>
    <w:p w14:paraId="7AE14382" w14:textId="6FB49CC4" w:rsidR="006F7E9C" w:rsidRDefault="006F7E9C" w:rsidP="00442122">
      <w:r>
        <w:t>1.</w:t>
      </w:r>
      <w:r>
        <w:tab/>
        <w:t xml:space="preserve">When did the payment become </w:t>
      </w:r>
      <w:r w:rsidR="008C33E8">
        <w:t>‘</w:t>
      </w:r>
      <w:r>
        <w:t>late</w:t>
      </w:r>
      <w:r w:rsidR="008C33E8">
        <w:t>’</w:t>
      </w:r>
      <w:r>
        <w:t xml:space="preserve">? </w:t>
      </w:r>
      <w:r>
        <w:tab/>
      </w:r>
      <w:r>
        <w:tab/>
      </w:r>
      <w:r>
        <w:tab/>
        <w:t>Date: ________________</w:t>
      </w:r>
    </w:p>
    <w:p w14:paraId="2EE7C9F7" w14:textId="77777777" w:rsidR="006F7E9C" w:rsidRDefault="006F7E9C" w:rsidP="00442122">
      <w:r>
        <w:t>2.</w:t>
      </w:r>
      <w:r>
        <w:tab/>
        <w:t xml:space="preserve">How many calendar days was the payment late? </w:t>
      </w:r>
      <w:r>
        <w:tab/>
      </w:r>
      <w:r>
        <w:tab/>
      </w:r>
      <w:r>
        <w:tab/>
        <w:t>_______ days</w:t>
      </w:r>
    </w:p>
    <w:p w14:paraId="0D3BC666" w14:textId="77777777" w:rsidR="006F7E9C" w:rsidRDefault="006F7E9C" w:rsidP="00442122">
      <w:r>
        <w:t>3.</w:t>
      </w:r>
      <w:r>
        <w:tab/>
        <w:t>Has this invoice been paid? Circle:</w:t>
      </w:r>
      <w:r>
        <w:tab/>
      </w:r>
      <w:r>
        <w:tab/>
      </w:r>
      <w:r>
        <w:tab/>
        <w:t xml:space="preserve">YES          NO </w:t>
      </w:r>
    </w:p>
    <w:p w14:paraId="4936FD56" w14:textId="6B20F763" w:rsidR="006F7E9C" w:rsidRDefault="006F7E9C" w:rsidP="00582143">
      <w:pPr>
        <w:ind w:left="720"/>
      </w:pPr>
      <w:r>
        <w:t>a</w:t>
      </w:r>
      <w:r w:rsidR="00862276">
        <w:t xml:space="preserve">. </w:t>
      </w:r>
      <w:r>
        <w:t>If answered YES to [3], when was this invoice paid?</w:t>
      </w:r>
      <w:r>
        <w:tab/>
        <w:t>Date: _________________</w:t>
      </w:r>
    </w:p>
    <w:p w14:paraId="5DA1B49E" w14:textId="77777777" w:rsidR="006F7E9C" w:rsidRDefault="006F7E9C" w:rsidP="00442122">
      <w:r>
        <w:t>4.</w:t>
      </w:r>
      <w:r>
        <w:tab/>
        <w:t>Total interest paid</w:t>
      </w:r>
      <w:r>
        <w:tab/>
      </w:r>
      <w:r>
        <w:tab/>
      </w:r>
      <w:r>
        <w:tab/>
      </w:r>
      <w:r>
        <w:tab/>
      </w:r>
      <w:r>
        <w:tab/>
        <w:t>$________</w:t>
      </w:r>
    </w:p>
    <w:p w14:paraId="1F9AEC37" w14:textId="77777777" w:rsidR="006F7E9C" w:rsidRDefault="006F7E9C" w:rsidP="00582143">
      <w:pPr>
        <w:ind w:left="720"/>
      </w:pPr>
      <w:r>
        <w:t>a.</w:t>
      </w:r>
      <w:r>
        <w:tab/>
        <w:t>If answered ZERO to [4], please explain</w:t>
      </w:r>
    </w:p>
    <w:p w14:paraId="1564B327" w14:textId="16E187B8" w:rsidR="006F7E9C" w:rsidRDefault="006F7E9C" w:rsidP="00442122">
      <w:r>
        <w:t>____________________________________________________________________________________________________________________________________________________________________</w:t>
      </w:r>
    </w:p>
    <w:p w14:paraId="5339A959" w14:textId="3C2AD6A8" w:rsidR="006F7E9C" w:rsidRDefault="006F7E9C" w:rsidP="00442122">
      <w:r>
        <w:t>5.</w:t>
      </w:r>
      <w:r>
        <w:tab/>
        <w:t>Reasons for non</w:t>
      </w:r>
      <w:r w:rsidR="008C33E8">
        <w:noBreakHyphen/>
      </w:r>
      <w:r>
        <w:t>compliance</w:t>
      </w:r>
    </w:p>
    <w:p w14:paraId="66228E6D" w14:textId="77777777" w:rsidR="006F7E9C" w:rsidRDefault="006F7E9C" w:rsidP="00442122">
      <w:r>
        <w:t>____________________________________________________________________________________________________________________________________________________________________</w:t>
      </w:r>
    </w:p>
    <w:p w14:paraId="56BED64B" w14:textId="23EA178A" w:rsidR="006F7E9C" w:rsidRDefault="006F7E9C" w:rsidP="00442122">
      <w:r>
        <w:t>6.</w:t>
      </w:r>
      <w:r>
        <w:tab/>
        <w:t>How will you prevent future non</w:t>
      </w:r>
      <w:r w:rsidR="008C33E8">
        <w:noBreakHyphen/>
      </w:r>
      <w:r>
        <w:t xml:space="preserve">compliance? </w:t>
      </w:r>
    </w:p>
    <w:p w14:paraId="722FEE42" w14:textId="77777777" w:rsidR="006F7E9C" w:rsidRDefault="006F7E9C" w:rsidP="0044212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45336" w14:textId="77777777" w:rsidR="006F7E9C" w:rsidRDefault="006F7E9C" w:rsidP="00442122"/>
    <w:p w14:paraId="2AF4C91C" w14:textId="7389148F" w:rsidR="006F7E9C" w:rsidRPr="006F7E9C" w:rsidRDefault="006F7E9C" w:rsidP="00442122">
      <w:r>
        <w:t>Date by which action(s) (including to prevent future non compliances) will be completed: _________________</w:t>
      </w:r>
    </w:p>
    <w:sectPr w:rsidR="006F7E9C" w:rsidRPr="006F7E9C" w:rsidSect="009927E5">
      <w:headerReference w:type="even" r:id="rId42"/>
      <w:headerReference w:type="default" r:id="rId43"/>
      <w:footerReference w:type="even" r:id="rId44"/>
      <w:footerReference w:type="default" r:id="rId45"/>
      <w:headerReference w:type="first" r:id="rId46"/>
      <w:footerReference w:type="first" r:id="rId4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940E" w14:textId="77777777" w:rsidR="005216A9" w:rsidRDefault="005216A9">
      <w:pPr>
        <w:spacing w:before="0" w:after="0"/>
      </w:pPr>
      <w:r>
        <w:separator/>
      </w:r>
    </w:p>
  </w:endnote>
  <w:endnote w:type="continuationSeparator" w:id="0">
    <w:p w14:paraId="4E5F7A29" w14:textId="77777777" w:rsidR="005216A9" w:rsidRDefault="005216A9">
      <w:pPr>
        <w:spacing w:before="0" w:after="0"/>
      </w:pPr>
      <w:r>
        <w:continuationSeparator/>
      </w:r>
    </w:p>
  </w:endnote>
  <w:endnote w:type="continuationNotice" w:id="1">
    <w:p w14:paraId="51DFAA88" w14:textId="77777777" w:rsidR="005216A9" w:rsidRDefault="005216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unPenh">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0626"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6E77" w14:textId="32A719AF" w:rsidR="002A5DED" w:rsidRPr="00E13E90" w:rsidRDefault="002A5DED" w:rsidP="00E13E90">
    <w:pPr>
      <w:pStyle w:val="Footer"/>
    </w:pPr>
    <w:r w:rsidRPr="00742366">
      <w:drawing>
        <wp:anchor distT="0" distB="0" distL="114300" distR="114300" simplePos="0" relativeHeight="251658247" behindDoc="1" locked="1" layoutInCell="1" allowOverlap="1" wp14:anchorId="0953C30B" wp14:editId="12B811F8">
          <wp:simplePos x="0" y="0"/>
          <wp:positionH relativeFrom="margin">
            <wp:posOffset>5459095</wp:posOffset>
          </wp:positionH>
          <wp:positionV relativeFrom="page">
            <wp:posOffset>3280410</wp:posOffset>
          </wp:positionV>
          <wp:extent cx="7574280" cy="1043940"/>
          <wp:effectExtent l="762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9D2E646" wp14:editId="7940AF55">
          <wp:extent cx="1324800" cy="201600"/>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74627C">
      <w:fldChar w:fldCharType="begin"/>
    </w:r>
    <w:r w:rsidR="0074627C">
      <w:instrText xml:space="preserve"> STYLEREF  "Heading 1"  \* MERGEFORMAT </w:instrText>
    </w:r>
    <w:r w:rsidR="0074627C">
      <w:fldChar w:fldCharType="separate"/>
    </w:r>
    <w:r w:rsidR="0074627C">
      <w:t>Appendix D: Payment Times Remediation Plan</w:t>
    </w:r>
    <w:r w:rsidR="0074627C">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BCA7" w14:textId="77777777" w:rsidR="002A5DED" w:rsidRDefault="002A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A270" w14:textId="7A0D7A14" w:rsidR="009927E5" w:rsidRPr="008043EA" w:rsidRDefault="009927E5" w:rsidP="0009151A">
    <w:r w:rsidRPr="00742366">
      <w:rPr>
        <w:noProof/>
      </w:rPr>
      <w:drawing>
        <wp:anchor distT="0" distB="0" distL="114300" distR="114300" simplePos="0" relativeHeight="251658241" behindDoc="1" locked="1" layoutInCell="1" allowOverlap="1" wp14:anchorId="4191F66D" wp14:editId="28E9BC8B">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034E705" wp14:editId="31F8896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74627C">
      <w:fldChar w:fldCharType="begin"/>
    </w:r>
    <w:r w:rsidR="0074627C">
      <w:instrText xml:space="preserve"> STYLEREF  "Heading 1"  \* MERGEFORMAT </w:instrText>
    </w:r>
    <w:r w:rsidR="0074627C">
      <w:fldChar w:fldCharType="separate"/>
    </w:r>
    <w:r w:rsidR="00F65B99">
      <w:rPr>
        <w:noProof/>
      </w:rPr>
      <w:t>Contents</w:t>
    </w:r>
    <w:r w:rsidR="0074627C">
      <w:rPr>
        <w:noProof/>
      </w:rPr>
      <w:fldChar w:fldCharType="end"/>
    </w:r>
    <w:r>
      <w:t xml:space="preserve"> | </w:t>
    </w:r>
    <w:r>
      <w:fldChar w:fldCharType="begin"/>
    </w:r>
    <w:r>
      <w:instrText xml:space="preserve"> PAGE   \* MERGEFORMAT </w:instrText>
    </w:r>
    <w:r>
      <w:fldChar w:fldCharType="separate"/>
    </w:r>
    <w:r>
      <w:t>1</w:t>
    </w:r>
    <w:r>
      <w:fldChar w:fldCharType="end"/>
    </w:r>
  </w:p>
  <w:p w14:paraId="3AEE9614"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68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14A5" w14:textId="3218E092" w:rsidR="00E81A40" w:rsidRPr="00E13E90" w:rsidRDefault="00E81A40" w:rsidP="00E13E90">
    <w:pPr>
      <w:pStyle w:val="Footer"/>
    </w:pPr>
    <w:r w:rsidRPr="00742366">
      <w:drawing>
        <wp:anchor distT="0" distB="0" distL="114300" distR="114300" simplePos="0" relativeHeight="251658242" behindDoc="1" locked="1" layoutInCell="1" allowOverlap="1" wp14:anchorId="64C06BE9" wp14:editId="13C56C5C">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605AB49" wp14:editId="2D5D36D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74627C">
      <w:fldChar w:fldCharType="begin"/>
    </w:r>
    <w:r w:rsidR="0074627C">
      <w:instrText xml:space="preserve"> STYLEREF  "Heading 1"  \* MERGEFORMAT </w:instrText>
    </w:r>
    <w:r w:rsidR="0074627C">
      <w:fldChar w:fldCharType="separate"/>
    </w:r>
    <w:r w:rsidR="0074627C">
      <w:t>Payment Times Procurement Connected Policy</w:t>
    </w:r>
    <w:r w:rsidR="0074627C">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C6CE" w14:textId="77777777" w:rsidR="00E81A40" w:rsidRDefault="00E81A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1F59" w14:textId="77777777" w:rsidR="00AF177B" w:rsidRPr="00E77C89" w:rsidRDefault="00AF177B" w:rsidP="0017089D">
    <w:r>
      <w:fldChar w:fldCharType="begin"/>
    </w:r>
    <w:r>
      <w:instrText xml:space="preserve"> PAGE  \* Arabic  \* MERGEFORMAT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4B4E" w14:textId="181A9E61" w:rsidR="00AF177B" w:rsidRPr="00E13E90" w:rsidRDefault="00AF177B" w:rsidP="00E13E90">
    <w:pPr>
      <w:pStyle w:val="Footer"/>
    </w:pPr>
    <w:r w:rsidRPr="00742366">
      <w:drawing>
        <wp:anchor distT="0" distB="0" distL="114300" distR="114300" simplePos="0" relativeHeight="251658246" behindDoc="1" locked="1" layoutInCell="1" allowOverlap="1" wp14:anchorId="5CE0C3C7" wp14:editId="6754B2EC">
          <wp:simplePos x="0" y="0"/>
          <wp:positionH relativeFrom="margin">
            <wp:posOffset>5459095</wp:posOffset>
          </wp:positionH>
          <wp:positionV relativeFrom="page">
            <wp:posOffset>3280410</wp:posOffset>
          </wp:positionV>
          <wp:extent cx="7574280" cy="1043940"/>
          <wp:effectExtent l="762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C9DF214" wp14:editId="5D046DA9">
          <wp:extent cx="1324800" cy="201600"/>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B367DC">
      <w:t>Appendix A:</w:t>
    </w:r>
    <w:r w:rsidR="00115630">
      <w:t xml:space="preserve"> </w:t>
    </w:r>
    <w:r w:rsidR="00B367DC">
      <w:t>P</w:t>
    </w:r>
    <w:r w:rsidR="00115630">
      <w:t>T</w:t>
    </w:r>
    <w:r w:rsidR="00B367DC">
      <w:t xml:space="preserve"> PCP Approach to </w:t>
    </w:r>
    <w:r w:rsidR="0094148E">
      <w:t>Market C</w:t>
    </w:r>
    <w:r w:rsidR="00980C41">
      <w:t>lauses</w:t>
    </w:r>
    <w:r w:rsidR="0094148E">
      <w:t xml:space="preserve"> and Contract Clauses</w:t>
    </w:r>
    <w:r w:rsidR="00980C41">
      <w:t xml:space="preserve"> </w:t>
    </w:r>
    <w:r>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65D2" w14:textId="77777777" w:rsidR="00AF177B" w:rsidRDefault="00AF177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6532" w14:textId="77777777" w:rsidR="002A5DED" w:rsidRPr="00E77C89" w:rsidRDefault="002A5DED" w:rsidP="0017089D">
    <w:r>
      <w:fldChar w:fldCharType="begin"/>
    </w:r>
    <w:r>
      <w:instrText xml:space="preserve"> PAGE  \* Arabic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3A13" w14:textId="77777777" w:rsidR="005216A9" w:rsidRDefault="005216A9">
      <w:pPr>
        <w:spacing w:before="0" w:after="0"/>
      </w:pPr>
      <w:r>
        <w:separator/>
      </w:r>
    </w:p>
  </w:footnote>
  <w:footnote w:type="continuationSeparator" w:id="0">
    <w:p w14:paraId="6A887EE2" w14:textId="77777777" w:rsidR="005216A9" w:rsidRDefault="005216A9">
      <w:pPr>
        <w:spacing w:before="0" w:after="0"/>
      </w:pPr>
      <w:r>
        <w:continuationSeparator/>
      </w:r>
    </w:p>
  </w:footnote>
  <w:footnote w:type="continuationNotice" w:id="1">
    <w:p w14:paraId="571CB15E" w14:textId="77777777" w:rsidR="005216A9" w:rsidRDefault="005216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66A2"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E528" w14:textId="77777777" w:rsidR="002A5DED" w:rsidRPr="00963E8D" w:rsidRDefault="002A5DED" w:rsidP="00963E8D">
    <w:pPr>
      <w:pStyle w:val="Header"/>
    </w:pPr>
    <w:r>
      <w:rPr>
        <w:noProof/>
      </w:rPr>
      <w:drawing>
        <wp:anchor distT="0" distB="0" distL="114300" distR="114300" simplePos="0" relativeHeight="251658245" behindDoc="1" locked="1" layoutInCell="1" allowOverlap="1" wp14:anchorId="391E180F" wp14:editId="6E49EA74">
          <wp:simplePos x="0" y="0"/>
          <wp:positionH relativeFrom="page">
            <wp:align>center</wp:align>
          </wp:positionH>
          <wp:positionV relativeFrom="page">
            <wp:align>top</wp:align>
          </wp:positionV>
          <wp:extent cx="7570800" cy="104400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54FC" w14:textId="77777777" w:rsidR="002A5DED" w:rsidRDefault="002A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3C96"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0A9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EA7C" w14:textId="77777777" w:rsidR="00E81A40" w:rsidRPr="00963E8D" w:rsidRDefault="00E81A40" w:rsidP="00963E8D">
    <w:pPr>
      <w:pStyle w:val="Header"/>
    </w:pPr>
    <w:r>
      <w:rPr>
        <w:noProof/>
      </w:rPr>
      <w:drawing>
        <wp:anchor distT="0" distB="0" distL="114300" distR="114300" simplePos="0" relativeHeight="251658243" behindDoc="1" locked="1" layoutInCell="1" allowOverlap="1" wp14:anchorId="10F2DFF8" wp14:editId="2EAAD8B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6E2D" w14:textId="77777777" w:rsidR="00E81A40" w:rsidRDefault="00E81A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9BAF" w14:textId="77777777" w:rsidR="00AF177B" w:rsidRPr="001F3912" w:rsidRDefault="00AF177B" w:rsidP="0017089D">
    <w:r>
      <w:fldChar w:fldCharType="begin"/>
    </w:r>
    <w:r>
      <w:instrText xml:space="preserve"> macrobutton nomacro [Click and add Publication Title]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C020" w14:textId="77777777" w:rsidR="00AF177B" w:rsidRPr="00963E8D" w:rsidRDefault="00AF177B" w:rsidP="00963E8D">
    <w:pPr>
      <w:pStyle w:val="Header"/>
    </w:pPr>
    <w:r>
      <w:rPr>
        <w:noProof/>
      </w:rPr>
      <w:drawing>
        <wp:anchor distT="0" distB="0" distL="114300" distR="114300" simplePos="0" relativeHeight="251658244" behindDoc="1" locked="1" layoutInCell="1" allowOverlap="1" wp14:anchorId="2E0A5282" wp14:editId="46CF0A1D">
          <wp:simplePos x="0" y="0"/>
          <wp:positionH relativeFrom="page">
            <wp:align>center</wp:align>
          </wp:positionH>
          <wp:positionV relativeFrom="page">
            <wp:align>top</wp:align>
          </wp:positionV>
          <wp:extent cx="7570800" cy="1044000"/>
          <wp:effectExtent l="0" t="0" r="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32AC" w14:textId="77777777" w:rsidR="00AF177B" w:rsidRDefault="00AF17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EDB" w14:textId="77777777" w:rsidR="002A5DED" w:rsidRPr="001F3912" w:rsidRDefault="002A5DED" w:rsidP="0017089D">
    <w:r>
      <w:fldChar w:fldCharType="begin"/>
    </w:r>
    <w:r>
      <w:instrText xml:space="preserve"> macrobutton nomacro [Click and add Publication Title]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795"/>
    <w:multiLevelType w:val="multilevel"/>
    <w:tmpl w:val="F1945D2A"/>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bullet"/>
      <w:lvlText w:val="-"/>
      <w:lvlJc w:val="left"/>
      <w:pPr>
        <w:ind w:left="1440" w:hanging="360"/>
      </w:pPr>
      <w:rPr>
        <w:rFonts w:ascii="DaunPenh" w:hAnsi="DaunPenh"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DA6486"/>
    <w:multiLevelType w:val="hybridMultilevel"/>
    <w:tmpl w:val="5E3ECF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653560"/>
    <w:multiLevelType w:val="multilevel"/>
    <w:tmpl w:val="4F141E68"/>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F7717"/>
    <w:multiLevelType w:val="multilevel"/>
    <w:tmpl w:val="2CA04594"/>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CD67679"/>
    <w:multiLevelType w:val="hybridMultilevel"/>
    <w:tmpl w:val="AB5A13D6"/>
    <w:lvl w:ilvl="0" w:tplc="6BA638BA">
      <w:start w:val="1"/>
      <w:numFmt w:val="bullet"/>
      <w:lvlText w:val=":"/>
      <w:lvlJc w:val="left"/>
      <w:pPr>
        <w:ind w:left="1240" w:hanging="360"/>
      </w:pPr>
      <w:rPr>
        <w:rFonts w:ascii="DaunPenh" w:hAnsi="DaunPenh"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094242"/>
    <w:multiLevelType w:val="hybridMultilevel"/>
    <w:tmpl w:val="0DB424B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1C28D8"/>
    <w:multiLevelType w:val="hybridMultilevel"/>
    <w:tmpl w:val="799E46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146088"/>
    <w:multiLevelType w:val="hybridMultilevel"/>
    <w:tmpl w:val="6EFAE2A2"/>
    <w:lvl w:ilvl="0" w:tplc="616852A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D54A69"/>
    <w:multiLevelType w:val="hybridMultilevel"/>
    <w:tmpl w:val="BE6A82EE"/>
    <w:lvl w:ilvl="0" w:tplc="2F38C52A">
      <w:start w:val="1"/>
      <w:numFmt w:val="bullet"/>
      <w:lvlText w:val="-"/>
      <w:lvlJc w:val="left"/>
      <w:pPr>
        <w:ind w:left="1211" w:hanging="360"/>
      </w:pPr>
      <w:rPr>
        <w:rFonts w:ascii="DaunPenh" w:hAnsi="DaunPenh"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64403"/>
    <w:multiLevelType w:val="hybridMultilevel"/>
    <w:tmpl w:val="0DB424B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A6E11E5"/>
    <w:multiLevelType w:val="multilevel"/>
    <w:tmpl w:val="D02A7A24"/>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2099"/>
        </w:tabs>
        <w:ind w:left="2099" w:hanging="964"/>
      </w:pPr>
      <w:rPr>
        <w:rFonts w:ascii="Arial" w:hAnsi="Arial" w:hint="default"/>
        <w:b w:val="0"/>
        <w:i w:val="0"/>
        <w:sz w:val="20"/>
        <w:u w:val="none"/>
      </w:rPr>
    </w:lvl>
    <w:lvl w:ilvl="3">
      <w:start w:val="1"/>
      <w:numFmt w:val="lowerRoman"/>
      <w:lvlText w:val="(%4)"/>
      <w:lvlJc w:val="left"/>
      <w:pPr>
        <w:tabs>
          <w:tab w:val="num" w:pos="1956"/>
        </w:tabs>
        <w:ind w:left="1956" w:hanging="964"/>
      </w:pPr>
      <w:rPr>
        <w:rFonts w:ascii="Arial" w:hAnsi="Arial" w:hint="default"/>
        <w:b w:val="0"/>
        <w:i w:val="0"/>
        <w:sz w:val="20"/>
        <w:u w:val="none"/>
      </w:rPr>
    </w:lvl>
    <w:lvl w:ilvl="4">
      <w:start w:val="1"/>
      <w:numFmt w:val="upperLetter"/>
      <w:lvlText w:val="%5."/>
      <w:lvlJc w:val="left"/>
      <w:pPr>
        <w:tabs>
          <w:tab w:val="num" w:pos="2949"/>
        </w:tabs>
        <w:ind w:left="2949" w:hanging="964"/>
      </w:pPr>
      <w:rPr>
        <w:rFonts w:ascii="Arial" w:hAnsi="Arial" w:hint="default"/>
        <w:b w:val="0"/>
        <w:i w:val="0"/>
        <w:sz w:val="20"/>
        <w:u w:val="none"/>
      </w:rPr>
    </w:lvl>
    <w:lvl w:ilvl="5">
      <w:start w:val="1"/>
      <w:numFmt w:val="decimal"/>
      <w:lvlText w:val="%6)"/>
      <w:lvlJc w:val="left"/>
      <w:pPr>
        <w:tabs>
          <w:tab w:val="num" w:pos="3941"/>
        </w:tabs>
        <w:ind w:left="3941"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5807421D"/>
    <w:multiLevelType w:val="hybridMultilevel"/>
    <w:tmpl w:val="8480A010"/>
    <w:lvl w:ilvl="0" w:tplc="0DF499AE">
      <w:start w:val="1"/>
      <w:numFmt w:val="lowerLetter"/>
      <w:lvlText w:val="%1."/>
      <w:lvlJc w:val="left"/>
      <w:pPr>
        <w:ind w:left="360" w:hanging="360"/>
      </w:pPr>
      <w:rPr>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ECA39DE"/>
    <w:multiLevelType w:val="hybridMultilevel"/>
    <w:tmpl w:val="6A78FE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3C76DE"/>
    <w:multiLevelType w:val="hybridMultilevel"/>
    <w:tmpl w:val="D200029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1931B15"/>
    <w:multiLevelType w:val="hybridMultilevel"/>
    <w:tmpl w:val="ABE6153A"/>
    <w:lvl w:ilvl="0" w:tplc="2F38C52A">
      <w:start w:val="1"/>
      <w:numFmt w:val="bullet"/>
      <w:lvlText w:val="-"/>
      <w:lvlJc w:val="left"/>
      <w:pPr>
        <w:ind w:left="1080" w:hanging="360"/>
      </w:pPr>
      <w:rPr>
        <w:rFonts w:ascii="DaunPenh" w:hAnsi="DaunPenh" w:hint="default"/>
      </w:rPr>
    </w:lvl>
    <w:lvl w:ilvl="1" w:tplc="6BA638BA">
      <w:start w:val="1"/>
      <w:numFmt w:val="bullet"/>
      <w:lvlText w:val=":"/>
      <w:lvlJc w:val="left"/>
      <w:pPr>
        <w:ind w:left="1240" w:hanging="360"/>
      </w:pPr>
      <w:rPr>
        <w:rFonts w:ascii="DaunPenh" w:hAnsi="DaunPenh"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4BC5284"/>
    <w:multiLevelType w:val="multilevel"/>
    <w:tmpl w:val="CB144BE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677259D3"/>
    <w:multiLevelType w:val="multilevel"/>
    <w:tmpl w:val="9D7080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7F75EB"/>
    <w:multiLevelType w:val="hybridMultilevel"/>
    <w:tmpl w:val="1B2232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87478C"/>
    <w:multiLevelType w:val="hybridMultilevel"/>
    <w:tmpl w:val="0DB424B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D437853"/>
    <w:multiLevelType w:val="hybridMultilevel"/>
    <w:tmpl w:val="D92C12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E358A0"/>
    <w:multiLevelType w:val="hybridMultilevel"/>
    <w:tmpl w:val="791E02F0"/>
    <w:lvl w:ilvl="0" w:tplc="2F38C52A">
      <w:start w:val="1"/>
      <w:numFmt w:val="bullet"/>
      <w:lvlText w:val="-"/>
      <w:lvlJc w:val="left"/>
      <w:pPr>
        <w:ind w:left="880" w:hanging="360"/>
      </w:pPr>
      <w:rPr>
        <w:rFonts w:ascii="DaunPenh" w:hAnsi="DaunPenh"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26"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3"/>
  </w:num>
  <w:num w:numId="4">
    <w:abstractNumId w:val="3"/>
  </w:num>
  <w:num w:numId="5">
    <w:abstractNumId w:val="11"/>
  </w:num>
  <w:num w:numId="6">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4"/>
  </w:num>
  <w:num w:numId="10">
    <w:abstractNumId w:val="13"/>
  </w:num>
  <w:num w:numId="11">
    <w:abstractNumId w:val="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9"/>
  </w:num>
  <w:num w:numId="17">
    <w:abstractNumId w:val="14"/>
  </w:num>
  <w:num w:numId="18">
    <w:abstractNumId w:val="16"/>
  </w:num>
  <w:num w:numId="19">
    <w:abstractNumId w:val="23"/>
  </w:num>
  <w:num w:numId="20">
    <w:abstractNumId w:val="7"/>
  </w:num>
  <w:num w:numId="21">
    <w:abstractNumId w:val="3"/>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0"/>
  </w:num>
  <w:num w:numId="23">
    <w:abstractNumId w:val="22"/>
  </w:num>
  <w:num w:numId="24">
    <w:abstractNumId w:val="17"/>
  </w:num>
  <w:num w:numId="25">
    <w:abstractNumId w:val="3"/>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6">
    <w:abstractNumId w:val="8"/>
  </w:num>
  <w:num w:numId="27">
    <w:abstractNumId w:val="24"/>
  </w:num>
  <w:num w:numId="28">
    <w:abstractNumId w:val="18"/>
  </w:num>
  <w:num w:numId="29">
    <w:abstractNumId w:val="2"/>
  </w:num>
  <w:num w:numId="30">
    <w:abstractNumId w:val="3"/>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1">
    <w:abstractNumId w:val="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3"/>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0"/>
  </w:num>
  <w:num w:numId="36">
    <w:abstractNumId w:val="12"/>
  </w:num>
  <w:num w:numId="37">
    <w:abstractNumId w:val="25"/>
  </w:num>
  <w:num w:numId="38">
    <w:abstractNumId w:val="5"/>
  </w:num>
  <w:num w:numId="3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88"/>
    <w:rsid w:val="000018D5"/>
    <w:rsid w:val="000072CF"/>
    <w:rsid w:val="00010C90"/>
    <w:rsid w:val="00011111"/>
    <w:rsid w:val="00011725"/>
    <w:rsid w:val="00012C62"/>
    <w:rsid w:val="00023AEC"/>
    <w:rsid w:val="00024281"/>
    <w:rsid w:val="0002544D"/>
    <w:rsid w:val="00027750"/>
    <w:rsid w:val="00030CCF"/>
    <w:rsid w:val="00041A8B"/>
    <w:rsid w:val="0004274D"/>
    <w:rsid w:val="00044C0A"/>
    <w:rsid w:val="00051D60"/>
    <w:rsid w:val="00052F46"/>
    <w:rsid w:val="0005606B"/>
    <w:rsid w:val="00056880"/>
    <w:rsid w:val="00066E55"/>
    <w:rsid w:val="000675D1"/>
    <w:rsid w:val="0007093B"/>
    <w:rsid w:val="0007102C"/>
    <w:rsid w:val="00072352"/>
    <w:rsid w:val="00072BE1"/>
    <w:rsid w:val="00073521"/>
    <w:rsid w:val="000745BD"/>
    <w:rsid w:val="00076BA9"/>
    <w:rsid w:val="000775DE"/>
    <w:rsid w:val="00077DE1"/>
    <w:rsid w:val="00081510"/>
    <w:rsid w:val="00082FC2"/>
    <w:rsid w:val="000858F2"/>
    <w:rsid w:val="00086D77"/>
    <w:rsid w:val="00087FAF"/>
    <w:rsid w:val="0009151A"/>
    <w:rsid w:val="00093C94"/>
    <w:rsid w:val="000951DF"/>
    <w:rsid w:val="000A1C02"/>
    <w:rsid w:val="000A7027"/>
    <w:rsid w:val="000B5A09"/>
    <w:rsid w:val="000C00E2"/>
    <w:rsid w:val="000C03B4"/>
    <w:rsid w:val="000C5F40"/>
    <w:rsid w:val="000D1284"/>
    <w:rsid w:val="000E0B74"/>
    <w:rsid w:val="000E7B1F"/>
    <w:rsid w:val="000F0BF8"/>
    <w:rsid w:val="000F237F"/>
    <w:rsid w:val="000F7517"/>
    <w:rsid w:val="0010033D"/>
    <w:rsid w:val="001028A6"/>
    <w:rsid w:val="00110F67"/>
    <w:rsid w:val="00112086"/>
    <w:rsid w:val="00115630"/>
    <w:rsid w:val="001173E8"/>
    <w:rsid w:val="00130575"/>
    <w:rsid w:val="00136E4B"/>
    <w:rsid w:val="0014091C"/>
    <w:rsid w:val="00153E26"/>
    <w:rsid w:val="0015544C"/>
    <w:rsid w:val="00156D91"/>
    <w:rsid w:val="001606CF"/>
    <w:rsid w:val="0016128D"/>
    <w:rsid w:val="00162998"/>
    <w:rsid w:val="00166F06"/>
    <w:rsid w:val="00170222"/>
    <w:rsid w:val="0017089D"/>
    <w:rsid w:val="00173838"/>
    <w:rsid w:val="001868A9"/>
    <w:rsid w:val="0019060B"/>
    <w:rsid w:val="0019101A"/>
    <w:rsid w:val="00193D6B"/>
    <w:rsid w:val="00195E50"/>
    <w:rsid w:val="001A0ABB"/>
    <w:rsid w:val="001A1BBB"/>
    <w:rsid w:val="001B1869"/>
    <w:rsid w:val="001B5D10"/>
    <w:rsid w:val="001B7E6A"/>
    <w:rsid w:val="001C358D"/>
    <w:rsid w:val="001C6A6B"/>
    <w:rsid w:val="001D040C"/>
    <w:rsid w:val="001D10C4"/>
    <w:rsid w:val="001D4EAA"/>
    <w:rsid w:val="001E0229"/>
    <w:rsid w:val="001E7CC9"/>
    <w:rsid w:val="001F3919"/>
    <w:rsid w:val="001F41B4"/>
    <w:rsid w:val="00200703"/>
    <w:rsid w:val="00202668"/>
    <w:rsid w:val="00205DBC"/>
    <w:rsid w:val="00210EF3"/>
    <w:rsid w:val="0022190E"/>
    <w:rsid w:val="00222E6C"/>
    <w:rsid w:val="00231049"/>
    <w:rsid w:val="002314D2"/>
    <w:rsid w:val="002326DA"/>
    <w:rsid w:val="002372A6"/>
    <w:rsid w:val="002537AF"/>
    <w:rsid w:val="00257AEE"/>
    <w:rsid w:val="00263B6C"/>
    <w:rsid w:val="00266852"/>
    <w:rsid w:val="0027259D"/>
    <w:rsid w:val="0027263D"/>
    <w:rsid w:val="002733E5"/>
    <w:rsid w:val="0027590B"/>
    <w:rsid w:val="00285969"/>
    <w:rsid w:val="002940EC"/>
    <w:rsid w:val="0029456E"/>
    <w:rsid w:val="002965A8"/>
    <w:rsid w:val="002A5DED"/>
    <w:rsid w:val="002A736B"/>
    <w:rsid w:val="002B3829"/>
    <w:rsid w:val="002B4D4D"/>
    <w:rsid w:val="002B5C39"/>
    <w:rsid w:val="002C1EFF"/>
    <w:rsid w:val="002D1F90"/>
    <w:rsid w:val="002D4273"/>
    <w:rsid w:val="002D488F"/>
    <w:rsid w:val="002E0ED6"/>
    <w:rsid w:val="002F2A5C"/>
    <w:rsid w:val="002F617F"/>
    <w:rsid w:val="003009BD"/>
    <w:rsid w:val="00307AAC"/>
    <w:rsid w:val="003122F4"/>
    <w:rsid w:val="0031276E"/>
    <w:rsid w:val="00313D74"/>
    <w:rsid w:val="00315A92"/>
    <w:rsid w:val="003160C8"/>
    <w:rsid w:val="003268D5"/>
    <w:rsid w:val="00326CFD"/>
    <w:rsid w:val="00327B92"/>
    <w:rsid w:val="00330789"/>
    <w:rsid w:val="0034395B"/>
    <w:rsid w:val="00344779"/>
    <w:rsid w:val="00346B51"/>
    <w:rsid w:val="00354D27"/>
    <w:rsid w:val="00354FBB"/>
    <w:rsid w:val="00357414"/>
    <w:rsid w:val="00361599"/>
    <w:rsid w:val="0036572A"/>
    <w:rsid w:val="00366849"/>
    <w:rsid w:val="003712CE"/>
    <w:rsid w:val="003839F0"/>
    <w:rsid w:val="003857D9"/>
    <w:rsid w:val="003858A6"/>
    <w:rsid w:val="00392B32"/>
    <w:rsid w:val="00392DCC"/>
    <w:rsid w:val="003A0349"/>
    <w:rsid w:val="003A199F"/>
    <w:rsid w:val="003A1D13"/>
    <w:rsid w:val="003A270D"/>
    <w:rsid w:val="003A7450"/>
    <w:rsid w:val="003C22B7"/>
    <w:rsid w:val="003C2FA1"/>
    <w:rsid w:val="003C435F"/>
    <w:rsid w:val="003D6395"/>
    <w:rsid w:val="003E38B0"/>
    <w:rsid w:val="003E4D87"/>
    <w:rsid w:val="003E533E"/>
    <w:rsid w:val="003E5630"/>
    <w:rsid w:val="003F006A"/>
    <w:rsid w:val="003F30CB"/>
    <w:rsid w:val="003F6005"/>
    <w:rsid w:val="003F71F2"/>
    <w:rsid w:val="00401799"/>
    <w:rsid w:val="0040763B"/>
    <w:rsid w:val="00407BE0"/>
    <w:rsid w:val="00415412"/>
    <w:rsid w:val="00416762"/>
    <w:rsid w:val="00421351"/>
    <w:rsid w:val="00426F17"/>
    <w:rsid w:val="004310DD"/>
    <w:rsid w:val="00434241"/>
    <w:rsid w:val="00434BA0"/>
    <w:rsid w:val="00442122"/>
    <w:rsid w:val="00445265"/>
    <w:rsid w:val="0045047D"/>
    <w:rsid w:val="0045375F"/>
    <w:rsid w:val="004559CE"/>
    <w:rsid w:val="00455AE4"/>
    <w:rsid w:val="004563F0"/>
    <w:rsid w:val="00461002"/>
    <w:rsid w:val="00465436"/>
    <w:rsid w:val="00475B7B"/>
    <w:rsid w:val="00475F4D"/>
    <w:rsid w:val="0048047D"/>
    <w:rsid w:val="00482AD1"/>
    <w:rsid w:val="00483049"/>
    <w:rsid w:val="00491687"/>
    <w:rsid w:val="00492FCB"/>
    <w:rsid w:val="004938D1"/>
    <w:rsid w:val="004944C9"/>
    <w:rsid w:val="004951A8"/>
    <w:rsid w:val="004957B4"/>
    <w:rsid w:val="0049745A"/>
    <w:rsid w:val="004977D8"/>
    <w:rsid w:val="004A077D"/>
    <w:rsid w:val="004A312C"/>
    <w:rsid w:val="004A4C3D"/>
    <w:rsid w:val="004A7BC2"/>
    <w:rsid w:val="004D5186"/>
    <w:rsid w:val="004E2FAF"/>
    <w:rsid w:val="004E487E"/>
    <w:rsid w:val="004F0E66"/>
    <w:rsid w:val="004F1164"/>
    <w:rsid w:val="00516785"/>
    <w:rsid w:val="00517479"/>
    <w:rsid w:val="00517FC4"/>
    <w:rsid w:val="005216A9"/>
    <w:rsid w:val="0052419D"/>
    <w:rsid w:val="005249E7"/>
    <w:rsid w:val="005301F8"/>
    <w:rsid w:val="005312FC"/>
    <w:rsid w:val="0053603D"/>
    <w:rsid w:val="005423D8"/>
    <w:rsid w:val="0054292F"/>
    <w:rsid w:val="00544229"/>
    <w:rsid w:val="00555D14"/>
    <w:rsid w:val="005565D0"/>
    <w:rsid w:val="005638A7"/>
    <w:rsid w:val="005669CC"/>
    <w:rsid w:val="005714FC"/>
    <w:rsid w:val="00572BC9"/>
    <w:rsid w:val="00582143"/>
    <w:rsid w:val="005868DE"/>
    <w:rsid w:val="0059696B"/>
    <w:rsid w:val="005B4ACF"/>
    <w:rsid w:val="005B4BAA"/>
    <w:rsid w:val="005C0A6C"/>
    <w:rsid w:val="005C2125"/>
    <w:rsid w:val="005D26C5"/>
    <w:rsid w:val="005D76E2"/>
    <w:rsid w:val="005E2512"/>
    <w:rsid w:val="005E366D"/>
    <w:rsid w:val="005F3DA0"/>
    <w:rsid w:val="006016A6"/>
    <w:rsid w:val="006039EF"/>
    <w:rsid w:val="0060595B"/>
    <w:rsid w:val="00605AFD"/>
    <w:rsid w:val="00607C7C"/>
    <w:rsid w:val="006123D4"/>
    <w:rsid w:val="006147E2"/>
    <w:rsid w:val="00615AFC"/>
    <w:rsid w:val="0062098A"/>
    <w:rsid w:val="00624567"/>
    <w:rsid w:val="00624CED"/>
    <w:rsid w:val="00625B72"/>
    <w:rsid w:val="0063545F"/>
    <w:rsid w:val="00637BAB"/>
    <w:rsid w:val="00637C14"/>
    <w:rsid w:val="00643A82"/>
    <w:rsid w:val="0064593F"/>
    <w:rsid w:val="00656356"/>
    <w:rsid w:val="00663CF1"/>
    <w:rsid w:val="00664842"/>
    <w:rsid w:val="00666638"/>
    <w:rsid w:val="006755BF"/>
    <w:rsid w:val="00682E54"/>
    <w:rsid w:val="00686165"/>
    <w:rsid w:val="00691CB5"/>
    <w:rsid w:val="0069297F"/>
    <w:rsid w:val="00693F60"/>
    <w:rsid w:val="006A0A0F"/>
    <w:rsid w:val="006A1B5B"/>
    <w:rsid w:val="006A6EE1"/>
    <w:rsid w:val="006B5DA1"/>
    <w:rsid w:val="006B5E7C"/>
    <w:rsid w:val="006C247E"/>
    <w:rsid w:val="006C4B26"/>
    <w:rsid w:val="006C4BCC"/>
    <w:rsid w:val="006C645D"/>
    <w:rsid w:val="006C6EE9"/>
    <w:rsid w:val="006D1461"/>
    <w:rsid w:val="006D42C7"/>
    <w:rsid w:val="006D4FD9"/>
    <w:rsid w:val="006E0E3C"/>
    <w:rsid w:val="006E2518"/>
    <w:rsid w:val="006E3CC3"/>
    <w:rsid w:val="006F0655"/>
    <w:rsid w:val="006F656C"/>
    <w:rsid w:val="006F7E9C"/>
    <w:rsid w:val="00707014"/>
    <w:rsid w:val="00710680"/>
    <w:rsid w:val="00710E13"/>
    <w:rsid w:val="00717DAC"/>
    <w:rsid w:val="00720BF2"/>
    <w:rsid w:val="007263A5"/>
    <w:rsid w:val="00732502"/>
    <w:rsid w:val="00733F00"/>
    <w:rsid w:val="00737B4A"/>
    <w:rsid w:val="00745A87"/>
    <w:rsid w:val="0074627C"/>
    <w:rsid w:val="00757816"/>
    <w:rsid w:val="007609D9"/>
    <w:rsid w:val="007646AB"/>
    <w:rsid w:val="00771F4E"/>
    <w:rsid w:val="007739DC"/>
    <w:rsid w:val="00775702"/>
    <w:rsid w:val="00780FC1"/>
    <w:rsid w:val="00784D9A"/>
    <w:rsid w:val="0078509F"/>
    <w:rsid w:val="00785DCA"/>
    <w:rsid w:val="00794499"/>
    <w:rsid w:val="00795837"/>
    <w:rsid w:val="007A228A"/>
    <w:rsid w:val="007A2816"/>
    <w:rsid w:val="007A36F5"/>
    <w:rsid w:val="007A4099"/>
    <w:rsid w:val="007B1D6D"/>
    <w:rsid w:val="007B27E9"/>
    <w:rsid w:val="007D2B3E"/>
    <w:rsid w:val="007D32FE"/>
    <w:rsid w:val="007D5AA6"/>
    <w:rsid w:val="007D6C52"/>
    <w:rsid w:val="007E23D5"/>
    <w:rsid w:val="007E2AB9"/>
    <w:rsid w:val="007E58E4"/>
    <w:rsid w:val="007E6456"/>
    <w:rsid w:val="00801AAA"/>
    <w:rsid w:val="008043EA"/>
    <w:rsid w:val="008155D2"/>
    <w:rsid w:val="00823A66"/>
    <w:rsid w:val="00824535"/>
    <w:rsid w:val="008253EA"/>
    <w:rsid w:val="00827768"/>
    <w:rsid w:val="00833521"/>
    <w:rsid w:val="00834243"/>
    <w:rsid w:val="008361B4"/>
    <w:rsid w:val="00855618"/>
    <w:rsid w:val="008563F0"/>
    <w:rsid w:val="00857969"/>
    <w:rsid w:val="00861C82"/>
    <w:rsid w:val="00862276"/>
    <w:rsid w:val="00872293"/>
    <w:rsid w:val="00872314"/>
    <w:rsid w:val="00872E60"/>
    <w:rsid w:val="008730C0"/>
    <w:rsid w:val="00873339"/>
    <w:rsid w:val="00886D2C"/>
    <w:rsid w:val="00890415"/>
    <w:rsid w:val="00890988"/>
    <w:rsid w:val="00894A84"/>
    <w:rsid w:val="008A1187"/>
    <w:rsid w:val="008A621E"/>
    <w:rsid w:val="008B1499"/>
    <w:rsid w:val="008B5367"/>
    <w:rsid w:val="008C2936"/>
    <w:rsid w:val="008C33E8"/>
    <w:rsid w:val="008C5963"/>
    <w:rsid w:val="008C7C12"/>
    <w:rsid w:val="008D1705"/>
    <w:rsid w:val="008D339F"/>
    <w:rsid w:val="008D362C"/>
    <w:rsid w:val="008D7820"/>
    <w:rsid w:val="008D7F38"/>
    <w:rsid w:val="008E6292"/>
    <w:rsid w:val="008F18B3"/>
    <w:rsid w:val="008F5F84"/>
    <w:rsid w:val="00900E7D"/>
    <w:rsid w:val="00902864"/>
    <w:rsid w:val="00903053"/>
    <w:rsid w:val="00916240"/>
    <w:rsid w:val="00925627"/>
    <w:rsid w:val="00925AA5"/>
    <w:rsid w:val="009276C1"/>
    <w:rsid w:val="009312E8"/>
    <w:rsid w:val="00932579"/>
    <w:rsid w:val="0094019D"/>
    <w:rsid w:val="0094148E"/>
    <w:rsid w:val="00942C11"/>
    <w:rsid w:val="00943F56"/>
    <w:rsid w:val="009445B3"/>
    <w:rsid w:val="00944940"/>
    <w:rsid w:val="0095235B"/>
    <w:rsid w:val="00954AC4"/>
    <w:rsid w:val="00955866"/>
    <w:rsid w:val="00963E8D"/>
    <w:rsid w:val="00967C2D"/>
    <w:rsid w:val="00967E9E"/>
    <w:rsid w:val="009732EC"/>
    <w:rsid w:val="009742BB"/>
    <w:rsid w:val="00975D97"/>
    <w:rsid w:val="009764BA"/>
    <w:rsid w:val="00976BF1"/>
    <w:rsid w:val="00980C41"/>
    <w:rsid w:val="009821CE"/>
    <w:rsid w:val="00982FEC"/>
    <w:rsid w:val="009841E3"/>
    <w:rsid w:val="0098495C"/>
    <w:rsid w:val="009852CF"/>
    <w:rsid w:val="00987510"/>
    <w:rsid w:val="009878A1"/>
    <w:rsid w:val="009925FD"/>
    <w:rsid w:val="009927E5"/>
    <w:rsid w:val="00994250"/>
    <w:rsid w:val="00995718"/>
    <w:rsid w:val="009959A9"/>
    <w:rsid w:val="009A097F"/>
    <w:rsid w:val="009A5592"/>
    <w:rsid w:val="009A658F"/>
    <w:rsid w:val="009A668A"/>
    <w:rsid w:val="009A69C5"/>
    <w:rsid w:val="009A7339"/>
    <w:rsid w:val="009B1A65"/>
    <w:rsid w:val="009B73B0"/>
    <w:rsid w:val="009C0899"/>
    <w:rsid w:val="009C1F80"/>
    <w:rsid w:val="009C4244"/>
    <w:rsid w:val="009D0E83"/>
    <w:rsid w:val="009D50B2"/>
    <w:rsid w:val="009D6D95"/>
    <w:rsid w:val="009E181C"/>
    <w:rsid w:val="009E1CFA"/>
    <w:rsid w:val="009F454C"/>
    <w:rsid w:val="009F703B"/>
    <w:rsid w:val="00A00ABD"/>
    <w:rsid w:val="00A01A58"/>
    <w:rsid w:val="00A0222D"/>
    <w:rsid w:val="00A05A54"/>
    <w:rsid w:val="00A1622F"/>
    <w:rsid w:val="00A16E03"/>
    <w:rsid w:val="00A24A59"/>
    <w:rsid w:val="00A260CD"/>
    <w:rsid w:val="00A35214"/>
    <w:rsid w:val="00A3749B"/>
    <w:rsid w:val="00A4426B"/>
    <w:rsid w:val="00A449C0"/>
    <w:rsid w:val="00A52CB6"/>
    <w:rsid w:val="00A611BA"/>
    <w:rsid w:val="00A62E42"/>
    <w:rsid w:val="00A6400E"/>
    <w:rsid w:val="00A64A71"/>
    <w:rsid w:val="00A652B8"/>
    <w:rsid w:val="00A73966"/>
    <w:rsid w:val="00A748DA"/>
    <w:rsid w:val="00A85A53"/>
    <w:rsid w:val="00A915A7"/>
    <w:rsid w:val="00A9669F"/>
    <w:rsid w:val="00AA7D29"/>
    <w:rsid w:val="00AB36EF"/>
    <w:rsid w:val="00AB6791"/>
    <w:rsid w:val="00AC2126"/>
    <w:rsid w:val="00AC33EB"/>
    <w:rsid w:val="00AC72D3"/>
    <w:rsid w:val="00AC7706"/>
    <w:rsid w:val="00AD20E3"/>
    <w:rsid w:val="00AD6CAF"/>
    <w:rsid w:val="00AE12FE"/>
    <w:rsid w:val="00AE141C"/>
    <w:rsid w:val="00AE2F90"/>
    <w:rsid w:val="00AE3ADE"/>
    <w:rsid w:val="00AE5A3B"/>
    <w:rsid w:val="00AF0A01"/>
    <w:rsid w:val="00AF0C70"/>
    <w:rsid w:val="00AF177B"/>
    <w:rsid w:val="00AF5C54"/>
    <w:rsid w:val="00B0585C"/>
    <w:rsid w:val="00B068F1"/>
    <w:rsid w:val="00B14223"/>
    <w:rsid w:val="00B20397"/>
    <w:rsid w:val="00B226C9"/>
    <w:rsid w:val="00B2339B"/>
    <w:rsid w:val="00B26B08"/>
    <w:rsid w:val="00B3025D"/>
    <w:rsid w:val="00B3149D"/>
    <w:rsid w:val="00B367DC"/>
    <w:rsid w:val="00B36DC0"/>
    <w:rsid w:val="00B41611"/>
    <w:rsid w:val="00B47692"/>
    <w:rsid w:val="00B50B6F"/>
    <w:rsid w:val="00B50F3D"/>
    <w:rsid w:val="00B6060C"/>
    <w:rsid w:val="00B619E6"/>
    <w:rsid w:val="00B64A61"/>
    <w:rsid w:val="00B770FF"/>
    <w:rsid w:val="00B774E6"/>
    <w:rsid w:val="00B82EF9"/>
    <w:rsid w:val="00B857FB"/>
    <w:rsid w:val="00B85F47"/>
    <w:rsid w:val="00B87927"/>
    <w:rsid w:val="00B90F16"/>
    <w:rsid w:val="00B92619"/>
    <w:rsid w:val="00B97D5C"/>
    <w:rsid w:val="00BA0AD6"/>
    <w:rsid w:val="00BA2418"/>
    <w:rsid w:val="00BA5AE8"/>
    <w:rsid w:val="00BA6DE2"/>
    <w:rsid w:val="00BB0263"/>
    <w:rsid w:val="00BB12E6"/>
    <w:rsid w:val="00BB2FC0"/>
    <w:rsid w:val="00BB629E"/>
    <w:rsid w:val="00BC1BC1"/>
    <w:rsid w:val="00BC3D9D"/>
    <w:rsid w:val="00BC3FE6"/>
    <w:rsid w:val="00BC5420"/>
    <w:rsid w:val="00BD04BC"/>
    <w:rsid w:val="00BD22F2"/>
    <w:rsid w:val="00BD5650"/>
    <w:rsid w:val="00BE702A"/>
    <w:rsid w:val="00BF0F21"/>
    <w:rsid w:val="00BF2E66"/>
    <w:rsid w:val="00BF5D6E"/>
    <w:rsid w:val="00BF63A8"/>
    <w:rsid w:val="00C012CB"/>
    <w:rsid w:val="00C25C8B"/>
    <w:rsid w:val="00C30297"/>
    <w:rsid w:val="00C3539F"/>
    <w:rsid w:val="00C3552C"/>
    <w:rsid w:val="00C41A1E"/>
    <w:rsid w:val="00C41B6C"/>
    <w:rsid w:val="00C50736"/>
    <w:rsid w:val="00C518BB"/>
    <w:rsid w:val="00C52984"/>
    <w:rsid w:val="00C54E4E"/>
    <w:rsid w:val="00C577CA"/>
    <w:rsid w:val="00C663AB"/>
    <w:rsid w:val="00C716ED"/>
    <w:rsid w:val="00C76D1C"/>
    <w:rsid w:val="00C85314"/>
    <w:rsid w:val="00C923AD"/>
    <w:rsid w:val="00C92A02"/>
    <w:rsid w:val="00C978EF"/>
    <w:rsid w:val="00CA20F9"/>
    <w:rsid w:val="00CA46D6"/>
    <w:rsid w:val="00CA4BC0"/>
    <w:rsid w:val="00CA5317"/>
    <w:rsid w:val="00CA5FB6"/>
    <w:rsid w:val="00CA736D"/>
    <w:rsid w:val="00CB4748"/>
    <w:rsid w:val="00CB63B3"/>
    <w:rsid w:val="00CC2562"/>
    <w:rsid w:val="00CC444E"/>
    <w:rsid w:val="00CC559D"/>
    <w:rsid w:val="00CC5F9E"/>
    <w:rsid w:val="00CD654B"/>
    <w:rsid w:val="00CD6BD4"/>
    <w:rsid w:val="00CE007C"/>
    <w:rsid w:val="00CE223E"/>
    <w:rsid w:val="00CE5450"/>
    <w:rsid w:val="00CE5B0C"/>
    <w:rsid w:val="00CF0619"/>
    <w:rsid w:val="00CF4941"/>
    <w:rsid w:val="00CF680B"/>
    <w:rsid w:val="00D03F6E"/>
    <w:rsid w:val="00D0433F"/>
    <w:rsid w:val="00D05F84"/>
    <w:rsid w:val="00D0797D"/>
    <w:rsid w:val="00D145F5"/>
    <w:rsid w:val="00D33663"/>
    <w:rsid w:val="00D355F0"/>
    <w:rsid w:val="00D45AF8"/>
    <w:rsid w:val="00D46425"/>
    <w:rsid w:val="00D5176E"/>
    <w:rsid w:val="00D51C05"/>
    <w:rsid w:val="00D5211B"/>
    <w:rsid w:val="00D542EE"/>
    <w:rsid w:val="00D64488"/>
    <w:rsid w:val="00D64A63"/>
    <w:rsid w:val="00D76DBD"/>
    <w:rsid w:val="00D80C3A"/>
    <w:rsid w:val="00D819B4"/>
    <w:rsid w:val="00D83787"/>
    <w:rsid w:val="00D83BD9"/>
    <w:rsid w:val="00D92453"/>
    <w:rsid w:val="00D95FB9"/>
    <w:rsid w:val="00DA41D3"/>
    <w:rsid w:val="00DA47CD"/>
    <w:rsid w:val="00DA686B"/>
    <w:rsid w:val="00DA6C56"/>
    <w:rsid w:val="00DB004A"/>
    <w:rsid w:val="00DB0E3E"/>
    <w:rsid w:val="00DB32BB"/>
    <w:rsid w:val="00DB7F09"/>
    <w:rsid w:val="00DC00E8"/>
    <w:rsid w:val="00DD2788"/>
    <w:rsid w:val="00DE223B"/>
    <w:rsid w:val="00DF30E6"/>
    <w:rsid w:val="00E10D39"/>
    <w:rsid w:val="00E1136B"/>
    <w:rsid w:val="00E13E90"/>
    <w:rsid w:val="00E2097B"/>
    <w:rsid w:val="00E22D51"/>
    <w:rsid w:val="00E22D72"/>
    <w:rsid w:val="00E30A0C"/>
    <w:rsid w:val="00E32768"/>
    <w:rsid w:val="00E35FA1"/>
    <w:rsid w:val="00E36BFB"/>
    <w:rsid w:val="00E41BA1"/>
    <w:rsid w:val="00E434BE"/>
    <w:rsid w:val="00E45D2E"/>
    <w:rsid w:val="00E50E7C"/>
    <w:rsid w:val="00E51545"/>
    <w:rsid w:val="00E55326"/>
    <w:rsid w:val="00E6062E"/>
    <w:rsid w:val="00E610B3"/>
    <w:rsid w:val="00E711D7"/>
    <w:rsid w:val="00E74888"/>
    <w:rsid w:val="00E81A40"/>
    <w:rsid w:val="00E902B0"/>
    <w:rsid w:val="00E902E8"/>
    <w:rsid w:val="00E971BF"/>
    <w:rsid w:val="00E9723F"/>
    <w:rsid w:val="00EA2A9C"/>
    <w:rsid w:val="00EA6ED9"/>
    <w:rsid w:val="00EB030F"/>
    <w:rsid w:val="00EB7743"/>
    <w:rsid w:val="00EC6534"/>
    <w:rsid w:val="00EC6B16"/>
    <w:rsid w:val="00ED14FB"/>
    <w:rsid w:val="00EE0D70"/>
    <w:rsid w:val="00EE1C05"/>
    <w:rsid w:val="00EE320E"/>
    <w:rsid w:val="00EE323D"/>
    <w:rsid w:val="00EE677F"/>
    <w:rsid w:val="00EE6820"/>
    <w:rsid w:val="00EF1829"/>
    <w:rsid w:val="00EF2FBF"/>
    <w:rsid w:val="00EF4AA5"/>
    <w:rsid w:val="00EF6862"/>
    <w:rsid w:val="00F0082D"/>
    <w:rsid w:val="00F02311"/>
    <w:rsid w:val="00F05A7C"/>
    <w:rsid w:val="00F07C90"/>
    <w:rsid w:val="00F101EF"/>
    <w:rsid w:val="00F1054B"/>
    <w:rsid w:val="00F20467"/>
    <w:rsid w:val="00F20469"/>
    <w:rsid w:val="00F21F56"/>
    <w:rsid w:val="00F25612"/>
    <w:rsid w:val="00F27472"/>
    <w:rsid w:val="00F347A4"/>
    <w:rsid w:val="00F43BF4"/>
    <w:rsid w:val="00F523F5"/>
    <w:rsid w:val="00F565AE"/>
    <w:rsid w:val="00F6104F"/>
    <w:rsid w:val="00F65B99"/>
    <w:rsid w:val="00F66B9F"/>
    <w:rsid w:val="00F71A0E"/>
    <w:rsid w:val="00F72C2C"/>
    <w:rsid w:val="00F754A3"/>
    <w:rsid w:val="00F81C1F"/>
    <w:rsid w:val="00F839BC"/>
    <w:rsid w:val="00F92279"/>
    <w:rsid w:val="00F92476"/>
    <w:rsid w:val="00F94A7D"/>
    <w:rsid w:val="00F9608B"/>
    <w:rsid w:val="00F97C09"/>
    <w:rsid w:val="00FA61AE"/>
    <w:rsid w:val="00FB0B1D"/>
    <w:rsid w:val="00FB64AA"/>
    <w:rsid w:val="00FC30FE"/>
    <w:rsid w:val="00FC6ADA"/>
    <w:rsid w:val="00FD5139"/>
    <w:rsid w:val="00FD749B"/>
    <w:rsid w:val="00FE1EF5"/>
    <w:rsid w:val="00FE664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0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qFormat/>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numbering" w:customStyle="1" w:styleId="CUHeading">
    <w:name w:val="CU_Heading"/>
    <w:uiPriority w:val="99"/>
    <w:rsid w:val="00EE6820"/>
    <w:pPr>
      <w:numPr>
        <w:numId w:val="13"/>
      </w:numPr>
    </w:pPr>
  </w:style>
  <w:style w:type="paragraph" w:styleId="ListParagraph">
    <w:name w:val="List Paragraph"/>
    <w:basedOn w:val="Normal"/>
    <w:uiPriority w:val="34"/>
    <w:qFormat/>
    <w:rsid w:val="007E23D5"/>
    <w:pPr>
      <w:ind w:left="720"/>
      <w:contextualSpacing/>
    </w:pPr>
    <w:rPr>
      <w:rFonts w:ascii="Calibri" w:hAnsi="Calibri"/>
    </w:rPr>
  </w:style>
  <w:style w:type="paragraph" w:styleId="NormalIndent">
    <w:name w:val="Normal Indent"/>
    <w:basedOn w:val="Normal"/>
    <w:uiPriority w:val="99"/>
    <w:unhideWhenUsed/>
    <w:rsid w:val="00872E60"/>
    <w:pPr>
      <w:ind w:left="720"/>
    </w:pPr>
  </w:style>
  <w:style w:type="table" w:customStyle="1" w:styleId="TableGrid1">
    <w:name w:val="Table Grid1"/>
    <w:basedOn w:val="TableNormal"/>
    <w:next w:val="TableGrid"/>
    <w:uiPriority w:val="59"/>
    <w:rsid w:val="004A312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qFormat/>
    <w:rsid w:val="004A312C"/>
    <w:pPr>
      <w:suppressAutoHyphens/>
      <w:spacing w:before="180" w:after="60" w:line="280" w:lineRule="atLeast"/>
      <w:ind w:left="852" w:hanging="284"/>
    </w:pPr>
    <w:rPr>
      <w:rFonts w:asciiTheme="minorHAnsi" w:eastAsiaTheme="minorHAnsi" w:hAnsiTheme="minorHAnsi" w:cstheme="minorBidi"/>
      <w:szCs w:val="22"/>
      <w:lang w:eastAsia="en-US"/>
    </w:rPr>
  </w:style>
  <w:style w:type="paragraph" w:customStyle="1" w:styleId="BodyText2">
    <w:name w:val="Body Text2"/>
    <w:basedOn w:val="Normal"/>
    <w:qFormat/>
    <w:rsid w:val="004A312C"/>
    <w:pPr>
      <w:spacing w:after="0" w:line="260" w:lineRule="atLeast"/>
    </w:pPr>
    <w:rPr>
      <w:rFonts w:asciiTheme="minorHAnsi" w:eastAsiaTheme="minorHAnsi" w:hAnsiTheme="minorHAnsi" w:cstheme="minorBidi"/>
      <w:szCs w:val="22"/>
      <w:lang w:eastAsia="en-US"/>
    </w:rPr>
  </w:style>
  <w:style w:type="character" w:styleId="FollowedHyperlink">
    <w:name w:val="FollowedHyperlink"/>
    <w:basedOn w:val="DefaultParagraphFont"/>
    <w:uiPriority w:val="99"/>
    <w:semiHidden/>
    <w:unhideWhenUsed/>
    <w:rsid w:val="002A5DED"/>
    <w:rPr>
      <w:color w:val="844D9E" w:themeColor="followedHyperlink"/>
      <w:u w:val="single"/>
    </w:rPr>
  </w:style>
  <w:style w:type="paragraph" w:styleId="Revision">
    <w:name w:val="Revision"/>
    <w:hidden/>
    <w:uiPriority w:val="99"/>
    <w:semiHidden/>
    <w:rsid w:val="004D5186"/>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BB0263"/>
    <w:rPr>
      <w:sz w:val="16"/>
      <w:szCs w:val="16"/>
    </w:rPr>
  </w:style>
  <w:style w:type="paragraph" w:styleId="CommentText">
    <w:name w:val="annotation text"/>
    <w:basedOn w:val="Normal"/>
    <w:link w:val="CommentTextChar"/>
    <w:uiPriority w:val="99"/>
    <w:semiHidden/>
    <w:unhideWhenUsed/>
    <w:rsid w:val="00BB0263"/>
    <w:rPr>
      <w:sz w:val="20"/>
    </w:rPr>
  </w:style>
  <w:style w:type="character" w:customStyle="1" w:styleId="CommentTextChar">
    <w:name w:val="Comment Text Char"/>
    <w:basedOn w:val="DefaultParagraphFont"/>
    <w:link w:val="CommentText"/>
    <w:uiPriority w:val="99"/>
    <w:semiHidden/>
    <w:rsid w:val="00BB026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B0263"/>
    <w:rPr>
      <w:b/>
      <w:bCs/>
    </w:rPr>
  </w:style>
  <w:style w:type="character" w:customStyle="1" w:styleId="CommentSubjectChar">
    <w:name w:val="Comment Subject Char"/>
    <w:basedOn w:val="CommentTextChar"/>
    <w:link w:val="CommentSubject"/>
    <w:uiPriority w:val="99"/>
    <w:semiHidden/>
    <w:rsid w:val="00BB0263"/>
    <w:rPr>
      <w:rFonts w:ascii="Calibri Light" w:eastAsia="Times New Roman" w:hAnsi="Calibri Light" w:cs="Times New Roman"/>
      <w:b/>
      <w:bCs/>
      <w:sz w:val="20"/>
      <w:szCs w:val="20"/>
      <w:lang w:eastAsia="en-AU"/>
    </w:rPr>
  </w:style>
  <w:style w:type="paragraph" w:styleId="NormalWeb">
    <w:name w:val="Normal (Web)"/>
    <w:basedOn w:val="Normal"/>
    <w:uiPriority w:val="99"/>
    <w:semiHidden/>
    <w:unhideWhenUsed/>
    <w:rsid w:val="008622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yperlink" Target="https://www.finance.gov.au/publications/resource-management-guides/supplier-pay-time-or-pay-interest-policy-rmg-417" TargetMode="External"/><Relationship Id="rId26" Type="http://schemas.openxmlformats.org/officeDocument/2006/relationships/hyperlink" Target="https://www.asbfeo.gov.au/disputes-assistance/five-steps-resolve-your-dispute" TargetMode="External"/><Relationship Id="rId39" Type="http://schemas.openxmlformats.org/officeDocument/2006/relationships/footer" Target="footer7.xml"/><Relationship Id="rId21" Type="http://schemas.openxmlformats.org/officeDocument/2006/relationships/hyperlink" Target="https://www.finance.gov.au/about-us/glossary/pgpa/term-non-corporate-commonwealth-entity-nce" TargetMode="External"/><Relationship Id="rId34" Type="http://schemas.openxmlformats.org/officeDocument/2006/relationships/footer" Target="footer5.xml"/><Relationship Id="rId42" Type="http://schemas.openxmlformats.org/officeDocument/2006/relationships/header" Target="header9.xml"/><Relationship Id="rId47" Type="http://schemas.openxmlformats.org/officeDocument/2006/relationships/footer" Target="foot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eader" Target="header3.xml"/><Relationship Id="rId11" Type="http://schemas.openxmlformats.org/officeDocument/2006/relationships/hyperlink" Target="http://creativecommons.org/licenses/by/3.0/au/deed.en" TargetMode="External"/><Relationship Id="rId24" Type="http://schemas.openxmlformats.org/officeDocument/2006/relationships/hyperlink" Target="mailto:ptpcp@treasury.gov.au" TargetMode="Externa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finance.gov.au/government/procurement/commonwealth-procurement-rules" TargetMode="External"/><Relationship Id="rId28" Type="http://schemas.openxmlformats.org/officeDocument/2006/relationships/hyperlink" Target="mailto:ptpcp@treasury.gov.au" TargetMode="External"/><Relationship Id="rId36" Type="http://schemas.openxmlformats.org/officeDocument/2006/relationships/header" Target="header6.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legislation.gov.au/Details/C2020A00091" TargetMode="External"/><Relationship Id="rId31" Type="http://schemas.openxmlformats.org/officeDocument/2006/relationships/footer" Target="footer3.xml"/><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hyperlink" Target="https://www.legislation.gov.au/Details/F2021C00029" TargetMode="External"/><Relationship Id="rId27" Type="http://schemas.openxmlformats.org/officeDocument/2006/relationships/hyperlink" Target="https://www.asbfeo.gov.au/" TargetMode="External"/><Relationship Id="rId30" Type="http://schemas.openxmlformats.org/officeDocument/2006/relationships/header" Target="header4.xml"/><Relationship Id="rId35" Type="http://schemas.openxmlformats.org/officeDocument/2006/relationships/hyperlink" Target="https://www.legislation.gov.au/Details/C2020A00091" TargetMode="External"/><Relationship Id="rId43" Type="http://schemas.openxmlformats.org/officeDocument/2006/relationships/header" Target="header10.xml"/><Relationship Id="rId48" Type="http://schemas.openxmlformats.org/officeDocument/2006/relationships/fontTable" Target="fontTable.xml"/><Relationship Id="rId8" Type="http://schemas.openxmlformats.org/officeDocument/2006/relationships/hyperlink" Target="http://creativecommons.org/licenses/by/3.0/au/deed.en" TargetMode="External"/><Relationship Id="rId3" Type="http://schemas.openxmlformats.org/officeDocument/2006/relationships/settings" Target="settings.xml"/><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hyperlink" Target="mailto:ptpcp@treasury.gov.au" TargetMode="External"/><Relationship Id="rId33" Type="http://schemas.openxmlformats.org/officeDocument/2006/relationships/header" Target="header5.xml"/><Relationship Id="rId38" Type="http://schemas.openxmlformats.org/officeDocument/2006/relationships/footer" Target="footer6.xml"/><Relationship Id="rId46" Type="http://schemas.openxmlformats.org/officeDocument/2006/relationships/header" Target="header11.xml"/><Relationship Id="rId20" Type="http://schemas.openxmlformats.org/officeDocument/2006/relationships/hyperlink" Target="https://www.finance.gov.au/publications/resource-management-guides/supplier-pay-time-or-pay-interest-policy-rmg-417/supplier-pay-time-or-pay-interest-policy-resource-management-guide-no-417-policy-additional-information" TargetMode="External"/><Relationship Id="rId41"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s>
</file>

<file path=word/_rels/foot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0.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5320</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Payment Times Procurement Connected Policy - Guidelines</vt:lpstr>
    </vt:vector>
  </TitlesOfParts>
  <Company/>
  <LinksUpToDate>false</LinksUpToDate>
  <CharactersWithSpaces>35577</CharactersWithSpaces>
  <SharedDoc>false</SharedDoc>
  <HLinks>
    <vt:vector size="264" baseType="variant">
      <vt:variant>
        <vt:i4>7405614</vt:i4>
      </vt:variant>
      <vt:variant>
        <vt:i4>225</vt:i4>
      </vt:variant>
      <vt:variant>
        <vt:i4>0</vt:i4>
      </vt:variant>
      <vt:variant>
        <vt:i4>5</vt:i4>
      </vt:variant>
      <vt:variant>
        <vt:lpwstr>https://www.legislation.gov.au/Details/C2020A00091</vt:lpwstr>
      </vt:variant>
      <vt:variant>
        <vt:lpwstr/>
      </vt:variant>
      <vt:variant>
        <vt:i4>1572978</vt:i4>
      </vt:variant>
      <vt:variant>
        <vt:i4>216</vt:i4>
      </vt:variant>
      <vt:variant>
        <vt:i4>0</vt:i4>
      </vt:variant>
      <vt:variant>
        <vt:i4>5</vt:i4>
      </vt:variant>
      <vt:variant>
        <vt:lpwstr>mailto:ptpcp@treasury.gov.au</vt:lpwstr>
      </vt:variant>
      <vt:variant>
        <vt:lpwstr/>
      </vt:variant>
      <vt:variant>
        <vt:i4>7143484</vt:i4>
      </vt:variant>
      <vt:variant>
        <vt:i4>213</vt:i4>
      </vt:variant>
      <vt:variant>
        <vt:i4>0</vt:i4>
      </vt:variant>
      <vt:variant>
        <vt:i4>5</vt:i4>
      </vt:variant>
      <vt:variant>
        <vt:lpwstr>https://www.asbfeo.gov.au/</vt:lpwstr>
      </vt:variant>
      <vt:variant>
        <vt:lpwstr/>
      </vt:variant>
      <vt:variant>
        <vt:i4>1179721</vt:i4>
      </vt:variant>
      <vt:variant>
        <vt:i4>210</vt:i4>
      </vt:variant>
      <vt:variant>
        <vt:i4>0</vt:i4>
      </vt:variant>
      <vt:variant>
        <vt:i4>5</vt:i4>
      </vt:variant>
      <vt:variant>
        <vt:lpwstr>https://www.asbfeo.gov.au/disputes-assistance/five-steps-resolve-your-dispute</vt:lpwstr>
      </vt:variant>
      <vt:variant>
        <vt:lpwstr/>
      </vt:variant>
      <vt:variant>
        <vt:i4>1572978</vt:i4>
      </vt:variant>
      <vt:variant>
        <vt:i4>207</vt:i4>
      </vt:variant>
      <vt:variant>
        <vt:i4>0</vt:i4>
      </vt:variant>
      <vt:variant>
        <vt:i4>5</vt:i4>
      </vt:variant>
      <vt:variant>
        <vt:lpwstr>mailto:ptpcp@treasury.gov.au</vt:lpwstr>
      </vt:variant>
      <vt:variant>
        <vt:lpwstr/>
      </vt:variant>
      <vt:variant>
        <vt:i4>1572978</vt:i4>
      </vt:variant>
      <vt:variant>
        <vt:i4>204</vt:i4>
      </vt:variant>
      <vt:variant>
        <vt:i4>0</vt:i4>
      </vt:variant>
      <vt:variant>
        <vt:i4>5</vt:i4>
      </vt:variant>
      <vt:variant>
        <vt:lpwstr>mailto:ptpcp@treasury.gov.au</vt:lpwstr>
      </vt:variant>
      <vt:variant>
        <vt:lpwstr/>
      </vt:variant>
      <vt:variant>
        <vt:i4>4653060</vt:i4>
      </vt:variant>
      <vt:variant>
        <vt:i4>201</vt:i4>
      </vt:variant>
      <vt:variant>
        <vt:i4>0</vt:i4>
      </vt:variant>
      <vt:variant>
        <vt:i4>5</vt:i4>
      </vt:variant>
      <vt:variant>
        <vt:lpwstr>https://www.finance.gov.au/government/procurement/commonwealth-procurement-rules</vt:lpwstr>
      </vt:variant>
      <vt:variant>
        <vt:lpwstr/>
      </vt:variant>
      <vt:variant>
        <vt:i4>8192039</vt:i4>
      </vt:variant>
      <vt:variant>
        <vt:i4>198</vt:i4>
      </vt:variant>
      <vt:variant>
        <vt:i4>0</vt:i4>
      </vt:variant>
      <vt:variant>
        <vt:i4>5</vt:i4>
      </vt:variant>
      <vt:variant>
        <vt:lpwstr>https://www.legislation.gov.au/Details/F2021C00029</vt:lpwstr>
      </vt:variant>
      <vt:variant>
        <vt:lpwstr/>
      </vt:variant>
      <vt:variant>
        <vt:i4>1572878</vt:i4>
      </vt:variant>
      <vt:variant>
        <vt:i4>195</vt:i4>
      </vt:variant>
      <vt:variant>
        <vt:i4>0</vt:i4>
      </vt:variant>
      <vt:variant>
        <vt:i4>5</vt:i4>
      </vt:variant>
      <vt:variant>
        <vt:lpwstr>https://www.finance.gov.au/about-us/glossary/pgpa/term-non-corporate-commonwealth-entity-nce</vt:lpwstr>
      </vt:variant>
      <vt:variant>
        <vt:lpwstr/>
      </vt:variant>
      <vt:variant>
        <vt:i4>7209011</vt:i4>
      </vt:variant>
      <vt:variant>
        <vt:i4>192</vt:i4>
      </vt:variant>
      <vt:variant>
        <vt:i4>0</vt:i4>
      </vt:variant>
      <vt:variant>
        <vt:i4>5</vt:i4>
      </vt:variant>
      <vt:variant>
        <vt:lpwstr>https://www.finance.gov.au/publications/resource-management-guides/supplier-pay-time-or-pay-interest-policy-rmg-417</vt:lpwstr>
      </vt:variant>
      <vt:variant>
        <vt:lpwstr/>
      </vt:variant>
      <vt:variant>
        <vt:i4>1376315</vt:i4>
      </vt:variant>
      <vt:variant>
        <vt:i4>185</vt:i4>
      </vt:variant>
      <vt:variant>
        <vt:i4>0</vt:i4>
      </vt:variant>
      <vt:variant>
        <vt:i4>5</vt:i4>
      </vt:variant>
      <vt:variant>
        <vt:lpwstr/>
      </vt:variant>
      <vt:variant>
        <vt:lpwstr>_Toc139533072</vt:lpwstr>
      </vt:variant>
      <vt:variant>
        <vt:i4>1376315</vt:i4>
      </vt:variant>
      <vt:variant>
        <vt:i4>179</vt:i4>
      </vt:variant>
      <vt:variant>
        <vt:i4>0</vt:i4>
      </vt:variant>
      <vt:variant>
        <vt:i4>5</vt:i4>
      </vt:variant>
      <vt:variant>
        <vt:lpwstr/>
      </vt:variant>
      <vt:variant>
        <vt:lpwstr>_Toc139533071</vt:lpwstr>
      </vt:variant>
      <vt:variant>
        <vt:i4>1376315</vt:i4>
      </vt:variant>
      <vt:variant>
        <vt:i4>173</vt:i4>
      </vt:variant>
      <vt:variant>
        <vt:i4>0</vt:i4>
      </vt:variant>
      <vt:variant>
        <vt:i4>5</vt:i4>
      </vt:variant>
      <vt:variant>
        <vt:lpwstr/>
      </vt:variant>
      <vt:variant>
        <vt:lpwstr>_Toc139533070</vt:lpwstr>
      </vt:variant>
      <vt:variant>
        <vt:i4>1310779</vt:i4>
      </vt:variant>
      <vt:variant>
        <vt:i4>167</vt:i4>
      </vt:variant>
      <vt:variant>
        <vt:i4>0</vt:i4>
      </vt:variant>
      <vt:variant>
        <vt:i4>5</vt:i4>
      </vt:variant>
      <vt:variant>
        <vt:lpwstr/>
      </vt:variant>
      <vt:variant>
        <vt:lpwstr>_Toc139533069</vt:lpwstr>
      </vt:variant>
      <vt:variant>
        <vt:i4>1310779</vt:i4>
      </vt:variant>
      <vt:variant>
        <vt:i4>161</vt:i4>
      </vt:variant>
      <vt:variant>
        <vt:i4>0</vt:i4>
      </vt:variant>
      <vt:variant>
        <vt:i4>5</vt:i4>
      </vt:variant>
      <vt:variant>
        <vt:lpwstr/>
      </vt:variant>
      <vt:variant>
        <vt:lpwstr>_Toc139533068</vt:lpwstr>
      </vt:variant>
      <vt:variant>
        <vt:i4>1310779</vt:i4>
      </vt:variant>
      <vt:variant>
        <vt:i4>155</vt:i4>
      </vt:variant>
      <vt:variant>
        <vt:i4>0</vt:i4>
      </vt:variant>
      <vt:variant>
        <vt:i4>5</vt:i4>
      </vt:variant>
      <vt:variant>
        <vt:lpwstr/>
      </vt:variant>
      <vt:variant>
        <vt:lpwstr>_Toc139533067</vt:lpwstr>
      </vt:variant>
      <vt:variant>
        <vt:i4>1310779</vt:i4>
      </vt:variant>
      <vt:variant>
        <vt:i4>149</vt:i4>
      </vt:variant>
      <vt:variant>
        <vt:i4>0</vt:i4>
      </vt:variant>
      <vt:variant>
        <vt:i4>5</vt:i4>
      </vt:variant>
      <vt:variant>
        <vt:lpwstr/>
      </vt:variant>
      <vt:variant>
        <vt:lpwstr>_Toc139533066</vt:lpwstr>
      </vt:variant>
      <vt:variant>
        <vt:i4>1310779</vt:i4>
      </vt:variant>
      <vt:variant>
        <vt:i4>143</vt:i4>
      </vt:variant>
      <vt:variant>
        <vt:i4>0</vt:i4>
      </vt:variant>
      <vt:variant>
        <vt:i4>5</vt:i4>
      </vt:variant>
      <vt:variant>
        <vt:lpwstr/>
      </vt:variant>
      <vt:variant>
        <vt:lpwstr>_Toc139533065</vt:lpwstr>
      </vt:variant>
      <vt:variant>
        <vt:i4>1310779</vt:i4>
      </vt:variant>
      <vt:variant>
        <vt:i4>137</vt:i4>
      </vt:variant>
      <vt:variant>
        <vt:i4>0</vt:i4>
      </vt:variant>
      <vt:variant>
        <vt:i4>5</vt:i4>
      </vt:variant>
      <vt:variant>
        <vt:lpwstr/>
      </vt:variant>
      <vt:variant>
        <vt:lpwstr>_Toc139533064</vt:lpwstr>
      </vt:variant>
      <vt:variant>
        <vt:i4>1310779</vt:i4>
      </vt:variant>
      <vt:variant>
        <vt:i4>131</vt:i4>
      </vt:variant>
      <vt:variant>
        <vt:i4>0</vt:i4>
      </vt:variant>
      <vt:variant>
        <vt:i4>5</vt:i4>
      </vt:variant>
      <vt:variant>
        <vt:lpwstr/>
      </vt:variant>
      <vt:variant>
        <vt:lpwstr>_Toc139533063</vt:lpwstr>
      </vt:variant>
      <vt:variant>
        <vt:i4>1310779</vt:i4>
      </vt:variant>
      <vt:variant>
        <vt:i4>125</vt:i4>
      </vt:variant>
      <vt:variant>
        <vt:i4>0</vt:i4>
      </vt:variant>
      <vt:variant>
        <vt:i4>5</vt:i4>
      </vt:variant>
      <vt:variant>
        <vt:lpwstr/>
      </vt:variant>
      <vt:variant>
        <vt:lpwstr>_Toc139533062</vt:lpwstr>
      </vt:variant>
      <vt:variant>
        <vt:i4>1310779</vt:i4>
      </vt:variant>
      <vt:variant>
        <vt:i4>119</vt:i4>
      </vt:variant>
      <vt:variant>
        <vt:i4>0</vt:i4>
      </vt:variant>
      <vt:variant>
        <vt:i4>5</vt:i4>
      </vt:variant>
      <vt:variant>
        <vt:lpwstr/>
      </vt:variant>
      <vt:variant>
        <vt:lpwstr>_Toc139533061</vt:lpwstr>
      </vt:variant>
      <vt:variant>
        <vt:i4>1310779</vt:i4>
      </vt:variant>
      <vt:variant>
        <vt:i4>113</vt:i4>
      </vt:variant>
      <vt:variant>
        <vt:i4>0</vt:i4>
      </vt:variant>
      <vt:variant>
        <vt:i4>5</vt:i4>
      </vt:variant>
      <vt:variant>
        <vt:lpwstr/>
      </vt:variant>
      <vt:variant>
        <vt:lpwstr>_Toc139533060</vt:lpwstr>
      </vt:variant>
      <vt:variant>
        <vt:i4>1507387</vt:i4>
      </vt:variant>
      <vt:variant>
        <vt:i4>107</vt:i4>
      </vt:variant>
      <vt:variant>
        <vt:i4>0</vt:i4>
      </vt:variant>
      <vt:variant>
        <vt:i4>5</vt:i4>
      </vt:variant>
      <vt:variant>
        <vt:lpwstr/>
      </vt:variant>
      <vt:variant>
        <vt:lpwstr>_Toc139533059</vt:lpwstr>
      </vt:variant>
      <vt:variant>
        <vt:i4>1507387</vt:i4>
      </vt:variant>
      <vt:variant>
        <vt:i4>101</vt:i4>
      </vt:variant>
      <vt:variant>
        <vt:i4>0</vt:i4>
      </vt:variant>
      <vt:variant>
        <vt:i4>5</vt:i4>
      </vt:variant>
      <vt:variant>
        <vt:lpwstr/>
      </vt:variant>
      <vt:variant>
        <vt:lpwstr>_Toc139533058</vt:lpwstr>
      </vt:variant>
      <vt:variant>
        <vt:i4>1507387</vt:i4>
      </vt:variant>
      <vt:variant>
        <vt:i4>95</vt:i4>
      </vt:variant>
      <vt:variant>
        <vt:i4>0</vt:i4>
      </vt:variant>
      <vt:variant>
        <vt:i4>5</vt:i4>
      </vt:variant>
      <vt:variant>
        <vt:lpwstr/>
      </vt:variant>
      <vt:variant>
        <vt:lpwstr>_Toc139533057</vt:lpwstr>
      </vt:variant>
      <vt:variant>
        <vt:i4>1507387</vt:i4>
      </vt:variant>
      <vt:variant>
        <vt:i4>89</vt:i4>
      </vt:variant>
      <vt:variant>
        <vt:i4>0</vt:i4>
      </vt:variant>
      <vt:variant>
        <vt:i4>5</vt:i4>
      </vt:variant>
      <vt:variant>
        <vt:lpwstr/>
      </vt:variant>
      <vt:variant>
        <vt:lpwstr>_Toc139533056</vt:lpwstr>
      </vt:variant>
      <vt:variant>
        <vt:i4>1507387</vt:i4>
      </vt:variant>
      <vt:variant>
        <vt:i4>83</vt:i4>
      </vt:variant>
      <vt:variant>
        <vt:i4>0</vt:i4>
      </vt:variant>
      <vt:variant>
        <vt:i4>5</vt:i4>
      </vt:variant>
      <vt:variant>
        <vt:lpwstr/>
      </vt:variant>
      <vt:variant>
        <vt:lpwstr>_Toc139533055</vt:lpwstr>
      </vt:variant>
      <vt:variant>
        <vt:i4>1507387</vt:i4>
      </vt:variant>
      <vt:variant>
        <vt:i4>77</vt:i4>
      </vt:variant>
      <vt:variant>
        <vt:i4>0</vt:i4>
      </vt:variant>
      <vt:variant>
        <vt:i4>5</vt:i4>
      </vt:variant>
      <vt:variant>
        <vt:lpwstr/>
      </vt:variant>
      <vt:variant>
        <vt:lpwstr>_Toc139533054</vt:lpwstr>
      </vt:variant>
      <vt:variant>
        <vt:i4>1507387</vt:i4>
      </vt:variant>
      <vt:variant>
        <vt:i4>71</vt:i4>
      </vt:variant>
      <vt:variant>
        <vt:i4>0</vt:i4>
      </vt:variant>
      <vt:variant>
        <vt:i4>5</vt:i4>
      </vt:variant>
      <vt:variant>
        <vt:lpwstr/>
      </vt:variant>
      <vt:variant>
        <vt:lpwstr>_Toc139533053</vt:lpwstr>
      </vt:variant>
      <vt:variant>
        <vt:i4>1507387</vt:i4>
      </vt:variant>
      <vt:variant>
        <vt:i4>65</vt:i4>
      </vt:variant>
      <vt:variant>
        <vt:i4>0</vt:i4>
      </vt:variant>
      <vt:variant>
        <vt:i4>5</vt:i4>
      </vt:variant>
      <vt:variant>
        <vt:lpwstr/>
      </vt:variant>
      <vt:variant>
        <vt:lpwstr>_Toc139533052</vt:lpwstr>
      </vt:variant>
      <vt:variant>
        <vt:i4>1507387</vt:i4>
      </vt:variant>
      <vt:variant>
        <vt:i4>59</vt:i4>
      </vt:variant>
      <vt:variant>
        <vt:i4>0</vt:i4>
      </vt:variant>
      <vt:variant>
        <vt:i4>5</vt:i4>
      </vt:variant>
      <vt:variant>
        <vt:lpwstr/>
      </vt:variant>
      <vt:variant>
        <vt:lpwstr>_Toc139533051</vt:lpwstr>
      </vt:variant>
      <vt:variant>
        <vt:i4>1507387</vt:i4>
      </vt:variant>
      <vt:variant>
        <vt:i4>53</vt:i4>
      </vt:variant>
      <vt:variant>
        <vt:i4>0</vt:i4>
      </vt:variant>
      <vt:variant>
        <vt:i4>5</vt:i4>
      </vt:variant>
      <vt:variant>
        <vt:lpwstr/>
      </vt:variant>
      <vt:variant>
        <vt:lpwstr>_Toc139533050</vt:lpwstr>
      </vt:variant>
      <vt:variant>
        <vt:i4>1441851</vt:i4>
      </vt:variant>
      <vt:variant>
        <vt:i4>47</vt:i4>
      </vt:variant>
      <vt:variant>
        <vt:i4>0</vt:i4>
      </vt:variant>
      <vt:variant>
        <vt:i4>5</vt:i4>
      </vt:variant>
      <vt:variant>
        <vt:lpwstr/>
      </vt:variant>
      <vt:variant>
        <vt:lpwstr>_Toc139533049</vt:lpwstr>
      </vt:variant>
      <vt:variant>
        <vt:i4>1441851</vt:i4>
      </vt:variant>
      <vt:variant>
        <vt:i4>41</vt:i4>
      </vt:variant>
      <vt:variant>
        <vt:i4>0</vt:i4>
      </vt:variant>
      <vt:variant>
        <vt:i4>5</vt:i4>
      </vt:variant>
      <vt:variant>
        <vt:lpwstr/>
      </vt:variant>
      <vt:variant>
        <vt:lpwstr>_Toc139533048</vt:lpwstr>
      </vt:variant>
      <vt:variant>
        <vt:i4>1441851</vt:i4>
      </vt:variant>
      <vt:variant>
        <vt:i4>35</vt:i4>
      </vt:variant>
      <vt:variant>
        <vt:i4>0</vt:i4>
      </vt:variant>
      <vt:variant>
        <vt:i4>5</vt:i4>
      </vt:variant>
      <vt:variant>
        <vt:lpwstr/>
      </vt:variant>
      <vt:variant>
        <vt:lpwstr>_Toc139533047</vt:lpwstr>
      </vt:variant>
      <vt:variant>
        <vt:i4>1441851</vt:i4>
      </vt:variant>
      <vt:variant>
        <vt:i4>29</vt:i4>
      </vt:variant>
      <vt:variant>
        <vt:i4>0</vt:i4>
      </vt:variant>
      <vt:variant>
        <vt:i4>5</vt:i4>
      </vt:variant>
      <vt:variant>
        <vt:lpwstr/>
      </vt:variant>
      <vt:variant>
        <vt:lpwstr>_Toc139533046</vt:lpwstr>
      </vt:variant>
      <vt:variant>
        <vt:i4>1441851</vt:i4>
      </vt:variant>
      <vt:variant>
        <vt:i4>23</vt:i4>
      </vt:variant>
      <vt:variant>
        <vt:i4>0</vt:i4>
      </vt:variant>
      <vt:variant>
        <vt:i4>5</vt:i4>
      </vt:variant>
      <vt:variant>
        <vt:lpwstr/>
      </vt:variant>
      <vt:variant>
        <vt:lpwstr>_Toc139533045</vt:lpwstr>
      </vt:variant>
      <vt:variant>
        <vt:i4>1441851</vt:i4>
      </vt:variant>
      <vt:variant>
        <vt:i4>17</vt:i4>
      </vt:variant>
      <vt:variant>
        <vt:i4>0</vt:i4>
      </vt:variant>
      <vt:variant>
        <vt:i4>5</vt:i4>
      </vt:variant>
      <vt:variant>
        <vt:lpwstr/>
      </vt:variant>
      <vt:variant>
        <vt:lpwstr>_Toc139533044</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Procurement Connected Policy - Guidelines</dc:title>
  <dc:subject/>
  <dc:creator/>
  <cp:keywords/>
  <dc:description/>
  <cp:lastModifiedBy/>
  <cp:revision>1</cp:revision>
  <dcterms:created xsi:type="dcterms:W3CDTF">2023-07-24T22:14:00Z</dcterms:created>
  <dcterms:modified xsi:type="dcterms:W3CDTF">2023-07-28T02:22:00Z</dcterms:modified>
  <cp:category/>
</cp:coreProperties>
</file>