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3892015"/>
        <w:docPartObj>
          <w:docPartGallery w:val="Cover Pages"/>
          <w:docPartUnique/>
        </w:docPartObj>
      </w:sdtPr>
      <w:sdtContent>
        <w:p w14:paraId="07827751" w14:textId="77777777" w:rsidR="00E370FD" w:rsidRPr="00D93DA9" w:rsidRDefault="00E370FD" w:rsidP="00D93DA9"/>
        <w:tbl>
          <w:tblPr>
            <w:tblStyle w:val="TableGrid"/>
            <w:tblW w:w="0" w:type="auto"/>
            <w:tblBorders>
              <w:top w:val="none" w:sz="0" w:space="0" w:color="auto"/>
              <w:bottom w:val="none" w:sz="0" w:space="0" w:color="auto"/>
            </w:tblBorders>
            <w:tblLook w:val="0400" w:firstRow="0" w:lastRow="0" w:firstColumn="0" w:lastColumn="0" w:noHBand="0" w:noVBand="1"/>
          </w:tblPr>
          <w:tblGrid>
            <w:gridCol w:w="9026"/>
          </w:tblGrid>
          <w:tr w:rsidR="00E370FD" w:rsidRPr="00F353FD" w14:paraId="07827754" w14:textId="77777777" w:rsidTr="00497D1E">
            <w:trPr>
              <w:trHeight w:val="4227"/>
            </w:trPr>
            <w:tc>
              <w:tcPr>
                <w:tcW w:w="9242" w:type="dxa"/>
              </w:tcPr>
              <w:p w14:paraId="07827752" w14:textId="77777777" w:rsidR="00E370FD" w:rsidRPr="00D93DA9" w:rsidRDefault="00EF303B" w:rsidP="00D93DA9">
                <w:r>
                  <w:rPr>
                    <w:noProof/>
                    <w:lang w:eastAsia="en-AU"/>
                  </w:rPr>
                  <w:drawing>
                    <wp:inline distT="0" distB="0" distL="0" distR="0" wp14:anchorId="078277DA" wp14:editId="078277DB">
                      <wp:extent cx="4229100" cy="838200"/>
                      <wp:effectExtent l="0" t="0" r="0" b="0"/>
                      <wp:docPr id="1" name="Picture 1" descr="GOV CDR RG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CDR RGB COLO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9100" cy="838200"/>
                              </a:xfrm>
                              <a:prstGeom prst="rect">
                                <a:avLst/>
                              </a:prstGeom>
                              <a:noFill/>
                              <a:ln>
                                <a:noFill/>
                              </a:ln>
                            </pic:spPr>
                          </pic:pic>
                        </a:graphicData>
                      </a:graphic>
                    </wp:inline>
                  </w:drawing>
                </w:r>
              </w:p>
              <w:p w14:paraId="07827753" w14:textId="77777777" w:rsidR="00E370FD" w:rsidRPr="00E27642" w:rsidRDefault="00E370FD" w:rsidP="00497D1E"/>
            </w:tc>
          </w:tr>
          <w:tr w:rsidR="00E370FD" w:rsidRPr="00C755AD" w14:paraId="07827756" w14:textId="77777777" w:rsidTr="00497D1E">
            <w:tc>
              <w:tcPr>
                <w:tcW w:w="9242" w:type="dxa"/>
              </w:tcPr>
              <w:p w14:paraId="35EABDC2" w14:textId="77777777" w:rsidR="00A369BF" w:rsidRPr="00A369BF" w:rsidRDefault="00A369BF" w:rsidP="00A369BF">
                <w:pPr>
                  <w:pStyle w:val="Title"/>
                </w:pPr>
                <w:r w:rsidRPr="00A369BF">
                  <w:t>Privacy Impact Assessment</w:t>
                </w:r>
              </w:p>
              <w:p w14:paraId="07827755" w14:textId="18BE76AD" w:rsidR="00E370FD" w:rsidRPr="008E524E" w:rsidRDefault="008E524E" w:rsidP="008E524E">
                <w:pPr>
                  <w:spacing w:before="0" w:after="0"/>
                  <w:textAlignment w:val="baseline"/>
                  <w:rPr>
                    <w:rFonts w:cs="Arial"/>
                    <w:color w:val="A0A39A" w:themeColor="background2" w:themeShade="BF"/>
                    <w:sz w:val="56"/>
                    <w:szCs w:val="56"/>
                  </w:rPr>
                </w:pPr>
                <w:r w:rsidRPr="004E19EE">
                  <w:rPr>
                    <w:rFonts w:cs="Arial"/>
                    <w:color w:val="A0A39A" w:themeColor="background2" w:themeShade="BF"/>
                    <w:sz w:val="56"/>
                    <w:szCs w:val="56"/>
                  </w:rPr>
                  <w:t>Operational Enhancements</w:t>
                </w:r>
              </w:p>
            </w:tc>
          </w:tr>
          <w:tr w:rsidR="00E370FD" w:rsidRPr="00C755AD" w14:paraId="07827758" w14:textId="77777777" w:rsidTr="00497D1E">
            <w:tc>
              <w:tcPr>
                <w:tcW w:w="9242" w:type="dxa"/>
              </w:tcPr>
              <w:p w14:paraId="07827757" w14:textId="7806CDF5" w:rsidR="00E370FD" w:rsidRPr="00B325AF" w:rsidRDefault="00A369BF" w:rsidP="00B325AF">
                <w:pPr>
                  <w:pStyle w:val="Subtitle"/>
                </w:pPr>
                <w:r>
                  <w:t>Agency Response</w:t>
                </w:r>
              </w:p>
            </w:tc>
          </w:tr>
          <w:tr w:rsidR="00E370FD" w:rsidRPr="00C755AD" w14:paraId="0782775B" w14:textId="77777777" w:rsidTr="00497D1E">
            <w:tc>
              <w:tcPr>
                <w:tcW w:w="9242" w:type="dxa"/>
              </w:tcPr>
              <w:p w14:paraId="07827759" w14:textId="77777777" w:rsidR="00E370FD" w:rsidRPr="00D93DA9" w:rsidRDefault="00E370FD" w:rsidP="00D93DA9"/>
              <w:p w14:paraId="0782775A" w14:textId="013E3133" w:rsidR="00E370FD" w:rsidRPr="00B325AF" w:rsidRDefault="00E457AD" w:rsidP="00B325AF">
                <w:pPr>
                  <w:pStyle w:val="CoverDate"/>
                </w:pPr>
                <w:r>
                  <w:t>July</w:t>
                </w:r>
                <w:r w:rsidR="00A369BF">
                  <w:t xml:space="preserve"> 2023</w:t>
                </w:r>
              </w:p>
            </w:tc>
          </w:tr>
        </w:tbl>
        <w:p w14:paraId="0782775C" w14:textId="77777777" w:rsidR="00687F39" w:rsidRPr="00D93DA9" w:rsidRDefault="00687F39" w:rsidP="00D93DA9"/>
        <w:p w14:paraId="0782775D" w14:textId="77777777" w:rsidR="00E370FD" w:rsidRPr="00D93DA9" w:rsidRDefault="00E370FD" w:rsidP="00D93DA9"/>
        <w:p w14:paraId="0782778F" w14:textId="4B25F5F7" w:rsidR="00687F39" w:rsidRPr="00D93DA9" w:rsidRDefault="00687F39" w:rsidP="00D93DA9">
          <w:r w:rsidRPr="00D93DA9">
            <w:br w:type="page"/>
          </w:r>
        </w:p>
      </w:sdtContent>
    </w:sdt>
    <w:p w14:paraId="71D09A25" w14:textId="2B45C312" w:rsidR="009407E1" w:rsidRDefault="00A369BF" w:rsidP="00997A01">
      <w:pPr>
        <w:pStyle w:val="Numbered1"/>
      </w:pPr>
      <w:r>
        <w:lastRenderedPageBreak/>
        <w:t>Treasury resp</w:t>
      </w:r>
      <w:r w:rsidR="00997A01">
        <w:t xml:space="preserve">onse to Privacy Impact Assessment – </w:t>
      </w:r>
      <w:r w:rsidR="006530C1">
        <w:t>operational enhancements to the</w:t>
      </w:r>
      <w:r w:rsidR="00997A01">
        <w:t xml:space="preserve"> Consumer Data Right </w:t>
      </w:r>
      <w:r w:rsidR="006530C1">
        <w:t>rules</w:t>
      </w:r>
    </w:p>
    <w:p w14:paraId="5D28F877" w14:textId="76B2F96E" w:rsidR="009407E1" w:rsidRPr="004E19EE" w:rsidRDefault="009407E1" w:rsidP="009407E1">
      <w:pPr>
        <w:rPr>
          <w:rFonts w:cstheme="minorHAnsi"/>
          <w:highlight w:val="cyan"/>
        </w:rPr>
      </w:pPr>
      <w:r w:rsidRPr="004E19EE">
        <w:rPr>
          <w:rFonts w:cstheme="minorHAnsi"/>
        </w:rPr>
        <w:t xml:space="preserve">On </w:t>
      </w:r>
      <w:r w:rsidR="00E457AD">
        <w:rPr>
          <w:rFonts w:cstheme="minorHAnsi"/>
        </w:rPr>
        <w:t>11 July 2023</w:t>
      </w:r>
      <w:r w:rsidRPr="004E19EE">
        <w:rPr>
          <w:rFonts w:cstheme="minorHAnsi"/>
        </w:rPr>
        <w:t xml:space="preserve"> the Assistant Treasurer and Minister for Financial Services, the Hon Stephen Jones MP (the ‘Minister’) made the </w:t>
      </w:r>
      <w:r w:rsidRPr="004E19EE">
        <w:rPr>
          <w:rFonts w:cstheme="minorHAnsi"/>
          <w:i/>
          <w:iCs/>
        </w:rPr>
        <w:t>Competition and Consumer (Consumer Data Right) Amendment Rules (No. 1) 2023</w:t>
      </w:r>
      <w:r w:rsidRPr="004E19EE">
        <w:rPr>
          <w:rFonts w:cstheme="minorHAnsi"/>
        </w:rPr>
        <w:t xml:space="preserve">.  The rules make operational enhancements to the </w:t>
      </w:r>
      <w:r w:rsidRPr="004E19EE">
        <w:rPr>
          <w:rFonts w:cstheme="minorHAnsi"/>
          <w:i/>
          <w:iCs/>
        </w:rPr>
        <w:t>Competition and Consumer (Consumer Data Right) Rules 2020</w:t>
      </w:r>
      <w:r w:rsidRPr="004E19EE">
        <w:rPr>
          <w:rFonts w:cstheme="minorHAnsi"/>
        </w:rPr>
        <w:t xml:space="preserve"> (CDR rules), including a range of adjustments aimed at improving the usability and transparency of the CDR, particularly in relation to CDR business consumers and service providers. </w:t>
      </w:r>
    </w:p>
    <w:p w14:paraId="07D0E160" w14:textId="5DFACD75" w:rsidR="009407E1" w:rsidRPr="004E19EE" w:rsidRDefault="5EC80971" w:rsidP="570CD14A">
      <w:r>
        <w:t>The operational enhancements follow consultation on the exposure draft amendments to the CDR rules and explanatory materials that occurred between 15 September and 14</w:t>
      </w:r>
      <w:r w:rsidR="6CA0852F">
        <w:t> </w:t>
      </w:r>
      <w:r>
        <w:t xml:space="preserve">October 2022. The consultation included a stakeholder forum on the draft rules that occurred on 28 </w:t>
      </w:r>
      <w:r w:rsidR="7414D4E6">
        <w:t>September, bilateral</w:t>
      </w:r>
      <w:r>
        <w:t xml:space="preserve"> meetings with a range of stakeholders, and careful consideration of the submissions received</w:t>
      </w:r>
      <w:r w:rsidR="48831337">
        <w:t xml:space="preserve"> in relation to the proposed operational enh</w:t>
      </w:r>
      <w:r w:rsidR="296ACBD3">
        <w:t>a</w:t>
      </w:r>
      <w:r w:rsidR="48831337">
        <w:t>ncements</w:t>
      </w:r>
      <w:r>
        <w:t xml:space="preserve">. </w:t>
      </w:r>
    </w:p>
    <w:p w14:paraId="7362C1D1" w14:textId="77777777" w:rsidR="009407E1" w:rsidRPr="004E19EE" w:rsidRDefault="009407E1" w:rsidP="009407E1">
      <w:pPr>
        <w:rPr>
          <w:rFonts w:cstheme="minorHAnsi"/>
        </w:rPr>
      </w:pPr>
      <w:r w:rsidRPr="004E19EE">
        <w:rPr>
          <w:rFonts w:cstheme="minorHAnsi"/>
        </w:rPr>
        <w:t xml:space="preserve">The </w:t>
      </w:r>
      <w:r w:rsidRPr="004E19EE">
        <w:rPr>
          <w:rFonts w:cstheme="minorHAnsi"/>
          <w:i/>
          <w:iCs/>
        </w:rPr>
        <w:t>Privacy (Australian Government Agencies – Governance) APP Code 2017</w:t>
      </w:r>
      <w:r w:rsidRPr="004E19EE">
        <w:rPr>
          <w:rFonts w:cstheme="minorHAnsi"/>
        </w:rPr>
        <w:t xml:space="preserve"> requires a Privacy Impact Assessment (PIA) to be conducted for all high privacy risk projects, which must identify impacts on the privacy of individuals and set out recommendations for managing, </w:t>
      </w:r>
      <w:proofErr w:type="gramStart"/>
      <w:r w:rsidRPr="004E19EE">
        <w:rPr>
          <w:rFonts w:cstheme="minorHAnsi"/>
        </w:rPr>
        <w:t>minimising</w:t>
      </w:r>
      <w:proofErr w:type="gramEnd"/>
      <w:r w:rsidRPr="004E19EE">
        <w:rPr>
          <w:rFonts w:cstheme="minorHAnsi"/>
        </w:rPr>
        <w:t xml:space="preserve"> or eliminating that impact. </w:t>
      </w:r>
    </w:p>
    <w:p w14:paraId="2EB253A1" w14:textId="77777777" w:rsidR="009407E1" w:rsidRPr="004E19EE" w:rsidRDefault="009407E1" w:rsidP="009407E1">
      <w:pPr>
        <w:rPr>
          <w:rFonts w:cstheme="minorHAnsi"/>
        </w:rPr>
      </w:pPr>
      <w:r w:rsidRPr="004E19EE">
        <w:rPr>
          <w:rFonts w:cstheme="minorHAnsi"/>
        </w:rPr>
        <w:t xml:space="preserve">Under the </w:t>
      </w:r>
      <w:r w:rsidRPr="004E19EE">
        <w:rPr>
          <w:rFonts w:cstheme="minorHAnsi"/>
          <w:i/>
          <w:iCs/>
        </w:rPr>
        <w:t>Competition and Consumer Act 2010</w:t>
      </w:r>
      <w:r w:rsidRPr="004E19EE">
        <w:rPr>
          <w:rFonts w:cstheme="minorHAnsi"/>
        </w:rPr>
        <w:t xml:space="preserve"> (CCA), the likely effect of making the rules on privacy or confidentiality of consumers’ information must be considered by the Minister before making the CDR rules. This must be considered alongside a range of other matters, including the likely effect of making the instrument on the interests of consumers, the efficiency of relevant markets, promoting competition, promoting data driven innovation, any intellectual property in the information to be covered by the instrument, the public interest as well as the likely regulatory impact of the making of the CDR rules. </w:t>
      </w:r>
    </w:p>
    <w:p w14:paraId="0A3F2620" w14:textId="77777777" w:rsidR="009407E1" w:rsidRPr="004E19EE" w:rsidRDefault="009407E1" w:rsidP="009407E1">
      <w:pPr>
        <w:rPr>
          <w:rFonts w:cstheme="minorHAnsi"/>
        </w:rPr>
      </w:pPr>
      <w:r w:rsidRPr="004E19EE">
        <w:rPr>
          <w:rFonts w:cstheme="minorHAnsi"/>
        </w:rPr>
        <w:t xml:space="preserve">Treasury engaged KPMG to conduct a PIA for the proposed operational enhancements to the CDR Rules to ensure the amendments effectively manage privacy risks and to inform the Minister’s decision to make the amendments. </w:t>
      </w:r>
    </w:p>
    <w:p w14:paraId="33A65CE9" w14:textId="77777777" w:rsidR="009407E1" w:rsidRPr="004E19EE" w:rsidRDefault="009407E1" w:rsidP="009407E1">
      <w:pPr>
        <w:rPr>
          <w:rFonts w:cstheme="minorHAnsi"/>
        </w:rPr>
      </w:pPr>
      <w:r w:rsidRPr="004E19EE">
        <w:rPr>
          <w:rFonts w:cstheme="minorHAnsi"/>
        </w:rPr>
        <w:t xml:space="preserve">The scope of the PIA is limited to the proposed amendments to the CDR rules insofar as they relate to the proposed operational enhancements measures. The PIA was informed by submissions to the exposure draft amendments and was prepared on the basis that it is a living document that supplements the other independent PIAs that have been conducted for the CDR to date, including for the implementation of the CDR to the banking and energy sectors. </w:t>
      </w:r>
    </w:p>
    <w:p w14:paraId="104734D5" w14:textId="77777777" w:rsidR="009407E1" w:rsidRPr="004E19EE" w:rsidRDefault="009407E1" w:rsidP="009407E1">
      <w:pPr>
        <w:rPr>
          <w:rFonts w:cstheme="minorHAnsi"/>
        </w:rPr>
      </w:pPr>
      <w:r w:rsidRPr="004E19EE">
        <w:rPr>
          <w:rFonts w:cstheme="minorHAnsi"/>
        </w:rPr>
        <w:t xml:space="preserve">The final PIA and public submissions are now available on the Treasury website. </w:t>
      </w:r>
    </w:p>
    <w:p w14:paraId="16C28F38" w14:textId="1E8AD2A9" w:rsidR="009407E1" w:rsidRDefault="009407E1" w:rsidP="009407E1">
      <w:pPr>
        <w:rPr>
          <w:rFonts w:cstheme="minorHAnsi"/>
        </w:rPr>
      </w:pPr>
      <w:r w:rsidRPr="004E19EE">
        <w:rPr>
          <w:rFonts w:cstheme="minorHAnsi"/>
        </w:rPr>
        <w:t xml:space="preserve">The PIA included </w:t>
      </w:r>
      <w:r w:rsidR="009D67A1">
        <w:rPr>
          <w:rFonts w:cstheme="minorHAnsi"/>
        </w:rPr>
        <w:t>twelve</w:t>
      </w:r>
      <w:r w:rsidRPr="004E19EE">
        <w:rPr>
          <w:rFonts w:cstheme="minorHAnsi"/>
        </w:rPr>
        <w:t xml:space="preserve"> recommendations. This document provides an agency response to each of these recommendations. </w:t>
      </w:r>
    </w:p>
    <w:p w14:paraId="6DA42957" w14:textId="1ED9EFDC" w:rsidR="009407E1" w:rsidRDefault="009407E1" w:rsidP="00997A01"/>
    <w:p w14:paraId="29D39361" w14:textId="5D420B0F" w:rsidR="00795EA6" w:rsidRDefault="00795EA6" w:rsidP="00997A01"/>
    <w:p w14:paraId="49AF1CC9" w14:textId="2CA4A5D3" w:rsidR="00795EA6" w:rsidRDefault="00795EA6" w:rsidP="00997A01"/>
    <w:p w14:paraId="437A5317" w14:textId="32EB56F1" w:rsidR="00795EA6" w:rsidRDefault="00795EA6" w:rsidP="00997A01"/>
    <w:p w14:paraId="097326DB" w14:textId="77777777" w:rsidR="00795EA6" w:rsidRDefault="00795EA6" w:rsidP="00997A01"/>
    <w:p w14:paraId="07827791" w14:textId="70E6B11B" w:rsidR="00687F39" w:rsidRDefault="003753D7" w:rsidP="003753D7">
      <w:pPr>
        <w:pStyle w:val="Numbered11"/>
        <w:numPr>
          <w:ilvl w:val="0"/>
          <w:numId w:val="0"/>
        </w:numPr>
        <w:ind w:left="1021" w:hanging="1021"/>
        <w:rPr>
          <w:rStyle w:val="Heading2Char"/>
        </w:rPr>
      </w:pPr>
      <w:r>
        <w:rPr>
          <w:rStyle w:val="Heading2Char"/>
        </w:rPr>
        <w:t xml:space="preserve">Recommendation 1 – </w:t>
      </w:r>
      <w:r w:rsidR="00CC62BD" w:rsidRPr="004E19EE">
        <w:rPr>
          <w:szCs w:val="22"/>
        </w:rPr>
        <w:t>scope of business consumer consents</w:t>
      </w:r>
    </w:p>
    <w:p w14:paraId="0D66964C" w14:textId="77777777" w:rsidR="003753D7" w:rsidRPr="003753D7" w:rsidRDefault="003753D7" w:rsidP="007321FE">
      <w:pPr>
        <w:spacing w:before="0"/>
      </w:pPr>
    </w:p>
    <w:tbl>
      <w:tblPr>
        <w:tblStyle w:val="TableGrid1"/>
        <w:tblW w:w="0" w:type="auto"/>
        <w:tblLook w:val="04A0" w:firstRow="1" w:lastRow="0" w:firstColumn="1" w:lastColumn="0" w:noHBand="0" w:noVBand="1"/>
      </w:tblPr>
      <w:tblGrid>
        <w:gridCol w:w="9016"/>
      </w:tblGrid>
      <w:tr w:rsidR="003753D7" w:rsidRPr="00F06060" w14:paraId="63C7425B" w14:textId="77777777" w:rsidTr="00795EA6">
        <w:trPr>
          <w:trHeight w:val="1061"/>
        </w:trPr>
        <w:tc>
          <w:tcPr>
            <w:tcW w:w="9016" w:type="dxa"/>
            <w:tcBorders>
              <w:top w:val="single" w:sz="4" w:space="0" w:color="auto"/>
            </w:tcBorders>
            <w:shd w:val="clear" w:color="auto" w:fill="C9D7FB" w:themeFill="accent2" w:themeFillTint="33"/>
          </w:tcPr>
          <w:p w14:paraId="71FBCBD3" w14:textId="505654A8" w:rsidR="003753D7" w:rsidRPr="007A7479" w:rsidRDefault="006963F9" w:rsidP="00497D1E">
            <w:pPr>
              <w:spacing w:after="220" w:line="276" w:lineRule="auto"/>
              <w:contextualSpacing/>
              <w:rPr>
                <w:rFonts w:asciiTheme="minorHAnsi" w:hAnsiTheme="minorHAnsi" w:cstheme="minorHAnsi"/>
                <w:sz w:val="22"/>
                <w:szCs w:val="22"/>
              </w:rPr>
            </w:pPr>
            <w:r w:rsidRPr="000D6388">
              <w:rPr>
                <w:rFonts w:cstheme="minorHAnsi"/>
                <w:sz w:val="22"/>
                <w:szCs w:val="22"/>
              </w:rPr>
              <w:t>Consider a method to encourage ADRs [(accredited data recipients)] to communicate the scope of the business consumer’s consent to unaccredited recipients. The way this could occur (e.g. via the Rules or Guidance) would be open for Treasury to consider.</w:t>
            </w:r>
          </w:p>
        </w:tc>
      </w:tr>
      <w:tr w:rsidR="003753D7" w:rsidRPr="000C76FC" w14:paraId="6F7F2E9C" w14:textId="77777777" w:rsidTr="003753D7">
        <w:tc>
          <w:tcPr>
            <w:tcW w:w="9016" w:type="dxa"/>
            <w:tcBorders>
              <w:top w:val="single" w:sz="4" w:space="0" w:color="auto"/>
            </w:tcBorders>
            <w:shd w:val="clear" w:color="auto" w:fill="FFFFFF" w:themeFill="background1"/>
          </w:tcPr>
          <w:p w14:paraId="141B1EF4" w14:textId="1639A605" w:rsidR="003753D7" w:rsidRPr="000C76FC" w:rsidRDefault="00991720" w:rsidP="00497D1E">
            <w:pPr>
              <w:spacing w:after="220" w:line="276" w:lineRule="auto"/>
              <w:rPr>
                <w:rFonts w:asciiTheme="minorHAnsi" w:hAnsiTheme="minorHAnsi" w:cstheme="minorHAnsi"/>
                <w:color w:val="000000" w:themeColor="text1"/>
                <w:sz w:val="22"/>
                <w:szCs w:val="22"/>
              </w:rPr>
            </w:pPr>
            <w:r w:rsidRPr="004E19EE">
              <w:rPr>
                <w:rFonts w:cstheme="minorBidi"/>
                <w:sz w:val="22"/>
                <w:szCs w:val="22"/>
              </w:rPr>
              <w:t xml:space="preserve">This recommendation will be </w:t>
            </w:r>
            <w:r w:rsidRPr="004E19EE">
              <w:rPr>
                <w:rFonts w:cstheme="minorBidi"/>
                <w:b/>
                <w:bCs/>
                <w:sz w:val="22"/>
                <w:szCs w:val="22"/>
              </w:rPr>
              <w:t>referred</w:t>
            </w:r>
            <w:r w:rsidRPr="004E19EE">
              <w:rPr>
                <w:rFonts w:cstheme="minorBidi"/>
                <w:sz w:val="22"/>
                <w:szCs w:val="22"/>
              </w:rPr>
              <w:t xml:space="preserve"> to the Data Standards Body (DSB) for the Data Standards Chair’s consideration. The CDR rules allow the Data Standards Chair to make standards in relation to the disclosure of CDR data, and it may be appropriate for standards to be made that would require ADRs to give unaccredited recipients the recommended notification.</w:t>
            </w:r>
          </w:p>
        </w:tc>
      </w:tr>
    </w:tbl>
    <w:p w14:paraId="786EE9DD" w14:textId="13F9F512" w:rsidR="003753D7" w:rsidRDefault="003753D7" w:rsidP="00506420">
      <w:pPr>
        <w:pStyle w:val="Numbered11"/>
        <w:numPr>
          <w:ilvl w:val="0"/>
          <w:numId w:val="0"/>
        </w:numPr>
        <w:rPr>
          <w:rStyle w:val="Heading2Char"/>
        </w:rPr>
      </w:pPr>
      <w:r>
        <w:rPr>
          <w:rStyle w:val="Heading2Char"/>
        </w:rPr>
        <w:t xml:space="preserve">Recommendation 2 </w:t>
      </w:r>
      <w:r w:rsidR="00503779" w:rsidRPr="004E19EE">
        <w:rPr>
          <w:szCs w:val="22"/>
        </w:rPr>
        <w:t>– deletion and de-identification by unaccredited recipients</w:t>
      </w:r>
    </w:p>
    <w:p w14:paraId="59FEDE25" w14:textId="77777777" w:rsidR="003753D7" w:rsidRPr="003753D7" w:rsidRDefault="003753D7" w:rsidP="007321FE">
      <w:pPr>
        <w:spacing w:before="0"/>
      </w:pPr>
    </w:p>
    <w:tbl>
      <w:tblPr>
        <w:tblStyle w:val="TableGrid1"/>
        <w:tblW w:w="0" w:type="auto"/>
        <w:tblLook w:val="04A0" w:firstRow="1" w:lastRow="0" w:firstColumn="1" w:lastColumn="0" w:noHBand="0" w:noVBand="1"/>
      </w:tblPr>
      <w:tblGrid>
        <w:gridCol w:w="9016"/>
      </w:tblGrid>
      <w:tr w:rsidR="003753D7" w:rsidRPr="00F06060" w14:paraId="1828A8A2" w14:textId="77777777" w:rsidTr="00795EA6">
        <w:trPr>
          <w:trHeight w:val="782"/>
        </w:trPr>
        <w:tc>
          <w:tcPr>
            <w:tcW w:w="9016" w:type="dxa"/>
            <w:tcBorders>
              <w:top w:val="single" w:sz="4" w:space="0" w:color="auto"/>
            </w:tcBorders>
            <w:shd w:val="clear" w:color="auto" w:fill="C9D7FB" w:themeFill="accent2" w:themeFillTint="33"/>
          </w:tcPr>
          <w:p w14:paraId="5E770C88" w14:textId="21DED21C" w:rsidR="003753D7" w:rsidRPr="00F06060" w:rsidRDefault="006B2590" w:rsidP="00497D1E">
            <w:pPr>
              <w:spacing w:after="220" w:line="276" w:lineRule="auto"/>
              <w:contextualSpacing/>
              <w:rPr>
                <w:rFonts w:asciiTheme="minorHAnsi" w:hAnsiTheme="minorHAnsi" w:cstheme="minorHAnsi"/>
                <w:sz w:val="22"/>
                <w:szCs w:val="22"/>
              </w:rPr>
            </w:pPr>
            <w:r w:rsidRPr="004E19EE">
              <w:rPr>
                <w:rFonts w:cstheme="minorHAnsi"/>
                <w:sz w:val="22"/>
                <w:szCs w:val="22"/>
              </w:rPr>
              <w:t>Consider a method to require unaccredited recipients to delete or de-identify consumer data once there is no longer a purpose to retain it (e.g. pursuant to APP 11).</w:t>
            </w:r>
          </w:p>
        </w:tc>
      </w:tr>
      <w:tr w:rsidR="003753D7" w:rsidRPr="00EE7A50" w14:paraId="1F782F9D" w14:textId="77777777" w:rsidTr="003753D7">
        <w:tc>
          <w:tcPr>
            <w:tcW w:w="9016" w:type="dxa"/>
            <w:tcBorders>
              <w:top w:val="single" w:sz="4" w:space="0" w:color="auto"/>
            </w:tcBorders>
            <w:shd w:val="clear" w:color="auto" w:fill="FFFFFF" w:themeFill="background1"/>
          </w:tcPr>
          <w:p w14:paraId="1F3716F3" w14:textId="3452DC27" w:rsidR="003753D7" w:rsidRPr="00EE7A50" w:rsidRDefault="00563488" w:rsidP="00497D1E">
            <w:pPr>
              <w:spacing w:after="220" w:line="276" w:lineRule="auto"/>
              <w:rPr>
                <w:rFonts w:asciiTheme="minorHAnsi" w:hAnsiTheme="minorHAnsi" w:cstheme="minorHAnsi"/>
                <w:color w:val="000000" w:themeColor="text1"/>
                <w:sz w:val="22"/>
                <w:szCs w:val="22"/>
              </w:rPr>
            </w:pPr>
            <w:r w:rsidRPr="004E19EE">
              <w:rPr>
                <w:rFonts w:cstheme="minorBidi"/>
                <w:sz w:val="22"/>
                <w:szCs w:val="22"/>
              </w:rPr>
              <w:t xml:space="preserve">Treasury </w:t>
            </w:r>
            <w:r w:rsidRPr="004E19EE">
              <w:rPr>
                <w:rFonts w:cstheme="minorBidi"/>
                <w:b/>
                <w:bCs/>
                <w:sz w:val="22"/>
                <w:szCs w:val="22"/>
              </w:rPr>
              <w:t>does not accept</w:t>
            </w:r>
            <w:r w:rsidRPr="004E19EE">
              <w:rPr>
                <w:rFonts w:cstheme="minorBidi"/>
                <w:sz w:val="22"/>
                <w:szCs w:val="22"/>
              </w:rPr>
              <w:t xml:space="preserve"> this recommendation. Unaccredited recipients are not regulated under the CDR, and the purpose of the business consumer disclosure consent is to allow business consumers to consent to the disclosure of their data to anyone they choose, irrespective of considerations such as whether the recipient is subject to obligations under the </w:t>
            </w:r>
            <w:r w:rsidRPr="004E19EE">
              <w:rPr>
                <w:rFonts w:cstheme="minorBidi"/>
                <w:i/>
                <w:iCs/>
                <w:sz w:val="22"/>
                <w:szCs w:val="22"/>
              </w:rPr>
              <w:t xml:space="preserve">Privacy Act 1988 </w:t>
            </w:r>
            <w:r w:rsidRPr="004E19EE">
              <w:rPr>
                <w:rFonts w:cstheme="minorBidi"/>
                <w:sz w:val="22"/>
                <w:szCs w:val="22"/>
              </w:rPr>
              <w:t>(the Privacy Act) in relation to that data. Treasury notes that a review of the Privacy Act</w:t>
            </w:r>
            <w:r w:rsidRPr="004E19EE">
              <w:rPr>
                <w:rFonts w:cstheme="minorBidi"/>
                <w:i/>
                <w:iCs/>
                <w:sz w:val="22"/>
                <w:szCs w:val="22"/>
              </w:rPr>
              <w:t xml:space="preserve">, </w:t>
            </w:r>
            <w:r w:rsidRPr="004E19EE">
              <w:rPr>
                <w:rFonts w:cstheme="minorBidi"/>
                <w:sz w:val="22"/>
                <w:szCs w:val="22"/>
              </w:rPr>
              <w:t>including whether it and its enforcement mechanisms remain fit for purpose,</w:t>
            </w:r>
            <w:r w:rsidRPr="004E19EE">
              <w:rPr>
                <w:rFonts w:cstheme="minorBidi"/>
                <w:i/>
                <w:iCs/>
                <w:sz w:val="22"/>
                <w:szCs w:val="22"/>
              </w:rPr>
              <w:t xml:space="preserve"> </w:t>
            </w:r>
            <w:r w:rsidRPr="004E19EE">
              <w:rPr>
                <w:rFonts w:cstheme="minorBidi"/>
                <w:sz w:val="22"/>
                <w:szCs w:val="22"/>
              </w:rPr>
              <w:t>is currently underway.</w:t>
            </w:r>
          </w:p>
        </w:tc>
      </w:tr>
    </w:tbl>
    <w:p w14:paraId="4BCA711D" w14:textId="28E17A8B" w:rsidR="003753D7" w:rsidRDefault="003753D7" w:rsidP="00104F9D">
      <w:pPr>
        <w:pStyle w:val="Numbered11"/>
        <w:numPr>
          <w:ilvl w:val="0"/>
          <w:numId w:val="0"/>
        </w:numPr>
        <w:ind w:left="1021" w:hanging="1021"/>
        <w:rPr>
          <w:szCs w:val="22"/>
        </w:rPr>
      </w:pPr>
      <w:r>
        <w:rPr>
          <w:rStyle w:val="Heading2Char"/>
        </w:rPr>
        <w:t xml:space="preserve">Recommendation 3 – </w:t>
      </w:r>
      <w:r w:rsidR="00104F9D" w:rsidRPr="004E19EE">
        <w:rPr>
          <w:szCs w:val="22"/>
        </w:rPr>
        <w:t>user testing with unaccredited entities</w:t>
      </w:r>
    </w:p>
    <w:p w14:paraId="6D26F757" w14:textId="77777777" w:rsidR="00795EA6" w:rsidRPr="00795EA6" w:rsidRDefault="00795EA6" w:rsidP="00746FB7">
      <w:pPr>
        <w:spacing w:before="0"/>
      </w:pPr>
    </w:p>
    <w:tbl>
      <w:tblPr>
        <w:tblStyle w:val="TableGrid1"/>
        <w:tblW w:w="0" w:type="auto"/>
        <w:tblLook w:val="04A0" w:firstRow="1" w:lastRow="0" w:firstColumn="1" w:lastColumn="0" w:noHBand="0" w:noVBand="1"/>
      </w:tblPr>
      <w:tblGrid>
        <w:gridCol w:w="9016"/>
      </w:tblGrid>
      <w:tr w:rsidR="003753D7" w:rsidRPr="00F06060" w14:paraId="0EC7D8E7" w14:textId="77777777" w:rsidTr="00795EA6">
        <w:trPr>
          <w:trHeight w:val="990"/>
        </w:trPr>
        <w:tc>
          <w:tcPr>
            <w:tcW w:w="9016" w:type="dxa"/>
            <w:tcBorders>
              <w:top w:val="single" w:sz="4" w:space="0" w:color="auto"/>
            </w:tcBorders>
            <w:shd w:val="clear" w:color="auto" w:fill="C9D7FB" w:themeFill="accent2" w:themeFillTint="33"/>
          </w:tcPr>
          <w:p w14:paraId="14A165B7" w14:textId="30FCB1DD" w:rsidR="003753D7" w:rsidRPr="00F06060" w:rsidRDefault="005E5C11" w:rsidP="00497D1E">
            <w:pPr>
              <w:spacing w:after="220" w:line="276" w:lineRule="auto"/>
              <w:contextualSpacing/>
              <w:rPr>
                <w:rFonts w:asciiTheme="minorHAnsi" w:hAnsiTheme="minorHAnsi" w:cstheme="minorHAnsi"/>
                <w:sz w:val="22"/>
                <w:szCs w:val="22"/>
              </w:rPr>
            </w:pPr>
            <w:r w:rsidRPr="004E19EE">
              <w:rPr>
                <w:rFonts w:cstheme="minorHAnsi"/>
                <w:sz w:val="22"/>
                <w:szCs w:val="22"/>
              </w:rPr>
              <w:t>User testing should be undertaken with unaccredited recipients to determine how they will understand the impact of the consent provided by the business consumer against their ability to use the data.</w:t>
            </w:r>
          </w:p>
        </w:tc>
      </w:tr>
      <w:tr w:rsidR="003753D7" w:rsidRPr="00D72D45" w14:paraId="7FAA07E6" w14:textId="77777777" w:rsidTr="003753D7">
        <w:tc>
          <w:tcPr>
            <w:tcW w:w="9016" w:type="dxa"/>
            <w:tcBorders>
              <w:top w:val="single" w:sz="4" w:space="0" w:color="auto"/>
            </w:tcBorders>
            <w:shd w:val="clear" w:color="auto" w:fill="FFFFFF" w:themeFill="background1"/>
          </w:tcPr>
          <w:p w14:paraId="6641A6D4" w14:textId="4553E48E" w:rsidR="003753D7" w:rsidRPr="00D72D45" w:rsidRDefault="00DA2727" w:rsidP="00497D1E">
            <w:pPr>
              <w:spacing w:after="220" w:line="276" w:lineRule="auto"/>
              <w:rPr>
                <w:rFonts w:asciiTheme="minorHAnsi" w:hAnsiTheme="minorHAnsi" w:cstheme="minorHAnsi"/>
                <w:color w:val="000000" w:themeColor="text1"/>
                <w:sz w:val="22"/>
                <w:szCs w:val="22"/>
              </w:rPr>
            </w:pPr>
            <w:r w:rsidRPr="004E19EE">
              <w:rPr>
                <w:rFonts w:cstheme="minorHAnsi"/>
                <w:sz w:val="22"/>
                <w:szCs w:val="22"/>
              </w:rPr>
              <w:t xml:space="preserve">Treasury </w:t>
            </w:r>
            <w:r w:rsidRPr="004E19EE">
              <w:rPr>
                <w:rFonts w:cstheme="minorHAnsi"/>
                <w:b/>
                <w:bCs/>
                <w:sz w:val="22"/>
                <w:szCs w:val="22"/>
              </w:rPr>
              <w:t>does not accept</w:t>
            </w:r>
            <w:r w:rsidRPr="004E19EE">
              <w:rPr>
                <w:rFonts w:cstheme="minorHAnsi"/>
                <w:sz w:val="22"/>
                <w:szCs w:val="22"/>
              </w:rPr>
              <w:t xml:space="preserve"> this recommendation. The consent given by the business consumer to the ADR does not relate to the unaccredited recipient’s use of the CDR data. Rather, the consent is given to the ADR by the business consumer to allow the ADR to disclose the business consumer’s CDR data to the unaccredited recipient. Once the CDR data has been disclosed to the unaccredited recipient, the CDR legislation does not regulate their use of the data.</w:t>
            </w:r>
          </w:p>
        </w:tc>
      </w:tr>
    </w:tbl>
    <w:p w14:paraId="19ACCD3D" w14:textId="77777777" w:rsidR="000812A2" w:rsidRDefault="000812A2" w:rsidP="0055709A">
      <w:pPr>
        <w:pStyle w:val="Numbered11"/>
        <w:numPr>
          <w:ilvl w:val="0"/>
          <w:numId w:val="0"/>
        </w:numPr>
        <w:rPr>
          <w:rStyle w:val="Heading2Char"/>
        </w:rPr>
      </w:pPr>
    </w:p>
    <w:p w14:paraId="00EAC8A4" w14:textId="77777777" w:rsidR="000812A2" w:rsidRDefault="000812A2" w:rsidP="0055709A">
      <w:pPr>
        <w:pStyle w:val="Numbered11"/>
        <w:numPr>
          <w:ilvl w:val="0"/>
          <w:numId w:val="0"/>
        </w:numPr>
        <w:rPr>
          <w:rStyle w:val="Heading2Char"/>
        </w:rPr>
      </w:pPr>
    </w:p>
    <w:p w14:paraId="2D10DD58" w14:textId="77777777" w:rsidR="000812A2" w:rsidRDefault="000812A2" w:rsidP="0055709A">
      <w:pPr>
        <w:pStyle w:val="Numbered11"/>
        <w:numPr>
          <w:ilvl w:val="0"/>
          <w:numId w:val="0"/>
        </w:numPr>
        <w:rPr>
          <w:rStyle w:val="Heading2Char"/>
        </w:rPr>
      </w:pPr>
    </w:p>
    <w:p w14:paraId="6E1ACCFB" w14:textId="4EC66B58" w:rsidR="003753D7" w:rsidRDefault="003753D7" w:rsidP="0055709A">
      <w:pPr>
        <w:pStyle w:val="Numbered11"/>
        <w:numPr>
          <w:ilvl w:val="0"/>
          <w:numId w:val="0"/>
        </w:numPr>
        <w:rPr>
          <w:rStyle w:val="Heading2Char"/>
        </w:rPr>
      </w:pPr>
      <w:r>
        <w:rPr>
          <w:rStyle w:val="Heading2Char"/>
        </w:rPr>
        <w:lastRenderedPageBreak/>
        <w:t xml:space="preserve">Recommendation </w:t>
      </w:r>
      <w:r w:rsidR="00505A3C">
        <w:rPr>
          <w:rStyle w:val="Heading2Char"/>
        </w:rPr>
        <w:t>4</w:t>
      </w:r>
      <w:r>
        <w:rPr>
          <w:rStyle w:val="Heading2Char"/>
        </w:rPr>
        <w:t xml:space="preserve"> </w:t>
      </w:r>
      <w:r w:rsidR="00555B13" w:rsidRPr="004E19EE">
        <w:rPr>
          <w:szCs w:val="22"/>
        </w:rPr>
        <w:t xml:space="preserve">– user testing and/or use case development with CDR business </w:t>
      </w:r>
      <w:proofErr w:type="gramStart"/>
      <w:r w:rsidR="00555B13" w:rsidRPr="004E19EE">
        <w:rPr>
          <w:szCs w:val="22"/>
        </w:rPr>
        <w:t>consumers</w:t>
      </w:r>
      <w:proofErr w:type="gramEnd"/>
    </w:p>
    <w:p w14:paraId="2FEDB513" w14:textId="77777777" w:rsidR="00505A3C" w:rsidRPr="00505A3C" w:rsidRDefault="00505A3C" w:rsidP="0055709A">
      <w:pPr>
        <w:spacing w:before="0"/>
      </w:pPr>
    </w:p>
    <w:tbl>
      <w:tblPr>
        <w:tblStyle w:val="TableGrid1"/>
        <w:tblW w:w="0" w:type="auto"/>
        <w:tblLook w:val="04A0" w:firstRow="1" w:lastRow="0" w:firstColumn="1" w:lastColumn="0" w:noHBand="0" w:noVBand="1"/>
      </w:tblPr>
      <w:tblGrid>
        <w:gridCol w:w="9016"/>
      </w:tblGrid>
      <w:tr w:rsidR="00505A3C" w:rsidRPr="009D05AD" w14:paraId="6C01F3D2" w14:textId="77777777" w:rsidTr="00505A3C">
        <w:trPr>
          <w:trHeight w:val="2111"/>
        </w:trPr>
        <w:tc>
          <w:tcPr>
            <w:tcW w:w="9016" w:type="dxa"/>
            <w:tcBorders>
              <w:top w:val="single" w:sz="4" w:space="0" w:color="auto"/>
            </w:tcBorders>
            <w:shd w:val="clear" w:color="auto" w:fill="C9D7FB" w:themeFill="accent2" w:themeFillTint="33"/>
          </w:tcPr>
          <w:p w14:paraId="508DD3C4" w14:textId="00E6D301" w:rsidR="00505A3C" w:rsidRPr="009D05AD" w:rsidRDefault="00B60AEF" w:rsidP="00497D1E">
            <w:pPr>
              <w:spacing w:after="220" w:line="276" w:lineRule="auto"/>
              <w:contextualSpacing/>
              <w:rPr>
                <w:rFonts w:asciiTheme="minorHAnsi" w:hAnsiTheme="minorHAnsi" w:cstheme="minorHAnsi"/>
                <w:sz w:val="22"/>
                <w:szCs w:val="22"/>
              </w:rPr>
            </w:pPr>
            <w:r w:rsidRPr="004E19EE">
              <w:rPr>
                <w:rFonts w:cstheme="minorHAnsi"/>
                <w:sz w:val="22"/>
                <w:szCs w:val="22"/>
              </w:rPr>
              <w:t>User testing and/or use case development [should be] completed with CDR business consumers to ensure that the business consumer consent processes designed by the DSB are fit for purpose and ensure the correct consent(s) are provided. Such testing should consider whether CDR business consumers fully understand what disclosures they are consenting to, and the extent to which they understand that their disclosure will allow CDR data to be shared with an unaccredited third party (who will not be subject to CDR requirements).</w:t>
            </w:r>
          </w:p>
        </w:tc>
      </w:tr>
      <w:tr w:rsidR="00505A3C" w:rsidRPr="00D72D45" w14:paraId="504B91E0" w14:textId="77777777" w:rsidTr="00505A3C">
        <w:tc>
          <w:tcPr>
            <w:tcW w:w="9016" w:type="dxa"/>
            <w:tcBorders>
              <w:top w:val="single" w:sz="4" w:space="0" w:color="auto"/>
            </w:tcBorders>
            <w:shd w:val="clear" w:color="auto" w:fill="FFFFFF" w:themeFill="background1"/>
          </w:tcPr>
          <w:p w14:paraId="7D08A915" w14:textId="3D43BEBF" w:rsidR="00505A3C" w:rsidRPr="00D72D45" w:rsidRDefault="00FE27BE" w:rsidP="00497D1E">
            <w:pPr>
              <w:spacing w:after="220" w:line="276" w:lineRule="auto"/>
              <w:rPr>
                <w:rFonts w:asciiTheme="minorHAnsi" w:hAnsiTheme="minorHAnsi" w:cstheme="minorHAnsi"/>
                <w:color w:val="000000" w:themeColor="text1"/>
                <w:sz w:val="22"/>
                <w:szCs w:val="22"/>
              </w:rPr>
            </w:pPr>
            <w:r w:rsidRPr="004E19EE">
              <w:rPr>
                <w:rFonts w:cstheme="minorHAnsi"/>
                <w:sz w:val="22"/>
                <w:szCs w:val="22"/>
              </w:rPr>
              <w:t>This recommendation will be</w:t>
            </w:r>
            <w:r w:rsidRPr="004E19EE">
              <w:rPr>
                <w:rFonts w:cstheme="minorHAnsi"/>
                <w:b/>
                <w:bCs/>
                <w:sz w:val="22"/>
                <w:szCs w:val="22"/>
              </w:rPr>
              <w:t xml:space="preserve"> referred</w:t>
            </w:r>
            <w:r w:rsidRPr="004E19EE">
              <w:rPr>
                <w:rFonts w:cstheme="minorHAnsi"/>
                <w:sz w:val="22"/>
                <w:szCs w:val="22"/>
              </w:rPr>
              <w:t xml:space="preserve"> to the DSB for the Data Standards Chair’s consideration.</w:t>
            </w:r>
          </w:p>
        </w:tc>
      </w:tr>
    </w:tbl>
    <w:p w14:paraId="5283E4C3" w14:textId="2BE039AA" w:rsidR="00505A3C" w:rsidRDefault="00505A3C" w:rsidP="00505A3C">
      <w:pPr>
        <w:pStyle w:val="Numbered11"/>
        <w:numPr>
          <w:ilvl w:val="0"/>
          <w:numId w:val="0"/>
        </w:numPr>
        <w:ind w:left="1021" w:hanging="1021"/>
        <w:rPr>
          <w:rStyle w:val="Heading2Char"/>
        </w:rPr>
      </w:pPr>
      <w:r>
        <w:rPr>
          <w:rStyle w:val="Heading2Char"/>
        </w:rPr>
        <w:t xml:space="preserve">Recommendation 5 – </w:t>
      </w:r>
      <w:r w:rsidR="00653829" w:rsidRPr="004E19EE">
        <w:t xml:space="preserve">defining ‘business </w:t>
      </w:r>
      <w:proofErr w:type="gramStart"/>
      <w:r w:rsidR="00653829" w:rsidRPr="004E19EE">
        <w:t>purpose’</w:t>
      </w:r>
      <w:proofErr w:type="gramEnd"/>
    </w:p>
    <w:p w14:paraId="5A4507EE" w14:textId="77777777" w:rsidR="00505A3C" w:rsidRPr="00505A3C" w:rsidRDefault="00505A3C" w:rsidP="00196CE7">
      <w:pPr>
        <w:spacing w:before="0"/>
      </w:pPr>
    </w:p>
    <w:tbl>
      <w:tblPr>
        <w:tblStyle w:val="TableGrid1"/>
        <w:tblW w:w="0" w:type="auto"/>
        <w:tblLook w:val="04A0" w:firstRow="1" w:lastRow="0" w:firstColumn="1" w:lastColumn="0" w:noHBand="0" w:noVBand="1"/>
      </w:tblPr>
      <w:tblGrid>
        <w:gridCol w:w="9016"/>
      </w:tblGrid>
      <w:tr w:rsidR="00505A3C" w:rsidRPr="0025293E" w14:paraId="7355B4FD" w14:textId="77777777" w:rsidTr="00DF56DE">
        <w:trPr>
          <w:trHeight w:val="878"/>
        </w:trPr>
        <w:tc>
          <w:tcPr>
            <w:tcW w:w="9060" w:type="dxa"/>
            <w:tcBorders>
              <w:top w:val="single" w:sz="4" w:space="0" w:color="auto"/>
            </w:tcBorders>
            <w:shd w:val="clear" w:color="auto" w:fill="C9D7FB" w:themeFill="accent2" w:themeFillTint="33"/>
          </w:tcPr>
          <w:p w14:paraId="3D25EF2F" w14:textId="082BBD39" w:rsidR="00505A3C" w:rsidRPr="0025293E" w:rsidRDefault="00F66805" w:rsidP="00497D1E">
            <w:pPr>
              <w:spacing w:after="220" w:line="276" w:lineRule="auto"/>
              <w:contextualSpacing/>
              <w:rPr>
                <w:rFonts w:asciiTheme="minorHAnsi" w:hAnsiTheme="minorHAnsi" w:cstheme="minorHAnsi"/>
                <w:sz w:val="22"/>
                <w:szCs w:val="22"/>
              </w:rPr>
            </w:pPr>
            <w:r w:rsidRPr="004E19EE">
              <w:rPr>
                <w:rFonts w:cstheme="minorHAnsi"/>
                <w:sz w:val="22"/>
                <w:szCs w:val="22"/>
              </w:rPr>
              <w:t xml:space="preserve">Consider defining ‘business purpose’ in the CDR Rules. This could focus on the types of ‘receiving parties’ intended to be in scope for these consents, and how the subsequent use of a business consumer’s data can be limited for the purpose specified.   </w:t>
            </w:r>
          </w:p>
        </w:tc>
      </w:tr>
      <w:tr w:rsidR="00505A3C" w:rsidRPr="00B37A7F" w14:paraId="7D8B2F7C" w14:textId="77777777" w:rsidTr="00497D1E">
        <w:tc>
          <w:tcPr>
            <w:tcW w:w="9060" w:type="dxa"/>
            <w:tcBorders>
              <w:top w:val="single" w:sz="4" w:space="0" w:color="auto"/>
            </w:tcBorders>
            <w:shd w:val="clear" w:color="auto" w:fill="FFFFFF" w:themeFill="background1"/>
          </w:tcPr>
          <w:p w14:paraId="1454353D" w14:textId="77438BD5" w:rsidR="00505A3C" w:rsidRPr="00B37A7F" w:rsidRDefault="006D395F" w:rsidP="00497D1E">
            <w:pPr>
              <w:spacing w:after="220" w:line="276" w:lineRule="auto"/>
              <w:rPr>
                <w:rFonts w:asciiTheme="minorHAnsi" w:hAnsiTheme="minorHAnsi" w:cstheme="minorHAnsi"/>
                <w:color w:val="000000" w:themeColor="text1"/>
                <w:sz w:val="22"/>
                <w:szCs w:val="22"/>
              </w:rPr>
            </w:pPr>
            <w:r w:rsidRPr="004E19EE">
              <w:rPr>
                <w:rFonts w:cstheme="minorHAnsi"/>
                <w:sz w:val="22"/>
                <w:szCs w:val="22"/>
              </w:rPr>
              <w:t xml:space="preserve">Treasury </w:t>
            </w:r>
            <w:r w:rsidRPr="004E19EE">
              <w:rPr>
                <w:rFonts w:cstheme="minorHAnsi"/>
                <w:b/>
                <w:bCs/>
                <w:sz w:val="22"/>
                <w:szCs w:val="22"/>
              </w:rPr>
              <w:t xml:space="preserve">does not accept </w:t>
            </w:r>
            <w:r w:rsidRPr="004E19EE">
              <w:rPr>
                <w:rFonts w:cstheme="minorHAnsi"/>
                <w:sz w:val="22"/>
                <w:szCs w:val="22"/>
              </w:rPr>
              <w:t>this recommendation. The business consumer measures recognise that businesses are best placed to determine whether they are sharing data for a business purpose, and to whom their data should be disclosed.</w:t>
            </w:r>
          </w:p>
        </w:tc>
      </w:tr>
    </w:tbl>
    <w:p w14:paraId="3DD448E9" w14:textId="505F64E7" w:rsidR="00505A3C" w:rsidRDefault="00505A3C" w:rsidP="00505A3C">
      <w:pPr>
        <w:pStyle w:val="Heading2"/>
      </w:pPr>
      <w:r>
        <w:t xml:space="preserve">Recommendation 6 – </w:t>
      </w:r>
      <w:r w:rsidR="00B848DE" w:rsidRPr="004E19EE">
        <w:rPr>
          <w:szCs w:val="22"/>
        </w:rPr>
        <w:t>administration of business consumer statements</w:t>
      </w:r>
    </w:p>
    <w:p w14:paraId="2925788C" w14:textId="6E6EDED6" w:rsidR="00505A3C" w:rsidRDefault="00505A3C" w:rsidP="001F3FA1">
      <w:pPr>
        <w:spacing w:before="0"/>
      </w:pPr>
    </w:p>
    <w:tbl>
      <w:tblPr>
        <w:tblStyle w:val="TableGrid1"/>
        <w:tblW w:w="0" w:type="auto"/>
        <w:tblLook w:val="04A0" w:firstRow="1" w:lastRow="0" w:firstColumn="1" w:lastColumn="0" w:noHBand="0" w:noVBand="1"/>
      </w:tblPr>
      <w:tblGrid>
        <w:gridCol w:w="9016"/>
      </w:tblGrid>
      <w:tr w:rsidR="00505A3C" w:rsidRPr="00BB7260" w14:paraId="4BE05099" w14:textId="77777777" w:rsidTr="00505A3C">
        <w:trPr>
          <w:trHeight w:val="1640"/>
        </w:trPr>
        <w:tc>
          <w:tcPr>
            <w:tcW w:w="9016" w:type="dxa"/>
            <w:tcBorders>
              <w:top w:val="single" w:sz="4" w:space="0" w:color="auto"/>
            </w:tcBorders>
            <w:shd w:val="clear" w:color="auto" w:fill="C9D7FB" w:themeFill="accent2" w:themeFillTint="33"/>
          </w:tcPr>
          <w:p w14:paraId="1AB27933" w14:textId="6C350CF8" w:rsidR="00505A3C" w:rsidRPr="00BB7260" w:rsidRDefault="003464E9" w:rsidP="00497D1E">
            <w:pPr>
              <w:pStyle w:val="Dash"/>
              <w:numPr>
                <w:ilvl w:val="0"/>
                <w:numId w:val="0"/>
              </w:numPr>
              <w:rPr>
                <w:rFonts w:asciiTheme="minorHAnsi" w:hAnsiTheme="minorHAnsi" w:cstheme="minorHAnsi"/>
              </w:rPr>
            </w:pPr>
            <w:r w:rsidRPr="004E19EE">
              <w:rPr>
                <w:rFonts w:ascii="Trebuchet MS" w:hAnsi="Trebuchet MS" w:cstheme="minorHAnsi"/>
                <w:sz w:val="22"/>
                <w:szCs w:val="22"/>
              </w:rPr>
              <w:t>Consider whether additional rules should be imposed on the administration of business consumer statements, such as a requirement to ensure the statements are retained for regulatory oversight. Stakeholder submissions included suggestions to require the statements to include the name of the receiving party, the scope of the consent, and/or any regulatory or professional standard obligations that the receiving party would be expected to comply with. Some stakeholder submissions indicated a preference that the statements be administered online (such as in dashboards) rather than in paper form.</w:t>
            </w:r>
          </w:p>
        </w:tc>
      </w:tr>
      <w:tr w:rsidR="00505A3C" w:rsidRPr="005D60BB" w14:paraId="0E2B1152" w14:textId="77777777" w:rsidTr="00505A3C">
        <w:tc>
          <w:tcPr>
            <w:tcW w:w="9016" w:type="dxa"/>
            <w:tcBorders>
              <w:top w:val="single" w:sz="4" w:space="0" w:color="auto"/>
            </w:tcBorders>
            <w:shd w:val="clear" w:color="auto" w:fill="FFFFFF" w:themeFill="background1"/>
          </w:tcPr>
          <w:p w14:paraId="4689B8DC" w14:textId="77777777" w:rsidR="00724FDD" w:rsidRPr="004E19EE" w:rsidRDefault="00724FDD" w:rsidP="00724FDD">
            <w:pPr>
              <w:spacing w:beforeLines="40" w:before="96" w:afterLines="40" w:after="96"/>
              <w:rPr>
                <w:rFonts w:cstheme="minorHAnsi"/>
                <w:sz w:val="22"/>
                <w:szCs w:val="22"/>
              </w:rPr>
            </w:pPr>
            <w:r w:rsidRPr="004E19EE">
              <w:rPr>
                <w:rFonts w:cstheme="minorHAnsi"/>
                <w:sz w:val="22"/>
                <w:szCs w:val="22"/>
              </w:rPr>
              <w:t xml:space="preserve">Treasury </w:t>
            </w:r>
            <w:r w:rsidRPr="004E19EE">
              <w:rPr>
                <w:rFonts w:cstheme="minorHAnsi"/>
                <w:b/>
                <w:bCs/>
                <w:sz w:val="22"/>
                <w:szCs w:val="22"/>
              </w:rPr>
              <w:t>notes</w:t>
            </w:r>
            <w:r w:rsidRPr="004E19EE">
              <w:rPr>
                <w:rFonts w:cstheme="minorHAnsi"/>
                <w:sz w:val="22"/>
                <w:szCs w:val="22"/>
              </w:rPr>
              <w:t xml:space="preserve"> this recommendation.</w:t>
            </w:r>
          </w:p>
          <w:p w14:paraId="2C85A69E" w14:textId="62F48BBF" w:rsidR="00724FDD" w:rsidRPr="004E19EE" w:rsidRDefault="00724FDD" w:rsidP="00724FDD">
            <w:pPr>
              <w:spacing w:beforeLines="40" w:before="96" w:afterLines="40" w:after="96"/>
              <w:rPr>
                <w:rFonts w:cstheme="minorHAnsi"/>
                <w:sz w:val="22"/>
                <w:szCs w:val="22"/>
              </w:rPr>
            </w:pPr>
            <w:r w:rsidRPr="004E19EE">
              <w:rPr>
                <w:rFonts w:cstheme="minorHAnsi"/>
                <w:sz w:val="22"/>
                <w:szCs w:val="22"/>
              </w:rPr>
              <w:t xml:space="preserve"> </w:t>
            </w:r>
            <w:r w:rsidR="00205323">
              <w:rPr>
                <w:rFonts w:cstheme="minorHAnsi"/>
                <w:sz w:val="22"/>
                <w:szCs w:val="22"/>
              </w:rPr>
              <w:t>N</w:t>
            </w:r>
            <w:r w:rsidRPr="004E19EE">
              <w:rPr>
                <w:rFonts w:cstheme="minorHAnsi"/>
                <w:sz w:val="22"/>
                <w:szCs w:val="22"/>
              </w:rPr>
              <w:t>ew recordkeeping and reporting requirements have been added in relation to the use of these statements</w:t>
            </w:r>
            <w:r w:rsidR="00205323">
              <w:rPr>
                <w:rFonts w:cstheme="minorHAnsi"/>
                <w:sz w:val="22"/>
                <w:szCs w:val="22"/>
              </w:rPr>
              <w:t>. In addition,</w:t>
            </w:r>
            <w:r w:rsidRPr="004E19EE">
              <w:rPr>
                <w:rFonts w:cstheme="minorHAnsi"/>
                <w:sz w:val="22"/>
                <w:szCs w:val="22"/>
              </w:rPr>
              <w:t xml:space="preserve"> retaining a record of the statement itself is required under existing paragraph 9.3(2)(a) of the CDR Rules </w:t>
            </w:r>
            <w:r w:rsidR="003767C1">
              <w:rPr>
                <w:rFonts w:cstheme="minorHAnsi"/>
                <w:sz w:val="22"/>
                <w:szCs w:val="22"/>
              </w:rPr>
              <w:t>because it itself</w:t>
            </w:r>
            <w:r w:rsidRPr="004E19EE">
              <w:rPr>
                <w:rFonts w:cstheme="minorHAnsi"/>
                <w:sz w:val="22"/>
                <w:szCs w:val="22"/>
              </w:rPr>
              <w:t xml:space="preserve"> constitut</w:t>
            </w:r>
            <w:r w:rsidR="003767C1">
              <w:rPr>
                <w:rFonts w:cstheme="minorHAnsi"/>
                <w:sz w:val="22"/>
                <w:szCs w:val="22"/>
              </w:rPr>
              <w:t>es</w:t>
            </w:r>
            <w:r w:rsidRPr="004E19EE">
              <w:rPr>
                <w:rFonts w:cstheme="minorHAnsi"/>
                <w:sz w:val="22"/>
                <w:szCs w:val="22"/>
              </w:rPr>
              <w:t xml:space="preserve"> part of the business consumer disclosure consent (</w:t>
            </w:r>
            <w:r w:rsidR="003D6255">
              <w:rPr>
                <w:rFonts w:cstheme="minorHAnsi"/>
                <w:sz w:val="22"/>
                <w:szCs w:val="22"/>
              </w:rPr>
              <w:t xml:space="preserve">new </w:t>
            </w:r>
            <w:r w:rsidRPr="004E19EE">
              <w:rPr>
                <w:rFonts w:cstheme="minorHAnsi"/>
                <w:sz w:val="22"/>
                <w:szCs w:val="22"/>
              </w:rPr>
              <w:t>paragraph 1.10A(11)(b)). Treasury therefore considers this aspect of the recommendation is addressed.</w:t>
            </w:r>
          </w:p>
          <w:p w14:paraId="1E55B4F2" w14:textId="77777777" w:rsidR="00724FDD" w:rsidRPr="004E19EE" w:rsidRDefault="00724FDD" w:rsidP="00724FDD">
            <w:pPr>
              <w:spacing w:beforeLines="40" w:before="96" w:afterLines="40" w:after="96"/>
              <w:rPr>
                <w:rFonts w:cstheme="minorHAnsi"/>
                <w:sz w:val="22"/>
                <w:szCs w:val="22"/>
              </w:rPr>
            </w:pPr>
            <w:r w:rsidRPr="004E19EE">
              <w:rPr>
                <w:rFonts w:cstheme="minorHAnsi"/>
                <w:sz w:val="22"/>
                <w:szCs w:val="22"/>
              </w:rPr>
              <w:t>In relation to the suggestions from stakeholder submissions noted in this recommendation:</w:t>
            </w:r>
          </w:p>
          <w:p w14:paraId="590B6E92" w14:textId="77777777" w:rsidR="00724FDD" w:rsidRPr="004E19EE" w:rsidRDefault="00724FDD" w:rsidP="00724FDD">
            <w:pPr>
              <w:pStyle w:val="Bullet"/>
              <w:rPr>
                <w:rFonts w:ascii="Trebuchet MS" w:hAnsi="Trebuchet MS"/>
              </w:rPr>
            </w:pPr>
            <w:r w:rsidRPr="004E19EE">
              <w:rPr>
                <w:rFonts w:ascii="Trebuchet MS" w:hAnsi="Trebuchet MS" w:cstheme="minorHAnsi"/>
                <w:sz w:val="22"/>
                <w:szCs w:val="22"/>
              </w:rPr>
              <w:t>The name of the receiving party and the scope of the consent are already required to be presented to the CDR business consumer in the CDR receipt (paragraphs 4.18(2)(a) and (</w:t>
            </w:r>
            <w:proofErr w:type="spellStart"/>
            <w:r w:rsidRPr="004E19EE">
              <w:rPr>
                <w:rFonts w:ascii="Trebuchet MS" w:hAnsi="Trebuchet MS" w:cstheme="minorHAnsi"/>
                <w:sz w:val="22"/>
                <w:szCs w:val="22"/>
              </w:rPr>
              <w:t>ba</w:t>
            </w:r>
            <w:proofErr w:type="spellEnd"/>
            <w:r w:rsidRPr="004E19EE">
              <w:rPr>
                <w:rFonts w:ascii="Trebuchet MS" w:hAnsi="Trebuchet MS" w:cstheme="minorHAnsi"/>
                <w:sz w:val="22"/>
                <w:szCs w:val="22"/>
              </w:rPr>
              <w:t>)). Treasury therefore considers this aspect of the recommendation is addressed.</w:t>
            </w:r>
          </w:p>
          <w:p w14:paraId="269DBBE5" w14:textId="5EAC1D45" w:rsidR="00724FDD" w:rsidRPr="004E19EE" w:rsidRDefault="00724FDD" w:rsidP="00724FDD">
            <w:pPr>
              <w:pStyle w:val="Bullet"/>
              <w:rPr>
                <w:rFonts w:ascii="Trebuchet MS" w:hAnsi="Trebuchet MS"/>
              </w:rPr>
            </w:pPr>
            <w:r w:rsidRPr="004E19EE">
              <w:rPr>
                <w:rFonts w:ascii="Trebuchet MS" w:hAnsi="Trebuchet MS" w:cstheme="minorHAnsi"/>
                <w:sz w:val="22"/>
                <w:szCs w:val="22"/>
              </w:rPr>
              <w:t xml:space="preserve">The business consumer statement is </w:t>
            </w:r>
            <w:r w:rsidR="00CA58A8">
              <w:rPr>
                <w:rFonts w:ascii="Trebuchet MS" w:hAnsi="Trebuchet MS" w:cstheme="minorHAnsi"/>
                <w:sz w:val="22"/>
                <w:szCs w:val="22"/>
              </w:rPr>
              <w:t>made</w:t>
            </w:r>
            <w:r w:rsidRPr="004E19EE">
              <w:rPr>
                <w:rFonts w:ascii="Trebuchet MS" w:hAnsi="Trebuchet MS" w:cstheme="minorHAnsi"/>
                <w:sz w:val="22"/>
                <w:szCs w:val="22"/>
              </w:rPr>
              <w:t xml:space="preserve"> by the CDR consumer </w:t>
            </w:r>
            <w:r w:rsidR="00CA58A8">
              <w:rPr>
                <w:rFonts w:ascii="Trebuchet MS" w:hAnsi="Trebuchet MS" w:cstheme="minorHAnsi"/>
                <w:sz w:val="22"/>
                <w:szCs w:val="22"/>
              </w:rPr>
              <w:t>giving</w:t>
            </w:r>
            <w:r w:rsidRPr="004E19EE">
              <w:rPr>
                <w:rFonts w:ascii="Trebuchet MS" w:hAnsi="Trebuchet MS" w:cstheme="minorHAnsi"/>
                <w:sz w:val="22"/>
                <w:szCs w:val="22"/>
              </w:rPr>
              <w:t xml:space="preserve"> a business consumer disclosure consent to the relevant ADR</w:t>
            </w:r>
            <w:r w:rsidR="00CA58A8">
              <w:rPr>
                <w:rFonts w:ascii="Trebuchet MS" w:hAnsi="Trebuchet MS" w:cstheme="minorHAnsi"/>
                <w:sz w:val="22"/>
                <w:szCs w:val="22"/>
              </w:rPr>
              <w:t>.</w:t>
            </w:r>
            <w:r w:rsidRPr="004E19EE">
              <w:rPr>
                <w:rFonts w:ascii="Trebuchet MS" w:hAnsi="Trebuchet MS" w:cstheme="minorHAnsi"/>
                <w:sz w:val="22"/>
                <w:szCs w:val="22"/>
              </w:rPr>
              <w:t xml:space="preserve"> Treasury does not consider that it would be beneficial to the consumer to be required to provide information about any </w:t>
            </w:r>
            <w:r w:rsidRPr="004E19EE">
              <w:rPr>
                <w:rFonts w:ascii="Trebuchet MS" w:hAnsi="Trebuchet MS" w:cstheme="minorHAnsi"/>
                <w:sz w:val="22"/>
                <w:szCs w:val="22"/>
              </w:rPr>
              <w:lastRenderedPageBreak/>
              <w:t>regulatory or professional standard obligations that the receiving party would be expected to comply with (noting that the recipient may not be required to comply with any such standards, depending on their relationship with the CDR business consumer).</w:t>
            </w:r>
          </w:p>
          <w:p w14:paraId="0C3E0667" w14:textId="1408FC86" w:rsidR="00724FDD" w:rsidRPr="004E19EE" w:rsidRDefault="00724FDD" w:rsidP="0051759C">
            <w:pPr>
              <w:pStyle w:val="Bullet"/>
              <w:numPr>
                <w:ilvl w:val="0"/>
                <w:numId w:val="0"/>
              </w:numPr>
              <w:ind w:left="567"/>
              <w:rPr>
                <w:rFonts w:ascii="Trebuchet MS" w:hAnsi="Trebuchet MS" w:cstheme="minorHAnsi"/>
                <w:sz w:val="22"/>
                <w:szCs w:val="22"/>
              </w:rPr>
            </w:pPr>
            <w:r w:rsidRPr="004E19EE">
              <w:rPr>
                <w:rFonts w:ascii="Trebuchet MS" w:hAnsi="Trebuchet MS"/>
              </w:rPr>
              <w:t xml:space="preserve">Note: </w:t>
            </w:r>
            <w:r w:rsidRPr="004E19EE">
              <w:rPr>
                <w:rFonts w:ascii="Trebuchet MS" w:hAnsi="Trebuchet MS" w:cstheme="minorHAnsi"/>
              </w:rPr>
              <w:t xml:space="preserve">The purpose of the business consumer statement is to require that CDR consumers who give a business consumer disclosure consent </w:t>
            </w:r>
            <w:r w:rsidRPr="004E19EE">
              <w:rPr>
                <w:rFonts w:ascii="Trebuchet MS" w:hAnsi="Trebuchet MS"/>
              </w:rPr>
              <w:t>certify that the consent is given for the purpose of enabling the accredited person to provide them with goods or services in their capacity as a business. This, in turn, is to ensure that the CDR consumer is giving the business consumer disclosure consent as a CDR business consumer, and not as an individual CDR consumer</w:t>
            </w:r>
            <w:r w:rsidRPr="004E19EE">
              <w:rPr>
                <w:rFonts w:ascii="Trebuchet MS" w:hAnsi="Trebuchet MS" w:cstheme="minorHAnsi"/>
              </w:rPr>
              <w:t>.</w:t>
            </w:r>
          </w:p>
          <w:p w14:paraId="3800B4F6" w14:textId="42885876" w:rsidR="00505A3C" w:rsidRPr="005D60BB" w:rsidRDefault="00724FDD" w:rsidP="00374F2A">
            <w:pPr>
              <w:pStyle w:val="Bullet"/>
            </w:pPr>
            <w:bookmarkStart w:id="0" w:name="tempbookmark"/>
            <w:bookmarkEnd w:id="0"/>
            <w:r w:rsidRPr="00374F2A">
              <w:rPr>
                <w:rFonts w:ascii="Trebuchet MS" w:hAnsi="Trebuchet MS" w:cstheme="minorHAnsi"/>
                <w:sz w:val="22"/>
                <w:szCs w:val="22"/>
              </w:rPr>
              <w:t>The CDR Rules have been amended to allow the Data Standards Chair to make standards about the processes for obtaining and managing business consumer statements. The recommendation will be referred to the DSB for the Data Standards Chair's consideration, including whether standards should be made to require statements to be provided online.</w:t>
            </w:r>
          </w:p>
        </w:tc>
      </w:tr>
    </w:tbl>
    <w:p w14:paraId="4E3BD36F" w14:textId="579398C2" w:rsidR="00505A3C" w:rsidRDefault="00505A3C" w:rsidP="00505A3C">
      <w:pPr>
        <w:pStyle w:val="Heading2"/>
      </w:pPr>
      <w:r>
        <w:lastRenderedPageBreak/>
        <w:t xml:space="preserve">Recommendation 7 – </w:t>
      </w:r>
      <w:r w:rsidR="00242E59" w:rsidRPr="004E19EE">
        <w:rPr>
          <w:szCs w:val="22"/>
        </w:rPr>
        <w:t>guidance for business consumers on consent durations</w:t>
      </w:r>
    </w:p>
    <w:p w14:paraId="047CA095" w14:textId="77777777" w:rsidR="00505A3C" w:rsidRPr="00505A3C" w:rsidRDefault="00505A3C" w:rsidP="00F61F79">
      <w:pPr>
        <w:spacing w:before="0"/>
      </w:pPr>
    </w:p>
    <w:tbl>
      <w:tblPr>
        <w:tblStyle w:val="TableGrid1"/>
        <w:tblW w:w="0" w:type="auto"/>
        <w:tblLook w:val="04A0" w:firstRow="1" w:lastRow="0" w:firstColumn="1" w:lastColumn="0" w:noHBand="0" w:noVBand="1"/>
      </w:tblPr>
      <w:tblGrid>
        <w:gridCol w:w="9016"/>
      </w:tblGrid>
      <w:tr w:rsidR="00505A3C" w:rsidRPr="0025293E" w14:paraId="59FB38F8" w14:textId="77777777" w:rsidTr="00497D1E">
        <w:trPr>
          <w:trHeight w:val="1640"/>
        </w:trPr>
        <w:tc>
          <w:tcPr>
            <w:tcW w:w="9060" w:type="dxa"/>
            <w:tcBorders>
              <w:top w:val="single" w:sz="4" w:space="0" w:color="auto"/>
            </w:tcBorders>
            <w:shd w:val="clear" w:color="auto" w:fill="C9D7FB" w:themeFill="accent2" w:themeFillTint="33"/>
          </w:tcPr>
          <w:p w14:paraId="53F786CD" w14:textId="19901D3E" w:rsidR="00505A3C" w:rsidRPr="00D52F9B" w:rsidRDefault="00486C03" w:rsidP="00497D1E">
            <w:pPr>
              <w:spacing w:after="220" w:line="276" w:lineRule="auto"/>
              <w:contextualSpacing/>
              <w:rPr>
                <w:rFonts w:asciiTheme="minorHAnsi" w:hAnsiTheme="minorHAnsi" w:cstheme="minorHAnsi"/>
                <w:sz w:val="22"/>
                <w:szCs w:val="22"/>
              </w:rPr>
            </w:pPr>
            <w:r w:rsidRPr="004E19EE">
              <w:rPr>
                <w:rFonts w:cstheme="minorHAnsi"/>
                <w:sz w:val="22"/>
                <w:szCs w:val="22"/>
              </w:rPr>
              <w:t>Guidance [should be] issued on the available options for business consumers in providing extended consent for the specified purposes and disclosures available under a BCDC, including how and when it would be appropriate for a consent to be extended, and the circumstances that should prompt any extended consent to be reviewed. It would be open to Treasury to determine the most suitable method to issue business consumers with such guidance.</w:t>
            </w:r>
          </w:p>
        </w:tc>
      </w:tr>
      <w:tr w:rsidR="00505A3C" w:rsidRPr="00D72D45" w14:paraId="55C18DD9" w14:textId="77777777" w:rsidTr="00497D1E">
        <w:tc>
          <w:tcPr>
            <w:tcW w:w="9060" w:type="dxa"/>
            <w:tcBorders>
              <w:top w:val="single" w:sz="4" w:space="0" w:color="auto"/>
            </w:tcBorders>
            <w:shd w:val="clear" w:color="auto" w:fill="FFFFFF" w:themeFill="background1"/>
          </w:tcPr>
          <w:p w14:paraId="610D494A" w14:textId="443CB585" w:rsidR="00505A3C" w:rsidRPr="00D72D45" w:rsidRDefault="006A288E" w:rsidP="00497D1E">
            <w:pPr>
              <w:spacing w:after="220" w:line="276" w:lineRule="auto"/>
              <w:rPr>
                <w:rFonts w:asciiTheme="minorHAnsi" w:hAnsiTheme="minorHAnsi" w:cstheme="minorHAnsi"/>
                <w:color w:val="000000" w:themeColor="text1"/>
                <w:sz w:val="22"/>
                <w:szCs w:val="22"/>
              </w:rPr>
            </w:pPr>
            <w:r w:rsidRPr="004E19EE">
              <w:rPr>
                <w:rFonts w:cstheme="minorHAnsi"/>
                <w:sz w:val="22"/>
                <w:szCs w:val="22"/>
              </w:rPr>
              <w:t xml:space="preserve">This recommendation will be </w:t>
            </w:r>
            <w:r w:rsidRPr="004E19EE">
              <w:rPr>
                <w:rFonts w:cstheme="minorHAnsi"/>
                <w:b/>
                <w:bCs/>
                <w:sz w:val="22"/>
                <w:szCs w:val="22"/>
              </w:rPr>
              <w:t>referred</w:t>
            </w:r>
            <w:r w:rsidRPr="004E19EE">
              <w:rPr>
                <w:rFonts w:cstheme="minorHAnsi"/>
                <w:sz w:val="22"/>
                <w:szCs w:val="22"/>
              </w:rPr>
              <w:t xml:space="preserve"> to the Australian Competition an</w:t>
            </w:r>
            <w:r w:rsidRPr="004E19EE">
              <w:rPr>
                <w:rFonts w:cstheme="minorHAnsi"/>
                <w:szCs w:val="22"/>
              </w:rPr>
              <w:t>d C</w:t>
            </w:r>
            <w:r w:rsidRPr="004E19EE">
              <w:rPr>
                <w:rFonts w:cstheme="minorHAnsi"/>
                <w:sz w:val="22"/>
                <w:szCs w:val="22"/>
              </w:rPr>
              <w:t>onsumer Commission, the Office of</w:t>
            </w:r>
            <w:r w:rsidRPr="004E19EE">
              <w:rPr>
                <w:rFonts w:cstheme="minorHAnsi"/>
                <w:szCs w:val="22"/>
              </w:rPr>
              <w:t xml:space="preserve"> the A</w:t>
            </w:r>
            <w:r w:rsidRPr="004E19EE">
              <w:rPr>
                <w:rFonts w:cstheme="minorHAnsi"/>
                <w:sz w:val="22"/>
                <w:szCs w:val="22"/>
              </w:rPr>
              <w:t xml:space="preserve">ustralian Information Commissioner, </w:t>
            </w:r>
            <w:r w:rsidRPr="004E19EE">
              <w:rPr>
                <w:rFonts w:cstheme="minorHAnsi"/>
                <w:sz w:val="22"/>
                <w:szCs w:val="24"/>
              </w:rPr>
              <w:t>and the DSB to consider developing relevant guidance.</w:t>
            </w:r>
          </w:p>
        </w:tc>
      </w:tr>
    </w:tbl>
    <w:p w14:paraId="253BC0EC" w14:textId="5A9017E3" w:rsidR="00505A3C" w:rsidRDefault="00505A3C" w:rsidP="00505A3C">
      <w:pPr>
        <w:pStyle w:val="Heading2"/>
      </w:pPr>
      <w:r>
        <w:t>Recommendation 8</w:t>
      </w:r>
      <w:r w:rsidR="00B915A1" w:rsidRPr="004E19EE">
        <w:rPr>
          <w:szCs w:val="22"/>
        </w:rPr>
        <w:t xml:space="preserve"> – trial products</w:t>
      </w:r>
    </w:p>
    <w:p w14:paraId="1BC516D8" w14:textId="77777777" w:rsidR="00505A3C" w:rsidRPr="00505A3C" w:rsidRDefault="00505A3C" w:rsidP="00392EBC">
      <w:pPr>
        <w:spacing w:before="0"/>
      </w:pPr>
    </w:p>
    <w:tbl>
      <w:tblPr>
        <w:tblStyle w:val="TableGrid1"/>
        <w:tblW w:w="0" w:type="auto"/>
        <w:tblLook w:val="04A0" w:firstRow="1" w:lastRow="0" w:firstColumn="1" w:lastColumn="0" w:noHBand="0" w:noVBand="1"/>
      </w:tblPr>
      <w:tblGrid>
        <w:gridCol w:w="9016"/>
      </w:tblGrid>
      <w:tr w:rsidR="00505A3C" w:rsidRPr="00D52F9B" w14:paraId="23E0E7A3" w14:textId="77777777" w:rsidTr="5B74BD39">
        <w:trPr>
          <w:trHeight w:val="986"/>
        </w:trPr>
        <w:tc>
          <w:tcPr>
            <w:tcW w:w="9060" w:type="dxa"/>
            <w:tcBorders>
              <w:top w:val="single" w:sz="4" w:space="0" w:color="auto"/>
            </w:tcBorders>
            <w:shd w:val="clear" w:color="auto" w:fill="C9D7FB" w:themeFill="accent2" w:themeFillTint="33"/>
          </w:tcPr>
          <w:p w14:paraId="4F8E5F0A" w14:textId="0A746A88" w:rsidR="00505A3C" w:rsidRPr="00D52F9B" w:rsidRDefault="002A2B4A" w:rsidP="00497D1E">
            <w:pPr>
              <w:spacing w:after="220" w:line="276" w:lineRule="auto"/>
              <w:contextualSpacing/>
              <w:rPr>
                <w:rFonts w:asciiTheme="minorHAnsi" w:hAnsiTheme="minorHAnsi" w:cstheme="minorHAnsi"/>
                <w:sz w:val="22"/>
                <w:szCs w:val="22"/>
              </w:rPr>
            </w:pPr>
            <w:r w:rsidRPr="004E19EE">
              <w:rPr>
                <w:rFonts w:cstheme="minorHAnsi"/>
                <w:sz w:val="22"/>
                <w:szCs w:val="22"/>
              </w:rPr>
              <w:t xml:space="preserve">Consider placing limits on the number of trial </w:t>
            </w:r>
            <w:proofErr w:type="gramStart"/>
            <w:r w:rsidRPr="004E19EE">
              <w:rPr>
                <w:rFonts w:cstheme="minorHAnsi"/>
                <w:sz w:val="22"/>
                <w:szCs w:val="22"/>
              </w:rPr>
              <w:t>products, or</w:t>
            </w:r>
            <w:proofErr w:type="gramEnd"/>
            <w:r w:rsidRPr="004E19EE">
              <w:rPr>
                <w:rFonts w:cstheme="minorHAnsi"/>
                <w:sz w:val="22"/>
                <w:szCs w:val="22"/>
              </w:rPr>
              <w:t xml:space="preserve"> amending the definition of trial products to prevent or mitigate opportunistic actions of this nature, noting the benefits of the trials and their intended purpose.</w:t>
            </w:r>
          </w:p>
        </w:tc>
      </w:tr>
      <w:tr w:rsidR="00505A3C" w:rsidRPr="00D72D45" w14:paraId="62DA5676" w14:textId="77777777" w:rsidTr="5B74BD39">
        <w:tc>
          <w:tcPr>
            <w:tcW w:w="9060" w:type="dxa"/>
            <w:tcBorders>
              <w:top w:val="single" w:sz="4" w:space="0" w:color="auto"/>
            </w:tcBorders>
            <w:shd w:val="clear" w:color="auto" w:fill="FFFFFF" w:themeFill="background1"/>
          </w:tcPr>
          <w:p w14:paraId="04F5C02E" w14:textId="1DD909E8" w:rsidR="00505A3C" w:rsidRPr="00F77F5B" w:rsidRDefault="28D81102" w:rsidP="5B74BD39">
            <w:pPr>
              <w:spacing w:after="220" w:line="276" w:lineRule="auto"/>
              <w:rPr>
                <w:rFonts w:asciiTheme="minorHAnsi" w:hAnsiTheme="minorHAnsi" w:cstheme="minorBidi"/>
                <w:color w:val="000000" w:themeColor="text1"/>
                <w:sz w:val="22"/>
                <w:szCs w:val="22"/>
              </w:rPr>
            </w:pPr>
            <w:r w:rsidRPr="5B74BD39">
              <w:rPr>
                <w:rFonts w:cstheme="minorBidi"/>
                <w:sz w:val="22"/>
                <w:szCs w:val="22"/>
              </w:rPr>
              <w:t xml:space="preserve">Treasury </w:t>
            </w:r>
            <w:r w:rsidRPr="5B74BD39">
              <w:rPr>
                <w:rFonts w:cstheme="minorBidi"/>
                <w:b/>
                <w:bCs/>
                <w:sz w:val="22"/>
                <w:szCs w:val="22"/>
              </w:rPr>
              <w:t>does not accept</w:t>
            </w:r>
            <w:r w:rsidRPr="5B74BD39">
              <w:rPr>
                <w:rFonts w:cstheme="minorBidi"/>
                <w:sz w:val="22"/>
                <w:szCs w:val="22"/>
              </w:rPr>
              <w:t xml:space="preserve"> this recommendation given that trial products can only be offered for a maximum of six months, and to no more than 1,000 customers, before losing their status as a ‘trial’ (meaning the exemption from CDR obligations is no longer available). Treasury considers these settings offer sufficient mitigations against possible misuse of the exemption. The ACCC will publish guidance in relation to trial products, monitor their use and advise Treasury if trial products are being misused. In terms of risk to individual consumers, it would not be possible for consumers to be locked into ongoing trials for the purpose of preventing them from accessing their CDR data. This is because of the </w:t>
            </w:r>
            <w:proofErr w:type="gramStart"/>
            <w:r w:rsidRPr="5B74BD39">
              <w:rPr>
                <w:rFonts w:cstheme="minorBidi"/>
                <w:sz w:val="22"/>
                <w:szCs w:val="22"/>
              </w:rPr>
              <w:t>six month</w:t>
            </w:r>
            <w:proofErr w:type="gramEnd"/>
            <w:r w:rsidRPr="5B74BD39">
              <w:rPr>
                <w:rFonts w:cstheme="minorBidi"/>
                <w:sz w:val="22"/>
                <w:szCs w:val="22"/>
              </w:rPr>
              <w:t xml:space="preserve"> limitation on how long a product can be considered a ‘trial’ product.</w:t>
            </w:r>
          </w:p>
        </w:tc>
      </w:tr>
    </w:tbl>
    <w:p w14:paraId="6923C853" w14:textId="77777777" w:rsidR="00D12E92" w:rsidRDefault="00D12E92" w:rsidP="00505A3C">
      <w:pPr>
        <w:pStyle w:val="Heading2"/>
      </w:pPr>
    </w:p>
    <w:p w14:paraId="79DBB713" w14:textId="23BB727C" w:rsidR="00505A3C" w:rsidRDefault="00505A3C" w:rsidP="00505A3C">
      <w:pPr>
        <w:pStyle w:val="Heading2"/>
      </w:pPr>
      <w:r>
        <w:lastRenderedPageBreak/>
        <w:t xml:space="preserve">Recommendation 9 – </w:t>
      </w:r>
      <w:r w:rsidR="004357B8" w:rsidRPr="004E19EE">
        <w:rPr>
          <w:szCs w:val="22"/>
        </w:rPr>
        <w:t>CDR representative principal’s CDR policy</w:t>
      </w:r>
    </w:p>
    <w:p w14:paraId="300A44E2" w14:textId="77777777" w:rsidR="00505A3C" w:rsidRPr="00505A3C" w:rsidRDefault="00505A3C" w:rsidP="004A183A">
      <w:pPr>
        <w:spacing w:before="0"/>
      </w:pPr>
    </w:p>
    <w:tbl>
      <w:tblPr>
        <w:tblStyle w:val="TableGrid1"/>
        <w:tblW w:w="0" w:type="auto"/>
        <w:tblLook w:val="04A0" w:firstRow="1" w:lastRow="0" w:firstColumn="1" w:lastColumn="0" w:noHBand="0" w:noVBand="1"/>
      </w:tblPr>
      <w:tblGrid>
        <w:gridCol w:w="9016"/>
      </w:tblGrid>
      <w:tr w:rsidR="00505A3C" w:rsidRPr="00D52F9B" w14:paraId="36428A52" w14:textId="77777777" w:rsidTr="00DF56DE">
        <w:trPr>
          <w:trHeight w:val="979"/>
        </w:trPr>
        <w:tc>
          <w:tcPr>
            <w:tcW w:w="9060" w:type="dxa"/>
            <w:tcBorders>
              <w:top w:val="single" w:sz="4" w:space="0" w:color="auto"/>
            </w:tcBorders>
            <w:shd w:val="clear" w:color="auto" w:fill="C9D7FB" w:themeFill="accent2" w:themeFillTint="33"/>
          </w:tcPr>
          <w:p w14:paraId="33A40437" w14:textId="2FF971EA" w:rsidR="00505A3C" w:rsidRPr="00D52F9B" w:rsidRDefault="001F74C0" w:rsidP="00497D1E">
            <w:pPr>
              <w:spacing w:after="220" w:line="276" w:lineRule="auto"/>
              <w:contextualSpacing/>
              <w:rPr>
                <w:rFonts w:asciiTheme="minorHAnsi" w:hAnsiTheme="minorHAnsi" w:cstheme="minorHAnsi"/>
                <w:sz w:val="22"/>
                <w:szCs w:val="22"/>
              </w:rPr>
            </w:pPr>
            <w:r w:rsidRPr="004E19EE">
              <w:rPr>
                <w:rFonts w:cstheme="minorHAnsi"/>
                <w:sz w:val="22"/>
                <w:szCs w:val="22"/>
              </w:rPr>
              <w:t>A requirement [should] be added under CDR Rule 7.2 for the CDR principal’s CDR policy to contain details about the countries the CDR representative principal’s CDR representatives may disclose to when making a disclosure to an unaccredited OSP</w:t>
            </w:r>
            <w:r w:rsidR="00F462AB">
              <w:rPr>
                <w:rFonts w:cstheme="minorHAnsi"/>
                <w:sz w:val="22"/>
                <w:szCs w:val="22"/>
              </w:rPr>
              <w:t xml:space="preserve"> [(outsourced service provider)]</w:t>
            </w:r>
            <w:r w:rsidRPr="004E19EE">
              <w:rPr>
                <w:rFonts w:cstheme="minorHAnsi"/>
                <w:sz w:val="22"/>
                <w:szCs w:val="22"/>
              </w:rPr>
              <w:t>.</w:t>
            </w:r>
          </w:p>
        </w:tc>
      </w:tr>
      <w:tr w:rsidR="00505A3C" w:rsidRPr="003671C1" w14:paraId="2A64644B" w14:textId="77777777" w:rsidTr="00497D1E">
        <w:tc>
          <w:tcPr>
            <w:tcW w:w="9060" w:type="dxa"/>
            <w:tcBorders>
              <w:top w:val="single" w:sz="4" w:space="0" w:color="auto"/>
            </w:tcBorders>
            <w:shd w:val="clear" w:color="auto" w:fill="FFFFFF" w:themeFill="background1"/>
          </w:tcPr>
          <w:p w14:paraId="41991FC3" w14:textId="51BB36F1" w:rsidR="00505A3C" w:rsidRPr="00520E7E" w:rsidRDefault="00D61288" w:rsidP="00497D1E">
            <w:pPr>
              <w:spacing w:after="220" w:line="276" w:lineRule="auto"/>
              <w:rPr>
                <w:rFonts w:asciiTheme="minorHAnsi" w:hAnsiTheme="minorHAnsi" w:cstheme="minorHAnsi"/>
                <w:color w:val="000000" w:themeColor="text1"/>
                <w:sz w:val="22"/>
                <w:szCs w:val="22"/>
              </w:rPr>
            </w:pPr>
            <w:r w:rsidRPr="004E19EE">
              <w:rPr>
                <w:rFonts w:cstheme="minorHAnsi"/>
                <w:sz w:val="22"/>
                <w:szCs w:val="22"/>
              </w:rPr>
              <w:t xml:space="preserve">Treasury </w:t>
            </w:r>
            <w:r w:rsidRPr="004E19EE">
              <w:rPr>
                <w:rFonts w:cstheme="minorHAnsi"/>
                <w:b/>
                <w:bCs/>
                <w:sz w:val="22"/>
                <w:szCs w:val="22"/>
              </w:rPr>
              <w:t>accepts</w:t>
            </w:r>
            <w:r w:rsidRPr="004E19EE">
              <w:rPr>
                <w:rFonts w:cstheme="minorHAnsi"/>
                <w:sz w:val="22"/>
                <w:szCs w:val="22"/>
              </w:rPr>
              <w:t xml:space="preserve"> this recommendation. A provision has been added to the proposed rules to require</w:t>
            </w:r>
            <w:r w:rsidR="00DF4A11">
              <w:rPr>
                <w:rFonts w:cstheme="minorHAnsi"/>
                <w:sz w:val="22"/>
                <w:szCs w:val="22"/>
              </w:rPr>
              <w:t xml:space="preserve">, if </w:t>
            </w:r>
            <w:r w:rsidR="001E7136">
              <w:rPr>
                <w:rFonts w:cstheme="minorHAnsi"/>
                <w:sz w:val="22"/>
                <w:szCs w:val="22"/>
              </w:rPr>
              <w:t>it is practicable to do so, that</w:t>
            </w:r>
            <w:r w:rsidRPr="004E19EE">
              <w:rPr>
                <w:rFonts w:cstheme="minorHAnsi"/>
                <w:sz w:val="22"/>
                <w:szCs w:val="22"/>
              </w:rPr>
              <w:t xml:space="preserve"> CDR representative principals’ CDR policies </w:t>
            </w:r>
            <w:r w:rsidR="001E7136">
              <w:rPr>
                <w:rFonts w:cstheme="minorHAnsi"/>
                <w:sz w:val="22"/>
                <w:szCs w:val="22"/>
              </w:rPr>
              <w:t>specify</w:t>
            </w:r>
            <w:r w:rsidRPr="004E19EE">
              <w:rPr>
                <w:rFonts w:cstheme="minorHAnsi"/>
                <w:sz w:val="22"/>
                <w:szCs w:val="22"/>
              </w:rPr>
              <w:t xml:space="preserve"> the countries</w:t>
            </w:r>
            <w:r w:rsidR="00525733">
              <w:rPr>
                <w:rFonts w:cstheme="minorHAnsi"/>
                <w:sz w:val="22"/>
                <w:szCs w:val="22"/>
              </w:rPr>
              <w:t xml:space="preserve"> in which</w:t>
            </w:r>
            <w:r w:rsidRPr="004E19EE">
              <w:rPr>
                <w:rFonts w:cstheme="minorHAnsi"/>
                <w:sz w:val="22"/>
                <w:szCs w:val="22"/>
              </w:rPr>
              <w:t xml:space="preserve"> the direct and indirect OSPs of CDR representatives that may be disclosed CDR data are located.</w:t>
            </w:r>
          </w:p>
        </w:tc>
      </w:tr>
    </w:tbl>
    <w:p w14:paraId="68684CA9" w14:textId="1C48C4D9" w:rsidR="00505A3C" w:rsidRDefault="00505A3C" w:rsidP="00681F83">
      <w:pPr>
        <w:spacing w:before="0"/>
        <w:rPr>
          <w:b/>
          <w:bCs/>
        </w:rPr>
      </w:pPr>
    </w:p>
    <w:p w14:paraId="2EB487CF" w14:textId="1CDE782E" w:rsidR="00D61288" w:rsidRDefault="00D61288" w:rsidP="5B74BD39">
      <w:pPr>
        <w:pStyle w:val="Heading2"/>
        <w:spacing w:before="0"/>
        <w:rPr>
          <w:b/>
        </w:rPr>
      </w:pPr>
      <w:r>
        <w:t xml:space="preserve">Recommendation 10 – </w:t>
      </w:r>
      <w:r w:rsidR="00E21EEA">
        <w:t xml:space="preserve">updating </w:t>
      </w:r>
      <w:proofErr w:type="gramStart"/>
      <w:r w:rsidR="00E21EEA">
        <w:t>guidance</w:t>
      </w:r>
      <w:proofErr w:type="gramEnd"/>
    </w:p>
    <w:p w14:paraId="775578BF" w14:textId="77777777" w:rsidR="00D61288" w:rsidRPr="003671C1" w:rsidRDefault="00D61288" w:rsidP="004A183A">
      <w:pPr>
        <w:spacing w:before="0"/>
        <w:rPr>
          <w:b/>
          <w:bCs/>
        </w:rPr>
      </w:pPr>
    </w:p>
    <w:tbl>
      <w:tblPr>
        <w:tblStyle w:val="TableGrid1"/>
        <w:tblW w:w="0" w:type="auto"/>
        <w:tblLook w:val="04A0" w:firstRow="1" w:lastRow="0" w:firstColumn="1" w:lastColumn="0" w:noHBand="0" w:noVBand="1"/>
      </w:tblPr>
      <w:tblGrid>
        <w:gridCol w:w="9016"/>
      </w:tblGrid>
      <w:tr w:rsidR="00D61288" w:rsidRPr="00D52F9B" w14:paraId="6589A0EB" w14:textId="77777777" w:rsidTr="00DF56DE">
        <w:trPr>
          <w:trHeight w:val="872"/>
        </w:trPr>
        <w:tc>
          <w:tcPr>
            <w:tcW w:w="9060" w:type="dxa"/>
            <w:tcBorders>
              <w:top w:val="single" w:sz="4" w:space="0" w:color="auto"/>
            </w:tcBorders>
            <w:shd w:val="clear" w:color="auto" w:fill="C9D7FB" w:themeFill="accent2" w:themeFillTint="33"/>
          </w:tcPr>
          <w:p w14:paraId="306D20A2" w14:textId="588B8583" w:rsidR="00D61288" w:rsidRPr="00D52F9B" w:rsidRDefault="00FE014A" w:rsidP="00497D1E">
            <w:pPr>
              <w:spacing w:after="220" w:line="276" w:lineRule="auto"/>
              <w:contextualSpacing/>
              <w:rPr>
                <w:rFonts w:asciiTheme="minorHAnsi" w:hAnsiTheme="minorHAnsi" w:cstheme="minorHAnsi"/>
                <w:sz w:val="22"/>
                <w:szCs w:val="22"/>
              </w:rPr>
            </w:pPr>
            <w:r w:rsidRPr="004E19EE">
              <w:rPr>
                <w:rFonts w:cstheme="minorHAnsi"/>
                <w:sz w:val="22"/>
                <w:szCs w:val="22"/>
              </w:rPr>
              <w:t>Guidance materials (such as those issued by the OAIC) [should be] updated to support ADRs in understanding their obligations with respect to OSPs, including but not limited to the circumstances where an OSP must cease use of CDR data.</w:t>
            </w:r>
          </w:p>
        </w:tc>
      </w:tr>
      <w:tr w:rsidR="00D61288" w:rsidRPr="003671C1" w14:paraId="56AF2334" w14:textId="77777777" w:rsidTr="00497D1E">
        <w:tc>
          <w:tcPr>
            <w:tcW w:w="9060" w:type="dxa"/>
            <w:tcBorders>
              <w:top w:val="single" w:sz="4" w:space="0" w:color="auto"/>
            </w:tcBorders>
            <w:shd w:val="clear" w:color="auto" w:fill="FFFFFF" w:themeFill="background1"/>
          </w:tcPr>
          <w:p w14:paraId="6BEF4ECE" w14:textId="10D6170C" w:rsidR="00D61288" w:rsidRPr="00520E7E" w:rsidRDefault="003A3E71" w:rsidP="00497D1E">
            <w:pPr>
              <w:spacing w:after="220" w:line="276" w:lineRule="auto"/>
              <w:rPr>
                <w:rFonts w:asciiTheme="minorHAnsi" w:hAnsiTheme="minorHAnsi" w:cstheme="minorHAnsi"/>
                <w:color w:val="000000" w:themeColor="text1"/>
                <w:sz w:val="22"/>
                <w:szCs w:val="22"/>
              </w:rPr>
            </w:pPr>
            <w:r w:rsidRPr="004E19EE">
              <w:rPr>
                <w:rFonts w:cstheme="minorHAnsi"/>
                <w:sz w:val="22"/>
                <w:szCs w:val="22"/>
              </w:rPr>
              <w:t xml:space="preserve">This recommendation will be </w:t>
            </w:r>
            <w:r w:rsidRPr="004E19EE">
              <w:rPr>
                <w:rFonts w:cstheme="minorHAnsi"/>
                <w:b/>
                <w:bCs/>
                <w:sz w:val="22"/>
                <w:szCs w:val="22"/>
              </w:rPr>
              <w:t>referred</w:t>
            </w:r>
            <w:r w:rsidRPr="004E19EE">
              <w:rPr>
                <w:rFonts w:cstheme="minorHAnsi"/>
                <w:sz w:val="22"/>
                <w:szCs w:val="22"/>
              </w:rPr>
              <w:t xml:space="preserve"> to the OAIC to consider updates to existing guidance relating to OSPs and whether further guidance is needed.</w:t>
            </w:r>
          </w:p>
        </w:tc>
      </w:tr>
    </w:tbl>
    <w:p w14:paraId="2E557112" w14:textId="1ED221A1" w:rsidR="003753D7" w:rsidRDefault="003753D7" w:rsidP="00681F83">
      <w:pPr>
        <w:spacing w:before="0"/>
      </w:pPr>
    </w:p>
    <w:p w14:paraId="690918A8" w14:textId="20140A9E" w:rsidR="00D61288" w:rsidRDefault="00D61288" w:rsidP="000F6481">
      <w:pPr>
        <w:pStyle w:val="Heading2"/>
        <w:spacing w:before="0"/>
      </w:pPr>
      <w:r>
        <w:t xml:space="preserve">Recommendations 11 and 12 – </w:t>
      </w:r>
      <w:r w:rsidR="001D6228" w:rsidRPr="004E19EE">
        <w:rPr>
          <w:szCs w:val="22"/>
        </w:rPr>
        <w:t>data breaches</w:t>
      </w:r>
    </w:p>
    <w:p w14:paraId="6ACA73BE" w14:textId="318F410D" w:rsidR="00D61288" w:rsidRDefault="00D61288" w:rsidP="00681F83">
      <w:pPr>
        <w:spacing w:before="0"/>
      </w:pPr>
    </w:p>
    <w:tbl>
      <w:tblPr>
        <w:tblStyle w:val="TableGrid1"/>
        <w:tblW w:w="0" w:type="auto"/>
        <w:tblLook w:val="04A0" w:firstRow="1" w:lastRow="0" w:firstColumn="1" w:lastColumn="0" w:noHBand="0" w:noVBand="1"/>
      </w:tblPr>
      <w:tblGrid>
        <w:gridCol w:w="9016"/>
      </w:tblGrid>
      <w:tr w:rsidR="00D61288" w:rsidRPr="00D52F9B" w14:paraId="062C5AA1" w14:textId="77777777" w:rsidTr="5B74BD39">
        <w:trPr>
          <w:trHeight w:val="1640"/>
        </w:trPr>
        <w:tc>
          <w:tcPr>
            <w:tcW w:w="9060" w:type="dxa"/>
            <w:tcBorders>
              <w:top w:val="single" w:sz="4" w:space="0" w:color="auto"/>
            </w:tcBorders>
            <w:shd w:val="clear" w:color="auto" w:fill="C9D7FB" w:themeFill="accent2" w:themeFillTint="33"/>
          </w:tcPr>
          <w:p w14:paraId="3E74B9EA" w14:textId="77777777" w:rsidR="00B06B2D" w:rsidRPr="004E19EE" w:rsidRDefault="00B06B2D" w:rsidP="00B06B2D">
            <w:pPr>
              <w:spacing w:beforeLines="40" w:before="96" w:afterLines="40" w:after="96"/>
              <w:rPr>
                <w:rFonts w:cstheme="minorHAnsi"/>
                <w:sz w:val="22"/>
                <w:szCs w:val="22"/>
              </w:rPr>
            </w:pPr>
            <w:bookmarkStart w:id="1" w:name="_Hlk121812028"/>
            <w:r w:rsidRPr="004E19EE">
              <w:rPr>
                <w:rFonts w:cstheme="minorHAnsi"/>
                <w:sz w:val="22"/>
                <w:szCs w:val="22"/>
              </w:rPr>
              <w:t>Consider whether additional record keeping and reporting obligations, including in relation to notifiable data breaches, should apply to CDR representatives, OSPs and their principals</w:t>
            </w:r>
            <w:bookmarkEnd w:id="1"/>
            <w:r w:rsidRPr="004E19EE">
              <w:rPr>
                <w:rFonts w:cstheme="minorHAnsi"/>
                <w:sz w:val="22"/>
                <w:szCs w:val="22"/>
              </w:rPr>
              <w:t>.</w:t>
            </w:r>
          </w:p>
          <w:p w14:paraId="4CA8E37F" w14:textId="1F0D0D6B" w:rsidR="00D61288" w:rsidRPr="00D52F9B" w:rsidRDefault="00B06B2D" w:rsidP="00B06B2D">
            <w:pPr>
              <w:spacing w:after="220" w:line="276" w:lineRule="auto"/>
              <w:contextualSpacing/>
              <w:rPr>
                <w:rFonts w:asciiTheme="minorHAnsi" w:hAnsiTheme="minorHAnsi" w:cstheme="minorHAnsi"/>
                <w:sz w:val="22"/>
                <w:szCs w:val="22"/>
              </w:rPr>
            </w:pPr>
            <w:bookmarkStart w:id="2" w:name="_Hlk121812051"/>
            <w:r w:rsidRPr="004E19EE">
              <w:rPr>
                <w:rFonts w:cstheme="minorHAnsi"/>
                <w:sz w:val="22"/>
                <w:szCs w:val="22"/>
              </w:rPr>
              <w:t>ADRs [should] require any unaccredited CDR representatives and OSPs to immediately notify the ADR of a data security breach or information security incident involving CDR data.</w:t>
            </w:r>
            <w:bookmarkEnd w:id="2"/>
          </w:p>
        </w:tc>
      </w:tr>
      <w:tr w:rsidR="00D61288" w:rsidRPr="003671C1" w14:paraId="2AEA14C2" w14:textId="77777777" w:rsidTr="5B74BD39">
        <w:tc>
          <w:tcPr>
            <w:tcW w:w="9060" w:type="dxa"/>
            <w:tcBorders>
              <w:top w:val="single" w:sz="4" w:space="0" w:color="auto"/>
            </w:tcBorders>
            <w:shd w:val="clear" w:color="auto" w:fill="FFFFFF" w:themeFill="background1"/>
          </w:tcPr>
          <w:p w14:paraId="6E9D7DA5" w14:textId="6A8A2843" w:rsidR="00D61288" w:rsidRPr="00520E7E" w:rsidRDefault="001F63FC" w:rsidP="5B74BD39">
            <w:pPr>
              <w:spacing w:after="220" w:line="276" w:lineRule="auto"/>
              <w:rPr>
                <w:rFonts w:asciiTheme="minorHAnsi" w:hAnsiTheme="minorHAnsi" w:cstheme="minorBidi"/>
                <w:color w:val="000000" w:themeColor="text1"/>
                <w:sz w:val="22"/>
                <w:szCs w:val="22"/>
              </w:rPr>
            </w:pPr>
            <w:r w:rsidRPr="5B74BD39">
              <w:rPr>
                <w:rFonts w:cstheme="minorBidi"/>
                <w:sz w:val="22"/>
                <w:szCs w:val="22"/>
              </w:rPr>
              <w:t xml:space="preserve">Treasury </w:t>
            </w:r>
            <w:r w:rsidRPr="5B74BD39">
              <w:rPr>
                <w:rFonts w:cstheme="minorBidi"/>
                <w:b/>
                <w:bCs/>
                <w:sz w:val="22"/>
                <w:szCs w:val="22"/>
              </w:rPr>
              <w:t>notes</w:t>
            </w:r>
            <w:r w:rsidRPr="5B74BD39">
              <w:rPr>
                <w:rFonts w:cstheme="minorBidi"/>
                <w:sz w:val="22"/>
                <w:szCs w:val="22"/>
              </w:rPr>
              <w:t xml:space="preserve"> these recommendations. A range of new recordkeeping and reporting obligations have been added to the proposed rules in relation to CDR representatives and OSPs to improve regulatory oversight. Treasury notes that </w:t>
            </w:r>
            <w:r w:rsidR="008A201B" w:rsidRPr="5B74BD39">
              <w:rPr>
                <w:rFonts w:cstheme="minorBidi"/>
                <w:sz w:val="22"/>
                <w:szCs w:val="22"/>
              </w:rPr>
              <w:t>the CDR R</w:t>
            </w:r>
            <w:r w:rsidRPr="5B74BD39">
              <w:rPr>
                <w:rFonts w:cstheme="minorBidi"/>
                <w:sz w:val="22"/>
                <w:szCs w:val="22"/>
              </w:rPr>
              <w:t>ules</w:t>
            </w:r>
            <w:r w:rsidR="008A201B" w:rsidRPr="5B74BD39">
              <w:rPr>
                <w:rFonts w:cstheme="minorBidi"/>
                <w:sz w:val="22"/>
                <w:szCs w:val="22"/>
              </w:rPr>
              <w:t xml:space="preserve"> already require</w:t>
            </w:r>
            <w:r w:rsidRPr="5B74BD39">
              <w:rPr>
                <w:rFonts w:cstheme="minorBidi"/>
                <w:sz w:val="22"/>
                <w:szCs w:val="22"/>
              </w:rPr>
              <w:t xml:space="preserve"> both CDR representatives and OSPs</w:t>
            </w:r>
            <w:r w:rsidR="008A201B" w:rsidRPr="5B74BD39">
              <w:rPr>
                <w:rFonts w:cstheme="minorBidi"/>
                <w:sz w:val="22"/>
                <w:szCs w:val="22"/>
              </w:rPr>
              <w:t>,</w:t>
            </w:r>
            <w:r w:rsidRPr="5B74BD39">
              <w:rPr>
                <w:rFonts w:cstheme="minorBidi"/>
                <w:sz w:val="22"/>
                <w:szCs w:val="22"/>
              </w:rPr>
              <w:t xml:space="preserve"> via their agreements</w:t>
            </w:r>
            <w:r w:rsidR="008A201B" w:rsidRPr="5B74BD39">
              <w:rPr>
                <w:rFonts w:cstheme="minorBidi"/>
                <w:sz w:val="22"/>
                <w:szCs w:val="22"/>
              </w:rPr>
              <w:t>,</w:t>
            </w:r>
            <w:r w:rsidRPr="5B74BD39">
              <w:rPr>
                <w:rFonts w:cstheme="minorBidi"/>
                <w:sz w:val="22"/>
                <w:szCs w:val="22"/>
              </w:rPr>
              <w:t xml:space="preserve"> to comply with Schedule 2</w:t>
            </w:r>
            <w:r w:rsidR="00D57712" w:rsidRPr="5B74BD39">
              <w:rPr>
                <w:rFonts w:cstheme="minorBidi"/>
                <w:sz w:val="22"/>
                <w:szCs w:val="22"/>
              </w:rPr>
              <w:t xml:space="preserve"> to the CDR Rules</w:t>
            </w:r>
            <w:r w:rsidRPr="5B74BD39">
              <w:rPr>
                <w:rFonts w:cstheme="minorBidi"/>
                <w:sz w:val="22"/>
                <w:szCs w:val="22"/>
              </w:rPr>
              <w:t xml:space="preserve"> </w:t>
            </w:r>
            <w:r w:rsidR="007001BD">
              <w:rPr>
                <w:rFonts w:cstheme="minorBidi"/>
                <w:sz w:val="22"/>
                <w:szCs w:val="22"/>
              </w:rPr>
              <w:t>(</w:t>
            </w:r>
            <w:r w:rsidR="0085588D">
              <w:rPr>
                <w:rFonts w:cstheme="minorBidi"/>
                <w:sz w:val="22"/>
                <w:szCs w:val="22"/>
              </w:rPr>
              <w:t>which re</w:t>
            </w:r>
            <w:r w:rsidR="004C7322">
              <w:rPr>
                <w:rFonts w:cstheme="minorBidi"/>
                <w:sz w:val="22"/>
                <w:szCs w:val="22"/>
              </w:rPr>
              <w:t>lates to CDR data security</w:t>
            </w:r>
            <w:r w:rsidR="007001BD">
              <w:rPr>
                <w:rFonts w:cstheme="minorBidi"/>
                <w:sz w:val="22"/>
                <w:szCs w:val="22"/>
              </w:rPr>
              <w:t>)</w:t>
            </w:r>
            <w:r w:rsidRPr="5B74BD39">
              <w:rPr>
                <w:rFonts w:cstheme="minorBidi"/>
                <w:sz w:val="22"/>
                <w:szCs w:val="22"/>
              </w:rPr>
              <w:t xml:space="preserve">. </w:t>
            </w:r>
            <w:r w:rsidR="00773D23">
              <w:rPr>
                <w:rFonts w:cstheme="minorBidi"/>
                <w:sz w:val="22"/>
                <w:szCs w:val="22"/>
              </w:rPr>
              <w:t xml:space="preserve">However, there may be </w:t>
            </w:r>
            <w:proofErr w:type="gramStart"/>
            <w:r w:rsidR="00773D23">
              <w:rPr>
                <w:rFonts w:cstheme="minorBidi"/>
                <w:sz w:val="22"/>
                <w:szCs w:val="22"/>
              </w:rPr>
              <w:t>scope</w:t>
            </w:r>
            <w:proofErr w:type="gramEnd"/>
            <w:r w:rsidR="00773D23">
              <w:rPr>
                <w:rFonts w:cstheme="minorBidi"/>
                <w:sz w:val="22"/>
                <w:szCs w:val="22"/>
              </w:rPr>
              <w:t xml:space="preserve"> to further amend the rules to strengthen notification requirements for OSP and CDR representative arrangements</w:t>
            </w:r>
            <w:r w:rsidR="005F1247">
              <w:rPr>
                <w:rFonts w:cstheme="minorBidi"/>
                <w:sz w:val="22"/>
                <w:szCs w:val="22"/>
              </w:rPr>
              <w:t xml:space="preserve"> </w:t>
            </w:r>
            <w:r w:rsidRPr="5B74BD39">
              <w:rPr>
                <w:rFonts w:cstheme="minorBidi"/>
                <w:sz w:val="22"/>
                <w:szCs w:val="22"/>
              </w:rPr>
              <w:t>if the current settings are not</w:t>
            </w:r>
            <w:r w:rsidR="1B4823F9" w:rsidRPr="5B74BD39">
              <w:rPr>
                <w:rFonts w:cstheme="minorBidi"/>
                <w:sz w:val="22"/>
                <w:szCs w:val="22"/>
              </w:rPr>
              <w:t xml:space="preserve"> considered</w:t>
            </w:r>
            <w:r w:rsidRPr="5B74BD39">
              <w:rPr>
                <w:rFonts w:cstheme="minorBidi"/>
                <w:sz w:val="22"/>
                <w:szCs w:val="22"/>
              </w:rPr>
              <w:t xml:space="preserve"> effective, noting that OSP</w:t>
            </w:r>
            <w:r w:rsidR="04FE54F6" w:rsidRPr="5B74BD39">
              <w:rPr>
                <w:rFonts w:cstheme="minorBidi"/>
                <w:sz w:val="22"/>
                <w:szCs w:val="22"/>
              </w:rPr>
              <w:t xml:space="preserve"> principals</w:t>
            </w:r>
            <w:r w:rsidRPr="5B74BD39">
              <w:rPr>
                <w:rFonts w:cstheme="minorBidi"/>
                <w:sz w:val="22"/>
                <w:szCs w:val="22"/>
              </w:rPr>
              <w:t xml:space="preserve"> and CDR representative principals may independently choose to include these terms in their contracts.</w:t>
            </w:r>
          </w:p>
        </w:tc>
      </w:tr>
    </w:tbl>
    <w:p w14:paraId="5FBF7001" w14:textId="77777777" w:rsidR="00D61288" w:rsidRPr="003753D7" w:rsidRDefault="00D61288" w:rsidP="003753D7"/>
    <w:sectPr w:rsidR="00D61288" w:rsidRPr="003753D7" w:rsidSect="00C06739">
      <w:footerReference w:type="default" r:id="rId14"/>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2299" w14:textId="77777777" w:rsidR="00F86EB6" w:rsidRDefault="00F86EB6" w:rsidP="004B4412">
      <w:pPr>
        <w:spacing w:before="0"/>
      </w:pPr>
      <w:r>
        <w:separator/>
      </w:r>
    </w:p>
  </w:endnote>
  <w:endnote w:type="continuationSeparator" w:id="0">
    <w:p w14:paraId="52A41F20" w14:textId="77777777" w:rsidR="00F86EB6" w:rsidRDefault="00F86EB6" w:rsidP="004B4412">
      <w:pPr>
        <w:spacing w:before="0"/>
      </w:pPr>
      <w:r>
        <w:continuationSeparator/>
      </w:r>
    </w:p>
  </w:endnote>
  <w:endnote w:type="continuationNotice" w:id="1">
    <w:p w14:paraId="4031D2F8" w14:textId="77777777" w:rsidR="00F86EB6" w:rsidRDefault="00F86E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77E0" w14:textId="32543713" w:rsidR="000E3A2E" w:rsidRPr="00671AE7" w:rsidRDefault="000E3A2E" w:rsidP="000E3A2E">
    <w:pPr>
      <w:tabs>
        <w:tab w:val="center" w:pos="4513"/>
        <w:tab w:val="right" w:pos="8505"/>
      </w:tabs>
      <w:spacing w:after="120" w:line="276" w:lineRule="auto"/>
      <w:rPr>
        <w:sz w:val="18"/>
      </w:rPr>
    </w:pPr>
    <w:r w:rsidRPr="00671AE7">
      <w:rPr>
        <w:sz w:val="18"/>
      </w:rPr>
      <w:fldChar w:fldCharType="begin"/>
    </w:r>
    <w:r w:rsidRPr="00671AE7">
      <w:rPr>
        <w:sz w:val="18"/>
      </w:rPr>
      <w:instrText xml:space="preserve"> STYLEREF  Title  \* MERGEFORMAT </w:instrText>
    </w:r>
    <w:r w:rsidRPr="00671AE7">
      <w:rPr>
        <w:sz w:val="18"/>
      </w:rPr>
      <w:fldChar w:fldCharType="separate"/>
    </w:r>
    <w:r w:rsidR="00026E08">
      <w:rPr>
        <w:noProof/>
        <w:sz w:val="18"/>
      </w:rPr>
      <w:t>Privacy Impact Assessment</w:t>
    </w:r>
    <w:r w:rsidRPr="00671AE7">
      <w:rPr>
        <w:noProof/>
        <w:sz w:val="18"/>
      </w:rPr>
      <w:fldChar w:fldCharType="end"/>
    </w:r>
    <w:r w:rsidRPr="00671AE7">
      <w:rPr>
        <w:sz w:val="18"/>
      </w:rPr>
      <w:tab/>
    </w:r>
    <w:r w:rsidRPr="00671AE7">
      <w:rPr>
        <w:sz w:val="18"/>
      </w:rPr>
      <w:tab/>
    </w:r>
    <w:r w:rsidRPr="00671AE7">
      <w:rPr>
        <w:sz w:val="18"/>
      </w:rPr>
      <w:fldChar w:fldCharType="begin"/>
    </w:r>
    <w:r w:rsidRPr="00671AE7">
      <w:rPr>
        <w:sz w:val="18"/>
      </w:rPr>
      <w:instrText xml:space="preserve"> PAGE   \* MERGEFORMAT </w:instrText>
    </w:r>
    <w:r w:rsidRPr="00671AE7">
      <w:rPr>
        <w:sz w:val="18"/>
      </w:rPr>
      <w:fldChar w:fldCharType="separate"/>
    </w:r>
    <w:r w:rsidR="00EF303B">
      <w:rPr>
        <w:noProof/>
        <w:sz w:val="18"/>
      </w:rPr>
      <w:t>1</w:t>
    </w:r>
    <w:r w:rsidRPr="00671AE7">
      <w:rPr>
        <w:sz w:val="18"/>
      </w:rPr>
      <w:fldChar w:fldCharType="end"/>
    </w:r>
  </w:p>
  <w:p w14:paraId="078277E1" w14:textId="77777777" w:rsidR="000E3A2E" w:rsidRPr="00E370FD" w:rsidRDefault="000E3A2E" w:rsidP="000E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9F01" w14:textId="77777777" w:rsidR="00F86EB6" w:rsidRDefault="00F86EB6" w:rsidP="004B4412">
      <w:pPr>
        <w:spacing w:before="0"/>
      </w:pPr>
      <w:r>
        <w:separator/>
      </w:r>
    </w:p>
  </w:footnote>
  <w:footnote w:type="continuationSeparator" w:id="0">
    <w:p w14:paraId="1A9C929A" w14:textId="77777777" w:rsidR="00F86EB6" w:rsidRDefault="00F86EB6" w:rsidP="004B4412">
      <w:pPr>
        <w:spacing w:before="0"/>
      </w:pPr>
      <w:r>
        <w:continuationSeparator/>
      </w:r>
    </w:p>
  </w:footnote>
  <w:footnote w:type="continuationNotice" w:id="1">
    <w:p w14:paraId="35CB7AF4" w14:textId="77777777" w:rsidR="00F86EB6" w:rsidRDefault="00F86EB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CF519CE"/>
    <w:multiLevelType w:val="multilevel"/>
    <w:tmpl w:val="7C26219C"/>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5" w15:restartNumberingAfterBreak="0">
    <w:nsid w:val="34E31A83"/>
    <w:multiLevelType w:val="multilevel"/>
    <w:tmpl w:val="91FCDF1E"/>
    <w:lvl w:ilvl="0">
      <w:start w:val="1"/>
      <w:numFmt w:val="decimal"/>
      <w:lvlText w:val="%1."/>
      <w:lvlJc w:val="left"/>
      <w:pPr>
        <w:ind w:left="1021" w:hanging="341"/>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7"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9"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1"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4" w15:restartNumberingAfterBreak="0">
    <w:nsid w:val="6E3A771D"/>
    <w:multiLevelType w:val="multilevel"/>
    <w:tmpl w:val="5986F3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6"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7"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8"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9"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2026860195">
    <w:abstractNumId w:val="10"/>
  </w:num>
  <w:num w:numId="2" w16cid:durableId="2106077057">
    <w:abstractNumId w:val="29"/>
  </w:num>
  <w:num w:numId="3" w16cid:durableId="1347633335">
    <w:abstractNumId w:val="7"/>
  </w:num>
  <w:num w:numId="4" w16cid:durableId="778641222">
    <w:abstractNumId w:val="6"/>
  </w:num>
  <w:num w:numId="5" w16cid:durableId="1468821119">
    <w:abstractNumId w:val="5"/>
  </w:num>
  <w:num w:numId="6" w16cid:durableId="706368071">
    <w:abstractNumId w:val="4"/>
  </w:num>
  <w:num w:numId="7" w16cid:durableId="1147822988">
    <w:abstractNumId w:val="1"/>
  </w:num>
  <w:num w:numId="8" w16cid:durableId="474447242">
    <w:abstractNumId w:val="0"/>
  </w:num>
  <w:num w:numId="9" w16cid:durableId="1468164037">
    <w:abstractNumId w:val="23"/>
  </w:num>
  <w:num w:numId="10" w16cid:durableId="1652251980">
    <w:abstractNumId w:val="17"/>
  </w:num>
  <w:num w:numId="11" w16cid:durableId="1825506940">
    <w:abstractNumId w:val="9"/>
  </w:num>
  <w:num w:numId="12" w16cid:durableId="817956307">
    <w:abstractNumId w:val="12"/>
  </w:num>
  <w:num w:numId="13" w16cid:durableId="277302259">
    <w:abstractNumId w:val="16"/>
  </w:num>
  <w:num w:numId="14" w16cid:durableId="811219523">
    <w:abstractNumId w:val="2"/>
  </w:num>
  <w:num w:numId="15" w16cid:durableId="546843461">
    <w:abstractNumId w:val="25"/>
  </w:num>
  <w:num w:numId="16" w16cid:durableId="738140388">
    <w:abstractNumId w:val="28"/>
  </w:num>
  <w:num w:numId="17" w16cid:durableId="445999726">
    <w:abstractNumId w:val="27"/>
  </w:num>
  <w:num w:numId="18" w16cid:durableId="525489383">
    <w:abstractNumId w:val="20"/>
  </w:num>
  <w:num w:numId="19" w16cid:durableId="506214183">
    <w:abstractNumId w:val="14"/>
  </w:num>
  <w:num w:numId="20" w16cid:durableId="1322810999">
    <w:abstractNumId w:val="18"/>
  </w:num>
  <w:num w:numId="21" w16cid:durableId="1079206945">
    <w:abstractNumId w:val="26"/>
  </w:num>
  <w:num w:numId="22" w16cid:durableId="1897469055">
    <w:abstractNumId w:val="21"/>
  </w:num>
  <w:num w:numId="23" w16cid:durableId="218824929">
    <w:abstractNumId w:val="8"/>
  </w:num>
  <w:num w:numId="24" w16cid:durableId="1907639851">
    <w:abstractNumId w:val="3"/>
  </w:num>
  <w:num w:numId="25" w16cid:durableId="24527197">
    <w:abstractNumId w:val="19"/>
  </w:num>
  <w:num w:numId="26" w16cid:durableId="95173943">
    <w:abstractNumId w:val="11"/>
  </w:num>
  <w:num w:numId="27" w16cid:durableId="1585802314">
    <w:abstractNumId w:val="22"/>
  </w:num>
  <w:num w:numId="28" w16cid:durableId="298809522">
    <w:abstractNumId w:val="21"/>
    <w:lvlOverride w:ilvl="0">
      <w:startOverride w:val="1"/>
    </w:lvlOverride>
  </w:num>
  <w:num w:numId="29" w16cid:durableId="901258619">
    <w:abstractNumId w:val="16"/>
    <w:lvlOverride w:ilvl="0">
      <w:startOverride w:val="1"/>
    </w:lvlOverride>
  </w:num>
  <w:num w:numId="30" w16cid:durableId="2015301284">
    <w:abstractNumId w:val="16"/>
    <w:lvlOverride w:ilvl="0">
      <w:startOverride w:val="1"/>
    </w:lvlOverride>
  </w:num>
  <w:num w:numId="31" w16cid:durableId="759446315">
    <w:abstractNumId w:val="2"/>
    <w:lvlOverride w:ilvl="0">
      <w:startOverride w:val="1"/>
    </w:lvlOverride>
  </w:num>
  <w:num w:numId="32" w16cid:durableId="587810410">
    <w:abstractNumId w:val="24"/>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021" w:hanging="1021"/>
        </w:pPr>
        <w:rPr>
          <w:rFonts w:hint="default"/>
        </w:rPr>
      </w:lvl>
    </w:lvlOverride>
    <w:lvlOverride w:ilvl="3">
      <w:lvl w:ilvl="3">
        <w:start w:val="1"/>
        <w:numFmt w:val="decimal"/>
        <w:lvlText w:val="%1.%2.%3.%4"/>
        <w:lvlJc w:val="left"/>
        <w:pPr>
          <w:ind w:left="1021" w:hanging="1021"/>
        </w:pPr>
        <w:rPr>
          <w:rFonts w:hint="default"/>
        </w:rPr>
      </w:lvl>
    </w:lvlOverride>
    <w:lvlOverride w:ilvl="4">
      <w:lvl w:ilvl="4">
        <w:start w:val="1"/>
        <w:numFmt w:val="decimal"/>
        <w:lvlText w:val="%1.%2.%3.%4.%5"/>
        <w:lvlJc w:val="left"/>
        <w:pPr>
          <w:ind w:left="1361" w:hanging="1361"/>
        </w:pPr>
        <w:rPr>
          <w:rFonts w:hint="default"/>
        </w:rPr>
      </w:lvl>
    </w:lvlOverride>
    <w:lvlOverride w:ilvl="5">
      <w:lvl w:ilvl="5">
        <w:start w:val="1"/>
        <w:numFmt w:val="decimal"/>
        <w:lvlText w:val="%1.%2.%3.%4.%5.%6"/>
        <w:lvlJc w:val="left"/>
        <w:pPr>
          <w:ind w:left="1361" w:hanging="1361"/>
        </w:pPr>
        <w:rPr>
          <w:rFonts w:hint="default"/>
        </w:rPr>
      </w:lvl>
    </w:lvlOverride>
    <w:lvlOverride w:ilvl="6">
      <w:lvl w:ilvl="6">
        <w:start w:val="1"/>
        <w:numFmt w:val="decimal"/>
        <w:lvlText w:val="%1.%2.%3.%4.%5.%6.%7"/>
        <w:lvlJc w:val="left"/>
        <w:pPr>
          <w:ind w:left="680" w:hanging="680"/>
        </w:pPr>
        <w:rPr>
          <w:rFonts w:hint="default"/>
        </w:rPr>
      </w:lvl>
    </w:lvlOverride>
    <w:lvlOverride w:ilvl="7">
      <w:lvl w:ilvl="7">
        <w:start w:val="1"/>
        <w:numFmt w:val="decimal"/>
        <w:lvlText w:val="%1.%2.%3.%4.%5.%6.%7.%8"/>
        <w:lvlJc w:val="left"/>
        <w:pPr>
          <w:ind w:left="1701" w:hanging="1701"/>
        </w:pPr>
        <w:rPr>
          <w:rFonts w:hint="default"/>
        </w:rPr>
      </w:lvl>
    </w:lvlOverride>
    <w:lvlOverride w:ilvl="8">
      <w:lvl w:ilvl="8">
        <w:start w:val="1"/>
        <w:numFmt w:val="decimal"/>
        <w:lvlText w:val="%1.%2.%3.%4.%5.%6.%7.%8.%9"/>
        <w:lvlJc w:val="left"/>
        <w:pPr>
          <w:ind w:left="1701" w:hanging="1701"/>
        </w:pPr>
        <w:rPr>
          <w:rFonts w:hint="default"/>
        </w:rPr>
      </w:lvl>
    </w:lvlOverride>
  </w:num>
  <w:num w:numId="33" w16cid:durableId="408618975">
    <w:abstractNumId w:val="15"/>
  </w:num>
  <w:num w:numId="34" w16cid:durableId="1741515569">
    <w:abstractNumId w:val="2"/>
    <w:lvlOverride w:ilvl="0">
      <w:startOverride w:val="1"/>
    </w:lvlOverride>
  </w:num>
  <w:num w:numId="35" w16cid:durableId="1118570581">
    <w:abstractNumId w:val="12"/>
  </w:num>
  <w:num w:numId="36" w16cid:durableId="2104912937">
    <w:abstractNumId w:val="30"/>
  </w:num>
  <w:num w:numId="37" w16cid:durableId="552817463">
    <w:abstractNumId w:val="13"/>
  </w:num>
  <w:num w:numId="38" w16cid:durableId="636374027">
    <w:abstractNumId w:val="13"/>
  </w:num>
  <w:num w:numId="39" w16cid:durableId="166450909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T:\Strat_Comms\Pubs_Design\Templates\ACCC\In Progress\ACCC\ACCC Report Template_04.dotm"/>
  </w:docVars>
  <w:rsids>
    <w:rsidRoot w:val="00EF303B"/>
    <w:rsid w:val="00001EE9"/>
    <w:rsid w:val="00006DC4"/>
    <w:rsid w:val="00016A98"/>
    <w:rsid w:val="0002115F"/>
    <w:rsid w:val="00021202"/>
    <w:rsid w:val="000225C4"/>
    <w:rsid w:val="000254C0"/>
    <w:rsid w:val="0002563A"/>
    <w:rsid w:val="00026E08"/>
    <w:rsid w:val="0003578C"/>
    <w:rsid w:val="0005060B"/>
    <w:rsid w:val="00063247"/>
    <w:rsid w:val="00064156"/>
    <w:rsid w:val="00064C89"/>
    <w:rsid w:val="00070F9F"/>
    <w:rsid w:val="0007137B"/>
    <w:rsid w:val="000812A2"/>
    <w:rsid w:val="00082A5B"/>
    <w:rsid w:val="00085663"/>
    <w:rsid w:val="00085EBF"/>
    <w:rsid w:val="000930BA"/>
    <w:rsid w:val="000A6649"/>
    <w:rsid w:val="000B27CA"/>
    <w:rsid w:val="000C2618"/>
    <w:rsid w:val="000C272D"/>
    <w:rsid w:val="000D0DF0"/>
    <w:rsid w:val="000D122C"/>
    <w:rsid w:val="000D6388"/>
    <w:rsid w:val="000E1819"/>
    <w:rsid w:val="000E3A2E"/>
    <w:rsid w:val="000E6C72"/>
    <w:rsid w:val="000F2368"/>
    <w:rsid w:val="000F6481"/>
    <w:rsid w:val="00104F9D"/>
    <w:rsid w:val="001052CF"/>
    <w:rsid w:val="00112051"/>
    <w:rsid w:val="00116EB2"/>
    <w:rsid w:val="00124609"/>
    <w:rsid w:val="00124E64"/>
    <w:rsid w:val="001573E4"/>
    <w:rsid w:val="00160756"/>
    <w:rsid w:val="001626C8"/>
    <w:rsid w:val="00164FE4"/>
    <w:rsid w:val="0017232E"/>
    <w:rsid w:val="00174102"/>
    <w:rsid w:val="00180157"/>
    <w:rsid w:val="00181223"/>
    <w:rsid w:val="00186F77"/>
    <w:rsid w:val="001926A4"/>
    <w:rsid w:val="001942B7"/>
    <w:rsid w:val="001948CA"/>
    <w:rsid w:val="00196CE7"/>
    <w:rsid w:val="001A4E66"/>
    <w:rsid w:val="001B20F3"/>
    <w:rsid w:val="001B45A0"/>
    <w:rsid w:val="001C18EE"/>
    <w:rsid w:val="001C5A98"/>
    <w:rsid w:val="001D055E"/>
    <w:rsid w:val="001D4299"/>
    <w:rsid w:val="001D6228"/>
    <w:rsid w:val="001E7136"/>
    <w:rsid w:val="001E7597"/>
    <w:rsid w:val="001F3FA1"/>
    <w:rsid w:val="001F492E"/>
    <w:rsid w:val="001F63FC"/>
    <w:rsid w:val="001F6DA3"/>
    <w:rsid w:val="001F74C0"/>
    <w:rsid w:val="00205323"/>
    <w:rsid w:val="00212737"/>
    <w:rsid w:val="00213F42"/>
    <w:rsid w:val="00224DB9"/>
    <w:rsid w:val="00241177"/>
    <w:rsid w:val="00242E59"/>
    <w:rsid w:val="00246CFC"/>
    <w:rsid w:val="00251745"/>
    <w:rsid w:val="00252550"/>
    <w:rsid w:val="00252727"/>
    <w:rsid w:val="002604D4"/>
    <w:rsid w:val="00263AC0"/>
    <w:rsid w:val="0026772D"/>
    <w:rsid w:val="00272FCF"/>
    <w:rsid w:val="002739E7"/>
    <w:rsid w:val="002762C4"/>
    <w:rsid w:val="00286874"/>
    <w:rsid w:val="00296B65"/>
    <w:rsid w:val="002A2B4A"/>
    <w:rsid w:val="002A3FC3"/>
    <w:rsid w:val="002A4339"/>
    <w:rsid w:val="002A7DEF"/>
    <w:rsid w:val="002D2987"/>
    <w:rsid w:val="002F7986"/>
    <w:rsid w:val="00303C4A"/>
    <w:rsid w:val="003062CC"/>
    <w:rsid w:val="00307F6D"/>
    <w:rsid w:val="00312396"/>
    <w:rsid w:val="0031573C"/>
    <w:rsid w:val="003159DC"/>
    <w:rsid w:val="003177A2"/>
    <w:rsid w:val="003271B5"/>
    <w:rsid w:val="00331264"/>
    <w:rsid w:val="0033382C"/>
    <w:rsid w:val="00334C8D"/>
    <w:rsid w:val="00340655"/>
    <w:rsid w:val="003459E6"/>
    <w:rsid w:val="003464E9"/>
    <w:rsid w:val="003518B3"/>
    <w:rsid w:val="00352D86"/>
    <w:rsid w:val="003573A5"/>
    <w:rsid w:val="0037098B"/>
    <w:rsid w:val="0037153B"/>
    <w:rsid w:val="00374F2A"/>
    <w:rsid w:val="003753D7"/>
    <w:rsid w:val="003767C1"/>
    <w:rsid w:val="003846F1"/>
    <w:rsid w:val="00384C5B"/>
    <w:rsid w:val="003913C6"/>
    <w:rsid w:val="00392DB2"/>
    <w:rsid w:val="00392EBC"/>
    <w:rsid w:val="003A3660"/>
    <w:rsid w:val="003A3E71"/>
    <w:rsid w:val="003A673F"/>
    <w:rsid w:val="003B5A70"/>
    <w:rsid w:val="003B6C29"/>
    <w:rsid w:val="003D6255"/>
    <w:rsid w:val="00411157"/>
    <w:rsid w:val="00420F56"/>
    <w:rsid w:val="00423E28"/>
    <w:rsid w:val="0043160E"/>
    <w:rsid w:val="00432FEF"/>
    <w:rsid w:val="00433A11"/>
    <w:rsid w:val="004357B8"/>
    <w:rsid w:val="00441CC7"/>
    <w:rsid w:val="004533BC"/>
    <w:rsid w:val="0045631F"/>
    <w:rsid w:val="004631DE"/>
    <w:rsid w:val="00466877"/>
    <w:rsid w:val="004672E0"/>
    <w:rsid w:val="00475DDE"/>
    <w:rsid w:val="00480B4B"/>
    <w:rsid w:val="00483195"/>
    <w:rsid w:val="00485DC4"/>
    <w:rsid w:val="00486C03"/>
    <w:rsid w:val="00497D1E"/>
    <w:rsid w:val="004A1696"/>
    <w:rsid w:val="004A183A"/>
    <w:rsid w:val="004B2DEE"/>
    <w:rsid w:val="004B3E56"/>
    <w:rsid w:val="004B419B"/>
    <w:rsid w:val="004B4412"/>
    <w:rsid w:val="004C18FE"/>
    <w:rsid w:val="004C348C"/>
    <w:rsid w:val="004C5F11"/>
    <w:rsid w:val="004C7322"/>
    <w:rsid w:val="004D0A9B"/>
    <w:rsid w:val="004D2A94"/>
    <w:rsid w:val="004D55BA"/>
    <w:rsid w:val="004D752E"/>
    <w:rsid w:val="004F3C25"/>
    <w:rsid w:val="004F61AF"/>
    <w:rsid w:val="004F723C"/>
    <w:rsid w:val="00503779"/>
    <w:rsid w:val="005038DB"/>
    <w:rsid w:val="00505A3C"/>
    <w:rsid w:val="00506420"/>
    <w:rsid w:val="0051759C"/>
    <w:rsid w:val="0052400F"/>
    <w:rsid w:val="00524B3B"/>
    <w:rsid w:val="00525733"/>
    <w:rsid w:val="00530128"/>
    <w:rsid w:val="00531B61"/>
    <w:rsid w:val="00532467"/>
    <w:rsid w:val="005344E8"/>
    <w:rsid w:val="00542F02"/>
    <w:rsid w:val="00547CCF"/>
    <w:rsid w:val="00551317"/>
    <w:rsid w:val="00555B13"/>
    <w:rsid w:val="0055709A"/>
    <w:rsid w:val="00561A19"/>
    <w:rsid w:val="00563488"/>
    <w:rsid w:val="00564A4D"/>
    <w:rsid w:val="00571B35"/>
    <w:rsid w:val="00571C9F"/>
    <w:rsid w:val="0057289B"/>
    <w:rsid w:val="00577256"/>
    <w:rsid w:val="00577A09"/>
    <w:rsid w:val="0058107C"/>
    <w:rsid w:val="00584D8F"/>
    <w:rsid w:val="00591B32"/>
    <w:rsid w:val="00596D42"/>
    <w:rsid w:val="005A404D"/>
    <w:rsid w:val="005B1E3C"/>
    <w:rsid w:val="005B4C1C"/>
    <w:rsid w:val="005C26CC"/>
    <w:rsid w:val="005D3176"/>
    <w:rsid w:val="005E5C11"/>
    <w:rsid w:val="005E5C5B"/>
    <w:rsid w:val="005E6933"/>
    <w:rsid w:val="005E6C0E"/>
    <w:rsid w:val="005F1247"/>
    <w:rsid w:val="00615AF5"/>
    <w:rsid w:val="00615C6B"/>
    <w:rsid w:val="00632D6D"/>
    <w:rsid w:val="00642C3E"/>
    <w:rsid w:val="00652840"/>
    <w:rsid w:val="006530C1"/>
    <w:rsid w:val="00653829"/>
    <w:rsid w:val="00654692"/>
    <w:rsid w:val="00663DAD"/>
    <w:rsid w:val="00671AE7"/>
    <w:rsid w:val="00675A89"/>
    <w:rsid w:val="00676679"/>
    <w:rsid w:val="006769FD"/>
    <w:rsid w:val="00677266"/>
    <w:rsid w:val="00681F83"/>
    <w:rsid w:val="00687EC0"/>
    <w:rsid w:val="00687F39"/>
    <w:rsid w:val="00690A49"/>
    <w:rsid w:val="006963F9"/>
    <w:rsid w:val="00696AD2"/>
    <w:rsid w:val="006A1497"/>
    <w:rsid w:val="006A288E"/>
    <w:rsid w:val="006B2590"/>
    <w:rsid w:val="006B4CF9"/>
    <w:rsid w:val="006B699E"/>
    <w:rsid w:val="006B7AC8"/>
    <w:rsid w:val="006B7E84"/>
    <w:rsid w:val="006C594F"/>
    <w:rsid w:val="006D16BD"/>
    <w:rsid w:val="006D3302"/>
    <w:rsid w:val="006D395F"/>
    <w:rsid w:val="006D550F"/>
    <w:rsid w:val="006D77F3"/>
    <w:rsid w:val="006F2006"/>
    <w:rsid w:val="007001BD"/>
    <w:rsid w:val="00701CAB"/>
    <w:rsid w:val="00707563"/>
    <w:rsid w:val="0072348C"/>
    <w:rsid w:val="00724A37"/>
    <w:rsid w:val="00724FDD"/>
    <w:rsid w:val="007253B9"/>
    <w:rsid w:val="007303C3"/>
    <w:rsid w:val="007318F3"/>
    <w:rsid w:val="007321FE"/>
    <w:rsid w:val="00743223"/>
    <w:rsid w:val="00745B91"/>
    <w:rsid w:val="00746E01"/>
    <w:rsid w:val="00746FB7"/>
    <w:rsid w:val="00752F79"/>
    <w:rsid w:val="007617A4"/>
    <w:rsid w:val="00763E5D"/>
    <w:rsid w:val="00767740"/>
    <w:rsid w:val="00773D23"/>
    <w:rsid w:val="00777EE6"/>
    <w:rsid w:val="00782EEA"/>
    <w:rsid w:val="00795EA6"/>
    <w:rsid w:val="00797BF0"/>
    <w:rsid w:val="007A7479"/>
    <w:rsid w:val="007B2C72"/>
    <w:rsid w:val="007B31A9"/>
    <w:rsid w:val="007B7D84"/>
    <w:rsid w:val="007C1C53"/>
    <w:rsid w:val="007E26A9"/>
    <w:rsid w:val="007E4904"/>
    <w:rsid w:val="007E4CB5"/>
    <w:rsid w:val="007F066B"/>
    <w:rsid w:val="008033C4"/>
    <w:rsid w:val="00806C88"/>
    <w:rsid w:val="0080789A"/>
    <w:rsid w:val="0081034E"/>
    <w:rsid w:val="00832F95"/>
    <w:rsid w:val="008344F6"/>
    <w:rsid w:val="00834604"/>
    <w:rsid w:val="0083510F"/>
    <w:rsid w:val="008454B5"/>
    <w:rsid w:val="00851209"/>
    <w:rsid w:val="00852462"/>
    <w:rsid w:val="0085588D"/>
    <w:rsid w:val="00857043"/>
    <w:rsid w:val="0088007E"/>
    <w:rsid w:val="008837AC"/>
    <w:rsid w:val="008908F0"/>
    <w:rsid w:val="008920A2"/>
    <w:rsid w:val="008934B2"/>
    <w:rsid w:val="008945B4"/>
    <w:rsid w:val="008A201B"/>
    <w:rsid w:val="008A587D"/>
    <w:rsid w:val="008B598C"/>
    <w:rsid w:val="008C282A"/>
    <w:rsid w:val="008C5486"/>
    <w:rsid w:val="008E524E"/>
    <w:rsid w:val="008E5494"/>
    <w:rsid w:val="008E7031"/>
    <w:rsid w:val="008F4B4D"/>
    <w:rsid w:val="00901E83"/>
    <w:rsid w:val="00905892"/>
    <w:rsid w:val="00922C95"/>
    <w:rsid w:val="009233EE"/>
    <w:rsid w:val="009312F6"/>
    <w:rsid w:val="00935115"/>
    <w:rsid w:val="009375CD"/>
    <w:rsid w:val="009407E1"/>
    <w:rsid w:val="00941C73"/>
    <w:rsid w:val="009651E7"/>
    <w:rsid w:val="009661DE"/>
    <w:rsid w:val="00970CAF"/>
    <w:rsid w:val="00977580"/>
    <w:rsid w:val="009804CC"/>
    <w:rsid w:val="00983A48"/>
    <w:rsid w:val="009856B7"/>
    <w:rsid w:val="00985E70"/>
    <w:rsid w:val="0098602B"/>
    <w:rsid w:val="00986892"/>
    <w:rsid w:val="00990C19"/>
    <w:rsid w:val="00991720"/>
    <w:rsid w:val="00991B3B"/>
    <w:rsid w:val="009962BA"/>
    <w:rsid w:val="00996836"/>
    <w:rsid w:val="00997A01"/>
    <w:rsid w:val="009B2711"/>
    <w:rsid w:val="009B577D"/>
    <w:rsid w:val="009B74B0"/>
    <w:rsid w:val="009D4414"/>
    <w:rsid w:val="009D5EBE"/>
    <w:rsid w:val="009D67A1"/>
    <w:rsid w:val="009D6B46"/>
    <w:rsid w:val="009D6F06"/>
    <w:rsid w:val="009E529F"/>
    <w:rsid w:val="009F2BE5"/>
    <w:rsid w:val="009F36F7"/>
    <w:rsid w:val="009F4940"/>
    <w:rsid w:val="00A1665B"/>
    <w:rsid w:val="00A16D30"/>
    <w:rsid w:val="00A26397"/>
    <w:rsid w:val="00A369BF"/>
    <w:rsid w:val="00A4478A"/>
    <w:rsid w:val="00A44852"/>
    <w:rsid w:val="00A452F1"/>
    <w:rsid w:val="00A537EF"/>
    <w:rsid w:val="00A57D04"/>
    <w:rsid w:val="00A60A26"/>
    <w:rsid w:val="00A61598"/>
    <w:rsid w:val="00A62850"/>
    <w:rsid w:val="00A66D2F"/>
    <w:rsid w:val="00A75D2D"/>
    <w:rsid w:val="00A84F46"/>
    <w:rsid w:val="00A871F4"/>
    <w:rsid w:val="00A8752B"/>
    <w:rsid w:val="00A95347"/>
    <w:rsid w:val="00AA5A2D"/>
    <w:rsid w:val="00AC1B2C"/>
    <w:rsid w:val="00AC3264"/>
    <w:rsid w:val="00AC6F01"/>
    <w:rsid w:val="00AE0FE2"/>
    <w:rsid w:val="00AE1BF1"/>
    <w:rsid w:val="00AE534F"/>
    <w:rsid w:val="00AF0BF1"/>
    <w:rsid w:val="00AF0DD2"/>
    <w:rsid w:val="00B0374D"/>
    <w:rsid w:val="00B06B2D"/>
    <w:rsid w:val="00B07FBA"/>
    <w:rsid w:val="00B10314"/>
    <w:rsid w:val="00B13048"/>
    <w:rsid w:val="00B144F7"/>
    <w:rsid w:val="00B15998"/>
    <w:rsid w:val="00B1716D"/>
    <w:rsid w:val="00B17A1D"/>
    <w:rsid w:val="00B207A0"/>
    <w:rsid w:val="00B325AF"/>
    <w:rsid w:val="00B363F9"/>
    <w:rsid w:val="00B413F2"/>
    <w:rsid w:val="00B56E03"/>
    <w:rsid w:val="00B60AEF"/>
    <w:rsid w:val="00B60F5D"/>
    <w:rsid w:val="00B632CC"/>
    <w:rsid w:val="00B67D78"/>
    <w:rsid w:val="00B67E91"/>
    <w:rsid w:val="00B7212A"/>
    <w:rsid w:val="00B80147"/>
    <w:rsid w:val="00B8080B"/>
    <w:rsid w:val="00B848DE"/>
    <w:rsid w:val="00B87C39"/>
    <w:rsid w:val="00B90A40"/>
    <w:rsid w:val="00B915A1"/>
    <w:rsid w:val="00B948A2"/>
    <w:rsid w:val="00BA4665"/>
    <w:rsid w:val="00BB2FB2"/>
    <w:rsid w:val="00BB3304"/>
    <w:rsid w:val="00BC4C61"/>
    <w:rsid w:val="00BD16FF"/>
    <w:rsid w:val="00BD2964"/>
    <w:rsid w:val="00BD3446"/>
    <w:rsid w:val="00BD3724"/>
    <w:rsid w:val="00BD4671"/>
    <w:rsid w:val="00BE1EE5"/>
    <w:rsid w:val="00BE1F1B"/>
    <w:rsid w:val="00BE47B5"/>
    <w:rsid w:val="00BE4C99"/>
    <w:rsid w:val="00BF5AAC"/>
    <w:rsid w:val="00BF6DB4"/>
    <w:rsid w:val="00C058AB"/>
    <w:rsid w:val="00C06739"/>
    <w:rsid w:val="00C37801"/>
    <w:rsid w:val="00C51288"/>
    <w:rsid w:val="00C538A9"/>
    <w:rsid w:val="00C53B5A"/>
    <w:rsid w:val="00C54F5A"/>
    <w:rsid w:val="00C60EDB"/>
    <w:rsid w:val="00C75043"/>
    <w:rsid w:val="00C755AD"/>
    <w:rsid w:val="00C86679"/>
    <w:rsid w:val="00C87759"/>
    <w:rsid w:val="00CA58A8"/>
    <w:rsid w:val="00CB666B"/>
    <w:rsid w:val="00CB7D04"/>
    <w:rsid w:val="00CC4E71"/>
    <w:rsid w:val="00CC62BD"/>
    <w:rsid w:val="00CF0AD3"/>
    <w:rsid w:val="00CF799E"/>
    <w:rsid w:val="00D01CF0"/>
    <w:rsid w:val="00D0442A"/>
    <w:rsid w:val="00D109E5"/>
    <w:rsid w:val="00D12E92"/>
    <w:rsid w:val="00D203E1"/>
    <w:rsid w:val="00D24396"/>
    <w:rsid w:val="00D24685"/>
    <w:rsid w:val="00D27902"/>
    <w:rsid w:val="00D36F9B"/>
    <w:rsid w:val="00D5329A"/>
    <w:rsid w:val="00D544B8"/>
    <w:rsid w:val="00D55A10"/>
    <w:rsid w:val="00D57712"/>
    <w:rsid w:val="00D61288"/>
    <w:rsid w:val="00D61388"/>
    <w:rsid w:val="00D61A54"/>
    <w:rsid w:val="00D62524"/>
    <w:rsid w:val="00D64AF7"/>
    <w:rsid w:val="00D64DEA"/>
    <w:rsid w:val="00D73D5F"/>
    <w:rsid w:val="00D80893"/>
    <w:rsid w:val="00D8353A"/>
    <w:rsid w:val="00D876E7"/>
    <w:rsid w:val="00D92CF1"/>
    <w:rsid w:val="00D92D38"/>
    <w:rsid w:val="00D93DA9"/>
    <w:rsid w:val="00D950F5"/>
    <w:rsid w:val="00DA2727"/>
    <w:rsid w:val="00DB0F93"/>
    <w:rsid w:val="00DB61FB"/>
    <w:rsid w:val="00DC542F"/>
    <w:rsid w:val="00DC589C"/>
    <w:rsid w:val="00DC7981"/>
    <w:rsid w:val="00DE113A"/>
    <w:rsid w:val="00DE2FFD"/>
    <w:rsid w:val="00DE360E"/>
    <w:rsid w:val="00DE4EFA"/>
    <w:rsid w:val="00DE5520"/>
    <w:rsid w:val="00DF4A11"/>
    <w:rsid w:val="00DF56DE"/>
    <w:rsid w:val="00E04818"/>
    <w:rsid w:val="00E06442"/>
    <w:rsid w:val="00E07745"/>
    <w:rsid w:val="00E10D6E"/>
    <w:rsid w:val="00E139B2"/>
    <w:rsid w:val="00E21EEA"/>
    <w:rsid w:val="00E23993"/>
    <w:rsid w:val="00E25B8C"/>
    <w:rsid w:val="00E35A95"/>
    <w:rsid w:val="00E36015"/>
    <w:rsid w:val="00E370FD"/>
    <w:rsid w:val="00E457AD"/>
    <w:rsid w:val="00E4674F"/>
    <w:rsid w:val="00E5148D"/>
    <w:rsid w:val="00E6096A"/>
    <w:rsid w:val="00E63639"/>
    <w:rsid w:val="00E63AEF"/>
    <w:rsid w:val="00E65C85"/>
    <w:rsid w:val="00E66199"/>
    <w:rsid w:val="00E6769F"/>
    <w:rsid w:val="00E7507A"/>
    <w:rsid w:val="00E755EC"/>
    <w:rsid w:val="00E7624D"/>
    <w:rsid w:val="00E87A15"/>
    <w:rsid w:val="00EA3D42"/>
    <w:rsid w:val="00EA6B1B"/>
    <w:rsid w:val="00EB39B3"/>
    <w:rsid w:val="00ED163C"/>
    <w:rsid w:val="00ED3274"/>
    <w:rsid w:val="00EE28F3"/>
    <w:rsid w:val="00EF303B"/>
    <w:rsid w:val="00EF5110"/>
    <w:rsid w:val="00F1197F"/>
    <w:rsid w:val="00F14245"/>
    <w:rsid w:val="00F15882"/>
    <w:rsid w:val="00F20BD3"/>
    <w:rsid w:val="00F2163F"/>
    <w:rsid w:val="00F24606"/>
    <w:rsid w:val="00F33754"/>
    <w:rsid w:val="00F353FD"/>
    <w:rsid w:val="00F373A5"/>
    <w:rsid w:val="00F412FB"/>
    <w:rsid w:val="00F417DD"/>
    <w:rsid w:val="00F462AB"/>
    <w:rsid w:val="00F46D2E"/>
    <w:rsid w:val="00F47559"/>
    <w:rsid w:val="00F60BE4"/>
    <w:rsid w:val="00F61B84"/>
    <w:rsid w:val="00F61F79"/>
    <w:rsid w:val="00F62762"/>
    <w:rsid w:val="00F64C7B"/>
    <w:rsid w:val="00F66805"/>
    <w:rsid w:val="00F676DD"/>
    <w:rsid w:val="00F715EF"/>
    <w:rsid w:val="00F75A26"/>
    <w:rsid w:val="00F83FAD"/>
    <w:rsid w:val="00F86EB6"/>
    <w:rsid w:val="00F91A37"/>
    <w:rsid w:val="00F91DC6"/>
    <w:rsid w:val="00F952A0"/>
    <w:rsid w:val="00FA3C7F"/>
    <w:rsid w:val="00FB52D7"/>
    <w:rsid w:val="00FB74E2"/>
    <w:rsid w:val="00FC110C"/>
    <w:rsid w:val="00FD5614"/>
    <w:rsid w:val="00FD60C8"/>
    <w:rsid w:val="00FE014A"/>
    <w:rsid w:val="00FE0BE1"/>
    <w:rsid w:val="00FE1DE9"/>
    <w:rsid w:val="00FE27BE"/>
    <w:rsid w:val="00FE39C2"/>
    <w:rsid w:val="00FE64AE"/>
    <w:rsid w:val="00FE6D48"/>
    <w:rsid w:val="04FE54F6"/>
    <w:rsid w:val="0ABE7100"/>
    <w:rsid w:val="1B4823F9"/>
    <w:rsid w:val="206EE21A"/>
    <w:rsid w:val="28D81102"/>
    <w:rsid w:val="296ACBD3"/>
    <w:rsid w:val="31323C31"/>
    <w:rsid w:val="3220301B"/>
    <w:rsid w:val="3745481B"/>
    <w:rsid w:val="393FAE16"/>
    <w:rsid w:val="3DDDD128"/>
    <w:rsid w:val="3EE58AC6"/>
    <w:rsid w:val="41896E5A"/>
    <w:rsid w:val="41C490F1"/>
    <w:rsid w:val="44968BD7"/>
    <w:rsid w:val="4711CFC9"/>
    <w:rsid w:val="48831337"/>
    <w:rsid w:val="497B30A0"/>
    <w:rsid w:val="4A9E288F"/>
    <w:rsid w:val="4BC51A7E"/>
    <w:rsid w:val="4D0774C6"/>
    <w:rsid w:val="4D354ED4"/>
    <w:rsid w:val="4E9271E9"/>
    <w:rsid w:val="4EBA809A"/>
    <w:rsid w:val="5157D992"/>
    <w:rsid w:val="51B79192"/>
    <w:rsid w:val="570CD14A"/>
    <w:rsid w:val="576107F4"/>
    <w:rsid w:val="5AD2F695"/>
    <w:rsid w:val="5B74BD39"/>
    <w:rsid w:val="5EC80971"/>
    <w:rsid w:val="678926E1"/>
    <w:rsid w:val="6CA0852F"/>
    <w:rsid w:val="6D6579E1"/>
    <w:rsid w:val="7414D4E6"/>
    <w:rsid w:val="74C4C706"/>
    <w:rsid w:val="7B4C764B"/>
    <w:rsid w:val="7EB3E6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27751"/>
  <w15:docId w15:val="{5A38E94F-94E3-453D-AAC0-685C71AE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88"/>
    <w:rPr>
      <w:rFonts w:ascii="Trebuchet MS" w:hAnsi="Trebuchet MS"/>
    </w:rPr>
  </w:style>
  <w:style w:type="paragraph" w:styleId="Heading1">
    <w:name w:val="heading 1"/>
    <w:basedOn w:val="Normal"/>
    <w:next w:val="Normal"/>
    <w:link w:val="Heading1Char"/>
    <w:qFormat/>
    <w:rsid w:val="00B363F9"/>
    <w:pPr>
      <w:spacing w:before="24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935115"/>
    <w:pPr>
      <w:tabs>
        <w:tab w:val="left" w:pos="1021"/>
      </w:tabs>
      <w:spacing w:line="240" w:lineRule="atLeast"/>
      <w:outlineLvl w:val="1"/>
    </w:pPr>
    <w:rPr>
      <w:rFonts w:eastAsiaTheme="majorEastAsia" w:cs="Arial"/>
      <w:bCs/>
      <w:color w:val="002760" w:themeColor="accent1"/>
      <w:sz w:val="28"/>
      <w:szCs w:val="26"/>
    </w:rPr>
  </w:style>
  <w:style w:type="paragraph" w:styleId="Heading3">
    <w:name w:val="heading 3"/>
    <w:basedOn w:val="Normal"/>
    <w:next w:val="Normal"/>
    <w:link w:val="Heading3Char"/>
    <w:qFormat/>
    <w:rsid w:val="00935115"/>
    <w:pPr>
      <w:spacing w:before="240"/>
      <w:outlineLvl w:val="2"/>
    </w:pPr>
    <w:rPr>
      <w:rFonts w:eastAsiaTheme="majorEastAsia" w:cstheme="majorBidi"/>
      <w:b/>
      <w:bCs/>
      <w:color w:val="000000" w:themeColor="text1"/>
      <w:sz w:val="24"/>
    </w:rPr>
  </w:style>
  <w:style w:type="paragraph" w:styleId="Heading4">
    <w:name w:val="heading 4"/>
    <w:basedOn w:val="Normal"/>
    <w:next w:val="Normal"/>
    <w:link w:val="Heading4Char"/>
    <w:qFormat/>
    <w:rsid w:val="00935115"/>
    <w:pPr>
      <w:spacing w:before="240"/>
      <w:outlineLvl w:val="3"/>
    </w:pPr>
    <w:rPr>
      <w:rFonts w:eastAsiaTheme="majorEastAsia" w:cstheme="majorBidi"/>
      <w:b/>
      <w:bCs/>
      <w:i/>
      <w:iCs/>
      <w:color w:val="002760"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00132F"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3F9"/>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935115"/>
    <w:rPr>
      <w:rFonts w:ascii="Trebuchet MS" w:eastAsiaTheme="majorEastAsia" w:hAnsi="Trebuchet MS" w:cs="Arial"/>
      <w:bCs/>
      <w:color w:val="002760" w:themeColor="accent1"/>
      <w:sz w:val="28"/>
      <w:szCs w:val="26"/>
    </w:rPr>
  </w:style>
  <w:style w:type="character" w:customStyle="1" w:styleId="Heading3Char">
    <w:name w:val="Heading 3 Char"/>
    <w:basedOn w:val="DefaultParagraphFont"/>
    <w:link w:val="Heading3"/>
    <w:rsid w:val="00935115"/>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spacing w:before="520" w:after="120"/>
    </w:pPr>
    <w:rPr>
      <w:rFonts w:ascii="Palatino Linotype" w:hAnsi="Palatino Linotype"/>
      <w:color w:val="002760" w:themeColor="accent1"/>
      <w:sz w:val="52"/>
      <w:szCs w:val="52"/>
    </w:rPr>
  </w:style>
  <w:style w:type="character" w:customStyle="1" w:styleId="ChaptertitleChar">
    <w:name w:val="Chapter title Char"/>
    <w:basedOn w:val="DefaultParagraphFont"/>
    <w:link w:val="Chaptertitle"/>
    <w:rsid w:val="00E370FD"/>
    <w:rPr>
      <w:rFonts w:ascii="Palatino Linotype" w:hAnsi="Palatino Linotype"/>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4A1696"/>
    <w:pPr>
      <w:numPr>
        <w:numId w:val="35"/>
      </w:numPr>
      <w:tabs>
        <w:tab w:val="left" w:pos="680"/>
      </w:tabs>
      <w:ind w:left="680" w:hanging="680"/>
    </w:pPr>
  </w:style>
  <w:style w:type="paragraph" w:customStyle="1" w:styleId="Numbered11">
    <w:name w:val="Numbered 1.1"/>
    <w:basedOn w:val="Heading2"/>
    <w:next w:val="Normal"/>
    <w:qFormat/>
    <w:rsid w:val="004A1696"/>
    <w:pPr>
      <w:numPr>
        <w:ilvl w:val="1"/>
        <w:numId w:val="35"/>
      </w:numPr>
      <w:ind w:left="1021" w:hanging="1021"/>
    </w:pPr>
  </w:style>
  <w:style w:type="paragraph" w:customStyle="1" w:styleId="Numbered111">
    <w:name w:val="Numbered 1.1.1"/>
    <w:basedOn w:val="Heading3"/>
    <w:next w:val="Normal"/>
    <w:qFormat/>
    <w:rsid w:val="00466877"/>
    <w:pPr>
      <w:numPr>
        <w:ilvl w:val="2"/>
        <w:numId w:val="35"/>
      </w:numPr>
      <w:tabs>
        <w:tab w:val="left" w:pos="1361"/>
      </w:tabs>
      <w:ind w:left="1021" w:hanging="1021"/>
      <w:contextualSpacing/>
    </w:pPr>
  </w:style>
  <w:style w:type="paragraph" w:customStyle="1" w:styleId="Numbered1111">
    <w:name w:val="Numbered 1.1.1.1"/>
    <w:basedOn w:val="Heading4"/>
    <w:next w:val="Normal"/>
    <w:rsid w:val="004A1696"/>
    <w:pPr>
      <w:numPr>
        <w:ilvl w:val="3"/>
        <w:numId w:val="35"/>
      </w:numPr>
      <w:tabs>
        <w:tab w:val="left" w:pos="1361"/>
      </w:tabs>
      <w:ind w:left="1361" w:hanging="1361"/>
    </w:pPr>
  </w:style>
  <w:style w:type="paragraph" w:customStyle="1" w:styleId="Numbered11111">
    <w:name w:val="Numbered 1.1.1.1.1"/>
    <w:basedOn w:val="Heading5"/>
    <w:next w:val="Normal"/>
    <w:uiPriority w:val="2"/>
    <w:rsid w:val="004A1696"/>
    <w:pPr>
      <w:numPr>
        <w:ilvl w:val="4"/>
        <w:numId w:val="35"/>
      </w:numPr>
      <w:tabs>
        <w:tab w:val="left" w:pos="1701"/>
      </w:tabs>
      <w:ind w:left="1701" w:hanging="1701"/>
    </w:pPr>
    <w:rPr>
      <w:rFonts w:ascii="Trebuchet MS" w:hAnsi="Trebuchet MS"/>
    </w:rPr>
  </w:style>
  <w:style w:type="paragraph" w:customStyle="1" w:styleId="Numbered111111">
    <w:name w:val="Numbered 1.1.1.1.1.1"/>
    <w:basedOn w:val="Heading6"/>
    <w:next w:val="Normal"/>
    <w:uiPriority w:val="2"/>
    <w:rsid w:val="004A1696"/>
    <w:pPr>
      <w:numPr>
        <w:ilvl w:val="5"/>
        <w:numId w:val="35"/>
      </w:numPr>
      <w:tabs>
        <w:tab w:val="left" w:pos="1701"/>
      </w:tabs>
      <w:ind w:left="1701" w:hanging="1701"/>
    </w:pPr>
  </w:style>
  <w:style w:type="paragraph" w:styleId="Header">
    <w:name w:val="header"/>
    <w:basedOn w:val="Normal"/>
    <w:link w:val="HeaderChar"/>
    <w:uiPriority w:val="99"/>
    <w:unhideWhenUsed/>
    <w:qFormat/>
    <w:rsid w:val="00E370FD"/>
    <w:p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615AF5"/>
    <w:rPr>
      <w:rFonts w:ascii="Trebuchet MS" w:hAnsi="Trebuchet MS"/>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4A1696"/>
    <w:pPr>
      <w:numPr>
        <w:ilvl w:val="6"/>
        <w:numId w:val="35"/>
      </w:numPr>
      <w:tabs>
        <w:tab w:val="left" w:pos="2041"/>
      </w:tabs>
      <w:ind w:left="2041" w:hanging="2041"/>
    </w:pPr>
  </w:style>
  <w:style w:type="paragraph" w:customStyle="1" w:styleId="Numbered11111111">
    <w:name w:val="Numbered 1.1.1.1.1.1.1.1"/>
    <w:basedOn w:val="Heading8"/>
    <w:next w:val="Normal"/>
    <w:uiPriority w:val="2"/>
    <w:rsid w:val="004A1696"/>
    <w:pPr>
      <w:numPr>
        <w:ilvl w:val="7"/>
        <w:numId w:val="35"/>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Trebuchet MS" w:hAnsi="Trebuchet MS"/>
      <w:color w:val="002760" w:themeColor="accent1"/>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8454B5"/>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8454B5"/>
    <w:rPr>
      <w:rFonts w:ascii="Trebuchet MS" w:hAnsi="Trebuchet MS"/>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Trebuchet MS" w:hAnsi="Trebuchet MS"/>
      <w:color w:val="002760" w:themeColor="accent1"/>
      <w:sz w:val="52"/>
      <w:szCs w:val="52"/>
    </w:rPr>
  </w:style>
  <w:style w:type="character" w:customStyle="1" w:styleId="SubtitleChar">
    <w:name w:val="Subtitle Char"/>
    <w:basedOn w:val="DefaultParagraphFont"/>
    <w:link w:val="Subtitle"/>
    <w:uiPriority w:val="11"/>
    <w:rsid w:val="00935115"/>
    <w:rPr>
      <w:rFonts w:ascii="Trebuchet MS" w:hAnsi="Trebuchet MS"/>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4A1696"/>
    <w:pPr>
      <w:numPr>
        <w:ilvl w:val="8"/>
        <w:numId w:val="35"/>
      </w:numPr>
      <w:tabs>
        <w:tab w:val="left" w:pos="2381"/>
      </w:tabs>
      <w:ind w:left="2381" w:hanging="2381"/>
    </w:pPr>
    <w:rPr>
      <w:sz w:val="20"/>
    </w:r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Trebuchet MS" w:hAnsi="Trebuchet MS"/>
      <w:sz w:val="16"/>
      <w:vertAlign w:val="superscript"/>
    </w:rPr>
  </w:style>
  <w:style w:type="paragraph" w:customStyle="1" w:styleId="Numberedparagraph11">
    <w:name w:val="Numbered paragraph 1.1"/>
    <w:basedOn w:val="Numbered11"/>
    <w:qFormat/>
    <w:rsid w:val="00E370FD"/>
    <w:pPr>
      <w:outlineLvl w:val="9"/>
    </w:pPr>
    <w:rPr>
      <w:bCs w:val="0"/>
      <w:color w:val="auto"/>
      <w:sz w:val="22"/>
    </w:rPr>
  </w:style>
  <w:style w:type="character" w:customStyle="1" w:styleId="Numbered1Char">
    <w:name w:val="Numbered 1 Char"/>
    <w:basedOn w:val="Heading1Char"/>
    <w:link w:val="Numbered1"/>
    <w:rsid w:val="004A1696"/>
    <w:rPr>
      <w:rFonts w:ascii="Trebuchet MS" w:eastAsiaTheme="majorEastAsia" w:hAnsi="Trebuchet MS" w:cstheme="majorBidi"/>
      <w:bCs/>
      <w:color w:val="0D45D6" w:themeColor="accent2"/>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table" w:customStyle="1" w:styleId="TableGrid1">
    <w:name w:val="Table Grid1"/>
    <w:basedOn w:val="TableNormal"/>
    <w:next w:val="TableGrid"/>
    <w:rsid w:val="003753D7"/>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3D7"/>
    <w:rPr>
      <w:sz w:val="16"/>
      <w:szCs w:val="16"/>
    </w:rPr>
  </w:style>
  <w:style w:type="paragraph" w:styleId="CommentText">
    <w:name w:val="annotation text"/>
    <w:basedOn w:val="Normal"/>
    <w:link w:val="CommentTextChar"/>
    <w:uiPriority w:val="99"/>
    <w:unhideWhenUsed/>
    <w:rsid w:val="003753D7"/>
    <w:pPr>
      <w:spacing w:before="120" w:after="120"/>
    </w:pPr>
    <w:rPr>
      <w:rFonts w:ascii="Calibri" w:eastAsia="Times New Roman" w:hAnsi="Calibri" w:cs="Times New Roman"/>
      <w:sz w:val="20"/>
      <w:szCs w:val="20"/>
      <w:lang w:eastAsia="en-AU"/>
    </w:rPr>
  </w:style>
  <w:style w:type="character" w:customStyle="1" w:styleId="CommentTextChar">
    <w:name w:val="Comment Text Char"/>
    <w:basedOn w:val="DefaultParagraphFont"/>
    <w:link w:val="CommentText"/>
    <w:uiPriority w:val="99"/>
    <w:rsid w:val="003753D7"/>
    <w:rPr>
      <w:rFonts w:ascii="Calibri" w:eastAsia="Times New Roman" w:hAnsi="Calibri" w:cs="Times New Roman"/>
      <w:sz w:val="20"/>
      <w:szCs w:val="20"/>
      <w:lang w:eastAsia="en-AU"/>
    </w:rPr>
  </w:style>
  <w:style w:type="paragraph" w:customStyle="1" w:styleId="Bullet">
    <w:name w:val="Bullet"/>
    <w:basedOn w:val="Normal"/>
    <w:link w:val="BulletChar"/>
    <w:qFormat/>
    <w:rsid w:val="00505A3C"/>
    <w:pPr>
      <w:numPr>
        <w:numId w:val="37"/>
      </w:numPr>
      <w:spacing w:before="0" w:after="120"/>
    </w:pPr>
    <w:rPr>
      <w:rFonts w:ascii="Calibri" w:eastAsia="Times New Roman" w:hAnsi="Calibri" w:cs="Times New Roman"/>
      <w:szCs w:val="20"/>
      <w:lang w:eastAsia="en-AU"/>
    </w:rPr>
  </w:style>
  <w:style w:type="paragraph" w:customStyle="1" w:styleId="Dash">
    <w:name w:val="Dash"/>
    <w:basedOn w:val="Normal"/>
    <w:link w:val="DashChar"/>
    <w:qFormat/>
    <w:rsid w:val="00505A3C"/>
    <w:pPr>
      <w:numPr>
        <w:ilvl w:val="1"/>
        <w:numId w:val="37"/>
      </w:numPr>
      <w:spacing w:before="0" w:after="120"/>
      <w:ind w:left="568"/>
    </w:pPr>
    <w:rPr>
      <w:rFonts w:ascii="Calibri" w:eastAsia="Times New Roman" w:hAnsi="Calibri" w:cs="Times New Roman"/>
      <w:szCs w:val="20"/>
      <w:lang w:eastAsia="en-AU"/>
    </w:rPr>
  </w:style>
  <w:style w:type="paragraph" w:customStyle="1" w:styleId="DoubleDot">
    <w:name w:val="Double Dot"/>
    <w:basedOn w:val="Normal"/>
    <w:qFormat/>
    <w:rsid w:val="00505A3C"/>
    <w:pPr>
      <w:numPr>
        <w:ilvl w:val="2"/>
        <w:numId w:val="37"/>
      </w:numPr>
      <w:spacing w:before="0" w:after="120"/>
      <w:ind w:left="851" w:hanging="284"/>
    </w:pPr>
    <w:rPr>
      <w:rFonts w:ascii="Calibri" w:eastAsia="Times New Roman" w:hAnsi="Calibri" w:cs="Times New Roman"/>
      <w:szCs w:val="20"/>
      <w:lang w:eastAsia="en-AU"/>
    </w:rPr>
  </w:style>
  <w:style w:type="numbering" w:customStyle="1" w:styleId="BulletedList">
    <w:name w:val="Bulleted List"/>
    <w:uiPriority w:val="99"/>
    <w:rsid w:val="00505A3C"/>
    <w:pPr>
      <w:numPr>
        <w:numId w:val="37"/>
      </w:numPr>
    </w:pPr>
  </w:style>
  <w:style w:type="character" w:customStyle="1" w:styleId="DashChar">
    <w:name w:val="Dash Char"/>
    <w:basedOn w:val="DefaultParagraphFont"/>
    <w:link w:val="Dash"/>
    <w:rsid w:val="00505A3C"/>
    <w:rPr>
      <w:rFonts w:ascii="Calibri" w:eastAsia="Times New Roman" w:hAnsi="Calibri" w:cs="Times New Roman"/>
      <w:szCs w:val="20"/>
      <w:lang w:eastAsia="en-AU"/>
    </w:rPr>
  </w:style>
  <w:style w:type="character" w:customStyle="1" w:styleId="BulletChar">
    <w:name w:val="Bullet Char"/>
    <w:basedOn w:val="DefaultParagraphFont"/>
    <w:link w:val="Bullet"/>
    <w:rsid w:val="00505A3C"/>
    <w:rPr>
      <w:rFonts w:ascii="Calibri" w:eastAsia="Times New Roman" w:hAnsi="Calibri" w:cs="Times New Roman"/>
      <w:szCs w:val="20"/>
      <w:lang w:eastAsia="en-AU"/>
    </w:rPr>
  </w:style>
  <w:style w:type="character" w:styleId="Mention">
    <w:name w:val="Mention"/>
    <w:basedOn w:val="DefaultParagraphFont"/>
    <w:uiPriority w:val="99"/>
    <w:unhideWhenUsed/>
    <w:rsid w:val="00991720"/>
    <w:rPr>
      <w:color w:val="2B579A"/>
      <w:shd w:val="clear" w:color="auto" w:fill="E6E6E6"/>
    </w:rPr>
  </w:style>
  <w:style w:type="paragraph" w:customStyle="1" w:styleId="subsection">
    <w:name w:val="subsection"/>
    <w:basedOn w:val="Normal"/>
    <w:rsid w:val="00724FDD"/>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aliases w:val="a,t_Para"/>
    <w:basedOn w:val="Normal"/>
    <w:link w:val="paragraphChar"/>
    <w:rsid w:val="00D612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Item">
    <w:name w:val="Item"/>
    <w:aliases w:val="i"/>
    <w:basedOn w:val="Normal"/>
    <w:next w:val="ItemHead"/>
    <w:rsid w:val="00D61288"/>
    <w:pPr>
      <w:keepLines/>
      <w:spacing w:before="80"/>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link w:val="ItemHeadChar"/>
    <w:rsid w:val="00D61288"/>
    <w:pPr>
      <w:keepNext/>
      <w:keepLines/>
      <w:spacing w:before="220"/>
      <w:ind w:left="709" w:hanging="709"/>
    </w:pPr>
    <w:rPr>
      <w:rFonts w:ascii="Arial" w:eastAsia="Times New Roman" w:hAnsi="Arial" w:cs="Times New Roman"/>
      <w:b/>
      <w:kern w:val="28"/>
      <w:sz w:val="24"/>
      <w:szCs w:val="20"/>
      <w:lang w:eastAsia="en-AU"/>
    </w:rPr>
  </w:style>
  <w:style w:type="paragraph" w:customStyle="1" w:styleId="paragraphsub">
    <w:name w:val="paragraph(sub)"/>
    <w:aliases w:val="aa,t_Subpara"/>
    <w:basedOn w:val="Normal"/>
    <w:rsid w:val="00D61288"/>
    <w:pPr>
      <w:tabs>
        <w:tab w:val="right" w:pos="1985"/>
      </w:tabs>
      <w:spacing w:before="40"/>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D61288"/>
    <w:rPr>
      <w:rFonts w:ascii="Times New Roman" w:eastAsia="Times New Roman" w:hAnsi="Times New Roman" w:cs="Times New Roman"/>
      <w:sz w:val="24"/>
      <w:szCs w:val="24"/>
      <w:lang w:eastAsia="en-AU"/>
    </w:rPr>
  </w:style>
  <w:style w:type="character" w:customStyle="1" w:styleId="ItemHeadChar">
    <w:name w:val="ItemHead Char"/>
    <w:aliases w:val="ih Char"/>
    <w:link w:val="ItemHead"/>
    <w:rsid w:val="00D61288"/>
    <w:rPr>
      <w:rFonts w:ascii="Arial" w:eastAsia="Times New Roman" w:hAnsi="Arial" w:cs="Times New Roman"/>
      <w:b/>
      <w:kern w:val="28"/>
      <w:sz w:val="24"/>
      <w:szCs w:val="20"/>
      <w:lang w:eastAsia="en-AU"/>
    </w:rPr>
  </w:style>
  <w:style w:type="paragraph" w:styleId="Revision">
    <w:name w:val="Revision"/>
    <w:hidden/>
    <w:uiPriority w:val="99"/>
    <w:semiHidden/>
    <w:rsid w:val="00312396"/>
    <w:pPr>
      <w:spacing w:before="0"/>
    </w:pPr>
    <w:rPr>
      <w:rFonts w:ascii="Trebuchet MS" w:hAnsi="Trebuchet MS"/>
    </w:rPr>
  </w:style>
  <w:style w:type="paragraph" w:styleId="CommentSubject">
    <w:name w:val="annotation subject"/>
    <w:basedOn w:val="CommentText"/>
    <w:next w:val="CommentText"/>
    <w:link w:val="CommentSubjectChar"/>
    <w:uiPriority w:val="99"/>
    <w:semiHidden/>
    <w:unhideWhenUsed/>
    <w:rsid w:val="006B699E"/>
    <w:pPr>
      <w:spacing w:before="200" w:after="0"/>
    </w:pPr>
    <w:rPr>
      <w:rFonts w:ascii="Trebuchet MS" w:eastAsiaTheme="minorHAnsi" w:hAnsi="Trebuchet MS" w:cstheme="minorBidi"/>
      <w:b/>
      <w:bCs/>
      <w:lang w:eastAsia="en-US"/>
    </w:rPr>
  </w:style>
  <w:style w:type="character" w:customStyle="1" w:styleId="CommentSubjectChar">
    <w:name w:val="Comment Subject Char"/>
    <w:basedOn w:val="CommentTextChar"/>
    <w:link w:val="CommentSubject"/>
    <w:uiPriority w:val="99"/>
    <w:semiHidden/>
    <w:rsid w:val="006B699E"/>
    <w:rPr>
      <w:rFonts w:ascii="Trebuchet MS" w:eastAsia="Times New Roman" w:hAnsi="Trebuchet MS" w:cs="Times New Roman"/>
      <w:b/>
      <w:bCs/>
      <w:sz w:val="20"/>
      <w:szCs w:val="20"/>
      <w:lang w:eastAsia="en-AU"/>
    </w:rPr>
  </w:style>
  <w:style w:type="character" w:styleId="UnresolvedMention">
    <w:name w:val="Unresolved Mention"/>
    <w:basedOn w:val="DefaultParagraphFont"/>
    <w:uiPriority w:val="99"/>
    <w:unhideWhenUsed/>
    <w:rsid w:val="008B5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CCC\Workgroup\CDR\CDR%20report%20template.dotm" TargetMode="External"/></Relationships>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480FA7E3CB640B14278F9EDB8F920" ma:contentTypeVersion="15" ma:contentTypeDescription="Create a new document." ma:contentTypeScope="" ma:versionID="a808bd3f1b19dcff258e69b2d1b2e8bf">
  <xsd:schema xmlns:xsd="http://www.w3.org/2001/XMLSchema" xmlns:xs="http://www.w3.org/2001/XMLSchema" xmlns:p="http://schemas.microsoft.com/office/2006/metadata/properties" xmlns:ns2="8c1dcaad-f81b-4b7a-aa4b-c3e91d379893" xmlns:ns3="fe39d773-a83d-4623-ae74-f25711a76616" xmlns:ns4="ff8620b5-6744-4d58-aecc-4379c022dd00" targetNamespace="http://schemas.microsoft.com/office/2006/metadata/properties" ma:root="true" ma:fieldsID="236374a85ccde3b3e55c8dfd3698ac69" ns2:_="" ns3:_="" ns4:_="">
    <xsd:import namespace="8c1dcaad-f81b-4b7a-aa4b-c3e91d379893"/>
    <xsd:import namespace="fe39d773-a83d-4623-ae74-f25711a76616"/>
    <xsd:import namespace="ff8620b5-6744-4d58-aecc-4379c022dd00"/>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Interpretation" minOccurs="0"/>
                <xsd:element ref="ns4:Rulespackage" minOccurs="0"/>
                <xsd:element ref="ns2:SharedWithUsers" minOccurs="0"/>
                <xsd:element ref="ns2:SharedWithDetails"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2e49b1-ebf3-453c-b980-87c17d9f5db8}"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2e49b1-ebf3-453c-b980-87c17d9f5db8}"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nsumer Data|77705c89-a917-449e-b3f8-00fd5c9df21d"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4243ea3-db64-4864-ba94-ecd824c43933"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7f64d968-e8c5-4574-bd5c-b2616eed1f6b"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7220ba69-33d9-48d9-a61c-3644f38e712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620b5-6744-4d58-aecc-4379c022dd0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Interpretation" ma:index="25" nillable="true" ma:displayName="Interpretation" ma:default="0" ma:format="Dropdown" ma:internalName="Interpretation">
      <xsd:simpleType>
        <xsd:restriction base="dms:Boolean"/>
      </xsd:simpleType>
    </xsd:element>
    <xsd:element name="Rulespackage" ma:index="26" nillable="true" ma:displayName="Rules package" ma:format="Dropdown" ma:internalName="Rulespackage">
      <xsd:simpleType>
        <xsd:union memberTypes="dms:Text">
          <xsd:simpleType>
            <xsd:restriction base="dms:Choice">
              <xsd:enumeration value="Version 5"/>
              <xsd:enumeration value="Version 7"/>
              <xsd:enumeration value="Consent review"/>
            </xsd:restriction>
          </xsd:simpleType>
        </xsd:union>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de4f175d-a0ea-42db-8e9c-ca57922e8174</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Paper (Analysis or Research or Report)</TermName>
          <TermId xmlns="http://schemas.microsoft.com/office/infopath/2007/PartnerControls">6ad78538-b056-4e5b-8c06-e0b6c43f0ffa</TermId>
        </TermInfo>
      </Terms>
    </kfc39f3e4e2747ae990d3c8bb74a5a64>
    <Rulespackage xmlns="ff8620b5-6744-4d58-aecc-4379c022dd00" xsi:nil="true"/>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Consumer Data</TermName>
          <TermId xmlns="http://schemas.microsoft.com/office/infopath/2007/PartnerControls">77705c89-a917-449e-b3f8-00fd5c9df21d</TermId>
        </TermInfo>
      </Terms>
    </a48f371a4a874164b16a8c4aab488f5c>
    <Interpretation xmlns="ff8620b5-6744-4d58-aecc-4379c022dd00">false</Interpretation>
    <TaxCatchAll xmlns="8c1dcaad-f81b-4b7a-aa4b-c3e91d379893">
      <Value>76</Value>
      <Value>19</Value>
      <Value>102</Value>
      <Value>17</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Privacy</TermName>
          <TermId xmlns="http://schemas.microsoft.com/office/infopath/2007/PartnerControls">aff0669d-5135-457d-a97e-5c61ea4e13cf</TermId>
        </TermInfo>
        <TermInfo xmlns="http://schemas.microsoft.com/office/infopath/2007/PartnerControls">
          <TermName xmlns="http://schemas.microsoft.com/office/infopath/2007/PartnerControls">Version 5</TermName>
          <TermId xmlns="http://schemas.microsoft.com/office/infopath/2007/PartnerControls">694dafdb-008b-40b8-804e-f11bfd229094</TermId>
        </TermInfo>
      </Terms>
    </gfba5f33532c49208d2320ce38cc3c2b>
    <_dlc_DocId xmlns="fe39d773-a83d-4623-ae74-f25711a76616">D53E5KJ36D5R-1880917328-326</_dlc_DocId>
    <_dlc_DocIdUrl xmlns="fe39d773-a83d-4623-ae74-f25711a76616">
      <Url>https://austreasury.sharepoint.com/sites/cdr-function/_layouts/15/DocIdRedir.aspx?ID=D53E5KJ36D5R-1880917328-326</Url>
      <Description>D53E5KJ36D5R-1880917328-326</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FF650-DECF-4E66-83CE-6D0406711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ff8620b5-6744-4d58-aecc-4379c022d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AFFC1-A6F0-4B84-AB13-35A22370A367}">
  <ds:schemaRefs>
    <ds:schemaRef ds:uri="http://schemas.microsoft.com/sharepoint/v3/contenttype/forms"/>
  </ds:schemaRefs>
</ds:datastoreItem>
</file>

<file path=customXml/itemProps4.xml><?xml version="1.0" encoding="utf-8"?>
<ds:datastoreItem xmlns:ds="http://schemas.openxmlformats.org/officeDocument/2006/customXml" ds:itemID="{374966D6-36FE-4AC5-921A-ECD1817D85CE}">
  <ds:schemaRefs>
    <ds:schemaRef ds:uri="http://schemas.openxmlformats.org/officeDocument/2006/bibliography"/>
  </ds:schemaRefs>
</ds:datastoreItem>
</file>

<file path=customXml/itemProps5.xml><?xml version="1.0" encoding="utf-8"?>
<ds:datastoreItem xmlns:ds="http://schemas.openxmlformats.org/officeDocument/2006/customXml" ds:itemID="{25088C9D-F952-4898-BE13-3D2471305168}">
  <ds:schemaRefs>
    <ds:schemaRef ds:uri="http://schemas.microsoft.com/sharepoint/events"/>
  </ds:schemaRefs>
</ds:datastoreItem>
</file>

<file path=customXml/itemProps6.xml><?xml version="1.0" encoding="utf-8"?>
<ds:datastoreItem xmlns:ds="http://schemas.openxmlformats.org/officeDocument/2006/customXml" ds:itemID="{DDE16EFA-020A-479F-9829-509279B61864}">
  <ds:schemaRefs>
    <ds:schemaRef ds:uri="http://schemas.microsoft.com/office/2006/metadata/properties"/>
    <ds:schemaRef ds:uri="http://schemas.microsoft.com/office/infopath/2007/PartnerControls"/>
    <ds:schemaRef ds:uri="fe39d773-a83d-4623-ae74-f25711a76616"/>
    <ds:schemaRef ds:uri="ff8620b5-6744-4d58-aecc-4379c022dd00"/>
    <ds:schemaRef ds:uri="8c1dcaad-f81b-4b7a-aa4b-c3e91d379893"/>
  </ds:schemaRefs>
</ds:datastoreItem>
</file>

<file path=docProps/app.xml><?xml version="1.0" encoding="utf-8"?>
<Properties xmlns="http://schemas.openxmlformats.org/officeDocument/2006/extended-properties" xmlns:vt="http://schemas.openxmlformats.org/officeDocument/2006/docPropsVTypes">
  <Template>CDR report template.dotm</Template>
  <TotalTime>8</TotalTime>
  <Pages>6</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Privacy Impact Assessment - Operational Enchancements - Agency Response</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 Operational Enchancements - Agency Response</dc:title>
  <dc:subject/>
  <dc:creator>Australian Government</dc:creator>
  <cp:keywords/>
  <dc:description/>
  <cp:lastModifiedBy>Smith, Matthew</cp:lastModifiedBy>
  <cp:revision>6</cp:revision>
  <cp:lastPrinted>2023-07-21T04:53:00Z</cp:lastPrinted>
  <dcterms:created xsi:type="dcterms:W3CDTF">2023-07-12T06:27:00Z</dcterms:created>
  <dcterms:modified xsi:type="dcterms:W3CDTF">2023-07-21T06:07:00Z</dcterms:modified>
  <cp:category/>
  <cp:contentStatus/>
</cp:coreProperties>
</file>