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E3D2" w14:textId="113689E8" w:rsidR="00B417A8" w:rsidRPr="007F0955" w:rsidRDefault="00B417A8" w:rsidP="00A24F87">
      <w:pPr>
        <w:pStyle w:val="Title"/>
        <w:spacing w:before="0"/>
      </w:pPr>
      <w:r w:rsidRPr="007F0955">
        <w:t>Dr Steven Kennedy PSM</w:t>
      </w:r>
    </w:p>
    <w:p w14:paraId="65E8D51D" w14:textId="6A46072F" w:rsidR="00B417A8" w:rsidRPr="007F0955" w:rsidRDefault="00B417A8" w:rsidP="00B417A8">
      <w:pPr>
        <w:pStyle w:val="Title"/>
      </w:pPr>
      <w:r w:rsidRPr="007F0955">
        <w:t>Secretary to the Treasury</w:t>
      </w:r>
    </w:p>
    <w:p w14:paraId="3044B3F8" w14:textId="0E28D8DB" w:rsidR="00B417A8" w:rsidRPr="007F0955" w:rsidRDefault="00B417A8" w:rsidP="00B417A8">
      <w:pPr>
        <w:pStyle w:val="Title"/>
      </w:pPr>
      <w:r w:rsidRPr="007F0955">
        <w:t xml:space="preserve">Australian </w:t>
      </w:r>
      <w:r w:rsidR="00780263">
        <w:t>E</w:t>
      </w:r>
      <w:r w:rsidRPr="007F0955">
        <w:t xml:space="preserve">conomic </w:t>
      </w:r>
      <w:r w:rsidR="00780263">
        <w:t>O</w:t>
      </w:r>
      <w:r w:rsidRPr="007F0955">
        <w:t>utlook</w:t>
      </w:r>
      <w:r w:rsidR="00780263" w:rsidRPr="0095108C">
        <w:rPr>
          <w:rStyle w:val="FootnoteReference"/>
          <w:rFonts w:cstheme="minorHAnsi"/>
          <w:color w:val="313131"/>
          <w:szCs w:val="32"/>
          <w:shd w:val="clear" w:color="auto" w:fill="FFFFFF"/>
        </w:rPr>
        <w:footnoteReference w:customMarkFollows="1" w:id="2"/>
        <w:sym w:font="Symbol" w:char="F02A"/>
      </w:r>
      <w:r w:rsidR="00780263" w:rsidRPr="001B1A60">
        <w:rPr>
          <w:rFonts w:ascii="Calibri Light" w:eastAsia="Times New Roman" w:hAnsi="Calibri Light" w:cs="Calibri Light"/>
          <w:szCs w:val="32"/>
          <w:lang w:eastAsia="en-AU"/>
        </w:rPr>
        <w:t> </w:t>
      </w:r>
    </w:p>
    <w:p w14:paraId="56B9034A" w14:textId="6CB194BF" w:rsidR="00B417A8" w:rsidRPr="007F0955" w:rsidRDefault="00B417A8" w:rsidP="00B417A8">
      <w:pPr>
        <w:pStyle w:val="Title"/>
      </w:pPr>
      <w:r w:rsidRPr="007F0955">
        <w:t>Keynote address to the Australian Government Fixed Income Forum</w:t>
      </w:r>
    </w:p>
    <w:p w14:paraId="1D54F2FD" w14:textId="1E3BF931" w:rsidR="00B417A8" w:rsidRPr="007F0955" w:rsidRDefault="00B417A8" w:rsidP="00B417A8">
      <w:pPr>
        <w:pStyle w:val="Title"/>
      </w:pPr>
      <w:r w:rsidRPr="007F0955">
        <w:t>24 May 2023</w:t>
      </w:r>
    </w:p>
    <w:p w14:paraId="6EEF2512" w14:textId="58DFC78F" w:rsidR="00B077DC" w:rsidRPr="007F0955" w:rsidRDefault="007D3E44" w:rsidP="009034F0">
      <w:pPr>
        <w:pStyle w:val="Heading1"/>
      </w:pPr>
      <w:r w:rsidRPr="007F0955">
        <w:t>Introduction</w:t>
      </w:r>
    </w:p>
    <w:p w14:paraId="647612E3" w14:textId="1FEDC2DF" w:rsidR="00617887" w:rsidRPr="000F2308" w:rsidRDefault="00303FB9" w:rsidP="007B31F9">
      <w:r>
        <w:fldChar w:fldCharType="begin"/>
      </w:r>
      <w:r>
        <w:instrText xml:space="preserve"> :Start:BPD_OR3 </w:instrText>
      </w:r>
      <w:r>
        <w:fldChar w:fldCharType="end"/>
      </w:r>
      <w:r w:rsidR="001A7ED1" w:rsidRPr="000F2308">
        <w:t xml:space="preserve">I begin today by thanking the Australian Government Fixed Income Forum for the invitation to speak this afternoon. </w:t>
      </w:r>
      <w:r w:rsidR="00834AEE" w:rsidRPr="000F2308">
        <w:t xml:space="preserve">It is a </w:t>
      </w:r>
      <w:r w:rsidR="002A2FED" w:rsidRPr="000F2308">
        <w:t xml:space="preserve">great </w:t>
      </w:r>
      <w:r w:rsidR="00834AEE" w:rsidRPr="000F2308">
        <w:t xml:space="preserve">pleasure to be here </w:t>
      </w:r>
      <w:r w:rsidR="002A2FED" w:rsidRPr="000F2308">
        <w:t xml:space="preserve">with you </w:t>
      </w:r>
      <w:r w:rsidR="00D51DC4">
        <w:t>for the</w:t>
      </w:r>
      <w:r w:rsidR="00834AEE" w:rsidRPr="000F2308">
        <w:t xml:space="preserve"> 10</w:t>
      </w:r>
      <w:r w:rsidR="00D96340" w:rsidRPr="000F2308">
        <w:rPr>
          <w:vertAlign w:val="superscript"/>
        </w:rPr>
        <w:t>th</w:t>
      </w:r>
      <w:r w:rsidR="00834AEE" w:rsidRPr="000F2308">
        <w:t xml:space="preserve"> </w:t>
      </w:r>
      <w:r w:rsidR="00543F13" w:rsidRPr="000F2308">
        <w:t>a</w:t>
      </w:r>
      <w:r w:rsidR="00834AEE" w:rsidRPr="000F2308">
        <w:t>nniversary of the Forum.</w:t>
      </w:r>
    </w:p>
    <w:p w14:paraId="5EA63AA0" w14:textId="04CDB47A" w:rsidR="001A7ED1" w:rsidRPr="000F2308" w:rsidRDefault="001A7ED1" w:rsidP="007B31F9">
      <w:r w:rsidRPr="000F2308">
        <w:t xml:space="preserve">I will speak today </w:t>
      </w:r>
      <w:r w:rsidR="00F61266" w:rsidRPr="000F2308">
        <w:t>about Australia’s economic stability</w:t>
      </w:r>
      <w:r w:rsidR="00962DD3" w:rsidRPr="000F2308">
        <w:t xml:space="preserve"> and</w:t>
      </w:r>
      <w:r w:rsidR="00F63903" w:rsidRPr="000F2308">
        <w:t xml:space="preserve"> </w:t>
      </w:r>
      <w:r w:rsidR="00F61266" w:rsidRPr="000F2308">
        <w:t xml:space="preserve">strong </w:t>
      </w:r>
      <w:r w:rsidR="00F63903" w:rsidRPr="000F2308">
        <w:t xml:space="preserve">fiscal </w:t>
      </w:r>
      <w:r w:rsidR="00962DD3" w:rsidRPr="000F2308">
        <w:t xml:space="preserve">performance and </w:t>
      </w:r>
      <w:r w:rsidR="00F63903" w:rsidRPr="000F2308">
        <w:t>outlook. I will then discuss Australia’s green credentials, including emissions reductions efforts</w:t>
      </w:r>
      <w:r w:rsidR="00962DD3" w:rsidRPr="000F2308">
        <w:t xml:space="preserve">, </w:t>
      </w:r>
      <w:r w:rsidR="00D51DC4">
        <w:t xml:space="preserve">the </w:t>
      </w:r>
      <w:r w:rsidR="00F63903" w:rsidRPr="000F2308">
        <w:t xml:space="preserve">Sustainable Finance Strategy, and </w:t>
      </w:r>
      <w:r w:rsidR="00962DD3" w:rsidRPr="000F2308">
        <w:t>transitioning Australia’s economy and electricity grid to net zero</w:t>
      </w:r>
      <w:r w:rsidR="00F63903" w:rsidRPr="000F2308">
        <w:t>.</w:t>
      </w:r>
    </w:p>
    <w:p w14:paraId="26CC3E09" w14:textId="45BAAA5C" w:rsidR="007627AF" w:rsidRPr="007F0955" w:rsidRDefault="00303FB9" w:rsidP="007F0955">
      <w:pPr>
        <w:pStyle w:val="Heading2"/>
      </w:pPr>
      <w:r>
        <w:fldChar w:fldCharType="begin"/>
      </w:r>
      <w:r>
        <w:instrText xml:space="preserve"> :End:BPD_OR3 </w:instrText>
      </w:r>
      <w:r>
        <w:fldChar w:fldCharType="end"/>
      </w:r>
      <w:r w:rsidR="005A680D" w:rsidRPr="007F0955">
        <w:t>The Australia-Japan relationship has a long history</w:t>
      </w:r>
    </w:p>
    <w:p w14:paraId="285CBF08" w14:textId="498E555D" w:rsidR="00C468CE" w:rsidRPr="000F2308" w:rsidRDefault="00386A43" w:rsidP="007B31F9">
      <w:r>
        <w:fldChar w:fldCharType="begin"/>
      </w:r>
      <w:r>
        <w:instrText xml:space="preserve"> :Start:IESD_CG2 </w:instrText>
      </w:r>
      <w:r>
        <w:fldChar w:fldCharType="end"/>
      </w:r>
      <w:r w:rsidR="00385BBA" w:rsidRPr="000F2308">
        <w:t xml:space="preserve">Japan and Australia </w:t>
      </w:r>
      <w:r w:rsidR="002A2FED" w:rsidRPr="000F2308">
        <w:t xml:space="preserve">have a long standing and </w:t>
      </w:r>
      <w:r w:rsidR="00385BBA" w:rsidRPr="000F2308">
        <w:t>close</w:t>
      </w:r>
      <w:r w:rsidR="00B4617F" w:rsidRPr="000F2308">
        <w:t xml:space="preserve"> </w:t>
      </w:r>
      <w:r w:rsidR="00385BBA" w:rsidRPr="000F2308">
        <w:t>relationship</w:t>
      </w:r>
      <w:r w:rsidR="002A2FED" w:rsidRPr="000F2308">
        <w:t xml:space="preserve">. This is based on our </w:t>
      </w:r>
      <w:r w:rsidR="00385BBA" w:rsidRPr="000F2308">
        <w:t xml:space="preserve">shared </w:t>
      </w:r>
      <w:r w:rsidR="00E3044A" w:rsidRPr="000F2308">
        <w:t>trade, investment</w:t>
      </w:r>
      <w:r w:rsidR="00D96340" w:rsidRPr="000F2308">
        <w:t>,</w:t>
      </w:r>
      <w:r w:rsidR="00E3044A" w:rsidRPr="000F2308">
        <w:t xml:space="preserve"> and </w:t>
      </w:r>
      <w:r w:rsidR="002A2FED" w:rsidRPr="000F2308">
        <w:t>security interests</w:t>
      </w:r>
      <w:r w:rsidR="003D0D80" w:rsidRPr="000F2308">
        <w:t xml:space="preserve">, </w:t>
      </w:r>
      <w:r w:rsidR="002A2FED" w:rsidRPr="000F2308">
        <w:t xml:space="preserve">but also on our shared values </w:t>
      </w:r>
      <w:r w:rsidR="00E3044A" w:rsidRPr="000F2308">
        <w:t xml:space="preserve">and </w:t>
      </w:r>
      <w:r w:rsidR="00385BBA" w:rsidRPr="000F2308">
        <w:t xml:space="preserve">commitment to </w:t>
      </w:r>
      <w:r w:rsidR="00E3044A" w:rsidRPr="000F2308">
        <w:t xml:space="preserve">liberal </w:t>
      </w:r>
      <w:r w:rsidR="00385BBA" w:rsidRPr="000F2308">
        <w:t>democracy.</w:t>
      </w:r>
    </w:p>
    <w:p w14:paraId="53092362" w14:textId="774F2D07" w:rsidR="008D7ED5" w:rsidRPr="000F2308" w:rsidRDefault="00965A56" w:rsidP="007B31F9">
      <w:r w:rsidRPr="000F2308">
        <w:t>Th</w:t>
      </w:r>
      <w:r w:rsidR="00135F01" w:rsidRPr="000F2308">
        <w:t xml:space="preserve">e strength of the relationship </w:t>
      </w:r>
      <w:r w:rsidR="00FE6B4B" w:rsidRPr="000F2308">
        <w:t>is demonstrated in the number of times our leaders have met since Australian Prime Minister Albanese came to office –</w:t>
      </w:r>
      <w:r w:rsidR="00092749" w:rsidRPr="000F2308">
        <w:t xml:space="preserve"> </w:t>
      </w:r>
      <w:r w:rsidR="00D51DC4">
        <w:t>f</w:t>
      </w:r>
      <w:r w:rsidR="005A5358">
        <w:t xml:space="preserve">ive </w:t>
      </w:r>
      <w:r w:rsidR="00224D4A" w:rsidRPr="000F2308">
        <w:t>times</w:t>
      </w:r>
      <w:r w:rsidR="00FE6B4B" w:rsidRPr="000F2308">
        <w:t xml:space="preserve"> in less than twelve months</w:t>
      </w:r>
      <w:r w:rsidR="00BA6808" w:rsidRPr="000F2308">
        <w:t>, i</w:t>
      </w:r>
      <w:r w:rsidR="00FE6B4B" w:rsidRPr="000F2308">
        <w:t xml:space="preserve">ncluding last week </w:t>
      </w:r>
      <w:r w:rsidR="00BA6808" w:rsidRPr="000F2308">
        <w:t>at the G7 Leaders meeting in Hiroshima</w:t>
      </w:r>
      <w:r w:rsidR="00D51DC4">
        <w:t xml:space="preserve">. </w:t>
      </w:r>
    </w:p>
    <w:p w14:paraId="6D9E94B4" w14:textId="4B426B3F" w:rsidR="00965A56" w:rsidRPr="000F2308" w:rsidRDefault="00BA6808" w:rsidP="007B31F9">
      <w:r w:rsidRPr="000F2308">
        <w:t xml:space="preserve">The close strategic partnership is </w:t>
      </w:r>
      <w:r w:rsidR="008D7ED5" w:rsidRPr="000F2308">
        <w:t>also evident in th</w:t>
      </w:r>
      <w:r w:rsidR="00092749" w:rsidRPr="000F2308">
        <w:t>e</w:t>
      </w:r>
      <w:r w:rsidR="008D7ED5" w:rsidRPr="000F2308">
        <w:t xml:space="preserve"> </w:t>
      </w:r>
      <w:r w:rsidR="00092749" w:rsidRPr="000F2308">
        <w:t xml:space="preserve">scope of cooperation </w:t>
      </w:r>
      <w:r w:rsidR="008D7ED5" w:rsidRPr="000F2308">
        <w:t xml:space="preserve">agreed by our leaders when </w:t>
      </w:r>
      <w:r w:rsidR="00965A56" w:rsidRPr="000F2308">
        <w:t>Prime Minister Kishida visit</w:t>
      </w:r>
      <w:r w:rsidR="00092749" w:rsidRPr="000F2308">
        <w:t>ed</w:t>
      </w:r>
      <w:r w:rsidR="00965A56" w:rsidRPr="000F2308">
        <w:t xml:space="preserve"> Australia last October</w:t>
      </w:r>
      <w:r w:rsidR="00435A02" w:rsidRPr="000F2308">
        <w:t>.</w:t>
      </w:r>
      <w:r w:rsidR="00092749" w:rsidRPr="000F2308">
        <w:t xml:space="preserve"> </w:t>
      </w:r>
      <w:r w:rsidR="00D45EBF" w:rsidRPr="000F2308">
        <w:t xml:space="preserve">Our Prime Ministers </w:t>
      </w:r>
      <w:r w:rsidR="00965A56" w:rsidRPr="000F2308">
        <w:t xml:space="preserve">agreed </w:t>
      </w:r>
      <w:r w:rsidR="00D45EBF" w:rsidRPr="000F2308">
        <w:t xml:space="preserve">significant </w:t>
      </w:r>
      <w:r w:rsidR="00D96340" w:rsidRPr="000F2308">
        <w:t>d</w:t>
      </w:r>
      <w:r w:rsidR="00D45EBF" w:rsidRPr="000F2308">
        <w:t xml:space="preserve">efence, security and </w:t>
      </w:r>
      <w:r w:rsidR="00965A56" w:rsidRPr="000F2308">
        <w:t>economic partnerships</w:t>
      </w:r>
      <w:r w:rsidR="00135F01" w:rsidRPr="000F2308">
        <w:t xml:space="preserve"> </w:t>
      </w:r>
      <w:r w:rsidR="00D45EBF" w:rsidRPr="000F2308">
        <w:t xml:space="preserve">that will </w:t>
      </w:r>
      <w:r w:rsidR="00965A56" w:rsidRPr="000F2308">
        <w:t>promot</w:t>
      </w:r>
      <w:r w:rsidR="00135F01" w:rsidRPr="000F2308">
        <w:t>e</w:t>
      </w:r>
      <w:r w:rsidR="00965A56" w:rsidRPr="000F2308">
        <w:t xml:space="preserve"> investment in critical minerals and decarbonisation through hydrogen and ammonia markets.</w:t>
      </w:r>
    </w:p>
    <w:p w14:paraId="39B719E5" w14:textId="29A4B46D" w:rsidR="009F2B3C" w:rsidRPr="000F2308" w:rsidRDefault="002A2FED" w:rsidP="009F2B3C">
      <w:r w:rsidRPr="000F2308">
        <w:t>Th</w:t>
      </w:r>
      <w:r w:rsidR="00135F01" w:rsidRPr="000F2308">
        <w:t xml:space="preserve">is builds on </w:t>
      </w:r>
      <w:r w:rsidR="00C04103" w:rsidRPr="000F2308">
        <w:t xml:space="preserve">the Japan-Australia Economic Partnership Agreement and </w:t>
      </w:r>
      <w:r w:rsidR="00135F01" w:rsidRPr="000F2308">
        <w:t>our many past international agreements</w:t>
      </w:r>
      <w:r w:rsidR="00B2711E" w:rsidRPr="000F2308">
        <w:t>,</w:t>
      </w:r>
      <w:r w:rsidR="00135F01" w:rsidRPr="000F2308">
        <w:t xml:space="preserve"> including the </w:t>
      </w:r>
      <w:r w:rsidR="00385BBA" w:rsidRPr="000F2308">
        <w:t>Indo</w:t>
      </w:r>
      <w:r w:rsidR="00511023" w:rsidRPr="000F2308">
        <w:noBreakHyphen/>
      </w:r>
      <w:r w:rsidR="00385BBA" w:rsidRPr="000F2308">
        <w:t xml:space="preserve">Pacific Economic Framework for Prosperity, </w:t>
      </w:r>
      <w:r w:rsidR="0005769F" w:rsidRPr="000F2308">
        <w:t xml:space="preserve">the </w:t>
      </w:r>
      <w:r w:rsidR="00385BBA" w:rsidRPr="000F2308">
        <w:t>C</w:t>
      </w:r>
      <w:r w:rsidR="0005769F" w:rsidRPr="000F2308">
        <w:t xml:space="preserve">omprehensive and </w:t>
      </w:r>
      <w:r w:rsidR="00385BBA" w:rsidRPr="000F2308">
        <w:t>P</w:t>
      </w:r>
      <w:r w:rsidR="0005769F" w:rsidRPr="000F2308">
        <w:t xml:space="preserve">rogressive Agreement for </w:t>
      </w:r>
      <w:r w:rsidR="00385BBA" w:rsidRPr="000F2308">
        <w:t>T</w:t>
      </w:r>
      <w:r w:rsidR="0005769F" w:rsidRPr="000F2308">
        <w:t>rans-</w:t>
      </w:r>
      <w:r w:rsidR="00385BBA" w:rsidRPr="000F2308">
        <w:t>P</w:t>
      </w:r>
      <w:r w:rsidR="0005769F" w:rsidRPr="000F2308">
        <w:t xml:space="preserve">acific </w:t>
      </w:r>
      <w:r w:rsidR="00385BBA" w:rsidRPr="000F2308">
        <w:t>P</w:t>
      </w:r>
      <w:r w:rsidR="0005769F" w:rsidRPr="000F2308">
        <w:t>artnership</w:t>
      </w:r>
      <w:r w:rsidR="00385BBA" w:rsidRPr="000F2308">
        <w:t xml:space="preserve">, </w:t>
      </w:r>
      <w:r w:rsidR="00435A02" w:rsidRPr="000F2308">
        <w:t xml:space="preserve">and </w:t>
      </w:r>
      <w:r w:rsidR="00385BBA" w:rsidRPr="000F2308">
        <w:t>the Trilateral Infrastructure Partnership</w:t>
      </w:r>
      <w:r w:rsidR="00BA6808" w:rsidRPr="000F2308">
        <w:t>.</w:t>
      </w:r>
    </w:p>
    <w:p w14:paraId="5448877C" w14:textId="24D35516" w:rsidR="007B384C" w:rsidRPr="007F0955" w:rsidRDefault="00386A43" w:rsidP="007B31F9">
      <w:r w:rsidRPr="000F2308">
        <w:fldChar w:fldCharType="begin"/>
      </w:r>
      <w:r w:rsidRPr="000F2308">
        <w:instrText xml:space="preserve"> :End:IESD_CG2 </w:instrText>
      </w:r>
      <w:r w:rsidRPr="000F2308">
        <w:fldChar w:fldCharType="end"/>
      </w:r>
      <w:r w:rsidR="00267E7C" w:rsidRPr="000F2308">
        <w:fldChar w:fldCharType="begin"/>
      </w:r>
      <w:r w:rsidR="00267E7C" w:rsidRPr="000F2308">
        <w:instrText xml:space="preserve"> :Start:MECD_SH3 </w:instrText>
      </w:r>
      <w:r w:rsidR="00267E7C" w:rsidRPr="000F2308">
        <w:fldChar w:fldCharType="end"/>
      </w:r>
      <w:r w:rsidR="009F2B3C" w:rsidRPr="000F2308">
        <w:t xml:space="preserve">Australia’s trade relationship with Japan is substantial. Japan is </w:t>
      </w:r>
      <w:r w:rsidR="00A95B73" w:rsidRPr="000F2308">
        <w:t xml:space="preserve">the </w:t>
      </w:r>
      <w:r w:rsidR="004C7B90" w:rsidRPr="000F2308">
        <w:t>second</w:t>
      </w:r>
      <w:r w:rsidR="002751FB" w:rsidRPr="000F2308">
        <w:t xml:space="preserve"> </w:t>
      </w:r>
      <w:r w:rsidR="009F2B3C" w:rsidRPr="000F2308">
        <w:t xml:space="preserve">largest consumer of Australian exports and the </w:t>
      </w:r>
      <w:r w:rsidR="004C7B90" w:rsidRPr="000F2308">
        <w:t>fourth</w:t>
      </w:r>
      <w:r w:rsidR="009F2B3C" w:rsidRPr="000F2308">
        <w:t xml:space="preserve"> largest supplier of </w:t>
      </w:r>
      <w:r w:rsidR="00A95B73" w:rsidRPr="000F2308">
        <w:t>our</w:t>
      </w:r>
      <w:r w:rsidR="009F2B3C" w:rsidRPr="000F2308">
        <w:t xml:space="preserve"> imports.</w:t>
      </w:r>
      <w:r w:rsidR="00267E7C">
        <w:fldChar w:fldCharType="begin"/>
      </w:r>
      <w:r w:rsidR="00267E7C">
        <w:instrText xml:space="preserve"> :End:MECD_SH3 </w:instrText>
      </w:r>
      <w:r w:rsidR="00267E7C">
        <w:fldChar w:fldCharType="end"/>
      </w:r>
    </w:p>
    <w:p w14:paraId="36BB7417" w14:textId="440500DC" w:rsidR="00F41745" w:rsidRPr="000F2308" w:rsidRDefault="002E43C5" w:rsidP="00036113">
      <w:r>
        <w:lastRenderedPageBreak/>
        <w:t xml:space="preserve">Significantly, </w:t>
      </w:r>
      <w:r w:rsidR="00EC7B6D">
        <w:fldChar w:fldCharType="begin"/>
      </w:r>
      <w:r w:rsidR="00EC7B6D">
        <w:instrText xml:space="preserve"> :Start:AOFM_IC1 </w:instrText>
      </w:r>
      <w:r w:rsidR="00EC7B6D">
        <w:fldChar w:fldCharType="end"/>
      </w:r>
      <w:r w:rsidR="00036113" w:rsidRPr="000F2308">
        <w:t xml:space="preserve">Japan has the highest concentration of individual investor institutions holding Australian Government Securities (AGS) </w:t>
      </w:r>
      <w:r w:rsidR="00153F98" w:rsidRPr="000F2308">
        <w:t>in the world</w:t>
      </w:r>
      <w:r w:rsidR="00036113" w:rsidRPr="000F2308">
        <w:t>.</w:t>
      </w:r>
    </w:p>
    <w:p w14:paraId="4EFA8A89" w14:textId="13D39302" w:rsidR="00036113" w:rsidRDefault="000E472D" w:rsidP="00F41745">
      <w:pPr>
        <w:pStyle w:val="Bullet"/>
      </w:pPr>
      <w:r w:rsidRPr="000F2308">
        <w:t>AUD Government Bonds (AGS and semis) form a significant portion of the net flow into AUD fixed income by Japanese investors</w:t>
      </w:r>
      <w:r w:rsidR="00F41745" w:rsidRPr="000F2308">
        <w:t xml:space="preserve"> (Chart 1)</w:t>
      </w:r>
      <w:r w:rsidR="00036113" w:rsidRPr="000F2308">
        <w:t>.</w:t>
      </w:r>
    </w:p>
    <w:p w14:paraId="1A7ED4DB" w14:textId="0EB89B52" w:rsidR="007606D5" w:rsidRPr="007606D5" w:rsidRDefault="007606D5" w:rsidP="00381CCF">
      <w:pPr>
        <w:pStyle w:val="Bullet"/>
        <w:numPr>
          <w:ilvl w:val="0"/>
          <w:numId w:val="0"/>
        </w:numPr>
        <w:jc w:val="center"/>
        <w:rPr>
          <w:b/>
          <w:bCs/>
        </w:rPr>
      </w:pPr>
      <w:r w:rsidRPr="007606D5">
        <w:rPr>
          <w:b/>
          <w:bCs/>
        </w:rPr>
        <w:t>Chart 1: Japan net flow AUD fixed income</w:t>
      </w:r>
    </w:p>
    <w:p w14:paraId="69FF9130" w14:textId="206F6025" w:rsidR="007606D5" w:rsidRDefault="006A6672" w:rsidP="00381CCF">
      <w:pPr>
        <w:pStyle w:val="Bullet"/>
        <w:numPr>
          <w:ilvl w:val="0"/>
          <w:numId w:val="0"/>
        </w:numPr>
        <w:ind w:left="567" w:hanging="567"/>
        <w:jc w:val="center"/>
      </w:pPr>
      <w:r w:rsidRPr="006A6672">
        <w:rPr>
          <w:noProof/>
        </w:rPr>
        <w:drawing>
          <wp:inline distT="0" distB="0" distL="0" distR="0" wp14:anchorId="1FB3D239" wp14:editId="549BA9AD">
            <wp:extent cx="5731510" cy="2593340"/>
            <wp:effectExtent l="0" t="0" r="2540" b="0"/>
            <wp:docPr id="3" name="Picture 2">
              <a:extLst xmlns:a="http://schemas.openxmlformats.org/drawingml/2006/main">
                <a:ext uri="{FF2B5EF4-FFF2-40B4-BE49-F238E27FC236}">
                  <a16:creationId xmlns:a16="http://schemas.microsoft.com/office/drawing/2014/main" id="{C5E08FDD-29E4-017A-F01B-B648A98E9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5E08FDD-29E4-017A-F01B-B648A98E93C5}"/>
                        </a:ext>
                      </a:extLst>
                    </pic:cNvPr>
                    <pic:cNvPicPr>
                      <a:picLocks noChangeAspect="1"/>
                    </pic:cNvPicPr>
                  </pic:nvPicPr>
                  <pic:blipFill>
                    <a:blip r:embed="rId12"/>
                    <a:stretch>
                      <a:fillRect/>
                    </a:stretch>
                  </pic:blipFill>
                  <pic:spPr>
                    <a:xfrm>
                      <a:off x="0" y="0"/>
                      <a:ext cx="5731510" cy="2593340"/>
                    </a:xfrm>
                    <a:prstGeom prst="rect">
                      <a:avLst/>
                    </a:prstGeom>
                  </pic:spPr>
                </pic:pic>
              </a:graphicData>
            </a:graphic>
          </wp:inline>
        </w:drawing>
      </w:r>
    </w:p>
    <w:p w14:paraId="07D0273F" w14:textId="2C32C448" w:rsidR="007606D5" w:rsidRPr="007606D5" w:rsidRDefault="007606D5" w:rsidP="007606D5">
      <w:pPr>
        <w:pStyle w:val="Bullet"/>
        <w:numPr>
          <w:ilvl w:val="0"/>
          <w:numId w:val="0"/>
        </w:numPr>
        <w:ind w:left="567" w:hanging="567"/>
        <w:rPr>
          <w:sz w:val="20"/>
          <w:szCs w:val="18"/>
        </w:rPr>
      </w:pPr>
      <w:r w:rsidRPr="007606D5">
        <w:rPr>
          <w:sz w:val="20"/>
          <w:szCs w:val="18"/>
        </w:rPr>
        <w:t>Source: Japan Ministry of Finance.</w:t>
      </w:r>
    </w:p>
    <w:p w14:paraId="1619B1D0" w14:textId="172C947F" w:rsidR="00F41745" w:rsidRPr="000F2308" w:rsidRDefault="00036113" w:rsidP="00F41745">
      <w:pPr>
        <w:pStyle w:val="Bullet"/>
      </w:pPr>
      <w:r w:rsidRPr="000F2308">
        <w:t xml:space="preserve">As of December 2021, Japanese investors owned </w:t>
      </w:r>
      <w:r w:rsidR="00DE6195" w:rsidRPr="000F2308">
        <w:t xml:space="preserve">around </w:t>
      </w:r>
      <w:r w:rsidRPr="000F2308">
        <w:t>2</w:t>
      </w:r>
      <w:r w:rsidR="000154DC" w:rsidRPr="000F2308">
        <w:t>1</w:t>
      </w:r>
      <w:r w:rsidRPr="000F2308">
        <w:t>.5 trillion Yen (A$250 billion) of AUD Fixed Income</w:t>
      </w:r>
      <w:r w:rsidR="00F41745" w:rsidRPr="000F2308">
        <w:t>.</w:t>
      </w:r>
    </w:p>
    <w:p w14:paraId="05470FBD" w14:textId="5A648474" w:rsidR="007D3E44" w:rsidRDefault="00DE6195" w:rsidP="007D3E44">
      <w:pPr>
        <w:pStyle w:val="Bullet"/>
      </w:pPr>
      <w:r w:rsidRPr="000F2308">
        <w:t xml:space="preserve">AUD </w:t>
      </w:r>
      <w:r w:rsidR="00036113" w:rsidRPr="000F2308">
        <w:t>fixed income assets</w:t>
      </w:r>
      <w:r w:rsidRPr="000F2308">
        <w:t xml:space="preserve"> are t</w:t>
      </w:r>
      <w:r w:rsidR="00036113" w:rsidRPr="000F2308">
        <w:t>he fourth most popular currency among Japanese fixed income investors</w:t>
      </w:r>
      <w:r w:rsidR="00F41745" w:rsidRPr="000F2308">
        <w:t xml:space="preserve"> (Chart 2)</w:t>
      </w:r>
      <w:r w:rsidR="00036113" w:rsidRPr="000F2308">
        <w:t>.</w:t>
      </w:r>
    </w:p>
    <w:p w14:paraId="5EAC8C32" w14:textId="3EB466D7" w:rsidR="00381CCF" w:rsidRDefault="00381CCF">
      <w:pPr>
        <w:keepLines w:val="0"/>
        <w:jc w:val="left"/>
        <w:rPr>
          <w:b/>
          <w:bCs/>
        </w:rPr>
      </w:pPr>
    </w:p>
    <w:p w14:paraId="1952C18B" w14:textId="5372301C" w:rsidR="00D1444C" w:rsidRPr="00D1444C" w:rsidRDefault="00D1444C" w:rsidP="00381CCF">
      <w:pPr>
        <w:pStyle w:val="Bullet"/>
        <w:numPr>
          <w:ilvl w:val="0"/>
          <w:numId w:val="0"/>
        </w:numPr>
        <w:ind w:left="567" w:hanging="567"/>
        <w:jc w:val="center"/>
        <w:rPr>
          <w:b/>
          <w:bCs/>
        </w:rPr>
      </w:pPr>
      <w:r w:rsidRPr="00D1444C">
        <w:rPr>
          <w:b/>
          <w:bCs/>
        </w:rPr>
        <w:t>Chart 2: Japan fixed income holdings by currency</w:t>
      </w:r>
    </w:p>
    <w:p w14:paraId="499CD415" w14:textId="64506E92" w:rsidR="00D1444C" w:rsidRDefault="006A6672" w:rsidP="00381CCF">
      <w:pPr>
        <w:pStyle w:val="Bullet"/>
        <w:numPr>
          <w:ilvl w:val="0"/>
          <w:numId w:val="0"/>
        </w:numPr>
        <w:ind w:left="567" w:hanging="567"/>
        <w:jc w:val="center"/>
      </w:pPr>
      <w:r w:rsidRPr="006A6672">
        <w:rPr>
          <w:noProof/>
        </w:rPr>
        <w:drawing>
          <wp:inline distT="0" distB="0" distL="0" distR="0" wp14:anchorId="7CAEC0FC" wp14:editId="0D996377">
            <wp:extent cx="5731510" cy="2592070"/>
            <wp:effectExtent l="0" t="0" r="2540" b="0"/>
            <wp:docPr id="44" name="Picture 1">
              <a:extLst xmlns:a="http://schemas.openxmlformats.org/drawingml/2006/main">
                <a:ext uri="{FF2B5EF4-FFF2-40B4-BE49-F238E27FC236}">
                  <a16:creationId xmlns:a16="http://schemas.microsoft.com/office/drawing/2014/main" id="{30A64560-BA47-E327-909F-D680D0B405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0A64560-BA47-E327-909F-D680D0B405BC}"/>
                        </a:ext>
                      </a:extLst>
                    </pic:cNvPr>
                    <pic:cNvPicPr>
                      <a:picLocks noChangeAspect="1"/>
                    </pic:cNvPicPr>
                  </pic:nvPicPr>
                  <pic:blipFill>
                    <a:blip r:embed="rId13"/>
                    <a:stretch>
                      <a:fillRect/>
                    </a:stretch>
                  </pic:blipFill>
                  <pic:spPr>
                    <a:xfrm>
                      <a:off x="0" y="0"/>
                      <a:ext cx="5731510" cy="2592070"/>
                    </a:xfrm>
                    <a:prstGeom prst="rect">
                      <a:avLst/>
                    </a:prstGeom>
                  </pic:spPr>
                </pic:pic>
              </a:graphicData>
            </a:graphic>
          </wp:inline>
        </w:drawing>
      </w:r>
    </w:p>
    <w:p w14:paraId="21443D94" w14:textId="51FB249E" w:rsidR="00D1444C" w:rsidRPr="00D1444C" w:rsidRDefault="00D1444C" w:rsidP="00D1444C">
      <w:pPr>
        <w:pStyle w:val="Bullet"/>
        <w:numPr>
          <w:ilvl w:val="0"/>
          <w:numId w:val="0"/>
        </w:numPr>
        <w:ind w:left="567" w:hanging="567"/>
        <w:rPr>
          <w:sz w:val="18"/>
          <w:szCs w:val="16"/>
        </w:rPr>
      </w:pPr>
      <w:r w:rsidRPr="00D1444C">
        <w:rPr>
          <w:sz w:val="18"/>
          <w:szCs w:val="16"/>
        </w:rPr>
        <w:t>Source:</w:t>
      </w:r>
      <w:r w:rsidRPr="00D1444C">
        <w:rPr>
          <w:sz w:val="18"/>
          <w:szCs w:val="16"/>
        </w:rPr>
        <w:tab/>
        <w:t>Japan Ministry of Finance (2014-2021).</w:t>
      </w:r>
    </w:p>
    <w:bookmarkStart w:id="0" w:name="_Hlk133754277"/>
    <w:p w14:paraId="0F05F213" w14:textId="7377EB4C" w:rsidR="008F3C0A" w:rsidRPr="007F0955" w:rsidRDefault="00EC7B6D" w:rsidP="007D3E44">
      <w:pPr>
        <w:spacing w:before="160"/>
      </w:pPr>
      <w:r>
        <w:lastRenderedPageBreak/>
        <w:fldChar w:fldCharType="begin"/>
      </w:r>
      <w:r>
        <w:instrText xml:space="preserve"> :End:AOFM_IC1 </w:instrText>
      </w:r>
      <w:r>
        <w:fldChar w:fldCharType="end"/>
      </w:r>
      <w:r w:rsidR="00267E7C">
        <w:fldChar w:fldCharType="begin"/>
      </w:r>
      <w:r w:rsidR="00267E7C">
        <w:instrText xml:space="preserve"> :Start:MECD_SH3 </w:instrText>
      </w:r>
      <w:r w:rsidR="00267E7C">
        <w:fldChar w:fldCharType="end"/>
      </w:r>
      <w:r w:rsidR="008F3C0A" w:rsidRPr="000F2308">
        <w:t>Australia is Japan’s largest and most trusted source of energy</w:t>
      </w:r>
      <w:r w:rsidR="003161A4" w:rsidRPr="000F2308">
        <w:t xml:space="preserve">. </w:t>
      </w:r>
      <w:r w:rsidR="008B01F8" w:rsidRPr="000F2308">
        <w:t xml:space="preserve">Australia </w:t>
      </w:r>
      <w:r w:rsidR="008F3C0A" w:rsidRPr="000F2308">
        <w:t>provid</w:t>
      </w:r>
      <w:r w:rsidR="008B01F8" w:rsidRPr="000F2308">
        <w:t>es</w:t>
      </w:r>
      <w:r w:rsidR="008F3C0A" w:rsidRPr="000F2308">
        <w:t xml:space="preserve"> </w:t>
      </w:r>
      <w:r w:rsidR="00103C60" w:rsidRPr="000F2308">
        <w:t>around 40 </w:t>
      </w:r>
      <w:r w:rsidR="00B3203F" w:rsidRPr="000F2308">
        <w:t>per cent</w:t>
      </w:r>
      <w:r w:rsidR="008F3C0A" w:rsidRPr="000F2308">
        <w:t xml:space="preserve"> of Japan’s LNG and </w:t>
      </w:r>
      <w:r w:rsidR="00103C60" w:rsidRPr="000F2308">
        <w:t xml:space="preserve">around </w:t>
      </w:r>
      <w:r w:rsidR="008F3C0A" w:rsidRPr="000F2308">
        <w:t>75</w:t>
      </w:r>
      <w:r w:rsidR="00B3203F" w:rsidRPr="000F2308">
        <w:t xml:space="preserve"> per cent</w:t>
      </w:r>
      <w:r w:rsidR="008F3C0A" w:rsidRPr="000F2308">
        <w:t xml:space="preserve"> of Japan’s thermal coal</w:t>
      </w:r>
      <w:r w:rsidR="00305506">
        <w:t>.</w:t>
      </w:r>
      <w:r w:rsidR="00434BA8" w:rsidRPr="000F2308">
        <w:rPr>
          <w:rStyle w:val="FootnoteReference"/>
        </w:rPr>
        <w:footnoteReference w:id="3"/>
      </w:r>
      <w:r w:rsidR="008F3C0A" w:rsidRPr="000F2308">
        <w:t xml:space="preserve"> Australian resources support the steelmaking for more than half of Japan’s infrastructure. Rio Tinto alone has exported 2 billion tonnes of iron to Japan since the first shipment in 1966</w:t>
      </w:r>
      <w:r w:rsidR="00F42521">
        <w:t>.</w:t>
      </w:r>
      <w:r w:rsidR="003A6006" w:rsidRPr="000F2308">
        <w:rPr>
          <w:rStyle w:val="FootnoteReference"/>
        </w:rPr>
        <w:footnoteReference w:id="4"/>
      </w:r>
      <w:r w:rsidR="00267E7C">
        <w:fldChar w:fldCharType="begin"/>
      </w:r>
      <w:r w:rsidR="00267E7C">
        <w:instrText xml:space="preserve"> :End:MECD_SH3 </w:instrText>
      </w:r>
      <w:r w:rsidR="00267E7C">
        <w:fldChar w:fldCharType="end"/>
      </w:r>
    </w:p>
    <w:bookmarkEnd w:id="0"/>
    <w:p w14:paraId="7224734E" w14:textId="4044222F" w:rsidR="008F3C0A" w:rsidRPr="000F2308" w:rsidRDefault="00386A43" w:rsidP="007B31F9">
      <w:r>
        <w:fldChar w:fldCharType="begin"/>
      </w:r>
      <w:r>
        <w:instrText xml:space="preserve"> :Start:IESD_CG2 </w:instrText>
      </w:r>
      <w:r>
        <w:fldChar w:fldCharType="end"/>
      </w:r>
      <w:r w:rsidR="00543D82" w:rsidRPr="000F2308">
        <w:t>Australia’s first export coal mine was established in 1963 in Central Queensland</w:t>
      </w:r>
      <w:r w:rsidR="00564CBE" w:rsidRPr="000F2308">
        <w:t xml:space="preserve"> through partnership between Australian firm Thiess and Peabody, and Japanese firm Mitsui and Co. </w:t>
      </w:r>
      <w:r w:rsidR="008F3C0A" w:rsidRPr="000F2308">
        <w:t xml:space="preserve">Rio Tinto and Nippon Steel in iron ore </w:t>
      </w:r>
      <w:r w:rsidR="004A7310" w:rsidRPr="000F2308">
        <w:t>followed</w:t>
      </w:r>
      <w:r w:rsidR="008B01F8" w:rsidRPr="000F2308">
        <w:t xml:space="preserve"> in </w:t>
      </w:r>
      <w:r w:rsidR="008F3C0A" w:rsidRPr="000F2308">
        <w:t>1966, and Mitsubishi and Mitsui in the North</w:t>
      </w:r>
      <w:r w:rsidR="00675C89" w:rsidRPr="000F2308">
        <w:t>-</w:t>
      </w:r>
      <w:r w:rsidR="008F3C0A" w:rsidRPr="000F2308">
        <w:t xml:space="preserve">West Shelf LNG project </w:t>
      </w:r>
      <w:r w:rsidR="00776558" w:rsidRPr="000F2308">
        <w:t>beginning</w:t>
      </w:r>
      <w:r w:rsidR="008B01F8" w:rsidRPr="000F2308">
        <w:t xml:space="preserve"> in </w:t>
      </w:r>
      <w:r w:rsidR="008F3C0A" w:rsidRPr="000F2308">
        <w:t>1989.</w:t>
      </w:r>
    </w:p>
    <w:p w14:paraId="5BD11E9D" w14:textId="54D92ABE" w:rsidR="00565EFE" w:rsidRPr="000F2308" w:rsidRDefault="00565EFE" w:rsidP="00565EFE">
      <w:r w:rsidRPr="000F2308">
        <w:t>Japan is now looking to partner</w:t>
      </w:r>
      <w:r w:rsidR="00EF6C92" w:rsidRPr="000F2308">
        <w:t xml:space="preserve"> with </w:t>
      </w:r>
      <w:r w:rsidRPr="000F2308">
        <w:t xml:space="preserve">Australia in the shift to clean energy. </w:t>
      </w:r>
      <w:r w:rsidR="00EF6C92" w:rsidRPr="000F2308">
        <w:t>A</w:t>
      </w:r>
      <w:r w:rsidRPr="000F2308">
        <w:t xml:space="preserve"> pilot </w:t>
      </w:r>
      <w:r w:rsidR="00477E48" w:rsidRPr="000F2308">
        <w:t>Hydrogen Energy Supply Chain</w:t>
      </w:r>
      <w:r w:rsidRPr="000F2308">
        <w:t xml:space="preserve"> project has be</w:t>
      </w:r>
      <w:r w:rsidR="00C36342" w:rsidRPr="000F2308">
        <w:t>en</w:t>
      </w:r>
      <w:r w:rsidRPr="000F2308">
        <w:t xml:space="preserve"> successfully completed. This saw the first shipment of hydrogen delivered from Australia to Japan last year </w:t>
      </w:r>
      <w:r w:rsidR="00EF6C92" w:rsidRPr="000F2308">
        <w:t>o</w:t>
      </w:r>
      <w:r w:rsidRPr="000F2308">
        <w:t>n the world’s first dedicated hydrogen carrier</w:t>
      </w:r>
      <w:r w:rsidR="00EF6C92" w:rsidRPr="000F2308">
        <w:t xml:space="preserve"> </w:t>
      </w:r>
      <w:r w:rsidR="002751FB" w:rsidRPr="000F2308">
        <w:t>–</w:t>
      </w:r>
      <w:r w:rsidR="00EF6C92" w:rsidRPr="000F2308">
        <w:t xml:space="preserve"> </w:t>
      </w:r>
      <w:r w:rsidRPr="000F2308">
        <w:t xml:space="preserve">the </w:t>
      </w:r>
      <w:proofErr w:type="spellStart"/>
      <w:r w:rsidRPr="000F2308">
        <w:t>Suiso</w:t>
      </w:r>
      <w:proofErr w:type="spellEnd"/>
      <w:r w:rsidRPr="000F2308">
        <w:t xml:space="preserve"> Frontier.</w:t>
      </w:r>
    </w:p>
    <w:p w14:paraId="2C2F4CC7" w14:textId="77777777" w:rsidR="00381CCF" w:rsidRDefault="00565EFE" w:rsidP="00565EFE">
      <w:r w:rsidRPr="000F2308">
        <w:t xml:space="preserve">Commercialisation of the project is now under consideration, with the consortium awarded </w:t>
      </w:r>
      <w:r w:rsidR="007B22DC" w:rsidRPr="000F2308">
        <w:t>180 billion Yen (</w:t>
      </w:r>
      <w:r w:rsidRPr="000F2308">
        <w:t>A$2 billion</w:t>
      </w:r>
      <w:r w:rsidR="007B22DC" w:rsidRPr="000F2308">
        <w:t>)</w:t>
      </w:r>
      <w:r w:rsidRPr="000F2308">
        <w:t xml:space="preserve"> from Japan’s Green Innovation Fund to establish a hydrogen supply chain.</w:t>
      </w:r>
    </w:p>
    <w:p w14:paraId="72C2F6F2" w14:textId="3310F261" w:rsidR="00B86BF0" w:rsidRPr="007F0955" w:rsidRDefault="00386A43" w:rsidP="00565EFE">
      <w:r w:rsidRPr="000F2308">
        <w:fldChar w:fldCharType="begin"/>
      </w:r>
      <w:r w:rsidRPr="000F2308">
        <w:instrText xml:space="preserve"> :End:IESD_CG2 </w:instrText>
      </w:r>
      <w:r w:rsidRPr="000F2308">
        <w:fldChar w:fldCharType="end"/>
      </w:r>
      <w:r w:rsidRPr="000F2308">
        <w:fldChar w:fldCharType="begin"/>
      </w:r>
      <w:r w:rsidRPr="000F2308">
        <w:instrText xml:space="preserve"> :Start:LEIID_BM3 </w:instrText>
      </w:r>
      <w:r w:rsidRPr="000F2308">
        <w:fldChar w:fldCharType="end"/>
      </w:r>
      <w:r w:rsidR="00565EFE" w:rsidRPr="000F2308">
        <w:t>The 2022 State of Hydrogen report also showcase</w:t>
      </w:r>
      <w:r w:rsidR="00EF6C92" w:rsidRPr="000F2308">
        <w:t>d</w:t>
      </w:r>
      <w:r w:rsidR="00565EFE" w:rsidRPr="000F2308">
        <w:t xml:space="preserve"> Australia’s </w:t>
      </w:r>
      <w:r w:rsidR="004F61F2" w:rsidRPr="000F2308">
        <w:t xml:space="preserve">potential as a </w:t>
      </w:r>
      <w:r w:rsidR="00565EFE" w:rsidRPr="000F2308">
        <w:t>green hydrogen powerhouse</w:t>
      </w:r>
      <w:r w:rsidR="00276A01" w:rsidRPr="000F2308">
        <w:t xml:space="preserve">. This presents </w:t>
      </w:r>
      <w:r w:rsidR="00565EFE" w:rsidRPr="000F2308">
        <w:t>vast potential for collaboration</w:t>
      </w:r>
      <w:r w:rsidR="00276A01" w:rsidRPr="000F2308">
        <w:t xml:space="preserve"> and </w:t>
      </w:r>
      <w:r w:rsidR="00565EFE" w:rsidRPr="000F2308">
        <w:t>a new chapter in energy security between our countries.</w:t>
      </w:r>
      <w:r>
        <w:fldChar w:fldCharType="begin"/>
      </w:r>
      <w:r>
        <w:instrText xml:space="preserve"> :End:LEIID_BM3 </w:instrText>
      </w:r>
      <w:r>
        <w:fldChar w:fldCharType="end"/>
      </w:r>
    </w:p>
    <w:p w14:paraId="4CBCB9F6" w14:textId="0F34DE93" w:rsidR="00B077DC" w:rsidRPr="007F0955" w:rsidRDefault="00801D69" w:rsidP="009034F0">
      <w:pPr>
        <w:pStyle w:val="Heading1"/>
      </w:pPr>
      <w:r w:rsidRPr="007F0955">
        <w:t>Australia’s economy is strong</w:t>
      </w:r>
      <w:r w:rsidR="00362C01" w:rsidRPr="007F0955">
        <w:t xml:space="preserve"> and stable</w:t>
      </w:r>
    </w:p>
    <w:p w14:paraId="7E0480EA" w14:textId="7B950279" w:rsidR="007F2977" w:rsidRPr="000F2308" w:rsidRDefault="00CC3B8B" w:rsidP="00DA7188">
      <w:r>
        <w:fldChar w:fldCharType="begin"/>
      </w:r>
      <w:r>
        <w:instrText xml:space="preserve"> :Start:BPD_OR1 </w:instrText>
      </w:r>
      <w:r>
        <w:fldChar w:fldCharType="end"/>
      </w:r>
      <w:r w:rsidR="007F2977" w:rsidRPr="000F2308">
        <w:t xml:space="preserve">I have made the case our partnership </w:t>
      </w:r>
      <w:r w:rsidR="0020624B" w:rsidRPr="000F2308">
        <w:t xml:space="preserve">is </w:t>
      </w:r>
      <w:r w:rsidR="007F2977" w:rsidRPr="000F2308">
        <w:t>close and important</w:t>
      </w:r>
      <w:r w:rsidR="00714A1B" w:rsidRPr="000F2308">
        <w:t xml:space="preserve"> for </w:t>
      </w:r>
      <w:r w:rsidR="007F2977" w:rsidRPr="000F2308">
        <w:t xml:space="preserve">our shared prosperity. I now turn to the equally case </w:t>
      </w:r>
      <w:r w:rsidR="0020624B" w:rsidRPr="000F2308">
        <w:t xml:space="preserve">that </w:t>
      </w:r>
      <w:r w:rsidR="007F2977" w:rsidRPr="000F2308">
        <w:t xml:space="preserve">Australia </w:t>
      </w:r>
      <w:r w:rsidR="0020624B" w:rsidRPr="000F2308">
        <w:t xml:space="preserve">is </w:t>
      </w:r>
      <w:r w:rsidR="0098739F" w:rsidRPr="000F2308">
        <w:t xml:space="preserve">a </w:t>
      </w:r>
      <w:r w:rsidR="007F2977" w:rsidRPr="000F2308">
        <w:t>good place for Japan</w:t>
      </w:r>
      <w:r w:rsidR="0020624B" w:rsidRPr="000F2308">
        <w:t xml:space="preserve"> to </w:t>
      </w:r>
      <w:r w:rsidR="00276A01" w:rsidRPr="000F2308">
        <w:t xml:space="preserve">continue to </w:t>
      </w:r>
      <w:r w:rsidR="007F2977" w:rsidRPr="000F2308">
        <w:t>invest</w:t>
      </w:r>
      <w:r w:rsidR="00276A01" w:rsidRPr="000F2308">
        <w:t xml:space="preserve"> in.</w:t>
      </w:r>
    </w:p>
    <w:p w14:paraId="38BFBE87" w14:textId="3A474734" w:rsidR="00155096" w:rsidRPr="00CC3B8B" w:rsidRDefault="00CC3B8B" w:rsidP="00CE2C0F">
      <w:pPr>
        <w:pStyle w:val="Heading2"/>
      </w:pPr>
      <w:r>
        <w:fldChar w:fldCharType="begin"/>
      </w:r>
      <w:r>
        <w:instrText xml:space="preserve"> :End:BPD_OR1 </w:instrText>
      </w:r>
      <w:r>
        <w:fldChar w:fldCharType="end"/>
      </w:r>
      <w:r w:rsidR="00155096" w:rsidRPr="00CC3B8B">
        <w:t xml:space="preserve">Strong </w:t>
      </w:r>
      <w:r w:rsidR="00D97485" w:rsidRPr="00CC3B8B">
        <w:t xml:space="preserve">foreign investment, </w:t>
      </w:r>
      <w:r w:rsidR="00155096" w:rsidRPr="00CC3B8B">
        <w:t>economic foundations</w:t>
      </w:r>
      <w:r w:rsidR="006F2E04" w:rsidRPr="00CC3B8B">
        <w:t>,</w:t>
      </w:r>
      <w:r w:rsidR="00155096" w:rsidRPr="00CC3B8B">
        <w:t xml:space="preserve"> and performance</w:t>
      </w:r>
    </w:p>
    <w:bookmarkStart w:id="1" w:name="_Hlk133675125"/>
    <w:p w14:paraId="6B9F1680" w14:textId="0177903C" w:rsidR="007F2977" w:rsidRPr="000F2308" w:rsidRDefault="00386A43" w:rsidP="00205C31">
      <w:r>
        <w:fldChar w:fldCharType="begin"/>
      </w:r>
      <w:r>
        <w:instrText xml:space="preserve"> :Start:MECD_SH3 </w:instrText>
      </w:r>
      <w:r>
        <w:fldChar w:fldCharType="end"/>
      </w:r>
      <w:r w:rsidR="00CF1330" w:rsidRPr="000F2308">
        <w:t>Australia has had strong foreign investment for a long time</w:t>
      </w:r>
      <w:r w:rsidR="00155096" w:rsidRPr="000F2308">
        <w:t xml:space="preserve"> </w:t>
      </w:r>
      <w:r w:rsidR="00D97485" w:rsidRPr="000F2308">
        <w:t xml:space="preserve">– currently around </w:t>
      </w:r>
      <w:r w:rsidR="008301F9" w:rsidRPr="000F2308">
        <w:t>417</w:t>
      </w:r>
      <w:r w:rsidR="0030207B" w:rsidRPr="000F2308">
        <w:t>.</w:t>
      </w:r>
      <w:r w:rsidR="008301F9" w:rsidRPr="000F2308">
        <w:t>2</w:t>
      </w:r>
      <w:r w:rsidR="0030207B" w:rsidRPr="000F2308">
        <w:t xml:space="preserve"> trillion Yen (</w:t>
      </w:r>
      <w:r w:rsidR="00B3203F" w:rsidRPr="000F2308">
        <w:t>A</w:t>
      </w:r>
      <w:r w:rsidR="00D97485" w:rsidRPr="000F2308">
        <w:t>$</w:t>
      </w:r>
      <w:r w:rsidR="008301F9" w:rsidRPr="000F2308">
        <w:t>4</w:t>
      </w:r>
      <w:r w:rsidR="00D60EC2" w:rsidRPr="000F2308">
        <w:t>.</w:t>
      </w:r>
      <w:r w:rsidR="008301F9" w:rsidRPr="000F2308">
        <w:t>6</w:t>
      </w:r>
      <w:r w:rsidR="00D97485" w:rsidRPr="000F2308">
        <w:t xml:space="preserve"> trillion</w:t>
      </w:r>
      <w:r w:rsidR="0030207B" w:rsidRPr="000F2308">
        <w:t>)</w:t>
      </w:r>
      <w:r w:rsidR="00D97485" w:rsidRPr="000F2308">
        <w:t>.</w:t>
      </w:r>
      <w:r w:rsidR="00611461" w:rsidRPr="000F2308">
        <w:t xml:space="preserve"> This </w:t>
      </w:r>
      <w:bookmarkEnd w:id="1"/>
      <w:r w:rsidR="007F2977" w:rsidRPr="000F2308">
        <w:t>reflects the confidence overseas investors have in the strength, stability</w:t>
      </w:r>
      <w:r w:rsidR="006F2E04" w:rsidRPr="000F2308">
        <w:t>,</w:t>
      </w:r>
      <w:r w:rsidR="007F2977" w:rsidRPr="000F2308">
        <w:t xml:space="preserve"> and opportunit</w:t>
      </w:r>
      <w:r w:rsidR="00932142" w:rsidRPr="000F2308">
        <w:t>ies</w:t>
      </w:r>
      <w:r w:rsidR="007F2977" w:rsidRPr="000F2308">
        <w:t xml:space="preserve"> the Australian economy presents.</w:t>
      </w:r>
    </w:p>
    <w:p w14:paraId="26CDC9EB" w14:textId="2BD2E7FD" w:rsidR="007F2977" w:rsidRPr="000F2308" w:rsidRDefault="00386A43" w:rsidP="008E5AA9">
      <w:pPr>
        <w:pStyle w:val="Bullet"/>
      </w:pPr>
      <w:r w:rsidRPr="000F2308">
        <w:fldChar w:fldCharType="begin"/>
      </w:r>
      <w:r w:rsidRPr="000F2308">
        <w:instrText xml:space="preserve"> :End:MECD_SH3 </w:instrText>
      </w:r>
      <w:r w:rsidRPr="000F2308">
        <w:fldChar w:fldCharType="end"/>
      </w:r>
      <w:r w:rsidR="00A45D65" w:rsidRPr="000F2308">
        <w:fldChar w:fldCharType="begin"/>
      </w:r>
      <w:r w:rsidR="00A45D65" w:rsidRPr="000F2308">
        <w:instrText xml:space="preserve"> :Start:MECD_SH4 </w:instrText>
      </w:r>
      <w:r w:rsidR="00A45D65" w:rsidRPr="000F2308">
        <w:fldChar w:fldCharType="end"/>
      </w:r>
      <w:r w:rsidR="007F2977" w:rsidRPr="000F2308">
        <w:t>We are the world’s 12th largest economy</w:t>
      </w:r>
      <w:r w:rsidR="004A2F1C" w:rsidRPr="000F2308">
        <w:rPr>
          <w:rStyle w:val="FootnoteReference"/>
        </w:rPr>
        <w:footnoteReference w:id="5"/>
      </w:r>
      <w:r w:rsidR="007F2977" w:rsidRPr="000F2308">
        <w:t xml:space="preserve"> </w:t>
      </w:r>
      <w:r w:rsidR="008E5AA9" w:rsidRPr="000F2308">
        <w:t>with</w:t>
      </w:r>
      <w:r w:rsidR="007F2977" w:rsidRPr="000F2308">
        <w:t xml:space="preserve"> GDP of </w:t>
      </w:r>
      <w:r w:rsidR="00171429" w:rsidRPr="000F2308">
        <w:t xml:space="preserve">around </w:t>
      </w:r>
      <w:r w:rsidR="007B22DC" w:rsidRPr="000F2308">
        <w:t>2</w:t>
      </w:r>
      <w:r w:rsidR="00171429" w:rsidRPr="000F2308">
        <w:t>0</w:t>
      </w:r>
      <w:r w:rsidR="008520F9" w:rsidRPr="000F2308">
        <w:t>0</w:t>
      </w:r>
      <w:r w:rsidR="007B22DC" w:rsidRPr="000F2308">
        <w:t xml:space="preserve"> trillion Yen (</w:t>
      </w:r>
      <w:r w:rsidR="007F2977" w:rsidRPr="000F2308">
        <w:t>A$2.</w:t>
      </w:r>
      <w:r w:rsidR="00171429" w:rsidRPr="000F2308">
        <w:t>2</w:t>
      </w:r>
      <w:r w:rsidR="004A61E1">
        <w:t> </w:t>
      </w:r>
      <w:r w:rsidR="007F2977" w:rsidRPr="000F2308">
        <w:t>trillion</w:t>
      </w:r>
      <w:r w:rsidR="007B22DC" w:rsidRPr="000F2308">
        <w:t>)</w:t>
      </w:r>
      <w:r w:rsidR="007F2977" w:rsidRPr="000F2308">
        <w:t xml:space="preserve"> in 2022 and we have the highest median wealth </w:t>
      </w:r>
      <w:r w:rsidR="00932142" w:rsidRPr="000F2308">
        <w:t xml:space="preserve">per </w:t>
      </w:r>
      <w:r w:rsidR="003D42D6" w:rsidRPr="000F2308">
        <w:t>adult</w:t>
      </w:r>
      <w:r w:rsidR="00F5074A" w:rsidRPr="000F2308">
        <w:t xml:space="preserve"> of any large economy</w:t>
      </w:r>
      <w:r w:rsidR="00276A01" w:rsidRPr="000F2308">
        <w:t>.</w:t>
      </w:r>
      <w:r w:rsidR="003D261F" w:rsidRPr="000F2308">
        <w:rPr>
          <w:rStyle w:val="FootnoteReference"/>
        </w:rPr>
        <w:footnoteReference w:id="6"/>
      </w:r>
    </w:p>
    <w:p w14:paraId="0C871BE0" w14:textId="08ECAACE" w:rsidR="009F7048" w:rsidRPr="000F2308" w:rsidRDefault="00611461" w:rsidP="000F2308">
      <w:pPr>
        <w:pStyle w:val="Bullet"/>
      </w:pPr>
      <w:r w:rsidRPr="000F2308">
        <w:t xml:space="preserve">Australia is </w:t>
      </w:r>
      <w:r w:rsidR="00B42BFA" w:rsidRPr="000F2308">
        <w:t>well known for our rich natural resources</w:t>
      </w:r>
      <w:r w:rsidR="00276A01" w:rsidRPr="000F2308">
        <w:t xml:space="preserve"> </w:t>
      </w:r>
      <w:r w:rsidR="00B42BFA" w:rsidRPr="000F2308">
        <w:t xml:space="preserve">and mining sector, with </w:t>
      </w:r>
      <w:r w:rsidR="008E5AA9" w:rsidRPr="000F2308">
        <w:t xml:space="preserve">mining </w:t>
      </w:r>
      <w:r w:rsidR="00B42BFA" w:rsidRPr="000F2308">
        <w:t xml:space="preserve">exports valued at </w:t>
      </w:r>
      <w:r w:rsidR="007B22DC" w:rsidRPr="000F2308">
        <w:t>37 trillion Yen (A</w:t>
      </w:r>
      <w:r w:rsidR="00B42BFA" w:rsidRPr="000F2308">
        <w:t>$</w:t>
      </w:r>
      <w:r w:rsidR="000075F8" w:rsidRPr="000F2308">
        <w:t>41</w:t>
      </w:r>
      <w:r w:rsidR="004C7B90" w:rsidRPr="000F2308">
        <w:t>2</w:t>
      </w:r>
      <w:r w:rsidR="000075F8" w:rsidRPr="000F2308">
        <w:t xml:space="preserve"> billion</w:t>
      </w:r>
      <w:r w:rsidR="007B22DC" w:rsidRPr="000F2308">
        <w:t>)</w:t>
      </w:r>
      <w:r w:rsidR="00766C35" w:rsidRPr="000F2308">
        <w:t xml:space="preserve"> in 2021-22</w:t>
      </w:r>
      <w:r w:rsidR="00B42BFA" w:rsidRPr="000F2308">
        <w:t>.</w:t>
      </w:r>
      <w:r w:rsidRPr="000F2308">
        <w:t xml:space="preserve"> </w:t>
      </w:r>
      <w:r w:rsidR="00A10976" w:rsidRPr="000F2308">
        <w:t>W</w:t>
      </w:r>
      <w:r w:rsidRPr="000F2308">
        <w:t xml:space="preserve">e also have large and thriving </w:t>
      </w:r>
      <w:r w:rsidR="00B42BFA" w:rsidRPr="000F2308">
        <w:t>services</w:t>
      </w:r>
      <w:r w:rsidRPr="000F2308">
        <w:t xml:space="preserve"> sectors</w:t>
      </w:r>
      <w:r w:rsidR="00B42BFA" w:rsidRPr="000F2308">
        <w:t>.</w:t>
      </w:r>
    </w:p>
    <w:p w14:paraId="1E3DDF25" w14:textId="44E37C07" w:rsidR="00BF0884" w:rsidRPr="000F2308" w:rsidRDefault="007F2977" w:rsidP="00BF0884">
      <w:pPr>
        <w:pStyle w:val="Bullet"/>
      </w:pPr>
      <w:bookmarkStart w:id="2" w:name="_Hlk135221877"/>
      <w:r w:rsidRPr="000F2308">
        <w:t>Australia’s financial sector</w:t>
      </w:r>
      <w:r w:rsidR="001F6882" w:rsidRPr="000F2308">
        <w:t xml:space="preserve"> </w:t>
      </w:r>
      <w:r w:rsidR="004D03E4" w:rsidRPr="000F2308">
        <w:t>assets are</w:t>
      </w:r>
      <w:r w:rsidR="001F6882" w:rsidRPr="000F2308">
        <w:t xml:space="preserve"> v</w:t>
      </w:r>
      <w:r w:rsidR="00B42BFA" w:rsidRPr="000F2308">
        <w:t>alued at</w:t>
      </w:r>
      <w:r w:rsidR="00C74476" w:rsidRPr="000F2308">
        <w:t xml:space="preserve"> </w:t>
      </w:r>
      <w:r w:rsidR="005358E3" w:rsidRPr="000F2308">
        <w:t>around</w:t>
      </w:r>
      <w:r w:rsidR="00B42BFA" w:rsidRPr="000F2308">
        <w:t xml:space="preserve"> </w:t>
      </w:r>
      <w:r w:rsidR="005358E3" w:rsidRPr="000F2308">
        <w:t>730</w:t>
      </w:r>
      <w:r w:rsidR="00C74476" w:rsidRPr="000F2308">
        <w:t xml:space="preserve"> </w:t>
      </w:r>
      <w:r w:rsidR="0030207B" w:rsidRPr="000F2308">
        <w:t xml:space="preserve">trillion Yen </w:t>
      </w:r>
      <w:r w:rsidR="00932142" w:rsidRPr="000F2308">
        <w:t>(</w:t>
      </w:r>
      <w:r w:rsidR="0030207B" w:rsidRPr="000F2308">
        <w:t>A$</w:t>
      </w:r>
      <w:r w:rsidR="00C74476" w:rsidRPr="000F2308">
        <w:t xml:space="preserve">8 </w:t>
      </w:r>
      <w:r w:rsidR="0030207B" w:rsidRPr="000F2308">
        <w:t>trillion)</w:t>
      </w:r>
      <w:r w:rsidRPr="000F2308">
        <w:t xml:space="preserve"> </w:t>
      </w:r>
      <w:r w:rsidR="002D6A62" w:rsidRPr="000F2308">
        <w:t>and includes</w:t>
      </w:r>
      <w:r w:rsidRPr="000F2308">
        <w:t xml:space="preserve"> </w:t>
      </w:r>
      <w:r w:rsidR="005358E3" w:rsidRPr="000F2308">
        <w:t xml:space="preserve">the </w:t>
      </w:r>
      <w:r w:rsidRPr="000F2308">
        <w:t xml:space="preserve">world’s </w:t>
      </w:r>
      <w:r w:rsidR="00C74476" w:rsidRPr="000F2308">
        <w:t xml:space="preserve">fourth </w:t>
      </w:r>
      <w:r w:rsidRPr="000F2308">
        <w:t>largest pool of pension assets</w:t>
      </w:r>
      <w:r w:rsidR="008520F9" w:rsidRPr="000F2308">
        <w:t>.</w:t>
      </w:r>
    </w:p>
    <w:p w14:paraId="3368946E" w14:textId="418EBD36" w:rsidR="00BF0884" w:rsidRPr="000F2308" w:rsidRDefault="005358E3" w:rsidP="00BF0884">
      <w:pPr>
        <w:pStyle w:val="Bullet"/>
      </w:pPr>
      <w:r w:rsidRPr="000F2308">
        <w:lastRenderedPageBreak/>
        <w:t xml:space="preserve">Our </w:t>
      </w:r>
      <w:proofErr w:type="spellStart"/>
      <w:r w:rsidRPr="000F2308">
        <w:t>stockmarket</w:t>
      </w:r>
      <w:proofErr w:type="spellEnd"/>
      <w:r w:rsidRPr="000F2308">
        <w:t xml:space="preserve"> is among the 15 largest globally</w:t>
      </w:r>
      <w:r w:rsidR="00C84CB9" w:rsidRPr="000F2308">
        <w:t>,</w:t>
      </w:r>
      <w:r w:rsidR="00B42BFA" w:rsidRPr="000F2308">
        <w:t xml:space="preserve"> and </w:t>
      </w:r>
      <w:r w:rsidR="001F6882" w:rsidRPr="000F2308">
        <w:t xml:space="preserve">our </w:t>
      </w:r>
      <w:r w:rsidR="007F2977" w:rsidRPr="000F2308">
        <w:t>dollar is the sixth most traded currency</w:t>
      </w:r>
      <w:r w:rsidR="009F7048" w:rsidRPr="000F2308">
        <w:t xml:space="preserve"> globally</w:t>
      </w:r>
      <w:r w:rsidR="007F2977" w:rsidRPr="000F2308">
        <w:t>.</w:t>
      </w:r>
    </w:p>
    <w:bookmarkEnd w:id="2"/>
    <w:p w14:paraId="127DF1DA" w14:textId="520E8E42" w:rsidR="000647FA" w:rsidRPr="00CC3B8B" w:rsidRDefault="00A45D65" w:rsidP="00BF0884">
      <w:pPr>
        <w:pStyle w:val="Bullet"/>
      </w:pPr>
      <w:r w:rsidRPr="000F2308">
        <w:fldChar w:fldCharType="begin"/>
      </w:r>
      <w:r w:rsidRPr="000F2308">
        <w:instrText xml:space="preserve"> :End:MECD_SH4 </w:instrText>
      </w:r>
      <w:r w:rsidRPr="000F2308">
        <w:fldChar w:fldCharType="end"/>
      </w:r>
      <w:r w:rsidRPr="000F2308">
        <w:fldChar w:fldCharType="begin"/>
      </w:r>
      <w:r w:rsidRPr="000F2308">
        <w:instrText xml:space="preserve"> :Start:FSD_TP1 </w:instrText>
      </w:r>
      <w:r w:rsidRPr="000F2308">
        <w:fldChar w:fldCharType="end"/>
      </w:r>
      <w:r w:rsidR="0003327D" w:rsidRPr="000F2308">
        <w:t>Australia’s ‘unquestionably strong’ prudential requirements mean our banks have strong capital positions and liquidity coverage combined with rigorous</w:t>
      </w:r>
      <w:r w:rsidR="0003327D" w:rsidRPr="000F2308" w:rsidDel="0003327D">
        <w:t xml:space="preserve"> </w:t>
      </w:r>
      <w:r w:rsidR="000647FA" w:rsidRPr="000F2308">
        <w:t>underwriting standards</w:t>
      </w:r>
      <w:r w:rsidR="00305506">
        <w:t>.</w:t>
      </w:r>
      <w:r w:rsidR="00701C65" w:rsidRPr="000F2308">
        <w:rPr>
          <w:rStyle w:val="FootnoteReference"/>
        </w:rPr>
        <w:footnoteReference w:id="7"/>
      </w:r>
      <w:r>
        <w:fldChar w:fldCharType="begin"/>
      </w:r>
      <w:r>
        <w:instrText xml:space="preserve"> :End:FSD_TP1 </w:instrText>
      </w:r>
      <w:r>
        <w:fldChar w:fldCharType="end"/>
      </w:r>
    </w:p>
    <w:p w14:paraId="30ACBC72" w14:textId="11B1DE99" w:rsidR="00346242" w:rsidRPr="00CC3B8B" w:rsidRDefault="00CE2C0F" w:rsidP="009034F0">
      <w:pPr>
        <w:pStyle w:val="Heading2"/>
      </w:pPr>
      <w:r w:rsidRPr="00CC3B8B">
        <w:t>I</w:t>
      </w:r>
      <w:r w:rsidR="007547CB" w:rsidRPr="00CC3B8B">
        <w:t>nvestment</w:t>
      </w:r>
      <w:r w:rsidR="007547CB" w:rsidRPr="00CC3B8B" w:rsidDel="007547CB">
        <w:t xml:space="preserve"> </w:t>
      </w:r>
      <w:r w:rsidR="00A93786" w:rsidRPr="00CC3B8B">
        <w:t>and business</w:t>
      </w:r>
      <w:r w:rsidR="00346242" w:rsidRPr="00CC3B8B">
        <w:t>-friendly</w:t>
      </w:r>
    </w:p>
    <w:p w14:paraId="4D462911" w14:textId="12B21942" w:rsidR="00CF1330" w:rsidRPr="00CC3B8B" w:rsidRDefault="007C138E" w:rsidP="00D928AD">
      <w:pPr>
        <w:rPr>
          <w:i/>
        </w:rPr>
      </w:pPr>
      <w:r w:rsidRPr="00CC3B8B">
        <w:t xml:space="preserve">Australia’s pro-business environment attracts foreign investment and encourages new enterprise. </w:t>
      </w:r>
      <w:r w:rsidR="00CF1330" w:rsidRPr="00CC3B8B">
        <w:t xml:space="preserve">Australia enjoys </w:t>
      </w:r>
      <w:r w:rsidR="00AB2EE0" w:rsidRPr="00CC3B8B">
        <w:t xml:space="preserve">a </w:t>
      </w:r>
      <w:r w:rsidR="00CF1330" w:rsidRPr="00CC3B8B">
        <w:t xml:space="preserve">strong </w:t>
      </w:r>
      <w:r w:rsidR="00AB2EE0" w:rsidRPr="00CC3B8B">
        <w:t xml:space="preserve">rule of law and </w:t>
      </w:r>
      <w:r w:rsidR="00CF1330" w:rsidRPr="00CC3B8B">
        <w:t>institutions.</w:t>
      </w:r>
    </w:p>
    <w:p w14:paraId="52C7A323" w14:textId="574A295B" w:rsidR="00D97485" w:rsidRPr="000F2308" w:rsidRDefault="00A45D65" w:rsidP="00486466">
      <w:r>
        <w:fldChar w:fldCharType="begin"/>
      </w:r>
      <w:r>
        <w:instrText xml:space="preserve"> :Start:TAD_KD1 </w:instrText>
      </w:r>
      <w:r>
        <w:fldChar w:fldCharType="end"/>
      </w:r>
      <w:r w:rsidR="00D97485" w:rsidRPr="000F2308">
        <w:t>Australia is a low</w:t>
      </w:r>
      <w:r w:rsidR="008520F9" w:rsidRPr="000F2308">
        <w:t>-</w:t>
      </w:r>
      <w:r w:rsidR="00D97485" w:rsidRPr="000F2308">
        <w:t>taxing advanced economy</w:t>
      </w:r>
      <w:r w:rsidR="00A52AB5" w:rsidRPr="000F2308">
        <w:t xml:space="preserve">. Our </w:t>
      </w:r>
      <w:r w:rsidR="00F84C75" w:rsidRPr="000F2308">
        <w:t>tax</w:t>
      </w:r>
      <w:r w:rsidR="00474638" w:rsidRPr="000F2308">
        <w:t xml:space="preserve">-to-GDP </w:t>
      </w:r>
      <w:r w:rsidR="00A52AB5" w:rsidRPr="000F2308">
        <w:t xml:space="preserve">ratio </w:t>
      </w:r>
      <w:r w:rsidR="00474638" w:rsidRPr="000F2308">
        <w:t>is</w:t>
      </w:r>
      <w:r w:rsidR="00A52AB5" w:rsidRPr="000F2308">
        <w:t xml:space="preserve"> </w:t>
      </w:r>
      <w:r w:rsidR="00D97485" w:rsidRPr="000F2308">
        <w:t>29</w:t>
      </w:r>
      <w:r w:rsidR="00B3203F" w:rsidRPr="000F2308">
        <w:t xml:space="preserve"> per cent</w:t>
      </w:r>
      <w:r w:rsidR="00D97485" w:rsidRPr="000F2308">
        <w:t xml:space="preserve"> of GDP, compared to </w:t>
      </w:r>
      <w:r w:rsidR="008520F9" w:rsidRPr="000F2308">
        <w:t xml:space="preserve">the OECD average of </w:t>
      </w:r>
      <w:r w:rsidR="00C67377" w:rsidRPr="000F2308">
        <w:t>3</w:t>
      </w:r>
      <w:r w:rsidR="00F14A17" w:rsidRPr="000F2308">
        <w:t>4</w:t>
      </w:r>
      <w:r w:rsidR="00C67377" w:rsidRPr="000F2308">
        <w:t xml:space="preserve"> </w:t>
      </w:r>
      <w:r w:rsidR="00B3203F" w:rsidRPr="000F2308">
        <w:t>per cent</w:t>
      </w:r>
      <w:r w:rsidR="00F42521">
        <w:t>.</w:t>
      </w:r>
      <w:r w:rsidR="0092160D" w:rsidRPr="000F2308">
        <w:rPr>
          <w:rStyle w:val="FootnoteReference"/>
        </w:rPr>
        <w:footnoteReference w:id="8"/>
      </w:r>
    </w:p>
    <w:bookmarkStart w:id="3" w:name="_Hlk133670101"/>
    <w:p w14:paraId="5480B43C" w14:textId="689E4AF9" w:rsidR="00AB2EE0" w:rsidRPr="000F2308" w:rsidRDefault="00A45D65" w:rsidP="00486466">
      <w:r w:rsidRPr="000F2308">
        <w:fldChar w:fldCharType="begin"/>
      </w:r>
      <w:r w:rsidRPr="000F2308">
        <w:instrText xml:space="preserve"> :End:TAD_KD1 </w:instrText>
      </w:r>
      <w:r w:rsidRPr="000F2308">
        <w:fldChar w:fldCharType="end"/>
      </w:r>
      <w:r w:rsidR="00B36F65" w:rsidRPr="000F2308">
        <w:fldChar w:fldCharType="begin"/>
      </w:r>
      <w:r w:rsidR="00B36F65" w:rsidRPr="000F2308">
        <w:instrText xml:space="preserve"> :Start:MAPD_AG1 </w:instrText>
      </w:r>
      <w:r w:rsidR="00B36F65" w:rsidRPr="000F2308">
        <w:fldChar w:fldCharType="end"/>
      </w:r>
      <w:r w:rsidR="00A85EDF" w:rsidRPr="000F2308">
        <w:t xml:space="preserve">According to the </w:t>
      </w:r>
      <w:r w:rsidR="009D242A" w:rsidRPr="000F2308">
        <w:t>Heritage Foundation Economic Freedom Index</w:t>
      </w:r>
      <w:r w:rsidR="00A85EDF" w:rsidRPr="000F2308">
        <w:t>, Australia’s</w:t>
      </w:r>
      <w:r w:rsidR="00AB2EE0" w:rsidRPr="000F2308">
        <w:t xml:space="preserve"> rank</w:t>
      </w:r>
      <w:r w:rsidR="00A85EDF" w:rsidRPr="000F2308">
        <w:t>s</w:t>
      </w:r>
      <w:r w:rsidR="00AB2EE0" w:rsidRPr="000F2308">
        <w:t xml:space="preserve"> </w:t>
      </w:r>
      <w:r w:rsidR="00FD16BC" w:rsidRPr="000F2308">
        <w:t xml:space="preserve">equal </w:t>
      </w:r>
      <w:r w:rsidR="00AB2EE0" w:rsidRPr="000F2308">
        <w:t xml:space="preserve">first for financial freedom and </w:t>
      </w:r>
      <w:r w:rsidR="006C3545" w:rsidRPr="000F2308">
        <w:t xml:space="preserve">third </w:t>
      </w:r>
      <w:r w:rsidR="00AB2EE0" w:rsidRPr="000F2308">
        <w:t>for trade freedom.</w:t>
      </w:r>
    </w:p>
    <w:p w14:paraId="0A095C75" w14:textId="1786AEF0" w:rsidR="00AB2EE0" w:rsidRPr="000F2308" w:rsidRDefault="00AB2EE0" w:rsidP="00486466">
      <w:r w:rsidRPr="000F2308">
        <w:t xml:space="preserve">Australia </w:t>
      </w:r>
      <w:r w:rsidR="00D55E18" w:rsidRPr="000F2308">
        <w:t xml:space="preserve">also </w:t>
      </w:r>
      <w:r w:rsidRPr="000F2308">
        <w:t xml:space="preserve">ranks well internationally </w:t>
      </w:r>
      <w:r w:rsidR="004C31B0" w:rsidRPr="000F2308">
        <w:t xml:space="preserve">on </w:t>
      </w:r>
      <w:r w:rsidRPr="000F2308">
        <w:t>number of days to start a business, judicial effectiveness</w:t>
      </w:r>
      <w:r w:rsidR="008520F9" w:rsidRPr="000F2308">
        <w:t>,</w:t>
      </w:r>
      <w:r w:rsidRPr="000F2308">
        <w:t xml:space="preserve"> and access to credit</w:t>
      </w:r>
      <w:r w:rsidR="00F42521">
        <w:t>.</w:t>
      </w:r>
      <w:r w:rsidR="009D242A" w:rsidRPr="000F2308">
        <w:rPr>
          <w:rStyle w:val="FootnoteReference"/>
        </w:rPr>
        <w:footnoteReference w:id="9"/>
      </w:r>
    </w:p>
    <w:bookmarkEnd w:id="3"/>
    <w:p w14:paraId="1A424EA5" w14:textId="7647FA5B" w:rsidR="00474638" w:rsidRPr="00CC3B8B" w:rsidRDefault="00B36F65" w:rsidP="00CE2C0F">
      <w:pPr>
        <w:pStyle w:val="Heading2"/>
      </w:pPr>
      <w:r>
        <w:fldChar w:fldCharType="begin"/>
      </w:r>
      <w:r>
        <w:instrText xml:space="preserve"> :End:MAPD_AG1 </w:instrText>
      </w:r>
      <w:r>
        <w:fldChar w:fldCharType="end"/>
      </w:r>
      <w:r w:rsidR="00474638" w:rsidRPr="00CC3B8B">
        <w:t>Australia is well integrated into Asia</w:t>
      </w:r>
    </w:p>
    <w:p w14:paraId="68D088B5" w14:textId="1AEF7AA9" w:rsidR="00A4741B" w:rsidRPr="000F2308" w:rsidRDefault="00B36F65" w:rsidP="00310E26">
      <w:r w:rsidRPr="005F304C">
        <w:rPr>
          <w:highlight w:val="red"/>
        </w:rPr>
        <w:fldChar w:fldCharType="begin"/>
      </w:r>
      <w:r w:rsidRPr="005F304C">
        <w:rPr>
          <w:highlight w:val="red"/>
        </w:rPr>
        <w:instrText xml:space="preserve"> :Start:MECD_SH3 </w:instrText>
      </w:r>
      <w:r w:rsidRPr="005F304C">
        <w:rPr>
          <w:highlight w:val="red"/>
        </w:rPr>
        <w:fldChar w:fldCharType="end"/>
      </w:r>
      <w:r w:rsidR="00AA6EFB" w:rsidRPr="000F2308">
        <w:t xml:space="preserve">Australia is </w:t>
      </w:r>
      <w:r w:rsidR="00A4741B" w:rsidRPr="000F2308">
        <w:t>an export-driven economy</w:t>
      </w:r>
      <w:r w:rsidR="00AA6EFB" w:rsidRPr="000F2308">
        <w:t xml:space="preserve"> </w:t>
      </w:r>
      <w:r w:rsidR="00474638" w:rsidRPr="000F2308">
        <w:t xml:space="preserve">focused on the dynamic </w:t>
      </w:r>
      <w:r w:rsidR="00200F55" w:rsidRPr="000F2308">
        <w:t>Asian region</w:t>
      </w:r>
      <w:r w:rsidR="00A4741B" w:rsidRPr="000F2308">
        <w:t>.</w:t>
      </w:r>
    </w:p>
    <w:p w14:paraId="6CB4EFD3" w14:textId="564E35F5" w:rsidR="00AB2EE0" w:rsidRPr="000F2308" w:rsidRDefault="00AB2EE0" w:rsidP="00486466">
      <w:r w:rsidRPr="000F2308">
        <w:t>W</w:t>
      </w:r>
      <w:r w:rsidR="009F7048" w:rsidRPr="000F2308">
        <w:t xml:space="preserve">e have an </w:t>
      </w:r>
      <w:r w:rsidRPr="000F2308">
        <w:t>open economy, strong cultural links</w:t>
      </w:r>
      <w:r w:rsidR="006568EE" w:rsidRPr="000F2308">
        <w:t>,</w:t>
      </w:r>
      <w:r w:rsidR="009F7048" w:rsidRPr="000F2308">
        <w:t xml:space="preserve"> and free trade agreements with Asian countries</w:t>
      </w:r>
      <w:r w:rsidRPr="000F2308">
        <w:t>.</w:t>
      </w:r>
      <w:r w:rsidR="008520F9" w:rsidRPr="000F2308">
        <w:t xml:space="preserve"> This places </w:t>
      </w:r>
      <w:r w:rsidR="0014256F" w:rsidRPr="000F2308">
        <w:t>Australia as a natural platform for commercial expansion into Asian economies and markets.</w:t>
      </w:r>
    </w:p>
    <w:p w14:paraId="242E62F0" w14:textId="720290BE" w:rsidR="00A4741B" w:rsidRPr="000F2308" w:rsidRDefault="009F7048" w:rsidP="00727B14">
      <w:pPr>
        <w:pStyle w:val="Bullet"/>
      </w:pPr>
      <w:r w:rsidRPr="000F2308">
        <w:t>12</w:t>
      </w:r>
      <w:r w:rsidR="00A4741B" w:rsidRPr="000F2308">
        <w:t xml:space="preserve"> of </w:t>
      </w:r>
      <w:r w:rsidRPr="000F2308">
        <w:t xml:space="preserve">our </w:t>
      </w:r>
      <w:r w:rsidR="00A4741B" w:rsidRPr="000F2308">
        <w:t>top 15 export markets are in Asia</w:t>
      </w:r>
      <w:r w:rsidRPr="000F2308">
        <w:t xml:space="preserve">. </w:t>
      </w:r>
      <w:r w:rsidR="00331A56" w:rsidRPr="000F2308">
        <w:t>In 2021-22, e</w:t>
      </w:r>
      <w:r w:rsidRPr="000F2308">
        <w:t xml:space="preserve">xports of goods and services to Asia were valued at </w:t>
      </w:r>
      <w:r w:rsidR="00533CA2" w:rsidRPr="000F2308">
        <w:t>around 43</w:t>
      </w:r>
      <w:r w:rsidR="0030207B" w:rsidRPr="000F2308">
        <w:t xml:space="preserve"> trillion Yen (</w:t>
      </w:r>
      <w:r w:rsidR="00A4741B" w:rsidRPr="000F2308">
        <w:t>A$472 billion</w:t>
      </w:r>
      <w:r w:rsidR="0030207B" w:rsidRPr="000F2308">
        <w:t>)</w:t>
      </w:r>
      <w:r w:rsidR="00331A56" w:rsidRPr="000F2308">
        <w:t>, or</w:t>
      </w:r>
      <w:r w:rsidRPr="000F2308">
        <w:t xml:space="preserve"> </w:t>
      </w:r>
      <w:r w:rsidR="00A4741B" w:rsidRPr="000F2308">
        <w:t>a</w:t>
      </w:r>
      <w:r w:rsidR="00474638" w:rsidRPr="000F2308">
        <w:t xml:space="preserve">round </w:t>
      </w:r>
      <w:r w:rsidR="00A4741B" w:rsidRPr="000F2308">
        <w:t>80</w:t>
      </w:r>
      <w:r w:rsidR="00B3203F" w:rsidRPr="000F2308">
        <w:t xml:space="preserve"> per cent</w:t>
      </w:r>
      <w:r w:rsidR="00A4741B" w:rsidRPr="000F2308">
        <w:t xml:space="preserve"> of exports</w:t>
      </w:r>
      <w:r w:rsidRPr="000F2308">
        <w:t>.</w:t>
      </w:r>
    </w:p>
    <w:p w14:paraId="5B557702" w14:textId="7E174AFA" w:rsidR="0015191D" w:rsidRPr="007F0955" w:rsidRDefault="00B36F65" w:rsidP="00CE2C0F">
      <w:pPr>
        <w:pStyle w:val="Heading1"/>
        <w:rPr>
          <w:b/>
          <w:bCs/>
        </w:rPr>
      </w:pPr>
      <w:r>
        <w:fldChar w:fldCharType="begin"/>
      </w:r>
      <w:r>
        <w:instrText xml:space="preserve"> :End:MECD_SH3 </w:instrText>
      </w:r>
      <w:r>
        <w:fldChar w:fldCharType="end"/>
      </w:r>
      <w:r w:rsidR="0015191D" w:rsidRPr="007F0955">
        <w:t>Australia’s strong economic foundation</w:t>
      </w:r>
      <w:r w:rsidR="00CA214A" w:rsidRPr="007F0955">
        <w:rPr>
          <w:bCs/>
        </w:rPr>
        <w:t>s</w:t>
      </w:r>
    </w:p>
    <w:p w14:paraId="43766E0D" w14:textId="2F63AFEB" w:rsidR="00E037D9" w:rsidRDefault="00B36F65" w:rsidP="00D928AD">
      <w:r>
        <w:fldChar w:fldCharType="begin"/>
      </w:r>
      <w:r>
        <w:instrText xml:space="preserve"> :Start:MECD_SH4 </w:instrText>
      </w:r>
      <w:r>
        <w:fldChar w:fldCharType="end"/>
      </w:r>
      <w:r w:rsidR="009F7048" w:rsidRPr="000F2308">
        <w:t>Australia has enjoyed solid and sustained economic growth for many years.</w:t>
      </w:r>
      <w:r w:rsidR="00CA214A" w:rsidRPr="000F2308">
        <w:t xml:space="preserve"> </w:t>
      </w:r>
      <w:r w:rsidR="00331A56" w:rsidRPr="000F2308">
        <w:t>C</w:t>
      </w:r>
      <w:r w:rsidR="00CA214A" w:rsidRPr="000F2308">
        <w:t>umulative</w:t>
      </w:r>
      <w:r w:rsidR="002751FB" w:rsidRPr="000F2308">
        <w:t xml:space="preserve"> </w:t>
      </w:r>
      <w:r w:rsidR="00CA214A" w:rsidRPr="000F2308">
        <w:t xml:space="preserve">real GDP growth </w:t>
      </w:r>
      <w:r w:rsidR="0091161C" w:rsidRPr="000F2308">
        <w:t>has been</w:t>
      </w:r>
      <w:r w:rsidR="004C7B90" w:rsidRPr="000F2308">
        <w:t xml:space="preserve"> about 150</w:t>
      </w:r>
      <w:r w:rsidR="00CA214A" w:rsidRPr="000F2308">
        <w:t xml:space="preserve"> per cent over the past 30 years</w:t>
      </w:r>
      <w:r w:rsidR="00200F55" w:rsidRPr="000F2308">
        <w:t xml:space="preserve"> (</w:t>
      </w:r>
      <w:r w:rsidR="00956007" w:rsidRPr="000F2308">
        <w:t>over 60 percentage points</w:t>
      </w:r>
      <w:r w:rsidR="0020624B" w:rsidRPr="000F2308">
        <w:t xml:space="preserve"> </w:t>
      </w:r>
      <w:r w:rsidR="00956007" w:rsidRPr="000F2308">
        <w:t xml:space="preserve">higher </w:t>
      </w:r>
      <w:r w:rsidR="0020624B" w:rsidRPr="000F2308">
        <w:t xml:space="preserve">than </w:t>
      </w:r>
      <w:r w:rsidR="004C7B90" w:rsidRPr="000F2308">
        <w:t>the</w:t>
      </w:r>
      <w:r w:rsidR="0091161C" w:rsidRPr="000F2308">
        <w:t xml:space="preserve"> OECD</w:t>
      </w:r>
      <w:r w:rsidR="00C2216F" w:rsidRPr="000F2308">
        <w:t xml:space="preserve"> </w:t>
      </w:r>
      <w:r w:rsidR="0020624B" w:rsidRPr="000F2308">
        <w:t>average</w:t>
      </w:r>
      <w:r w:rsidR="00200F55" w:rsidRPr="000F2308">
        <w:t>)</w:t>
      </w:r>
      <w:r w:rsidR="0020624B" w:rsidRPr="000F2308">
        <w:t xml:space="preserve"> </w:t>
      </w:r>
      <w:r w:rsidR="00C2216F" w:rsidRPr="000F2308">
        <w:t>(Chart </w:t>
      </w:r>
      <w:r w:rsidR="00C864E8" w:rsidRPr="000F2308">
        <w:t>3</w:t>
      </w:r>
      <w:r w:rsidR="00C2216F" w:rsidRPr="000F2308">
        <w:t>)</w:t>
      </w:r>
      <w:r w:rsidR="00CA214A" w:rsidRPr="000F2308">
        <w:t>.</w:t>
      </w:r>
      <w:r w:rsidR="00B24DB5" w:rsidRPr="000F2308">
        <w:t xml:space="preserve"> </w:t>
      </w:r>
      <w:r w:rsidR="00673487" w:rsidRPr="000F2308">
        <w:t xml:space="preserve">Our </w:t>
      </w:r>
      <w:r w:rsidR="0014256F" w:rsidRPr="000F2308">
        <w:t xml:space="preserve">resilient </w:t>
      </w:r>
      <w:r w:rsidR="00673487" w:rsidRPr="000F2308">
        <w:t>economy</w:t>
      </w:r>
      <w:r w:rsidR="00B24DB5" w:rsidRPr="000F2308">
        <w:t xml:space="preserve"> </w:t>
      </w:r>
      <w:r w:rsidR="0014256F" w:rsidRPr="000F2308">
        <w:t>has</w:t>
      </w:r>
      <w:r w:rsidR="00B24DB5" w:rsidRPr="000F2308">
        <w:t xml:space="preserve"> experienced only </w:t>
      </w:r>
      <w:r w:rsidR="004C7B90" w:rsidRPr="000F2308">
        <w:t>six</w:t>
      </w:r>
      <w:r w:rsidR="00B24DB5" w:rsidRPr="000F2308">
        <w:t xml:space="preserve"> quarters of negative growth</w:t>
      </w:r>
      <w:r w:rsidR="00D72B44" w:rsidRPr="000F2308">
        <w:t xml:space="preserve"> over the past 30 years</w:t>
      </w:r>
      <w:r w:rsidR="00A10976" w:rsidRPr="000F2308">
        <w:t>,</w:t>
      </w:r>
      <w:r w:rsidR="007E2A70" w:rsidRPr="000F2308">
        <w:t xml:space="preserve"> </w:t>
      </w:r>
      <w:r w:rsidR="00200F55" w:rsidRPr="000F2308">
        <w:t>despite enduring the Asian Financial Crisis, Global Financial Crisis</w:t>
      </w:r>
      <w:r w:rsidR="00A10976" w:rsidRPr="000F2308">
        <w:t>,</w:t>
      </w:r>
      <w:r w:rsidR="00200F55" w:rsidRPr="000F2308">
        <w:t xml:space="preserve"> and COVID-19 pandemic</w:t>
      </w:r>
      <w:r w:rsidR="00B24DB5" w:rsidRPr="000F2308">
        <w:t>.</w:t>
      </w:r>
    </w:p>
    <w:p w14:paraId="1E60A8EF" w14:textId="77777777" w:rsidR="00E037D9" w:rsidRDefault="00E037D9">
      <w:pPr>
        <w:keepLines w:val="0"/>
        <w:jc w:val="left"/>
      </w:pPr>
      <w:r>
        <w:br w:type="page"/>
      </w:r>
    </w:p>
    <w:p w14:paraId="6235AE1B" w14:textId="51C27C2A" w:rsidR="00AC2E2B" w:rsidRPr="00AC2E2B" w:rsidRDefault="00AC2E2B" w:rsidP="00381CCF">
      <w:pPr>
        <w:jc w:val="center"/>
        <w:rPr>
          <w:b/>
          <w:bCs/>
        </w:rPr>
      </w:pPr>
      <w:r w:rsidRPr="00AC2E2B">
        <w:rPr>
          <w:b/>
          <w:bCs/>
        </w:rPr>
        <w:lastRenderedPageBreak/>
        <w:t>Chart 3: Cumulative real GDP Growth</w:t>
      </w:r>
    </w:p>
    <w:p w14:paraId="7CB26335" w14:textId="347BDBDE" w:rsidR="00AC2E2B" w:rsidRDefault="006A6672" w:rsidP="00381CCF">
      <w:pPr>
        <w:jc w:val="center"/>
      </w:pPr>
      <w:r w:rsidRPr="006A6672">
        <w:rPr>
          <w:noProof/>
        </w:rPr>
        <w:drawing>
          <wp:inline distT="0" distB="0" distL="0" distR="0" wp14:anchorId="0EAEB49C" wp14:editId="3A8EBF9E">
            <wp:extent cx="5731510" cy="2588260"/>
            <wp:effectExtent l="0" t="0" r="2540" b="2540"/>
            <wp:docPr id="43" name="Picture 1">
              <a:extLst xmlns:a="http://schemas.openxmlformats.org/drawingml/2006/main">
                <a:ext uri="{FF2B5EF4-FFF2-40B4-BE49-F238E27FC236}">
                  <a16:creationId xmlns:a16="http://schemas.microsoft.com/office/drawing/2014/main" id="{71A00563-BF5F-A41F-C845-F36662C18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1A00563-BF5F-A41F-C845-F36662C18F91}"/>
                        </a:ext>
                      </a:extLst>
                    </pic:cNvPr>
                    <pic:cNvPicPr>
                      <a:picLocks noChangeAspect="1"/>
                    </pic:cNvPicPr>
                  </pic:nvPicPr>
                  <pic:blipFill>
                    <a:blip r:embed="rId14"/>
                    <a:stretch>
                      <a:fillRect/>
                    </a:stretch>
                  </pic:blipFill>
                  <pic:spPr>
                    <a:xfrm>
                      <a:off x="0" y="0"/>
                      <a:ext cx="5731510" cy="2588260"/>
                    </a:xfrm>
                    <a:prstGeom prst="rect">
                      <a:avLst/>
                    </a:prstGeom>
                  </pic:spPr>
                </pic:pic>
              </a:graphicData>
            </a:graphic>
          </wp:inline>
        </w:drawing>
      </w:r>
    </w:p>
    <w:p w14:paraId="69CB8C1C" w14:textId="77777777" w:rsidR="00423F2B" w:rsidRPr="00423F2B" w:rsidRDefault="00423F2B" w:rsidP="00423F2B">
      <w:pPr>
        <w:pStyle w:val="ChartandTableFootnoteSmall"/>
        <w:rPr>
          <w:szCs w:val="18"/>
        </w:rPr>
      </w:pPr>
      <w:r w:rsidRPr="00423F2B">
        <w:rPr>
          <w:szCs w:val="18"/>
        </w:rPr>
        <w:t>Source:</w:t>
      </w:r>
      <w:r w:rsidRPr="00423F2B">
        <w:rPr>
          <w:szCs w:val="18"/>
        </w:rPr>
        <w:tab/>
        <w:t>OECD Stat.</w:t>
      </w:r>
    </w:p>
    <w:p w14:paraId="02598847" w14:textId="5CEADB62" w:rsidR="00AC2E2B" w:rsidRPr="00423F2B" w:rsidRDefault="00423F2B" w:rsidP="00423F2B">
      <w:pPr>
        <w:rPr>
          <w:sz w:val="18"/>
          <w:szCs w:val="18"/>
        </w:rPr>
      </w:pPr>
      <w:r w:rsidRPr="00423F2B">
        <w:rPr>
          <w:sz w:val="18"/>
          <w:szCs w:val="18"/>
        </w:rPr>
        <w:t>Note:</w:t>
      </w:r>
      <w:r w:rsidRPr="00423F2B">
        <w:rPr>
          <w:sz w:val="18"/>
          <w:szCs w:val="18"/>
        </w:rPr>
        <w:tab/>
        <w:t>Index cumulative real GDP growth over past 30 years compared to OECD</w:t>
      </w:r>
      <w:r>
        <w:rPr>
          <w:sz w:val="18"/>
          <w:szCs w:val="18"/>
        </w:rPr>
        <w:t>.</w:t>
      </w:r>
    </w:p>
    <w:p w14:paraId="1CFE6BDE" w14:textId="58B2D4C8" w:rsidR="00D72B44" w:rsidRPr="000F2308" w:rsidRDefault="00D72B44" w:rsidP="00D72B44">
      <w:r w:rsidRPr="000F2308">
        <w:t>Australia</w:t>
      </w:r>
      <w:r w:rsidRPr="000F2308" w:rsidDel="004911F3">
        <w:t xml:space="preserve"> </w:t>
      </w:r>
      <w:r w:rsidRPr="000F2308">
        <w:t>weathered COVID-19</w:t>
      </w:r>
      <w:r w:rsidR="00380B53">
        <w:t xml:space="preserve"> </w:t>
      </w:r>
      <w:r w:rsidRPr="000F2308">
        <w:t>well and is recovering strongly.</w:t>
      </w:r>
    </w:p>
    <w:p w14:paraId="18F72769" w14:textId="2B657657" w:rsidR="001672F7" w:rsidRDefault="00D72B44" w:rsidP="00B95E23">
      <w:pPr>
        <w:pStyle w:val="Bullet"/>
      </w:pPr>
      <w:r w:rsidRPr="000F2308">
        <w:t xml:space="preserve">GDP is up around 7 per cent since </w:t>
      </w:r>
      <w:r w:rsidR="00ED3E9A" w:rsidRPr="000F2308">
        <w:t xml:space="preserve">December </w:t>
      </w:r>
      <w:r w:rsidR="00DD184F" w:rsidRPr="000F2308">
        <w:t>2019</w:t>
      </w:r>
      <w:r w:rsidR="00ED3E9A" w:rsidRPr="000F2308">
        <w:t>, more than any major advanced economy</w:t>
      </w:r>
      <w:r w:rsidRPr="000F2308">
        <w:t xml:space="preserve"> (Chart </w:t>
      </w:r>
      <w:r w:rsidR="00C864E8" w:rsidRPr="000F2308">
        <w:t>4</w:t>
      </w:r>
      <w:r w:rsidRPr="000F2308">
        <w:t>)</w:t>
      </w:r>
      <w:r w:rsidR="00B95E23">
        <w:t>.</w:t>
      </w:r>
    </w:p>
    <w:p w14:paraId="05180327" w14:textId="053DA053" w:rsidR="00423F2B" w:rsidRPr="00423F2B" w:rsidRDefault="00423F2B" w:rsidP="00381CCF">
      <w:pPr>
        <w:pStyle w:val="Bullet"/>
        <w:numPr>
          <w:ilvl w:val="0"/>
          <w:numId w:val="0"/>
        </w:numPr>
        <w:ind w:left="567" w:hanging="567"/>
        <w:jc w:val="center"/>
        <w:rPr>
          <w:b/>
          <w:bCs/>
        </w:rPr>
      </w:pPr>
      <w:r w:rsidRPr="00423F2B">
        <w:rPr>
          <w:b/>
          <w:bCs/>
        </w:rPr>
        <w:t>Chart 4: GDP growth relative to pre</w:t>
      </w:r>
      <w:r w:rsidRPr="00423F2B">
        <w:rPr>
          <w:b/>
          <w:bCs/>
        </w:rPr>
        <w:noBreakHyphen/>
        <w:t>pandemic</w:t>
      </w:r>
    </w:p>
    <w:p w14:paraId="734A5B50" w14:textId="6A8BDC71" w:rsidR="009A111D" w:rsidRDefault="006A6672" w:rsidP="001956B8">
      <w:pPr>
        <w:pStyle w:val="Bullet"/>
        <w:numPr>
          <w:ilvl w:val="0"/>
          <w:numId w:val="0"/>
        </w:numPr>
        <w:ind w:left="567" w:hanging="567"/>
        <w:jc w:val="center"/>
      </w:pPr>
      <w:r w:rsidRPr="006A6672">
        <w:rPr>
          <w:noProof/>
        </w:rPr>
        <w:drawing>
          <wp:inline distT="0" distB="0" distL="0" distR="0" wp14:anchorId="1294C71A" wp14:editId="574526C8">
            <wp:extent cx="5731510" cy="2593340"/>
            <wp:effectExtent l="0" t="0" r="2540" b="0"/>
            <wp:docPr id="42" name="Picture 1">
              <a:extLst xmlns:a="http://schemas.openxmlformats.org/drawingml/2006/main">
                <a:ext uri="{FF2B5EF4-FFF2-40B4-BE49-F238E27FC236}">
                  <a16:creationId xmlns:a16="http://schemas.microsoft.com/office/drawing/2014/main" id="{77EA9303-C87B-F566-AC1A-FCBE04C90C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7EA9303-C87B-F566-AC1A-FCBE04C90C1B}"/>
                        </a:ext>
                      </a:extLst>
                    </pic:cNvPr>
                    <pic:cNvPicPr>
                      <a:picLocks noChangeAspect="1"/>
                    </pic:cNvPicPr>
                  </pic:nvPicPr>
                  <pic:blipFill>
                    <a:blip r:embed="rId15"/>
                    <a:stretch>
                      <a:fillRect/>
                    </a:stretch>
                  </pic:blipFill>
                  <pic:spPr>
                    <a:xfrm>
                      <a:off x="0" y="0"/>
                      <a:ext cx="5731510" cy="2593340"/>
                    </a:xfrm>
                    <a:prstGeom prst="rect">
                      <a:avLst/>
                    </a:prstGeom>
                  </pic:spPr>
                </pic:pic>
              </a:graphicData>
            </a:graphic>
          </wp:inline>
        </w:drawing>
      </w:r>
    </w:p>
    <w:p w14:paraId="4B03F629" w14:textId="77777777" w:rsidR="00423F2B" w:rsidRPr="00423F2B" w:rsidRDefault="00423F2B" w:rsidP="00423F2B">
      <w:pPr>
        <w:pStyle w:val="ChartandTableFootnoteSmall"/>
        <w:rPr>
          <w:szCs w:val="18"/>
        </w:rPr>
      </w:pPr>
      <w:r w:rsidRPr="00423F2B">
        <w:rPr>
          <w:szCs w:val="18"/>
        </w:rPr>
        <w:t>Source:</w:t>
      </w:r>
      <w:r w:rsidRPr="00423F2B">
        <w:rPr>
          <w:szCs w:val="18"/>
        </w:rPr>
        <w:tab/>
        <w:t>Treasury, Refinitiv, national statistical agencies.</w:t>
      </w:r>
    </w:p>
    <w:p w14:paraId="43083A3D" w14:textId="7207693E" w:rsidR="009A111D" w:rsidRPr="00423F2B" w:rsidRDefault="00423F2B" w:rsidP="00423F2B">
      <w:pPr>
        <w:pStyle w:val="Bullet"/>
        <w:numPr>
          <w:ilvl w:val="0"/>
          <w:numId w:val="0"/>
        </w:numPr>
        <w:ind w:left="567" w:hanging="567"/>
        <w:rPr>
          <w:sz w:val="18"/>
          <w:szCs w:val="18"/>
        </w:rPr>
      </w:pPr>
      <w:r w:rsidRPr="00423F2B">
        <w:rPr>
          <w:noProof/>
          <w:sz w:val="18"/>
          <w:szCs w:val="18"/>
        </w:rPr>
        <w:t>Note:</w:t>
      </w:r>
      <w:r w:rsidRPr="00423F2B">
        <w:rPr>
          <w:noProof/>
          <w:sz w:val="18"/>
          <w:szCs w:val="18"/>
        </w:rPr>
        <w:tab/>
      </w:r>
      <w:r w:rsidRPr="00423F2B">
        <w:rPr>
          <w:rStyle w:val="ui-provider"/>
          <w:sz w:val="18"/>
          <w:szCs w:val="18"/>
        </w:rPr>
        <w:t>Growth is calculated between the December quarter 2019 and December quarter 2022</w:t>
      </w:r>
      <w:r w:rsidRPr="00423F2B">
        <w:rPr>
          <w:noProof/>
          <w:sz w:val="18"/>
          <w:szCs w:val="18"/>
        </w:rPr>
        <w:t>.</w:t>
      </w:r>
    </w:p>
    <w:p w14:paraId="0A142D6C" w14:textId="29189B1B" w:rsidR="00876F5A" w:rsidRPr="007F0955" w:rsidRDefault="00876F5A" w:rsidP="00CE2C0F">
      <w:pPr>
        <w:pStyle w:val="Heading2"/>
        <w:spacing w:before="160"/>
      </w:pPr>
      <w:r w:rsidRPr="007F0955">
        <w:t xml:space="preserve">Economic </w:t>
      </w:r>
      <w:r w:rsidR="00F50AE8" w:rsidRPr="007F0955">
        <w:t>o</w:t>
      </w:r>
      <w:r w:rsidRPr="007F0955">
        <w:t>utlook</w:t>
      </w:r>
    </w:p>
    <w:p w14:paraId="28B19B99" w14:textId="6EF2A607" w:rsidR="00257165" w:rsidRPr="000F2308" w:rsidRDefault="00B36F65" w:rsidP="007F0955">
      <w:r>
        <w:fldChar w:fldCharType="begin"/>
      </w:r>
      <w:r>
        <w:instrText xml:space="preserve"> :Start:MECD_SH4 </w:instrText>
      </w:r>
      <w:r>
        <w:fldChar w:fldCharType="end"/>
      </w:r>
      <w:r w:rsidR="00211716" w:rsidRPr="000F2308">
        <w:t xml:space="preserve">The </w:t>
      </w:r>
      <w:r w:rsidR="006A20B6" w:rsidRPr="000F2308">
        <w:t>outlook for the Australian economy is positive</w:t>
      </w:r>
      <w:r w:rsidR="00B24DB5" w:rsidRPr="000F2308">
        <w:t xml:space="preserve">, but </w:t>
      </w:r>
      <w:r w:rsidR="00D72B44" w:rsidRPr="000F2308">
        <w:t xml:space="preserve">there are </w:t>
      </w:r>
      <w:r w:rsidR="000C0BE7" w:rsidRPr="000F2308">
        <w:t>challenges ahead</w:t>
      </w:r>
      <w:r w:rsidR="006A20B6" w:rsidRPr="000F2308">
        <w:t>.</w:t>
      </w:r>
    </w:p>
    <w:p w14:paraId="5B61D4FF" w14:textId="1BAC48BD" w:rsidR="00116CB7" w:rsidRPr="000F2308" w:rsidRDefault="00116CB7" w:rsidP="007F0955">
      <w:r w:rsidRPr="000F2308">
        <w:t>Global growth is expected to slow considerably in 2023</w:t>
      </w:r>
      <w:r w:rsidR="00F17767" w:rsidRPr="000F2308">
        <w:t>, with growth over the next 2 years expected</w:t>
      </w:r>
      <w:r w:rsidRPr="000F2308">
        <w:t xml:space="preserve"> to be the weakest in over 2 decades, excluding the Global Financial Crisis and the pandemic.</w:t>
      </w:r>
    </w:p>
    <w:p w14:paraId="63F90BEF" w14:textId="66877A50" w:rsidR="00116CB7" w:rsidRPr="000F2308" w:rsidRDefault="00116CB7" w:rsidP="007F0955">
      <w:r w:rsidRPr="000F2308">
        <w:lastRenderedPageBreak/>
        <w:t>High inflation, sharply rising interest rates, and a tightening in financial conditions associated with recent banking sector strains are all weighing on activity</w:t>
      </w:r>
      <w:r w:rsidR="00211716" w:rsidRPr="000F2308">
        <w:t>, particularly in advanced economies</w:t>
      </w:r>
      <w:r w:rsidRPr="000F2308">
        <w:t>.</w:t>
      </w:r>
      <w:r w:rsidR="00FE7E42" w:rsidRPr="000F2308">
        <w:t xml:space="preserve"> </w:t>
      </w:r>
      <w:r w:rsidRPr="000F2308">
        <w:t>These factors are expected to more than offset the boost from the reopening of China’s economy following the lifting of pandemic restrictions.</w:t>
      </w:r>
    </w:p>
    <w:p w14:paraId="3C7126DE" w14:textId="77777777" w:rsidR="00116CB7" w:rsidRPr="000F2308" w:rsidRDefault="00116CB7" w:rsidP="007F0955">
      <w:r w:rsidRPr="000F2308">
        <w:t>The Australian economy is not immune from these global economic challenges, but it is well placed to navigate them.</w:t>
      </w:r>
    </w:p>
    <w:p w14:paraId="1FBD363F" w14:textId="3585CCA7" w:rsidR="006720D4" w:rsidRPr="000F2308" w:rsidRDefault="00116CB7" w:rsidP="007F0955">
      <w:bookmarkStart w:id="4" w:name="_Hlk135303969"/>
      <w:r w:rsidRPr="000F2308">
        <w:t xml:space="preserve">The unemployment rate </w:t>
      </w:r>
      <w:r w:rsidR="00F17767" w:rsidRPr="000F2308">
        <w:t>remains low at</w:t>
      </w:r>
      <w:r w:rsidRPr="000F2308">
        <w:t xml:space="preserve"> 3.</w:t>
      </w:r>
      <w:r w:rsidR="00F17767" w:rsidRPr="000F2308">
        <w:t>7 </w:t>
      </w:r>
      <w:r w:rsidRPr="000F2308">
        <w:t>per cent, wages growth has picked up, and elevated commodity prices are flowing through to higher export revenues.</w:t>
      </w:r>
      <w:r w:rsidR="00457577" w:rsidRPr="000F2308">
        <w:t xml:space="preserve"> </w:t>
      </w:r>
    </w:p>
    <w:bookmarkEnd w:id="4"/>
    <w:p w14:paraId="359B7118" w14:textId="1EDC40BD" w:rsidR="00116CB7" w:rsidRPr="000F2308" w:rsidRDefault="00116CB7" w:rsidP="007F0955">
      <w:r w:rsidRPr="000F2308">
        <w:t>These factors have helped to deliver solid growth in 2022–23</w:t>
      </w:r>
      <w:r w:rsidR="006720D4" w:rsidRPr="000F2308">
        <w:t>, and Australia</w:t>
      </w:r>
      <w:r w:rsidR="00FB2806" w:rsidRPr="000F2308">
        <w:t>’s growth is</w:t>
      </w:r>
      <w:r w:rsidR="006720D4" w:rsidRPr="000F2308">
        <w:t xml:space="preserve"> expected to </w:t>
      </w:r>
      <w:r w:rsidR="00FB2806" w:rsidRPr="000F2308">
        <w:t xml:space="preserve">exceed </w:t>
      </w:r>
      <w:r w:rsidR="006720D4" w:rsidRPr="000F2308">
        <w:t xml:space="preserve">all major advanced economies </w:t>
      </w:r>
      <w:r w:rsidR="00D84425" w:rsidRPr="000F2308">
        <w:t>in 2023</w:t>
      </w:r>
      <w:r w:rsidR="006720D4" w:rsidRPr="000F2308">
        <w:t>.</w:t>
      </w:r>
    </w:p>
    <w:p w14:paraId="0C2AA429" w14:textId="77794FEC" w:rsidR="00964714" w:rsidRDefault="00116CB7" w:rsidP="007F0955">
      <w:r w:rsidRPr="000F2308">
        <w:t xml:space="preserve">High inflation and the rise in interest rates are squeezing households and weighing on </w:t>
      </w:r>
      <w:r w:rsidR="006720D4" w:rsidRPr="000F2308">
        <w:t>activity in 2023–24</w:t>
      </w:r>
      <w:r w:rsidR="00457577" w:rsidRPr="000F2308">
        <w:t xml:space="preserve"> (Chart 5).</w:t>
      </w:r>
    </w:p>
    <w:p w14:paraId="1EDF7A5E" w14:textId="0D896CE0" w:rsidR="00556474" w:rsidRPr="00556474" w:rsidRDefault="00556474" w:rsidP="001956B8">
      <w:pPr>
        <w:jc w:val="center"/>
        <w:rPr>
          <w:b/>
          <w:bCs/>
        </w:rPr>
      </w:pPr>
      <w:r w:rsidRPr="00556474">
        <w:rPr>
          <w:b/>
          <w:bCs/>
        </w:rPr>
        <w:t>Chart 5: Annual GDP growth forecasts</w:t>
      </w:r>
    </w:p>
    <w:p w14:paraId="2EDCB3AF" w14:textId="6B2EA41D" w:rsidR="00556474" w:rsidRDefault="00964714" w:rsidP="001956B8">
      <w:pPr>
        <w:jc w:val="center"/>
      </w:pPr>
      <w:r>
        <w:rPr>
          <w:noProof/>
        </w:rPr>
        <w:tab/>
      </w:r>
      <w:r w:rsidR="006A6672" w:rsidRPr="006A6672">
        <w:rPr>
          <w:noProof/>
        </w:rPr>
        <w:drawing>
          <wp:inline distT="0" distB="0" distL="0" distR="0" wp14:anchorId="775ACDF0" wp14:editId="72451E3A">
            <wp:extent cx="5731510" cy="2593340"/>
            <wp:effectExtent l="0" t="0" r="2540" b="0"/>
            <wp:docPr id="41" name="Picture 1">
              <a:extLst xmlns:a="http://schemas.openxmlformats.org/drawingml/2006/main">
                <a:ext uri="{FF2B5EF4-FFF2-40B4-BE49-F238E27FC236}">
                  <a16:creationId xmlns:a16="http://schemas.microsoft.com/office/drawing/2014/main" id="{CD8CDEE0-80A9-D9E4-E474-0F62378901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D8CDEE0-80A9-D9E4-E474-0F62378901C9}"/>
                        </a:ext>
                      </a:extLst>
                    </pic:cNvPr>
                    <pic:cNvPicPr>
                      <a:picLocks noChangeAspect="1"/>
                    </pic:cNvPicPr>
                  </pic:nvPicPr>
                  <pic:blipFill>
                    <a:blip r:embed="rId16"/>
                    <a:stretch>
                      <a:fillRect/>
                    </a:stretch>
                  </pic:blipFill>
                  <pic:spPr>
                    <a:xfrm>
                      <a:off x="0" y="0"/>
                      <a:ext cx="5731510" cy="2593340"/>
                    </a:xfrm>
                    <a:prstGeom prst="rect">
                      <a:avLst/>
                    </a:prstGeom>
                  </pic:spPr>
                </pic:pic>
              </a:graphicData>
            </a:graphic>
          </wp:inline>
        </w:drawing>
      </w:r>
    </w:p>
    <w:p w14:paraId="0E08E0C0" w14:textId="21FF48B9" w:rsidR="00556474" w:rsidRPr="00556474" w:rsidRDefault="00556474" w:rsidP="007F0955">
      <w:pPr>
        <w:rPr>
          <w:sz w:val="18"/>
          <w:szCs w:val="16"/>
        </w:rPr>
      </w:pPr>
      <w:r w:rsidRPr="00556474">
        <w:rPr>
          <w:sz w:val="18"/>
          <w:szCs w:val="16"/>
        </w:rPr>
        <w:t>Source: ABS National Accounts; Income Expenditure and Product, Treasury.</w:t>
      </w:r>
    </w:p>
    <w:p w14:paraId="59D4E240" w14:textId="79B5855A" w:rsidR="009E2B8D" w:rsidRPr="000F2308" w:rsidRDefault="009E2B8D" w:rsidP="00FF0DA9">
      <w:r w:rsidRPr="000F2308">
        <w:t>Strong growth in migration will support the economy in the near term. The recovery in tourism and international education will offset some weakness in domestic demand.</w:t>
      </w:r>
    </w:p>
    <w:p w14:paraId="420AA9D3" w14:textId="39D1E3B2" w:rsidR="009C60AB" w:rsidRPr="000F2308" w:rsidRDefault="009C60AB" w:rsidP="00FF0DA9">
      <w:r w:rsidRPr="000F2308">
        <w:t>This strength in migration and population growth is expected to be temporary, with migration forecast to largely return to normal patterns from 2024–25.</w:t>
      </w:r>
    </w:p>
    <w:p w14:paraId="4735EEB3" w14:textId="7EE6F853" w:rsidR="00DC377A" w:rsidRDefault="003715E0" w:rsidP="00FF0DA9">
      <w:r w:rsidRPr="000F2308">
        <w:t xml:space="preserve">Employment growth is expected to moderate as the economy slows. </w:t>
      </w:r>
      <w:r w:rsidR="009C60AB" w:rsidRPr="000F2308">
        <w:t xml:space="preserve">The unemployment rate is expected to rise but </w:t>
      </w:r>
      <w:r w:rsidRPr="000F2308">
        <w:t>remain low by historical standards</w:t>
      </w:r>
      <w:r w:rsidR="00457577" w:rsidRPr="000F2308">
        <w:t xml:space="preserve"> (Chart 6)</w:t>
      </w:r>
      <w:r w:rsidR="006C02CC">
        <w:t>.</w:t>
      </w:r>
    </w:p>
    <w:p w14:paraId="54C12699" w14:textId="77777777" w:rsidR="00FD42A2" w:rsidRPr="000F2308" w:rsidRDefault="00FD42A2" w:rsidP="001956B8">
      <w:pPr>
        <w:pStyle w:val="ChartMainHeading"/>
      </w:pPr>
      <w:r w:rsidRPr="000F2308">
        <w:lastRenderedPageBreak/>
        <w:t>Chart 6: Unemployment rate forecasts</w:t>
      </w:r>
    </w:p>
    <w:p w14:paraId="7DD17F23" w14:textId="7C1113E3" w:rsidR="00FD42A2" w:rsidRDefault="007A713B" w:rsidP="001956B8">
      <w:pPr>
        <w:jc w:val="center"/>
      </w:pPr>
      <w:r w:rsidRPr="007A713B">
        <w:rPr>
          <w:noProof/>
        </w:rPr>
        <w:drawing>
          <wp:inline distT="0" distB="0" distL="0" distR="0" wp14:anchorId="0587D5CC" wp14:editId="73B82FDD">
            <wp:extent cx="5567045" cy="2523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7045" cy="2523490"/>
                    </a:xfrm>
                    <a:prstGeom prst="rect">
                      <a:avLst/>
                    </a:prstGeom>
                    <a:noFill/>
                    <a:ln>
                      <a:noFill/>
                    </a:ln>
                  </pic:spPr>
                </pic:pic>
              </a:graphicData>
            </a:graphic>
          </wp:inline>
        </w:drawing>
      </w:r>
    </w:p>
    <w:p w14:paraId="26202D7F" w14:textId="24D1C52A" w:rsidR="00FD42A2" w:rsidRPr="00FD42A2" w:rsidRDefault="00FD42A2" w:rsidP="00FF0DA9">
      <w:pPr>
        <w:rPr>
          <w:sz w:val="18"/>
          <w:szCs w:val="16"/>
        </w:rPr>
      </w:pPr>
      <w:r w:rsidRPr="00FD42A2">
        <w:rPr>
          <w:sz w:val="18"/>
          <w:szCs w:val="16"/>
        </w:rPr>
        <w:t>Source:</w:t>
      </w:r>
      <w:r w:rsidRPr="00FD42A2">
        <w:rPr>
          <w:rFonts w:ascii="Arial" w:hAnsi="Arial" w:cs="Arial"/>
          <w:kern w:val="24"/>
          <w:sz w:val="16"/>
          <w:szCs w:val="16"/>
        </w:rPr>
        <w:t xml:space="preserve"> </w:t>
      </w:r>
      <w:r w:rsidRPr="00FD42A2">
        <w:rPr>
          <w:sz w:val="18"/>
          <w:szCs w:val="16"/>
        </w:rPr>
        <w:t>ABS Labour Force and Treasury.</w:t>
      </w:r>
    </w:p>
    <w:p w14:paraId="65023042" w14:textId="5A29E49C" w:rsidR="009C60AB" w:rsidRDefault="009C60AB" w:rsidP="00FF0DA9">
      <w:pPr>
        <w:spacing w:before="160"/>
      </w:pPr>
      <w:r w:rsidRPr="000F2308">
        <w:t xml:space="preserve">Inflation has peaked and begun to moderate. While still uncomfortably high, </w:t>
      </w:r>
      <w:r w:rsidR="00211716" w:rsidRPr="000F2308">
        <w:t>Australian</w:t>
      </w:r>
      <w:r w:rsidRPr="000F2308">
        <w:t xml:space="preserve"> inflation outcomes have been less severe than in Europe, the </w:t>
      </w:r>
      <w:proofErr w:type="gramStart"/>
      <w:r w:rsidRPr="000F2308">
        <w:t>UK</w:t>
      </w:r>
      <w:proofErr w:type="gramEnd"/>
      <w:r w:rsidRPr="000F2308">
        <w:t xml:space="preserve"> and US</w:t>
      </w:r>
      <w:r w:rsidR="00457577" w:rsidRPr="000F2308">
        <w:t xml:space="preserve"> (Chart </w:t>
      </w:r>
      <w:r w:rsidR="00FD42A2">
        <w:t>7</w:t>
      </w:r>
      <w:r w:rsidR="00457577" w:rsidRPr="000F2308">
        <w:t>)</w:t>
      </w:r>
      <w:r w:rsidR="00AA0648">
        <w:t>.</w:t>
      </w:r>
    </w:p>
    <w:p w14:paraId="3EB1C1F6" w14:textId="2CD552AF" w:rsidR="00FD42A2" w:rsidRDefault="00FD42A2" w:rsidP="001956B8">
      <w:pPr>
        <w:spacing w:before="160"/>
        <w:jc w:val="center"/>
        <w:rPr>
          <w:b/>
          <w:bCs/>
        </w:rPr>
      </w:pPr>
      <w:r w:rsidRPr="00FD42A2">
        <w:rPr>
          <w:b/>
          <w:bCs/>
        </w:rPr>
        <w:t xml:space="preserve">Chart 7: International </w:t>
      </w:r>
      <w:r w:rsidR="00780263">
        <w:rPr>
          <w:b/>
          <w:bCs/>
        </w:rPr>
        <w:t>i</w:t>
      </w:r>
      <w:r w:rsidRPr="00FD42A2">
        <w:rPr>
          <w:b/>
          <w:bCs/>
        </w:rPr>
        <w:t>nflation</w:t>
      </w:r>
    </w:p>
    <w:p w14:paraId="6FBB22C6" w14:textId="5944AA72" w:rsidR="00FD42A2" w:rsidRPr="00FD42A2" w:rsidRDefault="006A6672" w:rsidP="001956B8">
      <w:pPr>
        <w:spacing w:before="160"/>
        <w:jc w:val="center"/>
        <w:rPr>
          <w:b/>
          <w:bCs/>
        </w:rPr>
      </w:pPr>
      <w:r w:rsidRPr="006A6672">
        <w:rPr>
          <w:b/>
          <w:bCs/>
          <w:noProof/>
        </w:rPr>
        <w:drawing>
          <wp:inline distT="0" distB="0" distL="0" distR="0" wp14:anchorId="2F7CD4DC" wp14:editId="3AB94513">
            <wp:extent cx="5731510" cy="2592705"/>
            <wp:effectExtent l="0" t="0" r="2540" b="0"/>
            <wp:docPr id="1026" name="Picture 3">
              <a:extLst xmlns:a="http://schemas.openxmlformats.org/drawingml/2006/main">
                <a:ext uri="{FF2B5EF4-FFF2-40B4-BE49-F238E27FC236}">
                  <a16:creationId xmlns:a16="http://schemas.microsoft.com/office/drawing/2014/main" id="{99177ADA-7D46-699C-F2E0-20C8E6A798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
                      <a:extLst>
                        <a:ext uri="{FF2B5EF4-FFF2-40B4-BE49-F238E27FC236}">
                          <a16:creationId xmlns:a16="http://schemas.microsoft.com/office/drawing/2014/main" id="{99177ADA-7D46-699C-F2E0-20C8E6A798F6}"/>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592705"/>
                    </a:xfrm>
                    <a:prstGeom prst="rect">
                      <a:avLst/>
                    </a:prstGeom>
                    <a:noFill/>
                    <a:ln>
                      <a:noFill/>
                    </a:ln>
                  </pic:spPr>
                </pic:pic>
              </a:graphicData>
            </a:graphic>
          </wp:inline>
        </w:drawing>
      </w:r>
    </w:p>
    <w:p w14:paraId="09B94EE3" w14:textId="25140301" w:rsidR="008E7013" w:rsidRPr="008E7013" w:rsidRDefault="008E7013" w:rsidP="002E150E">
      <w:pPr>
        <w:rPr>
          <w:sz w:val="18"/>
          <w:szCs w:val="16"/>
        </w:rPr>
      </w:pPr>
      <w:r w:rsidRPr="008E7013">
        <w:rPr>
          <w:noProof/>
          <w:sz w:val="18"/>
          <w:szCs w:val="16"/>
        </w:rPr>
        <w:t>Source: Refintiv, national statistical agencies.</w:t>
      </w:r>
    </w:p>
    <w:p w14:paraId="6A9DA00E" w14:textId="0C9810B2" w:rsidR="00780263" w:rsidRDefault="009C60AB" w:rsidP="002E150E">
      <w:r w:rsidRPr="000F2308">
        <w:t xml:space="preserve">Domestic inflation peaked at 7.8 per cent in the December </w:t>
      </w:r>
      <w:proofErr w:type="gramStart"/>
      <w:r w:rsidRPr="000F2308">
        <w:t xml:space="preserve">quarter of 2022, </w:t>
      </w:r>
      <w:r w:rsidR="006720D4" w:rsidRPr="000F2308">
        <w:t>and</w:t>
      </w:r>
      <w:proofErr w:type="gramEnd"/>
      <w:r w:rsidR="006720D4" w:rsidRPr="000F2308">
        <w:t xml:space="preserve"> </w:t>
      </w:r>
      <w:r w:rsidRPr="000F2308">
        <w:t>fell to 7.0</w:t>
      </w:r>
      <w:r w:rsidR="00780263">
        <w:t> </w:t>
      </w:r>
      <w:r w:rsidRPr="000F2308">
        <w:t>per</w:t>
      </w:r>
      <w:r w:rsidR="00780263">
        <w:t> </w:t>
      </w:r>
      <w:r w:rsidRPr="000F2308">
        <w:t>cent in the most recent quarter</w:t>
      </w:r>
      <w:r w:rsidR="00666400" w:rsidRPr="000F2308">
        <w:t>.</w:t>
      </w:r>
      <w:r w:rsidRPr="000F2308">
        <w:t xml:space="preserve"> </w:t>
      </w:r>
      <w:r w:rsidR="00666400" w:rsidRPr="000F2308">
        <w:t xml:space="preserve">We </w:t>
      </w:r>
      <w:r w:rsidRPr="000F2308">
        <w:t>expect to return to the central bank’s inflation target in 2024-25</w:t>
      </w:r>
      <w:r w:rsidR="00457577" w:rsidRPr="000F2308">
        <w:t xml:space="preserve"> (Chart </w:t>
      </w:r>
      <w:r w:rsidR="00FD42A2">
        <w:t>8</w:t>
      </w:r>
      <w:r w:rsidR="00457577" w:rsidRPr="000F2308">
        <w:t>)</w:t>
      </w:r>
      <w:r w:rsidR="00AA0648">
        <w:t>.</w:t>
      </w:r>
    </w:p>
    <w:p w14:paraId="60B68C0D" w14:textId="77777777" w:rsidR="00380B53" w:rsidRDefault="00380B53" w:rsidP="001956B8">
      <w:pPr>
        <w:jc w:val="center"/>
        <w:rPr>
          <w:b/>
          <w:bCs/>
        </w:rPr>
      </w:pPr>
    </w:p>
    <w:p w14:paraId="4F5FB599" w14:textId="77777777" w:rsidR="00380B53" w:rsidRDefault="00380B53" w:rsidP="001956B8">
      <w:pPr>
        <w:jc w:val="center"/>
        <w:rPr>
          <w:b/>
          <w:bCs/>
        </w:rPr>
      </w:pPr>
    </w:p>
    <w:p w14:paraId="4D4C9ED1" w14:textId="77777777" w:rsidR="00380B53" w:rsidRDefault="00380B53" w:rsidP="001956B8">
      <w:pPr>
        <w:jc w:val="center"/>
        <w:rPr>
          <w:b/>
          <w:bCs/>
        </w:rPr>
      </w:pPr>
    </w:p>
    <w:p w14:paraId="2FE6B587" w14:textId="77777777" w:rsidR="00380B53" w:rsidRDefault="00380B53" w:rsidP="001956B8">
      <w:pPr>
        <w:jc w:val="center"/>
        <w:rPr>
          <w:b/>
          <w:bCs/>
        </w:rPr>
      </w:pPr>
    </w:p>
    <w:p w14:paraId="70916FA7" w14:textId="0F75A925" w:rsidR="00FD42A2" w:rsidRPr="00FD42A2" w:rsidRDefault="00FD42A2" w:rsidP="001956B8">
      <w:pPr>
        <w:jc w:val="center"/>
        <w:rPr>
          <w:b/>
          <w:bCs/>
        </w:rPr>
      </w:pPr>
      <w:r w:rsidRPr="00FD42A2">
        <w:rPr>
          <w:b/>
          <w:bCs/>
        </w:rPr>
        <w:lastRenderedPageBreak/>
        <w:t xml:space="preserve">Chart </w:t>
      </w:r>
      <w:r>
        <w:rPr>
          <w:b/>
          <w:bCs/>
        </w:rPr>
        <w:t>8</w:t>
      </w:r>
      <w:r w:rsidRPr="00FD42A2">
        <w:rPr>
          <w:b/>
          <w:bCs/>
        </w:rPr>
        <w:t>: Domestic Inflation</w:t>
      </w:r>
    </w:p>
    <w:p w14:paraId="4CA89251" w14:textId="5D5FC5A0" w:rsidR="00FD42A2" w:rsidRDefault="006A6672" w:rsidP="001956B8">
      <w:pPr>
        <w:jc w:val="center"/>
      </w:pPr>
      <w:r w:rsidRPr="006A6672">
        <w:rPr>
          <w:noProof/>
        </w:rPr>
        <w:drawing>
          <wp:inline distT="0" distB="0" distL="0" distR="0" wp14:anchorId="307B93FE" wp14:editId="40C6A42B">
            <wp:extent cx="5731510" cy="2590165"/>
            <wp:effectExtent l="0" t="0" r="2540" b="635"/>
            <wp:docPr id="38" name="Picture 2">
              <a:extLst xmlns:a="http://schemas.openxmlformats.org/drawingml/2006/main">
                <a:ext uri="{FF2B5EF4-FFF2-40B4-BE49-F238E27FC236}">
                  <a16:creationId xmlns:a16="http://schemas.microsoft.com/office/drawing/2014/main" id="{31B7DEC2-2CCF-ABE1-A197-DE3D54DA0C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1B7DEC2-2CCF-ABE1-A197-DE3D54DA0C01}"/>
                        </a:ext>
                      </a:extLst>
                    </pic:cNvPr>
                    <pic:cNvPicPr>
                      <a:picLocks noChangeAspect="1"/>
                    </pic:cNvPicPr>
                  </pic:nvPicPr>
                  <pic:blipFill>
                    <a:blip r:embed="rId19"/>
                    <a:stretch>
                      <a:fillRect/>
                    </a:stretch>
                  </pic:blipFill>
                  <pic:spPr>
                    <a:xfrm>
                      <a:off x="0" y="0"/>
                      <a:ext cx="5731510" cy="2590165"/>
                    </a:xfrm>
                    <a:prstGeom prst="rect">
                      <a:avLst/>
                    </a:prstGeom>
                  </pic:spPr>
                </pic:pic>
              </a:graphicData>
            </a:graphic>
          </wp:inline>
        </w:drawing>
      </w:r>
    </w:p>
    <w:p w14:paraId="65BAF63B" w14:textId="7738D32F" w:rsidR="00FD42A2" w:rsidRPr="00FD42A2" w:rsidRDefault="00FD42A2" w:rsidP="002E150E">
      <w:pPr>
        <w:rPr>
          <w:sz w:val="18"/>
          <w:szCs w:val="16"/>
        </w:rPr>
      </w:pPr>
      <w:r w:rsidRPr="00FD42A2">
        <w:rPr>
          <w:sz w:val="18"/>
          <w:szCs w:val="16"/>
        </w:rPr>
        <w:t>Source: ABS Consumer Price Index and Treasury.</w:t>
      </w:r>
    </w:p>
    <w:p w14:paraId="49A928D1" w14:textId="13637316" w:rsidR="00F9404A" w:rsidRPr="000F2308" w:rsidRDefault="00D922F3" w:rsidP="002E150E">
      <w:r w:rsidRPr="000F2308">
        <w:t xml:space="preserve">A tight labour market has seen wage growth pick up over recent quarters and is expected to build further. </w:t>
      </w:r>
    </w:p>
    <w:p w14:paraId="0C65DE76" w14:textId="08C2EE4D" w:rsidR="003715E0" w:rsidRPr="000F2308" w:rsidRDefault="003715E0" w:rsidP="002E150E">
      <w:r w:rsidRPr="000F2308">
        <w:t xml:space="preserve">Economic growth is expected to strengthen in 2024–25 as inflation returns to </w:t>
      </w:r>
      <w:proofErr w:type="gramStart"/>
      <w:r w:rsidRPr="000F2308">
        <w:t>target</w:t>
      </w:r>
      <w:proofErr w:type="gramEnd"/>
      <w:r w:rsidRPr="000F2308">
        <w:t xml:space="preserve"> and positive real wage growth</w:t>
      </w:r>
      <w:r w:rsidR="009A4B40" w:rsidRPr="000F2308">
        <w:t xml:space="preserve"> continues</w:t>
      </w:r>
      <w:r w:rsidRPr="000F2308">
        <w:t>. The continued recovery in population growth</w:t>
      </w:r>
      <w:r w:rsidRPr="000F2308" w:rsidDel="00D871B1">
        <w:t xml:space="preserve"> </w:t>
      </w:r>
      <w:r w:rsidRPr="000F2308">
        <w:t xml:space="preserve">and an associated increase in investment in new housing will reinforce the expected rebound. </w:t>
      </w:r>
    </w:p>
    <w:p w14:paraId="1AC8B9C0" w14:textId="551565E5" w:rsidR="00C03F86" w:rsidRPr="007F0955" w:rsidRDefault="00B36F65" w:rsidP="00CE2C0F">
      <w:pPr>
        <w:pStyle w:val="Heading1"/>
      </w:pPr>
      <w:r>
        <w:fldChar w:fldCharType="begin"/>
      </w:r>
      <w:r>
        <w:instrText xml:space="preserve"> :End:MECD_SH4 </w:instrText>
      </w:r>
      <w:r>
        <w:fldChar w:fldCharType="end"/>
      </w:r>
      <w:r w:rsidR="00801D69" w:rsidRPr="007F0955">
        <w:t xml:space="preserve">Australia’s fiscal </w:t>
      </w:r>
      <w:r w:rsidR="007579F9" w:rsidRPr="007F0955">
        <w:t>position is strong</w:t>
      </w:r>
    </w:p>
    <w:p w14:paraId="6AD52A56" w14:textId="448BD9BD" w:rsidR="006F1CD8" w:rsidRPr="007F0955" w:rsidRDefault="006F1CD8" w:rsidP="00CE2C0F">
      <w:pPr>
        <w:pStyle w:val="Heading2"/>
      </w:pPr>
      <w:bookmarkStart w:id="5" w:name="_Hlk134523017"/>
      <w:r w:rsidRPr="007F0955">
        <w:t>Strong fiscal foundations</w:t>
      </w:r>
    </w:p>
    <w:bookmarkStart w:id="6" w:name="_Hlk135249065"/>
    <w:p w14:paraId="78812265" w14:textId="31C70102" w:rsidR="00F03331" w:rsidRDefault="00B36F65" w:rsidP="00486466">
      <w:r w:rsidRPr="002D1E25">
        <w:rPr>
          <w:highlight w:val="yellow"/>
        </w:rPr>
        <w:fldChar w:fldCharType="begin"/>
      </w:r>
      <w:r w:rsidRPr="002D1E25">
        <w:rPr>
          <w:highlight w:val="yellow"/>
        </w:rPr>
        <w:instrText xml:space="preserve"> :Start:MECD_SH3 </w:instrText>
      </w:r>
      <w:r w:rsidRPr="002D1E25">
        <w:rPr>
          <w:highlight w:val="yellow"/>
        </w:rPr>
        <w:fldChar w:fldCharType="end"/>
      </w:r>
      <w:r w:rsidR="00901EBB" w:rsidRPr="000F2308">
        <w:t xml:space="preserve">Australia has a </w:t>
      </w:r>
      <w:r w:rsidR="0030196D" w:rsidRPr="000F2308">
        <w:t xml:space="preserve">comparatively </w:t>
      </w:r>
      <w:r w:rsidR="00901EBB" w:rsidRPr="000F2308">
        <w:t xml:space="preserve">low debt-to-GDP ratio </w:t>
      </w:r>
      <w:r w:rsidR="00DA55F1" w:rsidRPr="000F2308">
        <w:t xml:space="preserve">internationally </w:t>
      </w:r>
      <w:r w:rsidR="00F03331" w:rsidRPr="000F2308">
        <w:t xml:space="preserve">(Chart </w:t>
      </w:r>
      <w:r w:rsidR="0097191D" w:rsidRPr="000F2308">
        <w:t>9</w:t>
      </w:r>
      <w:r w:rsidR="00F03331" w:rsidRPr="000F2308">
        <w:t>).</w:t>
      </w:r>
    </w:p>
    <w:p w14:paraId="397B0038" w14:textId="2F57493B" w:rsidR="00B95E23" w:rsidRDefault="00B95E23" w:rsidP="00486466"/>
    <w:p w14:paraId="42A11741" w14:textId="6388B9B4" w:rsidR="00780263" w:rsidRDefault="00780263">
      <w:pPr>
        <w:keepLines w:val="0"/>
        <w:jc w:val="left"/>
      </w:pPr>
      <w:r>
        <w:br w:type="page"/>
      </w:r>
    </w:p>
    <w:p w14:paraId="266B7D15" w14:textId="4472B7C1" w:rsidR="00B95E23" w:rsidRPr="00B95E23" w:rsidRDefault="00B95E23" w:rsidP="001956B8">
      <w:pPr>
        <w:jc w:val="center"/>
        <w:rPr>
          <w:b/>
          <w:bCs/>
        </w:rPr>
      </w:pPr>
      <w:r w:rsidRPr="00B95E23">
        <w:rPr>
          <w:b/>
          <w:bCs/>
        </w:rPr>
        <w:lastRenderedPageBreak/>
        <w:t>Chart 9: Gross debt-to-GDP in advanced economies</w:t>
      </w:r>
    </w:p>
    <w:p w14:paraId="00004A79" w14:textId="1CE5A117" w:rsidR="00B95E23" w:rsidRDefault="007A713B" w:rsidP="001956B8">
      <w:pPr>
        <w:jc w:val="center"/>
      </w:pPr>
      <w:r w:rsidRPr="007A713B">
        <w:rPr>
          <w:noProof/>
        </w:rPr>
        <w:drawing>
          <wp:inline distT="0" distB="0" distL="0" distR="0" wp14:anchorId="5A902E1F" wp14:editId="36E8D2A4">
            <wp:extent cx="5581650" cy="2523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81650" cy="2523490"/>
                    </a:xfrm>
                    <a:prstGeom prst="rect">
                      <a:avLst/>
                    </a:prstGeom>
                    <a:noFill/>
                    <a:ln>
                      <a:noFill/>
                    </a:ln>
                  </pic:spPr>
                </pic:pic>
              </a:graphicData>
            </a:graphic>
          </wp:inline>
        </w:drawing>
      </w:r>
    </w:p>
    <w:p w14:paraId="2D9BDA64" w14:textId="77777777" w:rsidR="00B95E23" w:rsidRPr="007F0955" w:rsidRDefault="00B95E23" w:rsidP="00B95E23">
      <w:pPr>
        <w:pStyle w:val="ChartandTableFootnoteSmall"/>
      </w:pPr>
      <w:bookmarkStart w:id="7" w:name="_Hlk134538331"/>
      <w:r w:rsidRPr="007F0955">
        <w:t xml:space="preserve">Source: </w:t>
      </w:r>
      <w:r w:rsidRPr="007F0955">
        <w:tab/>
        <w:t>IMF, World Economic Outlook Database, April 2023</w:t>
      </w:r>
      <w:r>
        <w:t>.</w:t>
      </w:r>
    </w:p>
    <w:p w14:paraId="61E91F17" w14:textId="4F15F49C" w:rsidR="00B95E23" w:rsidRPr="00B95E23" w:rsidRDefault="00B95E23" w:rsidP="00B95E23">
      <w:pPr>
        <w:rPr>
          <w:sz w:val="18"/>
          <w:szCs w:val="16"/>
        </w:rPr>
      </w:pPr>
      <w:r w:rsidRPr="00B95E23">
        <w:rPr>
          <w:sz w:val="18"/>
          <w:szCs w:val="16"/>
        </w:rPr>
        <w:t>Notes:</w:t>
      </w:r>
      <w:r w:rsidRPr="00B95E23">
        <w:rPr>
          <w:sz w:val="18"/>
          <w:szCs w:val="16"/>
        </w:rPr>
        <w:tab/>
        <w:t>Range of Advanced Economies reflects IMF classification. Data are prepared by the IMF and include total government debt (inclusive of state and local debt), slightly different assets and liabilities, and are prepared on a calendar year basis. They are not comparable to debt metrics published in Commonwealth budgets.</w:t>
      </w:r>
      <w:bookmarkEnd w:id="7"/>
    </w:p>
    <w:bookmarkEnd w:id="6"/>
    <w:p w14:paraId="2717E18C" w14:textId="6D532BBD" w:rsidR="00B95E23" w:rsidRDefault="00B36F65" w:rsidP="005554B6">
      <w:pPr>
        <w:spacing w:before="160"/>
      </w:pPr>
      <w:r>
        <w:fldChar w:fldCharType="begin"/>
      </w:r>
      <w:r>
        <w:instrText xml:space="preserve"> :Start:BPD_OR1 </w:instrText>
      </w:r>
      <w:r>
        <w:fldChar w:fldCharType="end"/>
      </w:r>
      <w:r w:rsidR="00DA55F1" w:rsidRPr="000F2308">
        <w:t>This reflects the fiscal discipline of success</w:t>
      </w:r>
      <w:r w:rsidR="00200F55" w:rsidRPr="000F2308">
        <w:t>ive</w:t>
      </w:r>
      <w:r w:rsidR="00DA55F1" w:rsidRPr="000F2308">
        <w:t xml:space="preserve"> Australia</w:t>
      </w:r>
      <w:r w:rsidR="0006030C" w:rsidRPr="000F2308">
        <w:t>n</w:t>
      </w:r>
      <w:r w:rsidR="00DA55F1" w:rsidRPr="000F2308">
        <w:t xml:space="preserve"> governments over the past century</w:t>
      </w:r>
      <w:r w:rsidR="001074C0" w:rsidRPr="000F2308">
        <w:t xml:space="preserve"> (Chart </w:t>
      </w:r>
      <w:r w:rsidR="0097191D" w:rsidRPr="000F2308">
        <w:t>10</w:t>
      </w:r>
      <w:r w:rsidR="001074C0" w:rsidRPr="000F2308">
        <w:t>)</w:t>
      </w:r>
      <w:r w:rsidR="001A4B0A" w:rsidRPr="000F2308">
        <w:t>.</w:t>
      </w:r>
      <w:r w:rsidR="00DA55F1" w:rsidRPr="000F2308">
        <w:t xml:space="preserve"> </w:t>
      </w:r>
      <w:r w:rsidR="000B600D" w:rsidRPr="000F2308">
        <w:t xml:space="preserve">This has helped </w:t>
      </w:r>
      <w:r w:rsidR="001A4B0A" w:rsidRPr="000F2308">
        <w:t>maintain the necessary fiscal space to respond to</w:t>
      </w:r>
      <w:r w:rsidR="0006030C" w:rsidRPr="000F2308">
        <w:t>,</w:t>
      </w:r>
      <w:r w:rsidR="001A4B0A" w:rsidRPr="000F2308">
        <w:t xml:space="preserve"> and weather</w:t>
      </w:r>
      <w:r w:rsidR="0006030C" w:rsidRPr="000F2308">
        <w:t>,</w:t>
      </w:r>
      <w:r w:rsidR="001A4B0A" w:rsidRPr="000F2308">
        <w:t xml:space="preserve"> economic shocks.</w:t>
      </w:r>
      <w:r w:rsidR="00D76C74" w:rsidRPr="000F2308">
        <w:t xml:space="preserve"> </w:t>
      </w:r>
      <w:r w:rsidRPr="000F2308">
        <w:fldChar w:fldCharType="begin"/>
      </w:r>
      <w:r w:rsidRPr="000F2308">
        <w:instrText xml:space="preserve"> :End:BPD_OR1 </w:instrText>
      </w:r>
      <w:r w:rsidRPr="000F2308">
        <w:fldChar w:fldCharType="end"/>
      </w:r>
      <w:r w:rsidRPr="000F2308">
        <w:fldChar w:fldCharType="begin"/>
      </w:r>
      <w:r w:rsidRPr="000F2308">
        <w:instrText xml:space="preserve"> :Start:MAPD_AG1 </w:instrText>
      </w:r>
      <w:r w:rsidRPr="000F2308">
        <w:fldChar w:fldCharType="end"/>
      </w:r>
      <w:bookmarkStart w:id="8" w:name="_Hlk135236890"/>
      <w:r w:rsidR="00D76C74" w:rsidRPr="000F2308">
        <w:t>As a result, Australia is one of only nine countries with a triple</w:t>
      </w:r>
      <w:r w:rsidR="0006030C" w:rsidRPr="000F2308">
        <w:noBreakHyphen/>
      </w:r>
      <w:r w:rsidR="00D76C74" w:rsidRPr="000F2308">
        <w:t>A credit</w:t>
      </w:r>
      <w:r w:rsidR="00D66AB4" w:rsidRPr="000F2308">
        <w:t xml:space="preserve"> </w:t>
      </w:r>
      <w:r w:rsidR="00D76C74" w:rsidRPr="000F2308">
        <w:t>rating from all three major credit rating agencies.</w:t>
      </w:r>
    </w:p>
    <w:p w14:paraId="7731FD0D" w14:textId="797CF682" w:rsidR="00B95E23" w:rsidRDefault="00B95E23" w:rsidP="001956B8">
      <w:pPr>
        <w:spacing w:before="160"/>
        <w:jc w:val="center"/>
        <w:rPr>
          <w:b/>
          <w:bCs/>
        </w:rPr>
      </w:pPr>
      <w:r w:rsidRPr="00B95E23">
        <w:rPr>
          <w:b/>
          <w:bCs/>
        </w:rPr>
        <w:t>Chart 10: Australian Government gross debt-to-GDP</w:t>
      </w:r>
    </w:p>
    <w:p w14:paraId="4A09E438" w14:textId="67478C11" w:rsidR="001956B8" w:rsidRDefault="00700B55" w:rsidP="001956B8">
      <w:pPr>
        <w:spacing w:before="160"/>
        <w:jc w:val="center"/>
        <w:rPr>
          <w:b/>
          <w:bCs/>
        </w:rPr>
      </w:pPr>
      <w:r w:rsidRPr="00700B55">
        <w:rPr>
          <w:noProof/>
        </w:rPr>
        <w:drawing>
          <wp:inline distT="0" distB="0" distL="0" distR="0" wp14:anchorId="2DDBB818" wp14:editId="1178EDCD">
            <wp:extent cx="5581650" cy="2524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81650" cy="2524125"/>
                    </a:xfrm>
                    <a:prstGeom prst="rect">
                      <a:avLst/>
                    </a:prstGeom>
                    <a:noFill/>
                    <a:ln>
                      <a:noFill/>
                    </a:ln>
                  </pic:spPr>
                </pic:pic>
              </a:graphicData>
            </a:graphic>
          </wp:inline>
        </w:drawing>
      </w:r>
    </w:p>
    <w:p w14:paraId="11CE1EDA" w14:textId="77777777" w:rsidR="00B95E23" w:rsidRPr="007F0955" w:rsidRDefault="00B95E23" w:rsidP="00B95E23">
      <w:pPr>
        <w:pStyle w:val="ChartandTableFootnoteSmall"/>
      </w:pPr>
      <w:r w:rsidRPr="007F0955">
        <w:t>Source:</w:t>
      </w:r>
      <w:r w:rsidRPr="007F0955">
        <w:tab/>
        <w:t xml:space="preserve">ABS, AOFM, </w:t>
      </w:r>
      <w:proofErr w:type="spellStart"/>
      <w:r w:rsidRPr="007F0955">
        <w:t>Butlin</w:t>
      </w:r>
      <w:proofErr w:type="spellEnd"/>
      <w:r w:rsidRPr="007F0955">
        <w:t xml:space="preserve"> (1985), Federal Budget Papers, PBO and Treasury. </w:t>
      </w:r>
    </w:p>
    <w:p w14:paraId="73D457BE" w14:textId="4B72A048" w:rsidR="00D76C74" w:rsidRPr="00B95E23" w:rsidRDefault="00B95E23" w:rsidP="00B95E23">
      <w:pPr>
        <w:spacing w:before="160"/>
        <w:rPr>
          <w:b/>
          <w:bCs/>
          <w:sz w:val="18"/>
          <w:szCs w:val="18"/>
        </w:rPr>
      </w:pPr>
      <w:r w:rsidRPr="00B95E23">
        <w:rPr>
          <w:sz w:val="18"/>
          <w:szCs w:val="18"/>
        </w:rPr>
        <w:t>Notes:</w:t>
      </w:r>
      <w:r w:rsidRPr="00B95E23">
        <w:rPr>
          <w:sz w:val="18"/>
          <w:szCs w:val="18"/>
        </w:rPr>
        <w:tab/>
        <w:t xml:space="preserve">Gross debt is presented in face value terms. Commencement of debt accumulations noted in light blue. Shaded areas indicate debt reduction period. Data is in in financial years. Historical debt figures abstract from debt issued by the Commonwealth on behalf of the states and territories, and as such, differ from those reported in Commonwealth budgets. </w:t>
      </w:r>
      <w:r w:rsidR="00B36F65" w:rsidRPr="00B95E23">
        <w:rPr>
          <w:b/>
          <w:bCs/>
          <w:sz w:val="18"/>
          <w:szCs w:val="18"/>
        </w:rPr>
        <w:fldChar w:fldCharType="begin"/>
      </w:r>
      <w:r w:rsidR="00B36F65" w:rsidRPr="00B95E23">
        <w:rPr>
          <w:b/>
          <w:bCs/>
          <w:sz w:val="18"/>
          <w:szCs w:val="18"/>
        </w:rPr>
        <w:instrText xml:space="preserve"> :End:MAPD_AG1 </w:instrText>
      </w:r>
      <w:r w:rsidR="00B36F65" w:rsidRPr="00B95E23">
        <w:rPr>
          <w:b/>
          <w:bCs/>
          <w:sz w:val="18"/>
          <w:szCs w:val="18"/>
        </w:rPr>
        <w:fldChar w:fldCharType="end"/>
      </w:r>
    </w:p>
    <w:bookmarkEnd w:id="5"/>
    <w:bookmarkEnd w:id="8"/>
    <w:p w14:paraId="64DD5FF9" w14:textId="76D416D8" w:rsidR="00055E2C" w:rsidRPr="007F0955" w:rsidRDefault="00B36F65" w:rsidP="00D8359C">
      <w:pPr>
        <w:pStyle w:val="Heading2"/>
      </w:pPr>
      <w:r>
        <w:lastRenderedPageBreak/>
        <w:fldChar w:fldCharType="begin"/>
      </w:r>
      <w:r>
        <w:instrText xml:space="preserve"> :End:BPD_OR1 </w:instrText>
      </w:r>
      <w:r>
        <w:fldChar w:fldCharType="end"/>
      </w:r>
      <w:r w:rsidR="00055E2C" w:rsidRPr="007F0955">
        <w:t>Fiscal Outlook</w:t>
      </w:r>
    </w:p>
    <w:p w14:paraId="64D93703" w14:textId="4A5E2331" w:rsidR="00DB694C" w:rsidRPr="000048E2" w:rsidRDefault="00B36F65" w:rsidP="000048E2">
      <w:pPr>
        <w:pStyle w:val="Heading2"/>
      </w:pPr>
      <w:r w:rsidRPr="000048E2">
        <w:fldChar w:fldCharType="begin"/>
      </w:r>
      <w:r w:rsidRPr="000048E2">
        <w:instrText xml:space="preserve"> :Start:BPD_OR3 </w:instrText>
      </w:r>
      <w:r w:rsidRPr="000048E2">
        <w:fldChar w:fldCharType="end"/>
      </w:r>
      <w:r w:rsidR="00DB694C" w:rsidRPr="000048E2">
        <w:t>Near</w:t>
      </w:r>
      <w:r w:rsidR="00826A9A" w:rsidRPr="000048E2">
        <w:t>-</w:t>
      </w:r>
      <w:r w:rsidR="00DB694C" w:rsidRPr="000048E2">
        <w:t>term strength</w:t>
      </w:r>
    </w:p>
    <w:p w14:paraId="11A09314" w14:textId="6CDF47C5" w:rsidR="00550888" w:rsidRPr="000F2308" w:rsidRDefault="00550888" w:rsidP="00550888">
      <w:r w:rsidRPr="000F2308">
        <w:t xml:space="preserve">Australia’s </w:t>
      </w:r>
      <w:r w:rsidR="00E923D6" w:rsidRPr="000F2308">
        <w:t xml:space="preserve">near-term </w:t>
      </w:r>
      <w:r w:rsidRPr="000F2308">
        <w:t xml:space="preserve">fiscal outlook </w:t>
      </w:r>
      <w:r w:rsidR="002C26BB" w:rsidRPr="000F2308">
        <w:t xml:space="preserve">is strong, despite the </w:t>
      </w:r>
      <w:r w:rsidR="00210E12" w:rsidRPr="000F2308">
        <w:t xml:space="preserve">economic </w:t>
      </w:r>
      <w:r w:rsidR="002C26BB" w:rsidRPr="000F2308">
        <w:t>challenges</w:t>
      </w:r>
      <w:r w:rsidR="001765D7">
        <w:t xml:space="preserve">. </w:t>
      </w:r>
      <w:r w:rsidRPr="000F2308">
        <w:t xml:space="preserve"> </w:t>
      </w:r>
    </w:p>
    <w:p w14:paraId="62D0637A" w14:textId="77777777" w:rsidR="007C6624" w:rsidRDefault="007E363A" w:rsidP="00CF3005">
      <w:r w:rsidRPr="000F2308">
        <w:t xml:space="preserve">Strong population </w:t>
      </w:r>
      <w:r w:rsidR="00EC024F" w:rsidRPr="000F2308">
        <w:t xml:space="preserve">and employment </w:t>
      </w:r>
      <w:r w:rsidRPr="000F2308">
        <w:t>growth</w:t>
      </w:r>
      <w:r w:rsidR="00EC024F" w:rsidRPr="000F2308">
        <w:t xml:space="preserve"> </w:t>
      </w:r>
      <w:r w:rsidRPr="000F2308">
        <w:t xml:space="preserve">and elevated commodity prices have led to a fast recovery in revenues post pandemic. </w:t>
      </w:r>
    </w:p>
    <w:p w14:paraId="1B61D740" w14:textId="10A961D6" w:rsidR="006D1224" w:rsidRPr="000F2308" w:rsidRDefault="007E363A" w:rsidP="00CF3005">
      <w:r w:rsidRPr="000F2308">
        <w:t>As a result, w</w:t>
      </w:r>
      <w:r w:rsidR="00DB694C" w:rsidRPr="000F2308">
        <w:t xml:space="preserve">e </w:t>
      </w:r>
      <w:r w:rsidR="005A1420">
        <w:t xml:space="preserve">forecast </w:t>
      </w:r>
      <w:r w:rsidR="008C6982" w:rsidRPr="000F2308">
        <w:t>a</w:t>
      </w:r>
      <w:r w:rsidR="00550888" w:rsidRPr="000F2308">
        <w:t xml:space="preserve"> </w:t>
      </w:r>
      <w:r w:rsidR="007C6624">
        <w:t>b</w:t>
      </w:r>
      <w:r w:rsidR="00550888" w:rsidRPr="000F2308">
        <w:t xml:space="preserve">udget surplus </w:t>
      </w:r>
      <w:r w:rsidR="002C26BB" w:rsidRPr="000F2308">
        <w:t xml:space="preserve">this year, the </w:t>
      </w:r>
      <w:r w:rsidR="00550888" w:rsidRPr="000F2308">
        <w:t xml:space="preserve">first since </w:t>
      </w:r>
      <w:r w:rsidR="002C26BB" w:rsidRPr="000F2308">
        <w:t xml:space="preserve">before </w:t>
      </w:r>
      <w:r w:rsidR="00550888" w:rsidRPr="000F2308">
        <w:t>the Global Financial Crisis</w:t>
      </w:r>
      <w:r w:rsidR="002C26BB" w:rsidRPr="000F2308">
        <w:t xml:space="preserve">, </w:t>
      </w:r>
      <w:r w:rsidR="00550888" w:rsidRPr="000F2308">
        <w:t>ahead of most major advanced economies</w:t>
      </w:r>
      <w:r w:rsidR="00655D89" w:rsidRPr="000F2308">
        <w:t xml:space="preserve">. </w:t>
      </w:r>
    </w:p>
    <w:p w14:paraId="2204DC1B" w14:textId="45CF65B7" w:rsidR="00C56EC7" w:rsidRDefault="00C76E59" w:rsidP="00CE46BF">
      <w:r w:rsidRPr="000F2308">
        <w:t>As labour market conditions ease and commodity prices return to long-run levels, the un</w:t>
      </w:r>
      <w:r w:rsidR="00550888" w:rsidRPr="000F2308">
        <w:t>derlying cash balance</w:t>
      </w:r>
      <w:r w:rsidR="002C26BB" w:rsidRPr="000F2308">
        <w:t xml:space="preserve"> </w:t>
      </w:r>
      <w:r w:rsidR="00467459" w:rsidRPr="000F2308">
        <w:t xml:space="preserve">is expected to </w:t>
      </w:r>
      <w:r w:rsidR="002C26BB" w:rsidRPr="000F2308">
        <w:t xml:space="preserve">return to </w:t>
      </w:r>
      <w:r w:rsidR="00CF3005" w:rsidRPr="000F2308">
        <w:t xml:space="preserve">a </w:t>
      </w:r>
      <w:r w:rsidR="002C26BB" w:rsidRPr="000F2308">
        <w:t>deficit</w:t>
      </w:r>
      <w:r w:rsidR="00CF3005" w:rsidRPr="000F2308">
        <w:t xml:space="preserve"> of </w:t>
      </w:r>
      <w:r w:rsidR="00E34587" w:rsidRPr="000F2308">
        <w:t>0.5 per cent of GDP</w:t>
      </w:r>
      <w:r w:rsidRPr="000F2308">
        <w:t xml:space="preserve"> in 2023-24</w:t>
      </w:r>
      <w:r w:rsidR="006D1224" w:rsidRPr="000F2308">
        <w:t xml:space="preserve"> and increase to 1.</w:t>
      </w:r>
      <w:r w:rsidR="006F5C81" w:rsidRPr="000F2308">
        <w:t>3</w:t>
      </w:r>
      <w:r w:rsidR="006D1224" w:rsidRPr="000F2308">
        <w:t xml:space="preserve"> per cent of GDP by </w:t>
      </w:r>
      <w:r w:rsidR="006F5C81" w:rsidRPr="000F2308">
        <w:t>2024-25, before beginning to improve</w:t>
      </w:r>
      <w:r w:rsidR="00DB1E92" w:rsidRPr="000F2308">
        <w:t xml:space="preserve"> (Chart</w:t>
      </w:r>
      <w:r w:rsidR="006F5C81" w:rsidRPr="000F2308">
        <w:t> </w:t>
      </w:r>
      <w:r w:rsidR="00DB1E92" w:rsidRPr="000F2308">
        <w:t>1</w:t>
      </w:r>
      <w:r w:rsidR="00C56EC7">
        <w:t>1</w:t>
      </w:r>
      <w:r w:rsidR="00DB1E92" w:rsidRPr="000F2308">
        <w:t>)</w:t>
      </w:r>
      <w:r w:rsidR="00330D37" w:rsidRPr="000F2308">
        <w:t>.</w:t>
      </w:r>
    </w:p>
    <w:p w14:paraId="74516B93" w14:textId="3ED8BF1A" w:rsidR="00C56EC7" w:rsidRPr="00C56EC7" w:rsidRDefault="00C56EC7" w:rsidP="001765D7">
      <w:pPr>
        <w:jc w:val="center"/>
        <w:rPr>
          <w:b/>
          <w:bCs/>
        </w:rPr>
      </w:pPr>
      <w:r w:rsidRPr="00C56EC7">
        <w:rPr>
          <w:b/>
          <w:bCs/>
        </w:rPr>
        <w:t>Chart 11: Budget balances</w:t>
      </w:r>
    </w:p>
    <w:p w14:paraId="6D0D6E7D" w14:textId="33F14017" w:rsidR="00C56EC7" w:rsidRPr="000F2308" w:rsidRDefault="006A6672" w:rsidP="001765D7">
      <w:pPr>
        <w:jc w:val="center"/>
      </w:pPr>
      <w:r w:rsidRPr="006A6672">
        <w:rPr>
          <w:noProof/>
        </w:rPr>
        <w:drawing>
          <wp:inline distT="0" distB="0" distL="0" distR="0" wp14:anchorId="493491BD" wp14:editId="035C36E2">
            <wp:extent cx="5731510" cy="2597785"/>
            <wp:effectExtent l="0" t="0" r="2540" b="0"/>
            <wp:docPr id="35" name="Picture 1">
              <a:extLst xmlns:a="http://schemas.openxmlformats.org/drawingml/2006/main">
                <a:ext uri="{FF2B5EF4-FFF2-40B4-BE49-F238E27FC236}">
                  <a16:creationId xmlns:a16="http://schemas.microsoft.com/office/drawing/2014/main" id="{99288A7F-10D5-F97D-E707-F4A5A9ED32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9288A7F-10D5-F97D-E707-F4A5A9ED32B9}"/>
                        </a:ext>
                      </a:extLst>
                    </pic:cNvPr>
                    <pic:cNvPicPr>
                      <a:picLocks noChangeAspect="1"/>
                    </pic:cNvPicPr>
                  </pic:nvPicPr>
                  <pic:blipFill>
                    <a:blip r:embed="rId22"/>
                    <a:stretch>
                      <a:fillRect/>
                    </a:stretch>
                  </pic:blipFill>
                  <pic:spPr>
                    <a:xfrm>
                      <a:off x="0" y="0"/>
                      <a:ext cx="5731510" cy="2597785"/>
                    </a:xfrm>
                    <a:prstGeom prst="rect">
                      <a:avLst/>
                    </a:prstGeom>
                  </pic:spPr>
                </pic:pic>
              </a:graphicData>
            </a:graphic>
          </wp:inline>
        </w:drawing>
      </w:r>
    </w:p>
    <w:p w14:paraId="5A997E0B" w14:textId="4D8553EC" w:rsidR="00C56EC7" w:rsidRPr="00C56EC7" w:rsidRDefault="00C56EC7" w:rsidP="00FF0DA9">
      <w:pPr>
        <w:rPr>
          <w:sz w:val="18"/>
          <w:szCs w:val="16"/>
        </w:rPr>
      </w:pPr>
      <w:r w:rsidRPr="00C56EC7">
        <w:rPr>
          <w:sz w:val="18"/>
          <w:szCs w:val="16"/>
        </w:rPr>
        <w:t>Source: Treasury.</w:t>
      </w:r>
    </w:p>
    <w:p w14:paraId="607667D0" w14:textId="77777777" w:rsidR="007C6624" w:rsidRDefault="00E34587" w:rsidP="00C56EC7">
      <w:r w:rsidRPr="000F2308">
        <w:t xml:space="preserve">Gross debt-to-GDP is expected to </w:t>
      </w:r>
      <w:r w:rsidR="00EA574A" w:rsidRPr="000F2308">
        <w:t xml:space="preserve">fall </w:t>
      </w:r>
      <w:r w:rsidRPr="000F2308">
        <w:t xml:space="preserve">from </w:t>
      </w:r>
      <w:r w:rsidR="003B0B7B" w:rsidRPr="000F2308">
        <w:t xml:space="preserve">the pandemic peak of </w:t>
      </w:r>
      <w:r w:rsidR="00467459" w:rsidRPr="000F2308">
        <w:t xml:space="preserve">39.3 </w:t>
      </w:r>
      <w:r w:rsidRPr="000F2308">
        <w:t>per cent of GDP in 202</w:t>
      </w:r>
      <w:r w:rsidR="00467459" w:rsidRPr="000F2308">
        <w:t>0</w:t>
      </w:r>
      <w:r w:rsidR="006B0C79" w:rsidRPr="000F2308">
        <w:noBreakHyphen/>
      </w:r>
      <w:r w:rsidRPr="000F2308">
        <w:t>2</w:t>
      </w:r>
      <w:r w:rsidR="00467459" w:rsidRPr="000F2308">
        <w:t>1</w:t>
      </w:r>
      <w:r w:rsidRPr="000F2308">
        <w:t xml:space="preserve"> to </w:t>
      </w:r>
      <w:r w:rsidR="006B0C79" w:rsidRPr="000F2308">
        <w:t>34.9</w:t>
      </w:r>
      <w:r w:rsidRPr="000F2308">
        <w:t xml:space="preserve"> per cent of GDP </w:t>
      </w:r>
      <w:r w:rsidR="006B0C79" w:rsidRPr="000F2308">
        <w:t>in 2022-23</w:t>
      </w:r>
      <w:r w:rsidR="00DB1E92" w:rsidRPr="000F2308">
        <w:t xml:space="preserve"> (Chart 1</w:t>
      </w:r>
      <w:r w:rsidR="00C56EC7">
        <w:t>2</w:t>
      </w:r>
      <w:r w:rsidR="00DB1E92" w:rsidRPr="000F2308">
        <w:t>)</w:t>
      </w:r>
      <w:r w:rsidRPr="000F2308">
        <w:t xml:space="preserve">. </w:t>
      </w:r>
    </w:p>
    <w:p w14:paraId="335B5214" w14:textId="6F851B54" w:rsidR="00C56EC7" w:rsidRDefault="006B0C79" w:rsidP="00C56EC7">
      <w:r w:rsidRPr="000F2308">
        <w:t>Similarly, net debt is projected to fall from the pandemic peak of 28.5 per cent of GDP in 2020-21 to 21.6 per cent of GDP by 2022</w:t>
      </w:r>
      <w:r w:rsidRPr="000F2308">
        <w:noBreakHyphen/>
        <w:t>23. Gross and net debt are both expected to increase slightly as a share of the economy before reducing again from 2026-27.</w:t>
      </w:r>
    </w:p>
    <w:p w14:paraId="1937257B" w14:textId="6B5C389C" w:rsidR="00380B53" w:rsidRDefault="00380B53">
      <w:pPr>
        <w:keepLines w:val="0"/>
        <w:jc w:val="left"/>
        <w:rPr>
          <w:b/>
          <w:bCs/>
        </w:rPr>
      </w:pPr>
      <w:r>
        <w:rPr>
          <w:b/>
          <w:bCs/>
        </w:rPr>
        <w:br w:type="page"/>
      </w:r>
    </w:p>
    <w:p w14:paraId="516893D2" w14:textId="3EE2ADED" w:rsidR="00C56EC7" w:rsidRPr="00C56EC7" w:rsidRDefault="00C56EC7" w:rsidP="001765D7">
      <w:pPr>
        <w:jc w:val="center"/>
        <w:rPr>
          <w:b/>
          <w:bCs/>
        </w:rPr>
      </w:pPr>
      <w:r w:rsidRPr="00C56EC7">
        <w:rPr>
          <w:b/>
          <w:bCs/>
        </w:rPr>
        <w:lastRenderedPageBreak/>
        <w:t>Chart 1</w:t>
      </w:r>
      <w:r>
        <w:rPr>
          <w:b/>
          <w:bCs/>
        </w:rPr>
        <w:t>2</w:t>
      </w:r>
      <w:r w:rsidRPr="00C56EC7">
        <w:rPr>
          <w:b/>
          <w:bCs/>
        </w:rPr>
        <w:t xml:space="preserve">: </w:t>
      </w:r>
      <w:r>
        <w:rPr>
          <w:b/>
          <w:bCs/>
        </w:rPr>
        <w:t>Gross debt</w:t>
      </w:r>
    </w:p>
    <w:p w14:paraId="5C672357" w14:textId="53799A7C" w:rsidR="00C56EC7" w:rsidRDefault="006A6672" w:rsidP="001765D7">
      <w:pPr>
        <w:jc w:val="center"/>
      </w:pPr>
      <w:r w:rsidRPr="006A6672">
        <w:rPr>
          <w:noProof/>
        </w:rPr>
        <w:drawing>
          <wp:inline distT="0" distB="0" distL="0" distR="0" wp14:anchorId="759DA5E8" wp14:editId="6F73B33C">
            <wp:extent cx="5731510" cy="2593340"/>
            <wp:effectExtent l="0" t="0" r="0" b="0"/>
            <wp:docPr id="33" name="Picture 1">
              <a:extLst xmlns:a="http://schemas.openxmlformats.org/drawingml/2006/main">
                <a:ext uri="{FF2B5EF4-FFF2-40B4-BE49-F238E27FC236}">
                  <a16:creationId xmlns:a16="http://schemas.microsoft.com/office/drawing/2014/main" id="{D34526DB-0426-1CB5-1CE8-4CD0946ED0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34526DB-0426-1CB5-1CE8-4CD0946ED0EE}"/>
                        </a:ext>
                      </a:extLst>
                    </pic:cNvPr>
                    <pic:cNvPicPr>
                      <a:picLocks noChangeAspect="1"/>
                    </pic:cNvPicPr>
                  </pic:nvPicPr>
                  <pic:blipFill>
                    <a:blip r:embed="rId23"/>
                    <a:stretch>
                      <a:fillRect/>
                    </a:stretch>
                  </pic:blipFill>
                  <pic:spPr>
                    <a:xfrm>
                      <a:off x="0" y="0"/>
                      <a:ext cx="5731510" cy="2593340"/>
                    </a:xfrm>
                    <a:prstGeom prst="rect">
                      <a:avLst/>
                    </a:prstGeom>
                  </pic:spPr>
                </pic:pic>
              </a:graphicData>
            </a:graphic>
          </wp:inline>
        </w:drawing>
      </w:r>
    </w:p>
    <w:p w14:paraId="3A02B70E" w14:textId="669C3CB7" w:rsidR="00C56EC7" w:rsidRPr="00725036" w:rsidRDefault="00725036" w:rsidP="00FF0DA9">
      <w:pPr>
        <w:rPr>
          <w:sz w:val="18"/>
          <w:szCs w:val="16"/>
        </w:rPr>
      </w:pPr>
      <w:r w:rsidRPr="00C56EC7">
        <w:rPr>
          <w:sz w:val="18"/>
          <w:szCs w:val="16"/>
        </w:rPr>
        <w:t>Source: Treasury.</w:t>
      </w:r>
    </w:p>
    <w:p w14:paraId="73274A37" w14:textId="281D2EFD" w:rsidR="00DB694C" w:rsidRPr="001765D7" w:rsidRDefault="00171A4B" w:rsidP="00D8359C">
      <w:pPr>
        <w:pStyle w:val="Heading3"/>
        <w:rPr>
          <w:color w:val="4472C4" w:themeColor="accent1"/>
        </w:rPr>
      </w:pPr>
      <w:r w:rsidRPr="001765D7">
        <w:rPr>
          <w:color w:val="4472C4" w:themeColor="accent1"/>
        </w:rPr>
        <w:fldChar w:fldCharType="begin"/>
      </w:r>
      <w:r w:rsidRPr="001765D7">
        <w:rPr>
          <w:color w:val="4472C4" w:themeColor="accent1"/>
        </w:rPr>
        <w:instrText xml:space="preserve"> :Start:BPD_OR2 </w:instrText>
      </w:r>
      <w:r w:rsidRPr="001765D7">
        <w:rPr>
          <w:color w:val="4472C4" w:themeColor="accent1"/>
        </w:rPr>
        <w:fldChar w:fldCharType="end"/>
      </w:r>
      <w:r w:rsidR="00B67017" w:rsidRPr="001765D7">
        <w:rPr>
          <w:color w:val="4472C4" w:themeColor="accent1"/>
        </w:rPr>
        <w:t>Managing m</w:t>
      </w:r>
      <w:r w:rsidR="00DB694C" w:rsidRPr="001765D7">
        <w:rPr>
          <w:color w:val="4472C4" w:themeColor="accent1"/>
        </w:rPr>
        <w:t>edium</w:t>
      </w:r>
      <w:r w:rsidR="00826A9A" w:rsidRPr="001765D7">
        <w:rPr>
          <w:color w:val="4472C4" w:themeColor="accent1"/>
        </w:rPr>
        <w:t>-</w:t>
      </w:r>
      <w:r w:rsidR="00DB694C" w:rsidRPr="001765D7">
        <w:rPr>
          <w:color w:val="4472C4" w:themeColor="accent1"/>
        </w:rPr>
        <w:t xml:space="preserve">term </w:t>
      </w:r>
      <w:r w:rsidR="00B67017" w:rsidRPr="001765D7">
        <w:rPr>
          <w:color w:val="4472C4" w:themeColor="accent1"/>
        </w:rPr>
        <w:t>pressures</w:t>
      </w:r>
    </w:p>
    <w:p w14:paraId="07E1B728" w14:textId="77777777" w:rsidR="007C6624" w:rsidRDefault="00DB694C" w:rsidP="002E150E">
      <w:r w:rsidRPr="000F2308">
        <w:t>T</w:t>
      </w:r>
      <w:r w:rsidR="00550888" w:rsidRPr="000F2308">
        <w:t xml:space="preserve">he medium-term fiscal outlook is </w:t>
      </w:r>
      <w:r w:rsidR="00116C78" w:rsidRPr="000F2308">
        <w:t xml:space="preserve">more </w:t>
      </w:r>
      <w:r w:rsidRPr="000F2308">
        <w:t>challenging</w:t>
      </w:r>
      <w:r w:rsidR="009F1E8E" w:rsidRPr="000F2308">
        <w:t>, despite our strong</w:t>
      </w:r>
      <w:r w:rsidR="00116C78" w:rsidRPr="000F2308">
        <w:t>er</w:t>
      </w:r>
      <w:r w:rsidR="009F1E8E" w:rsidRPr="000F2308">
        <w:t xml:space="preserve"> starting point</w:t>
      </w:r>
      <w:r w:rsidR="00592D79" w:rsidRPr="000F2308">
        <w:t>.</w:t>
      </w:r>
      <w:r w:rsidR="00EC024F" w:rsidRPr="000F2308">
        <w:t xml:space="preserve"> </w:t>
      </w:r>
      <w:r w:rsidR="00812FD0" w:rsidRPr="000F2308">
        <w:t>Australia remains in structural deficit</w:t>
      </w:r>
      <w:r w:rsidR="0045396B" w:rsidRPr="000F2308">
        <w:t>, albeit improving.</w:t>
      </w:r>
      <w:r w:rsidR="001D64B9" w:rsidRPr="000F2308">
        <w:t xml:space="preserve"> </w:t>
      </w:r>
    </w:p>
    <w:p w14:paraId="7F30AC41" w14:textId="397991F8" w:rsidR="0024792A" w:rsidRPr="000F2308" w:rsidRDefault="0045396B" w:rsidP="002E150E">
      <w:r w:rsidRPr="000F2308">
        <w:t>D</w:t>
      </w:r>
      <w:r w:rsidR="007E363A" w:rsidRPr="000F2308">
        <w:t xml:space="preserve">ebt as a share of the economy </w:t>
      </w:r>
      <w:r w:rsidRPr="000F2308">
        <w:t xml:space="preserve">is </w:t>
      </w:r>
      <w:r w:rsidR="007E363A" w:rsidRPr="000F2308">
        <w:t xml:space="preserve">projected to decline slowly over the medium term </w:t>
      </w:r>
      <w:r w:rsidRPr="000F2308">
        <w:t xml:space="preserve">but </w:t>
      </w:r>
      <w:r w:rsidR="007E363A" w:rsidRPr="000F2308">
        <w:t xml:space="preserve">remain above pre-pandemic levels. </w:t>
      </w:r>
    </w:p>
    <w:p w14:paraId="3F10D6CC" w14:textId="37581FE4" w:rsidR="00550888" w:rsidRPr="000F2308" w:rsidRDefault="00550888" w:rsidP="00550888">
      <w:r w:rsidRPr="000F2308">
        <w:t>The Government is taking steps to reduce the structural deficit over the medium term.</w:t>
      </w:r>
      <w:r w:rsidR="00E66AD6" w:rsidRPr="000F2308">
        <w:t xml:space="preserve"> </w:t>
      </w:r>
      <w:r w:rsidR="00DB3AC6" w:rsidRPr="000F2308">
        <w:t xml:space="preserve">The Government’s </w:t>
      </w:r>
      <w:r w:rsidRPr="000F2308">
        <w:t xml:space="preserve">Budget </w:t>
      </w:r>
      <w:r w:rsidR="007C6624">
        <w:t xml:space="preserve">earlier this month </w:t>
      </w:r>
      <w:r w:rsidR="00D50BA0" w:rsidRPr="000F2308">
        <w:t>in</w:t>
      </w:r>
      <w:r w:rsidRPr="000F2308">
        <w:t>cluded actions to slow the growth in the Nation</w:t>
      </w:r>
      <w:r w:rsidR="00C027A0" w:rsidRPr="000F2308">
        <w:t>al</w:t>
      </w:r>
      <w:r w:rsidRPr="000F2308">
        <w:t xml:space="preserve"> Disability </w:t>
      </w:r>
      <w:r w:rsidR="00DB694C" w:rsidRPr="000F2308">
        <w:t xml:space="preserve">Insurance </w:t>
      </w:r>
      <w:r w:rsidRPr="000F2308">
        <w:t>Scheme, return</w:t>
      </w:r>
      <w:r w:rsidR="00DB694C" w:rsidRPr="000F2308">
        <w:t xml:space="preserve"> </w:t>
      </w:r>
      <w:r w:rsidRPr="000F2308">
        <w:t xml:space="preserve">revenue upgrades to the bottom line and </w:t>
      </w:r>
      <w:r w:rsidR="009B1292" w:rsidRPr="000F2308">
        <w:t xml:space="preserve">target </w:t>
      </w:r>
      <w:r w:rsidR="00C027A0" w:rsidRPr="000F2308">
        <w:t>modest tax increases. Th</w:t>
      </w:r>
      <w:r w:rsidR="00812FD0" w:rsidRPr="000F2308">
        <w:t xml:space="preserve">is is </w:t>
      </w:r>
      <w:r w:rsidR="00C027A0" w:rsidRPr="000F2308">
        <w:t>supporting</w:t>
      </w:r>
      <w:r w:rsidR="00D50BA0" w:rsidRPr="000F2308">
        <w:t xml:space="preserve"> debt </w:t>
      </w:r>
      <w:r w:rsidR="00B67017" w:rsidRPr="000F2308">
        <w:t xml:space="preserve">reduction </w:t>
      </w:r>
      <w:r w:rsidR="00D50BA0" w:rsidRPr="000F2308">
        <w:t xml:space="preserve">and </w:t>
      </w:r>
      <w:r w:rsidRPr="000F2308">
        <w:t>rebuild</w:t>
      </w:r>
      <w:r w:rsidR="00B67017" w:rsidRPr="000F2308">
        <w:t>ing</w:t>
      </w:r>
      <w:r w:rsidRPr="000F2308">
        <w:t xml:space="preserve"> fiscal buffers</w:t>
      </w:r>
      <w:r w:rsidR="00B67017" w:rsidRPr="000F2308">
        <w:t xml:space="preserve"> to manage future </w:t>
      </w:r>
      <w:r w:rsidR="009B1292" w:rsidRPr="000F2308">
        <w:t xml:space="preserve">economic </w:t>
      </w:r>
      <w:r w:rsidR="00B67017" w:rsidRPr="000F2308">
        <w:t>shocks</w:t>
      </w:r>
      <w:r w:rsidRPr="000F2308">
        <w:t>.</w:t>
      </w:r>
    </w:p>
    <w:p w14:paraId="3F13E2D4" w14:textId="5234D067" w:rsidR="00F77887" w:rsidRPr="007F0955" w:rsidRDefault="00171A4B" w:rsidP="009034F0">
      <w:pPr>
        <w:pStyle w:val="Heading1"/>
      </w:pPr>
      <w:r>
        <w:fldChar w:fldCharType="begin"/>
      </w:r>
      <w:r>
        <w:instrText xml:space="preserve"> :End:BPD_OR2 </w:instrText>
      </w:r>
      <w:r>
        <w:fldChar w:fldCharType="end"/>
      </w:r>
      <w:r w:rsidR="00F77887" w:rsidRPr="007F0955">
        <w:t>Australia</w:t>
      </w:r>
      <w:r w:rsidR="00D04E53" w:rsidRPr="007F0955">
        <w:t xml:space="preserve"> has </w:t>
      </w:r>
      <w:r w:rsidR="005919EB" w:rsidRPr="007F0955">
        <w:t xml:space="preserve">strong </w:t>
      </w:r>
      <w:r w:rsidR="00F77887" w:rsidRPr="007F0955">
        <w:t>green credentials</w:t>
      </w:r>
    </w:p>
    <w:p w14:paraId="00B337BD" w14:textId="63239175" w:rsidR="0051423C" w:rsidRPr="007F0955" w:rsidRDefault="0051423C" w:rsidP="00486466">
      <w:r w:rsidRPr="007F0955">
        <w:t>Australia is a</w:t>
      </w:r>
      <w:r w:rsidR="00E51D45" w:rsidRPr="007F0955">
        <w:t>lso</w:t>
      </w:r>
      <w:r w:rsidRPr="007F0955">
        <w:t xml:space="preserve"> </w:t>
      </w:r>
      <w:r w:rsidR="00EC7B6D">
        <w:t xml:space="preserve">a </w:t>
      </w:r>
      <w:r w:rsidRPr="007F0955">
        <w:t xml:space="preserve">good place for </w:t>
      </w:r>
      <w:r w:rsidR="007A7BA2" w:rsidRPr="007F0955">
        <w:t xml:space="preserve">environmentally conscious </w:t>
      </w:r>
      <w:r w:rsidRPr="007F0955">
        <w:t>investors</w:t>
      </w:r>
      <w:r w:rsidR="00BF3FA0" w:rsidRPr="007F0955">
        <w:t xml:space="preserve">. Our green credentials are well supported </w:t>
      </w:r>
      <w:r w:rsidRPr="007F0955">
        <w:t xml:space="preserve">by Government commitments to </w:t>
      </w:r>
      <w:proofErr w:type="gramStart"/>
      <w:r w:rsidR="007C6624">
        <w:t xml:space="preserve">take </w:t>
      </w:r>
      <w:r w:rsidRPr="007F0955">
        <w:t>action</w:t>
      </w:r>
      <w:proofErr w:type="gramEnd"/>
      <w:r w:rsidRPr="007F0955">
        <w:t xml:space="preserve"> on climate change and other environmental priorities.</w:t>
      </w:r>
    </w:p>
    <w:bookmarkStart w:id="9" w:name="_Hlk130922567"/>
    <w:p w14:paraId="346EA7BE" w14:textId="6E7E3262" w:rsidR="00EA1712" w:rsidRPr="007C6624" w:rsidRDefault="00171A4B" w:rsidP="007C6624">
      <w:pPr>
        <w:pStyle w:val="Heading2"/>
      </w:pPr>
      <w:r w:rsidRPr="007C6624">
        <w:fldChar w:fldCharType="begin"/>
      </w:r>
      <w:r w:rsidRPr="007C6624">
        <w:instrText xml:space="preserve"> :Start:LEIID_BM2 </w:instrText>
      </w:r>
      <w:r w:rsidRPr="007C6624">
        <w:fldChar w:fldCharType="end"/>
      </w:r>
      <w:r w:rsidR="00EA1712" w:rsidRPr="007C6624">
        <w:t>Australia’s emissions reduction commitments</w:t>
      </w:r>
    </w:p>
    <w:p w14:paraId="4DDD30AC" w14:textId="726D49D3" w:rsidR="00330C84" w:rsidRPr="000F2308" w:rsidRDefault="00330C84" w:rsidP="00486466">
      <w:pPr>
        <w:rPr>
          <w:lang w:eastAsia="en-AU"/>
        </w:rPr>
      </w:pPr>
      <w:r w:rsidRPr="000F2308">
        <w:t>Australia has committed to reduce greenhouse gas emissions by 43 per cent below 2005 levels by 2030. This puts us on track to achieve net zero emissions by 2050.</w:t>
      </w:r>
      <w:r w:rsidRPr="000F2308">
        <w:rPr>
          <w:lang w:eastAsia="en-AU"/>
        </w:rPr>
        <w:t xml:space="preserve"> Australia’s targets align with our major trading partners and international peers including Japan’s own 2030 target for a 46 per cent reduction on 2013 levels and 2050 net zero target.</w:t>
      </w:r>
    </w:p>
    <w:p w14:paraId="3F844E54" w14:textId="5E85EDD3" w:rsidR="00330C84" w:rsidRPr="000F2308" w:rsidRDefault="00330C84" w:rsidP="00486466">
      <w:r w:rsidRPr="000F2308">
        <w:rPr>
          <w:lang w:eastAsia="en-AU"/>
        </w:rPr>
        <w:t>The Australian Government</w:t>
      </w:r>
      <w:r w:rsidRPr="000F2308">
        <w:t xml:space="preserve"> is implementing a</w:t>
      </w:r>
      <w:r w:rsidR="00A615DC" w:rsidRPr="000F2308">
        <w:t> </w:t>
      </w:r>
      <w:r w:rsidRPr="000F2308">
        <w:t>substantial and rigorous suite of new policies across the economy to drive the transition to net zero.</w:t>
      </w:r>
    </w:p>
    <w:p w14:paraId="73D37DA1" w14:textId="408D6F16" w:rsidR="00330C84" w:rsidRPr="007F0955" w:rsidRDefault="00171A4B" w:rsidP="009034F0">
      <w:pPr>
        <w:pStyle w:val="Heading2"/>
      </w:pPr>
      <w:r>
        <w:lastRenderedPageBreak/>
        <w:fldChar w:fldCharType="begin"/>
      </w:r>
      <w:r>
        <w:instrText xml:space="preserve"> :End:LEIID_BM2 </w:instrText>
      </w:r>
      <w:r>
        <w:fldChar w:fldCharType="end"/>
      </w:r>
      <w:r w:rsidR="00330C84" w:rsidRPr="007F0955">
        <w:t>Australia’s Sustainable Finance Strategy</w:t>
      </w:r>
    </w:p>
    <w:p w14:paraId="13878C2B" w14:textId="563E1217" w:rsidR="00632DDA" w:rsidRDefault="00303FB9" w:rsidP="00486466">
      <w:r>
        <w:fldChar w:fldCharType="begin"/>
      </w:r>
      <w:r>
        <w:instrText xml:space="preserve"> :Start:LEIID_BM3 </w:instrText>
      </w:r>
      <w:r>
        <w:fldChar w:fldCharType="end"/>
      </w:r>
      <w:r w:rsidR="00330C84" w:rsidRPr="000F2308">
        <w:t>The Australian Government is developing an ambitious and coordinated Sustainable Finance Strategy in 2023.</w:t>
      </w:r>
    </w:p>
    <w:p w14:paraId="39B07A8C" w14:textId="18B06D92" w:rsidR="007D12DA" w:rsidRPr="000F2308" w:rsidRDefault="00330C84" w:rsidP="00486466">
      <w:r w:rsidRPr="000F2308">
        <w:t>Key elements include</w:t>
      </w:r>
      <w:r w:rsidR="007D12DA" w:rsidRPr="000F2308">
        <w:t>:</w:t>
      </w:r>
    </w:p>
    <w:p w14:paraId="66EBF0B7" w14:textId="35083BE6" w:rsidR="007D12DA" w:rsidRPr="000F2308" w:rsidRDefault="00330C84" w:rsidP="007D12DA">
      <w:pPr>
        <w:pStyle w:val="Bullet"/>
      </w:pPr>
      <w:r w:rsidRPr="000F2308">
        <w:t>developing a green investment taxonomy</w:t>
      </w:r>
    </w:p>
    <w:p w14:paraId="4B412E72" w14:textId="243F4EE2" w:rsidR="007D12DA" w:rsidRPr="000F2308" w:rsidRDefault="00330C84" w:rsidP="007D12DA">
      <w:pPr>
        <w:pStyle w:val="Bullet"/>
      </w:pPr>
      <w:r w:rsidRPr="000F2308">
        <w:t>measures to address greenwashing in financial markets</w:t>
      </w:r>
      <w:r w:rsidR="007C6624">
        <w:t xml:space="preserve">; </w:t>
      </w:r>
      <w:r w:rsidRPr="000F2308">
        <w:t>and</w:t>
      </w:r>
    </w:p>
    <w:p w14:paraId="5218F8B4" w14:textId="4B4329B6" w:rsidR="00330C84" w:rsidRPr="000F2308" w:rsidRDefault="00303FB9" w:rsidP="00F94979">
      <w:pPr>
        <w:pStyle w:val="Bullet"/>
      </w:pPr>
      <w:r w:rsidRPr="000F2308">
        <w:fldChar w:fldCharType="begin"/>
      </w:r>
      <w:r w:rsidRPr="000F2308">
        <w:instrText xml:space="preserve"> :End:LEIID_BM3 </w:instrText>
      </w:r>
      <w:r w:rsidRPr="000F2308">
        <w:fldChar w:fldCharType="end"/>
      </w:r>
      <w:r w:rsidRPr="000F2308">
        <w:fldChar w:fldCharType="begin"/>
      </w:r>
      <w:r w:rsidRPr="000F2308">
        <w:instrText xml:space="preserve"> :Start:BPD_OR3 </w:instrText>
      </w:r>
      <w:r w:rsidRPr="000F2308">
        <w:fldChar w:fldCharType="end"/>
      </w:r>
      <w:r w:rsidR="00330C84" w:rsidRPr="000F2308">
        <w:t>establish</w:t>
      </w:r>
      <w:r w:rsidR="007A7BA2" w:rsidRPr="000F2308">
        <w:t>ing</w:t>
      </w:r>
      <w:r w:rsidR="00330C84" w:rsidRPr="000F2308">
        <w:t xml:space="preserve"> an Australian sovereign green bond program.</w:t>
      </w:r>
    </w:p>
    <w:p w14:paraId="21104964" w14:textId="3E464F9F" w:rsidR="005B55AC" w:rsidRPr="000F2308" w:rsidRDefault="007F4BFC" w:rsidP="00486466">
      <w:r w:rsidRPr="000F2308">
        <w:t xml:space="preserve">Australia will be joining over 40 other countries around the world in issuing green bonds </w:t>
      </w:r>
      <w:r w:rsidR="003A645C" w:rsidRPr="000F2308">
        <w:t>to finance signature climate change and environmental projects and programs</w:t>
      </w:r>
      <w:r w:rsidR="001F7319" w:rsidRPr="000F2308">
        <w:t xml:space="preserve"> </w:t>
      </w:r>
      <w:r w:rsidRPr="000F2308">
        <w:t xml:space="preserve">(Chart </w:t>
      </w:r>
      <w:r w:rsidR="005D49EA" w:rsidRPr="000F2308">
        <w:t>13</w:t>
      </w:r>
      <w:r w:rsidRPr="000F2308">
        <w:t>).</w:t>
      </w:r>
    </w:p>
    <w:p w14:paraId="2A94C9AD" w14:textId="1449B724" w:rsidR="005B55AC" w:rsidRPr="000F2308" w:rsidRDefault="003A645C" w:rsidP="00DA55F1">
      <w:r w:rsidRPr="000F2308">
        <w:t>The first issuance is planned for mid-2024 following the development of a Green Bonds Framework and engagement with potential investors.</w:t>
      </w:r>
    </w:p>
    <w:p w14:paraId="3006A42A" w14:textId="40D9E9F2" w:rsidR="00185093" w:rsidRPr="000F2308" w:rsidRDefault="003A645C" w:rsidP="00DA55F1">
      <w:r w:rsidRPr="000F2308">
        <w:t xml:space="preserve">Green bonds will offer investors an opportunity to invest in public projects that </w:t>
      </w:r>
      <w:r w:rsidR="00330C84" w:rsidRPr="000F2308">
        <w:t>support Australia’s transition to net zero and protect our environment</w:t>
      </w:r>
      <w:r w:rsidR="00331A56" w:rsidRPr="000F2308">
        <w:t>.</w:t>
      </w:r>
    </w:p>
    <w:p w14:paraId="61335124" w14:textId="3B1EB3A9" w:rsidR="00251ADB" w:rsidRDefault="00251ADB" w:rsidP="007C6624">
      <w:pPr>
        <w:pStyle w:val="ChartMainHeading"/>
        <w:rPr>
          <w:noProof/>
        </w:rPr>
      </w:pPr>
      <w:r w:rsidRPr="000F2308">
        <w:t xml:space="preserve">Chart 13: </w:t>
      </w:r>
      <w:r w:rsidRPr="000F2308">
        <w:rPr>
          <w:noProof/>
        </w:rPr>
        <w:t xml:space="preserve">Green bonds </w:t>
      </w:r>
      <w:r w:rsidR="00780263">
        <w:rPr>
          <w:noProof/>
        </w:rPr>
        <w:t>s</w:t>
      </w:r>
      <w:r w:rsidRPr="000F2308">
        <w:rPr>
          <w:noProof/>
        </w:rPr>
        <w:t>hare of national debt</w:t>
      </w:r>
    </w:p>
    <w:p w14:paraId="0354A464" w14:textId="0D31FB3C" w:rsidR="00251ADB" w:rsidRDefault="006A6672" w:rsidP="007C6624">
      <w:pPr>
        <w:jc w:val="center"/>
        <w:rPr>
          <w:sz w:val="18"/>
          <w:szCs w:val="20"/>
        </w:rPr>
      </w:pPr>
      <w:r w:rsidRPr="006A6672">
        <w:rPr>
          <w:noProof/>
          <w:sz w:val="18"/>
          <w:szCs w:val="20"/>
        </w:rPr>
        <w:drawing>
          <wp:inline distT="0" distB="0" distL="0" distR="0" wp14:anchorId="517FE179" wp14:editId="6C76BC3A">
            <wp:extent cx="5731510" cy="2600960"/>
            <wp:effectExtent l="0" t="0" r="2540" b="8890"/>
            <wp:docPr id="2" name="Picture 1">
              <a:extLst xmlns:a="http://schemas.openxmlformats.org/drawingml/2006/main">
                <a:ext uri="{FF2B5EF4-FFF2-40B4-BE49-F238E27FC236}">
                  <a16:creationId xmlns:a16="http://schemas.microsoft.com/office/drawing/2014/main" id="{FAC3C007-B4A6-CC43-16F5-DBA3A1965A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C3C007-B4A6-CC43-16F5-DBA3A1965A2B}"/>
                        </a:ext>
                      </a:extLst>
                    </pic:cNvPr>
                    <pic:cNvPicPr>
                      <a:picLocks noChangeAspect="1"/>
                    </pic:cNvPicPr>
                  </pic:nvPicPr>
                  <pic:blipFill>
                    <a:blip r:embed="rId24"/>
                    <a:stretch>
                      <a:fillRect/>
                    </a:stretch>
                  </pic:blipFill>
                  <pic:spPr>
                    <a:xfrm>
                      <a:off x="0" y="0"/>
                      <a:ext cx="5731510" cy="2600960"/>
                    </a:xfrm>
                    <a:prstGeom prst="rect">
                      <a:avLst/>
                    </a:prstGeom>
                  </pic:spPr>
                </pic:pic>
              </a:graphicData>
            </a:graphic>
          </wp:inline>
        </w:drawing>
      </w:r>
    </w:p>
    <w:p w14:paraId="02F0CE4C" w14:textId="1BA0CFE7" w:rsidR="000B09A0" w:rsidRPr="00251ADB" w:rsidRDefault="00251ADB" w:rsidP="00DA55F1">
      <w:pPr>
        <w:rPr>
          <w:sz w:val="18"/>
          <w:szCs w:val="20"/>
        </w:rPr>
      </w:pPr>
      <w:r w:rsidRPr="00251ADB">
        <w:rPr>
          <w:sz w:val="18"/>
          <w:szCs w:val="20"/>
        </w:rPr>
        <w:t>S</w:t>
      </w:r>
      <w:r w:rsidR="00782206" w:rsidRPr="00251ADB">
        <w:rPr>
          <w:sz w:val="18"/>
          <w:szCs w:val="20"/>
        </w:rPr>
        <w:t>ource:</w:t>
      </w:r>
      <w:r w:rsidR="00782206" w:rsidRPr="00251ADB">
        <w:rPr>
          <w:sz w:val="18"/>
          <w:szCs w:val="20"/>
        </w:rPr>
        <w:tab/>
        <w:t>Bloomberg, sovereign green bonds issuance</w:t>
      </w:r>
      <w:r w:rsidR="00782206" w:rsidRPr="00251ADB" w:rsidDel="001C19F4">
        <w:rPr>
          <w:sz w:val="18"/>
          <w:szCs w:val="20"/>
        </w:rPr>
        <w:t xml:space="preserve"> </w:t>
      </w:r>
      <w:r w:rsidR="00782206" w:rsidRPr="00251ADB">
        <w:rPr>
          <w:sz w:val="18"/>
          <w:szCs w:val="20"/>
        </w:rPr>
        <w:t xml:space="preserve">as </w:t>
      </w:r>
      <w:proofErr w:type="gramStart"/>
      <w:r w:rsidR="00782206" w:rsidRPr="00251ADB">
        <w:rPr>
          <w:sz w:val="18"/>
          <w:szCs w:val="20"/>
        </w:rPr>
        <w:t>at</w:t>
      </w:r>
      <w:proofErr w:type="gramEnd"/>
      <w:r w:rsidR="00782206" w:rsidRPr="00251ADB">
        <w:rPr>
          <w:sz w:val="18"/>
          <w:szCs w:val="20"/>
        </w:rPr>
        <w:t> 28 April 2023.</w:t>
      </w:r>
    </w:p>
    <w:p w14:paraId="04625EAD" w14:textId="77777777" w:rsidR="00546C26" w:rsidRDefault="00303FB9" w:rsidP="00486466">
      <w:r w:rsidRPr="000F2308">
        <w:fldChar w:fldCharType="begin"/>
      </w:r>
      <w:r w:rsidRPr="000F2308">
        <w:instrText xml:space="preserve"> :End:BPD_OR3 </w:instrText>
      </w:r>
      <w:r w:rsidRPr="000F2308">
        <w:fldChar w:fldCharType="end"/>
      </w:r>
      <w:r w:rsidRPr="000F2308">
        <w:fldChar w:fldCharType="begin"/>
      </w:r>
      <w:r w:rsidRPr="000F2308">
        <w:instrText xml:space="preserve"> :Start:LEIID_BM3 </w:instrText>
      </w:r>
      <w:r w:rsidRPr="000F2308">
        <w:fldChar w:fldCharType="end"/>
      </w:r>
      <w:r w:rsidR="009E7DF7" w:rsidRPr="000F2308">
        <w:t>The Australian Government is developing and implementing internationally</w:t>
      </w:r>
      <w:r w:rsidR="00070223" w:rsidRPr="000F2308">
        <w:noBreakHyphen/>
      </w:r>
      <w:r w:rsidR="009E7DF7" w:rsidRPr="000F2308">
        <w:t xml:space="preserve">aligned requirements for climate-related financial disclosures. </w:t>
      </w:r>
    </w:p>
    <w:p w14:paraId="6766459B" w14:textId="77777777" w:rsidR="00546C26" w:rsidRDefault="009E7DF7" w:rsidP="00486466">
      <w:r w:rsidRPr="000F2308">
        <w:t>Australia’s largest companies already mak</w:t>
      </w:r>
      <w:r w:rsidR="0006030C" w:rsidRPr="000F2308">
        <w:t>e</w:t>
      </w:r>
      <w:r w:rsidRPr="000F2308">
        <w:t xml:space="preserve"> voluntary disclosures consistent with the </w:t>
      </w:r>
      <w:r w:rsidR="00070223" w:rsidRPr="000F2308">
        <w:t xml:space="preserve">international </w:t>
      </w:r>
      <w:r w:rsidRPr="000F2308">
        <w:t xml:space="preserve">Taskforce on Climate-related Financial Disclosures requirements. </w:t>
      </w:r>
    </w:p>
    <w:p w14:paraId="33FD821F" w14:textId="4CD6CC3E" w:rsidR="009E7DF7" w:rsidRPr="000F2308" w:rsidRDefault="009E7DF7" w:rsidP="00486466">
      <w:r w:rsidRPr="000F2308">
        <w:t>Implementing mandatory reporting will provide transparency to investors about the green credentials of companies.</w:t>
      </w:r>
    </w:p>
    <w:p w14:paraId="18CD146D" w14:textId="6F3555ED" w:rsidR="008A2986" w:rsidRPr="007C6624" w:rsidRDefault="008A2986" w:rsidP="009034F0">
      <w:pPr>
        <w:pStyle w:val="Heading2"/>
      </w:pPr>
      <w:bookmarkStart w:id="10" w:name="_Hlk130972497"/>
      <w:r w:rsidRPr="007C6624">
        <w:t>Powering Australia</w:t>
      </w:r>
    </w:p>
    <w:p w14:paraId="633D3D23" w14:textId="367E8662" w:rsidR="009E7DF7" w:rsidRPr="000F2308" w:rsidRDefault="0074270F" w:rsidP="00486466">
      <w:r w:rsidRPr="000F2308">
        <w:t xml:space="preserve">The </w:t>
      </w:r>
      <w:r w:rsidR="00EA1712" w:rsidRPr="000F2308">
        <w:t xml:space="preserve">Australian </w:t>
      </w:r>
      <w:r w:rsidRPr="000F2308">
        <w:t>Government</w:t>
      </w:r>
      <w:r w:rsidR="007D12DA" w:rsidRPr="000F2308">
        <w:t>’s</w:t>
      </w:r>
      <w:r w:rsidRPr="000F2308">
        <w:t xml:space="preserve"> Powering Australia Plan </w:t>
      </w:r>
      <w:r w:rsidR="007D12DA" w:rsidRPr="000F2308">
        <w:t>addresses</w:t>
      </w:r>
      <w:r w:rsidR="005A7234" w:rsidRPr="000F2308">
        <w:t xml:space="preserve"> medium to long term changes to transition Australia’s economy and electricity grid </w:t>
      </w:r>
      <w:r w:rsidR="00B245B4" w:rsidRPr="000F2308">
        <w:t>to</w:t>
      </w:r>
      <w:r w:rsidR="005A7234" w:rsidRPr="000F2308">
        <w:t xml:space="preserve"> net zero.</w:t>
      </w:r>
    </w:p>
    <w:p w14:paraId="73A5C7EA" w14:textId="2A695F41" w:rsidR="009E7DF7" w:rsidRPr="000F2308" w:rsidRDefault="009E7DF7" w:rsidP="00486466">
      <w:bookmarkStart w:id="11" w:name="_Hlk133338271"/>
      <w:r w:rsidRPr="000F2308">
        <w:lastRenderedPageBreak/>
        <w:t xml:space="preserve">Australia’s latest emissions reductions projections </w:t>
      </w:r>
      <w:r w:rsidR="00FC7B19" w:rsidRPr="000F2308">
        <w:t xml:space="preserve">show </w:t>
      </w:r>
      <w:r w:rsidRPr="000F2308">
        <w:t xml:space="preserve">that </w:t>
      </w:r>
      <w:r w:rsidR="007A7BA2" w:rsidRPr="000F2308">
        <w:t xml:space="preserve">Australia is on track for a </w:t>
      </w:r>
      <w:r w:rsidR="008135E6" w:rsidRPr="000F2308">
        <w:t>40 </w:t>
      </w:r>
      <w:r w:rsidR="007A7BA2" w:rsidRPr="000F2308">
        <w:t xml:space="preserve">per cent reduction on 2005 levels by 2030 </w:t>
      </w:r>
      <w:r w:rsidRPr="000F2308">
        <w:t xml:space="preserve">after incorporating key elements of the </w:t>
      </w:r>
      <w:r w:rsidR="008135E6" w:rsidRPr="000F2308">
        <w:t>P</w:t>
      </w:r>
      <w:r w:rsidRPr="000F2308">
        <w:t>lan</w:t>
      </w:r>
      <w:r w:rsidR="00E7389F" w:rsidRPr="000F2308">
        <w:t xml:space="preserve"> (Chart </w:t>
      </w:r>
      <w:r w:rsidR="00BB10DE" w:rsidRPr="000F2308">
        <w:t>14</w:t>
      </w:r>
      <w:r w:rsidR="00E7389F" w:rsidRPr="000F2308">
        <w:t>)</w:t>
      </w:r>
      <w:r w:rsidRPr="000F2308">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26"/>
      </w:tblGrid>
      <w:tr w:rsidR="007A0E9B" w:rsidRPr="00303FB9" w14:paraId="18A69BE7" w14:textId="77777777" w:rsidTr="00A1497C">
        <w:tc>
          <w:tcPr>
            <w:tcW w:w="2500" w:type="pct"/>
          </w:tcPr>
          <w:p w14:paraId="393DF32B" w14:textId="302BD749" w:rsidR="007A0E9B" w:rsidRPr="000F2308" w:rsidRDefault="007A0E9B" w:rsidP="00546C26">
            <w:pPr>
              <w:pStyle w:val="ChartMainHeading"/>
            </w:pPr>
            <w:r w:rsidRPr="00AD1F92">
              <w:t xml:space="preserve">Chart </w:t>
            </w:r>
            <w:r w:rsidR="002E150E" w:rsidRPr="00AD1F92">
              <w:t>1</w:t>
            </w:r>
            <w:r w:rsidR="002F138D" w:rsidRPr="00AD1F92">
              <w:t>4</w:t>
            </w:r>
            <w:r w:rsidR="005554B6" w:rsidRPr="00AD1F92">
              <w:t>:</w:t>
            </w:r>
            <w:r w:rsidRPr="00AD1F92">
              <w:t xml:space="preserve"> </w:t>
            </w:r>
            <w:r w:rsidR="00F46DEF" w:rsidRPr="00AD1F92">
              <w:t xml:space="preserve">Impact of current policies on Australia’s </w:t>
            </w:r>
            <w:r w:rsidRPr="00AD1F92">
              <w:t>2030</w:t>
            </w:r>
            <w:r w:rsidR="00F46DEF" w:rsidRPr="00AD1F92">
              <w:t xml:space="preserve"> emissions target</w:t>
            </w:r>
          </w:p>
        </w:tc>
      </w:tr>
      <w:tr w:rsidR="007A0E9B" w:rsidRPr="00303FB9" w14:paraId="27A92276" w14:textId="77777777" w:rsidTr="00A1497C">
        <w:trPr>
          <w:trHeight w:val="3969"/>
        </w:trPr>
        <w:tc>
          <w:tcPr>
            <w:tcW w:w="2500" w:type="pct"/>
            <w:vAlign w:val="center"/>
          </w:tcPr>
          <w:p w14:paraId="54405B38" w14:textId="711DACDC" w:rsidR="00D82BF5" w:rsidRPr="000F2308" w:rsidRDefault="006A6672" w:rsidP="00725036">
            <w:pPr>
              <w:pStyle w:val="Bullet"/>
              <w:numPr>
                <w:ilvl w:val="0"/>
                <w:numId w:val="0"/>
              </w:numPr>
              <w:jc w:val="center"/>
              <w:rPr>
                <w:noProof/>
              </w:rPr>
            </w:pPr>
            <w:r w:rsidRPr="006A6672">
              <w:rPr>
                <w:noProof/>
              </w:rPr>
              <w:drawing>
                <wp:inline distT="0" distB="0" distL="0" distR="0" wp14:anchorId="1A7D5BC6" wp14:editId="56368B7A">
                  <wp:extent cx="5594350" cy="2619375"/>
                  <wp:effectExtent l="0" t="0" r="0" b="0"/>
                  <wp:docPr id="32" name="Picture 2">
                    <a:extLst xmlns:a="http://schemas.openxmlformats.org/drawingml/2006/main">
                      <a:ext uri="{FF2B5EF4-FFF2-40B4-BE49-F238E27FC236}">
                        <a16:creationId xmlns:a16="http://schemas.microsoft.com/office/drawing/2014/main" id="{D6666B58-43E7-CD41-3E84-F81621217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6666B58-43E7-CD41-3E84-F816212175CF}"/>
                              </a:ext>
                            </a:extLst>
                          </pic:cNvPr>
                          <pic:cNvPicPr>
                            <a:picLocks noChangeAspect="1"/>
                          </pic:cNvPicPr>
                        </pic:nvPicPr>
                        <pic:blipFill>
                          <a:blip r:embed="rId25"/>
                          <a:stretch>
                            <a:fillRect/>
                          </a:stretch>
                        </pic:blipFill>
                        <pic:spPr>
                          <a:xfrm>
                            <a:off x="0" y="0"/>
                            <a:ext cx="5594350" cy="2619375"/>
                          </a:xfrm>
                          <a:prstGeom prst="rect">
                            <a:avLst/>
                          </a:prstGeom>
                        </pic:spPr>
                      </pic:pic>
                    </a:graphicData>
                  </a:graphic>
                </wp:inline>
              </w:drawing>
            </w:r>
          </w:p>
          <w:p w14:paraId="22295B88" w14:textId="454153F2" w:rsidR="007A0E9B" w:rsidRPr="000F2308" w:rsidRDefault="007A0E9B" w:rsidP="005554B6">
            <w:pPr>
              <w:pStyle w:val="ChartandTableFootnoteSmall"/>
              <w:jc w:val="left"/>
              <w:rPr>
                <w:noProof/>
              </w:rPr>
            </w:pPr>
            <w:r w:rsidRPr="000F2308">
              <w:t>Source:</w:t>
            </w:r>
            <w:r w:rsidR="005554B6" w:rsidRPr="000F2308">
              <w:tab/>
            </w:r>
            <w:r w:rsidRPr="000F2308">
              <w:t>Australia’s emissions projections 2022</w:t>
            </w:r>
          </w:p>
        </w:tc>
      </w:tr>
    </w:tbl>
    <w:bookmarkEnd w:id="11"/>
    <w:p w14:paraId="7E71ED59" w14:textId="63F73422" w:rsidR="007D12DA" w:rsidRPr="000F2308" w:rsidRDefault="009E7DF7" w:rsidP="009A6FB8">
      <w:pPr>
        <w:spacing w:before="160"/>
      </w:pPr>
      <w:r w:rsidRPr="000F2308">
        <w:t>Powering Australia p</w:t>
      </w:r>
      <w:r w:rsidR="007D12DA" w:rsidRPr="000F2308">
        <w:t>olicies include:</w:t>
      </w:r>
    </w:p>
    <w:p w14:paraId="11C27957" w14:textId="047BA578" w:rsidR="00A15796" w:rsidRPr="000F2308" w:rsidRDefault="00991E0E" w:rsidP="00F94979">
      <w:pPr>
        <w:pStyle w:val="Bullet"/>
      </w:pPr>
      <w:r w:rsidRPr="000F2308">
        <w:t>Rewiring the Nation</w:t>
      </w:r>
      <w:r w:rsidR="008135E6" w:rsidRPr="000F2308">
        <w:t>, which</w:t>
      </w:r>
      <w:r w:rsidRPr="000F2308">
        <w:t xml:space="preserve"> provides </w:t>
      </w:r>
      <w:r w:rsidR="0030207B" w:rsidRPr="000F2308">
        <w:t>1.8 trillion Yen (</w:t>
      </w:r>
      <w:r w:rsidR="00B3203F" w:rsidRPr="000F2308">
        <w:t>A</w:t>
      </w:r>
      <w:r w:rsidRPr="000F2308">
        <w:t>$20 billion</w:t>
      </w:r>
      <w:r w:rsidR="0030207B" w:rsidRPr="000F2308">
        <w:t>)</w:t>
      </w:r>
      <w:r w:rsidRPr="000F2308">
        <w:t xml:space="preserve"> in concessional loans and equity for investment in transmission infrastructure projects that will </w:t>
      </w:r>
      <w:r w:rsidR="007D12DA" w:rsidRPr="000F2308">
        <w:t xml:space="preserve">allow for increased renewable energy in </w:t>
      </w:r>
      <w:r w:rsidRPr="000F2308">
        <w:t>Australia’s electricity grids.</w:t>
      </w:r>
    </w:p>
    <w:p w14:paraId="024F1294" w14:textId="2D102622" w:rsidR="00991E0E" w:rsidRPr="000F2308" w:rsidRDefault="007D12DA" w:rsidP="00F94979">
      <w:pPr>
        <w:pStyle w:val="Bullet"/>
      </w:pPr>
      <w:r w:rsidRPr="000F2308">
        <w:t>T</w:t>
      </w:r>
      <w:r w:rsidR="00991E0E" w:rsidRPr="000F2308">
        <w:t>he Powering the Regions Fund</w:t>
      </w:r>
      <w:r w:rsidR="008135E6" w:rsidRPr="000F2308">
        <w:t>, which</w:t>
      </w:r>
      <w:r w:rsidR="00991E0E" w:rsidRPr="000F2308">
        <w:t xml:space="preserve"> provides </w:t>
      </w:r>
      <w:r w:rsidR="009404F1" w:rsidRPr="000F2308">
        <w:t xml:space="preserve">more than </w:t>
      </w:r>
      <w:r w:rsidR="0030207B" w:rsidRPr="000F2308">
        <w:t>117.2 billion Yen (</w:t>
      </w:r>
      <w:r w:rsidR="00B3203F" w:rsidRPr="000F2308">
        <w:t>A</w:t>
      </w:r>
      <w:r w:rsidR="00991E0E" w:rsidRPr="000F2308">
        <w:t>$1.</w:t>
      </w:r>
      <w:r w:rsidR="009404F1" w:rsidRPr="000F2308">
        <w:t>3</w:t>
      </w:r>
      <w:r w:rsidR="00037F8E">
        <w:t> </w:t>
      </w:r>
      <w:r w:rsidR="00991E0E" w:rsidRPr="000F2308">
        <w:t>billion</w:t>
      </w:r>
      <w:r w:rsidR="0030207B" w:rsidRPr="000F2308">
        <w:t>)</w:t>
      </w:r>
      <w:r w:rsidR="00B3203F" w:rsidRPr="000F2308">
        <w:t xml:space="preserve"> </w:t>
      </w:r>
      <w:r w:rsidR="00991E0E" w:rsidRPr="000F2308">
        <w:t xml:space="preserve">to </w:t>
      </w:r>
      <w:r w:rsidR="009404F1" w:rsidRPr="000F2308">
        <w:t>support the decarbonisation of existing industries and the development of new clean energy industries</w:t>
      </w:r>
      <w:r w:rsidR="00991E0E" w:rsidRPr="000F2308">
        <w:t>.</w:t>
      </w:r>
    </w:p>
    <w:p w14:paraId="48F163BD" w14:textId="066188A3" w:rsidR="008A2986" w:rsidRPr="00546C26" w:rsidRDefault="008A2986" w:rsidP="009034F0">
      <w:pPr>
        <w:pStyle w:val="Heading2"/>
      </w:pPr>
      <w:r w:rsidRPr="00546C26">
        <w:t xml:space="preserve">Safeguard Mechanism </w:t>
      </w:r>
      <w:r w:rsidR="00F07E93" w:rsidRPr="00546C26">
        <w:t>r</w:t>
      </w:r>
      <w:r w:rsidRPr="00546C26">
        <w:t>eforms</w:t>
      </w:r>
    </w:p>
    <w:p w14:paraId="42336C29" w14:textId="69F37477" w:rsidR="009E7DF7" w:rsidRPr="000F2308" w:rsidRDefault="007D12DA" w:rsidP="00486466">
      <w:r w:rsidRPr="000F2308">
        <w:t>The</w:t>
      </w:r>
      <w:r w:rsidR="004003DE" w:rsidRPr="000F2308">
        <w:t xml:space="preserve"> Safeguard Mechanism </w:t>
      </w:r>
      <w:r w:rsidRPr="000F2308">
        <w:t>will</w:t>
      </w:r>
      <w:r w:rsidR="009E7DF7" w:rsidRPr="000F2308">
        <w:t xml:space="preserve"> </w:t>
      </w:r>
      <w:r w:rsidR="004003DE" w:rsidRPr="000F2308">
        <w:t xml:space="preserve">ensure Australia’s largest </w:t>
      </w:r>
      <w:r w:rsidR="004464AD" w:rsidRPr="000F2308">
        <w:t xml:space="preserve">emitters </w:t>
      </w:r>
      <w:r w:rsidR="004003DE" w:rsidRPr="000F2308">
        <w:t xml:space="preserve">reduce their emissions and contribute their share of Australia’s national abatement task. </w:t>
      </w:r>
      <w:r w:rsidR="009E7DF7" w:rsidRPr="000F2308">
        <w:t xml:space="preserve">There are around 215 facilities covered by the Safeguard Mechanism </w:t>
      </w:r>
      <w:r w:rsidR="001F7319" w:rsidRPr="000F2308">
        <w:t>(</w:t>
      </w:r>
      <w:r w:rsidR="009E7DF7" w:rsidRPr="000F2308">
        <w:t>28 per cent of Australia’s emissions</w:t>
      </w:r>
      <w:r w:rsidR="001F7319" w:rsidRPr="000F2308">
        <w:t>)</w:t>
      </w:r>
      <w:r w:rsidR="009E7DF7" w:rsidRPr="000F2308">
        <w:t>.</w:t>
      </w:r>
    </w:p>
    <w:p w14:paraId="369A86AC" w14:textId="5BB5C0AA" w:rsidR="00413C4A" w:rsidRPr="000F2308" w:rsidRDefault="009E7DF7" w:rsidP="00310E26">
      <w:r w:rsidRPr="000F2308">
        <w:t>R</w:t>
      </w:r>
      <w:r w:rsidR="004003DE" w:rsidRPr="000F2308">
        <w:t xml:space="preserve">eforms </w:t>
      </w:r>
      <w:r w:rsidRPr="000F2308">
        <w:t>to the Safeguard Mechanism</w:t>
      </w:r>
      <w:r w:rsidR="001C19F4" w:rsidRPr="000F2308">
        <w:t xml:space="preserve"> </w:t>
      </w:r>
      <w:r w:rsidRPr="000F2308">
        <w:t>commenc</w:t>
      </w:r>
      <w:r w:rsidR="002833EF" w:rsidRPr="000F2308">
        <w:t>ing</w:t>
      </w:r>
      <w:r w:rsidR="004003DE" w:rsidRPr="000F2308">
        <w:t xml:space="preserve"> on 1 July 2023 will predictably and gradually lower emissions ceilings of Safeguard facilities over time in line with Australia’s 2030 target and put these facilities on track to net zero by 2050.</w:t>
      </w:r>
    </w:p>
    <w:p w14:paraId="04324DFF" w14:textId="059A8FA6" w:rsidR="0008514E" w:rsidRPr="00546C26" w:rsidRDefault="0008514E" w:rsidP="009034F0">
      <w:pPr>
        <w:pStyle w:val="Heading2"/>
      </w:pPr>
      <w:r w:rsidRPr="00546C26">
        <w:t>E</w:t>
      </w:r>
      <w:r w:rsidR="00D566C2" w:rsidRPr="00546C26">
        <w:t>nergy transition</w:t>
      </w:r>
      <w:r w:rsidR="00BF3FA0" w:rsidRPr="00546C26">
        <w:t>:</w:t>
      </w:r>
      <w:r w:rsidR="000C465A" w:rsidRPr="00546C26">
        <w:t xml:space="preserve"> partner</w:t>
      </w:r>
      <w:r w:rsidR="00146012" w:rsidRPr="00546C26">
        <w:t>ing</w:t>
      </w:r>
      <w:r w:rsidR="000C465A" w:rsidRPr="00546C26">
        <w:t xml:space="preserve"> on clean energy projects</w:t>
      </w:r>
    </w:p>
    <w:p w14:paraId="06A2427D" w14:textId="1944CAF6" w:rsidR="001F7319" w:rsidRPr="000F2308" w:rsidRDefault="00EF33BE" w:rsidP="001F7319">
      <w:r w:rsidRPr="000F2308">
        <w:t xml:space="preserve">The Australian Government </w:t>
      </w:r>
      <w:r w:rsidR="00E513FD" w:rsidRPr="000F2308">
        <w:t>has</w:t>
      </w:r>
      <w:r w:rsidRPr="000F2308">
        <w:t xml:space="preserve"> </w:t>
      </w:r>
      <w:r w:rsidR="00BF083A" w:rsidRPr="000F2308">
        <w:t>set an ambition to achieve an</w:t>
      </w:r>
      <w:r w:rsidRPr="000F2308">
        <w:t xml:space="preserve"> 82 per cent renewable electricity-based grid by 2030</w:t>
      </w:r>
      <w:r w:rsidR="00F168B6" w:rsidRPr="000F2308">
        <w:t xml:space="preserve">. </w:t>
      </w:r>
      <w:r w:rsidR="001F7319" w:rsidRPr="000F2308">
        <w:t>Australia is well placed for renewable energy generation. We have abundant solar and wind resources, including the world’s second highest potential for solar power.</w:t>
      </w:r>
    </w:p>
    <w:p w14:paraId="42C31E56" w14:textId="48041A82" w:rsidR="0011702C" w:rsidRPr="000F2308" w:rsidRDefault="0011702C" w:rsidP="00486466">
      <w:r w:rsidRPr="000F2308">
        <w:lastRenderedPageBreak/>
        <w:t xml:space="preserve">Australia </w:t>
      </w:r>
      <w:r w:rsidR="00231598" w:rsidRPr="000F2308">
        <w:t>is supporting</w:t>
      </w:r>
      <w:r w:rsidRPr="000F2308">
        <w:t xml:space="preserve"> global decarboni</w:t>
      </w:r>
      <w:r w:rsidR="00E513FD" w:rsidRPr="000F2308">
        <w:t>s</w:t>
      </w:r>
      <w:r w:rsidRPr="000F2308">
        <w:t>ation efforts</w:t>
      </w:r>
      <w:r w:rsidR="00231598" w:rsidRPr="000F2308">
        <w:t xml:space="preserve"> by</w:t>
      </w:r>
      <w:r w:rsidRPr="000F2308">
        <w:t xml:space="preserve"> exporting gas as a flexible fuel to support renewable energy, supplying critical minerals needed for clean energy technologies, and developing new technologies like hydrogen.</w:t>
      </w:r>
      <w:r w:rsidR="000A23D0" w:rsidRPr="000F2308">
        <w:t xml:space="preserve"> We are a complementary partner to Japan’s decarbonisation strategy.</w:t>
      </w:r>
    </w:p>
    <w:p w14:paraId="1111FE89" w14:textId="7D033656" w:rsidR="00EF33BE" w:rsidRPr="000F2308" w:rsidRDefault="00FA5037" w:rsidP="00486466">
      <w:r w:rsidRPr="000F2308">
        <w:t xml:space="preserve">Remaining a reliable and secure partner </w:t>
      </w:r>
      <w:r w:rsidR="008135E6" w:rsidRPr="000F2308">
        <w:t>is</w:t>
      </w:r>
      <w:r w:rsidRPr="000F2308">
        <w:t xml:space="preserve"> critical in securing the investment we need </w:t>
      </w:r>
      <w:r w:rsidR="001F7319" w:rsidRPr="000F2308">
        <w:t xml:space="preserve">for </w:t>
      </w:r>
      <w:r w:rsidRPr="000F2308">
        <w:t>our domestic energy transition</w:t>
      </w:r>
      <w:r w:rsidR="001F7319" w:rsidRPr="000F2308">
        <w:t xml:space="preserve"> </w:t>
      </w:r>
      <w:r w:rsidR="008135E6" w:rsidRPr="000F2308">
        <w:t xml:space="preserve">and to </w:t>
      </w:r>
      <w:r w:rsidRPr="000F2308">
        <w:t>support other economies to decarbonise.</w:t>
      </w:r>
    </w:p>
    <w:p w14:paraId="7F487740" w14:textId="0689B328" w:rsidR="00C96F2A" w:rsidRPr="00546C26" w:rsidRDefault="000F4C8D" w:rsidP="00FF0DA9">
      <w:pPr>
        <w:pStyle w:val="Heading2"/>
      </w:pPr>
      <w:r w:rsidRPr="00546C26">
        <w:t>Australia’s g</w:t>
      </w:r>
      <w:r w:rsidR="00C96F2A" w:rsidRPr="00546C26">
        <w:t>a</w:t>
      </w:r>
      <w:r w:rsidRPr="00546C26">
        <w:t>s policies</w:t>
      </w:r>
    </w:p>
    <w:p w14:paraId="51DAA679" w14:textId="77777777" w:rsidR="001766F5" w:rsidRPr="000F2308" w:rsidRDefault="00C96F2A" w:rsidP="00486466">
      <w:bookmarkStart w:id="12" w:name="_Hlk134611633"/>
      <w:r w:rsidRPr="000F2308">
        <w:t xml:space="preserve">The Australian Government’s strong commitments to climate action were designed in a way that would not affect the Government’s role as a reliable and committed energy partner. </w:t>
      </w:r>
    </w:p>
    <w:p w14:paraId="11A132A0" w14:textId="6BB2CB58" w:rsidR="00F344F8" w:rsidRPr="000F2308" w:rsidRDefault="00C96F2A" w:rsidP="00486466">
      <w:r w:rsidRPr="000F2308">
        <w:t>The Government immensely values its trade relationships, particularly our relationship with Japan, and intend</w:t>
      </w:r>
      <w:r w:rsidR="00BF3A0A" w:rsidRPr="000F2308">
        <w:t>s</w:t>
      </w:r>
      <w:r w:rsidRPr="000F2308">
        <w:t xml:space="preserve"> to maintain and build on these relationships through the transition to net zero.</w:t>
      </w:r>
      <w:r w:rsidR="00813758" w:rsidRPr="000F2308">
        <w:t xml:space="preserve"> </w:t>
      </w:r>
    </w:p>
    <w:p w14:paraId="1A3F24E7" w14:textId="72364FBF" w:rsidR="001766F5" w:rsidRPr="000F2308" w:rsidRDefault="00546C26" w:rsidP="00486466">
      <w:r>
        <w:t xml:space="preserve">We </w:t>
      </w:r>
      <w:r w:rsidR="00F344F8" w:rsidRPr="000F2308">
        <w:t xml:space="preserve">acknowledge the critical role of gas in the energy transition and Australia’s role as a reliable supplier of this resource for decades to come. </w:t>
      </w:r>
      <w:r w:rsidR="009A358B" w:rsidRPr="000F2308">
        <w:t>Australia remains committed to being a reliable and secure energy and trade investment partner</w:t>
      </w:r>
      <w:r w:rsidR="00A540AA" w:rsidRPr="000F2308">
        <w:t>, including future opportunities presented by new, clean energy industries</w:t>
      </w:r>
      <w:r w:rsidR="009A358B" w:rsidRPr="000F2308">
        <w:t>.</w:t>
      </w:r>
      <w:r w:rsidR="00D62441" w:rsidRPr="000F2308">
        <w:t xml:space="preserve"> </w:t>
      </w:r>
      <w:r w:rsidR="00F344F8" w:rsidRPr="000F2308">
        <w:t xml:space="preserve">The Government also welcomes initiatives to decarbonise gas, including </w:t>
      </w:r>
      <w:r w:rsidR="00D62441" w:rsidRPr="000F2308">
        <w:t>supporting</w:t>
      </w:r>
      <w:r w:rsidR="0012274B" w:rsidRPr="000F2308">
        <w:t xml:space="preserve"> </w:t>
      </w:r>
      <w:r w:rsidR="00DB686A" w:rsidRPr="000F2308">
        <w:t xml:space="preserve">development of hydrogen industries and </w:t>
      </w:r>
      <w:r w:rsidR="0012274B" w:rsidRPr="000F2308">
        <w:t>carbon capture and storage</w:t>
      </w:r>
      <w:r w:rsidR="00DB686A" w:rsidRPr="000F2308">
        <w:t>.</w:t>
      </w:r>
    </w:p>
    <w:bookmarkEnd w:id="9"/>
    <w:bookmarkEnd w:id="10"/>
    <w:bookmarkEnd w:id="12"/>
    <w:p w14:paraId="76E98068" w14:textId="044D48B2" w:rsidR="009922B6" w:rsidRPr="007F0955" w:rsidRDefault="00303FB9" w:rsidP="009034F0">
      <w:pPr>
        <w:pStyle w:val="Heading1"/>
      </w:pPr>
      <w:r>
        <w:fldChar w:fldCharType="begin"/>
      </w:r>
      <w:r>
        <w:instrText xml:space="preserve"> :End:LEIID_BM3 </w:instrText>
      </w:r>
      <w:r>
        <w:fldChar w:fldCharType="end"/>
      </w:r>
      <w:r w:rsidR="005102D0" w:rsidRPr="007F0955">
        <w:t>Conclusion</w:t>
      </w:r>
    </w:p>
    <w:p w14:paraId="5838B1A0" w14:textId="77777777" w:rsidR="00546C26" w:rsidRDefault="00303FB9" w:rsidP="00486466">
      <w:r>
        <w:fldChar w:fldCharType="begin"/>
      </w:r>
      <w:r>
        <w:instrText xml:space="preserve"> :Start:BPD_OR3 </w:instrText>
      </w:r>
      <w:r>
        <w:fldChar w:fldCharType="end"/>
      </w:r>
      <w:r w:rsidR="002D7027" w:rsidRPr="000F2308">
        <w:t>In conclusion</w:t>
      </w:r>
      <w:r w:rsidR="001C19F4" w:rsidRPr="000F2308">
        <w:t>,</w:t>
      </w:r>
      <w:r w:rsidR="002D7027" w:rsidRPr="000F2308">
        <w:t xml:space="preserve"> t</w:t>
      </w:r>
      <w:r w:rsidR="008733B6" w:rsidRPr="000F2308">
        <w:t xml:space="preserve">he Australia-Japan relationship has a long history and a bright future. </w:t>
      </w:r>
    </w:p>
    <w:p w14:paraId="74DB5310" w14:textId="289E33DF" w:rsidR="008733B6" w:rsidRPr="000F2308" w:rsidRDefault="002D7027" w:rsidP="00486466">
      <w:r w:rsidRPr="000F2308">
        <w:t>Australia</w:t>
      </w:r>
      <w:r w:rsidR="001F7319" w:rsidRPr="000F2308">
        <w:t xml:space="preserve"> </w:t>
      </w:r>
      <w:r w:rsidR="00CD206B" w:rsidRPr="000F2308">
        <w:t>is</w:t>
      </w:r>
      <w:r w:rsidR="001F7319" w:rsidRPr="000F2308">
        <w:t xml:space="preserve"> a good partner </w:t>
      </w:r>
      <w:r w:rsidR="004469A8" w:rsidRPr="000F2308">
        <w:t xml:space="preserve">and investment destination for Japanese investors with our strong economic, </w:t>
      </w:r>
      <w:proofErr w:type="gramStart"/>
      <w:r w:rsidR="004469A8" w:rsidRPr="000F2308">
        <w:t>fiscal</w:t>
      </w:r>
      <w:proofErr w:type="gramEnd"/>
      <w:r w:rsidR="004469A8" w:rsidRPr="000F2308">
        <w:t xml:space="preserve"> and green credentials. </w:t>
      </w:r>
    </w:p>
    <w:p w14:paraId="1FA26321" w14:textId="77777777" w:rsidR="00382F2F" w:rsidRDefault="001F7319" w:rsidP="00486466">
      <w:r w:rsidRPr="000F2308">
        <w:t xml:space="preserve">I </w:t>
      </w:r>
      <w:r w:rsidR="008733B6" w:rsidRPr="000F2308">
        <w:t xml:space="preserve">look forward to </w:t>
      </w:r>
      <w:r w:rsidR="00DC28BC" w:rsidRPr="000F2308">
        <w:t xml:space="preserve">a </w:t>
      </w:r>
      <w:r w:rsidR="008733B6" w:rsidRPr="000F2308">
        <w:t>continu</w:t>
      </w:r>
      <w:r w:rsidR="001C19F4" w:rsidRPr="000F2308">
        <w:t>ing,</w:t>
      </w:r>
      <w:r w:rsidR="00DC28BC" w:rsidRPr="000F2308">
        <w:t xml:space="preserve"> strong relationship between </w:t>
      </w:r>
      <w:r w:rsidRPr="000F2308">
        <w:t>Australia</w:t>
      </w:r>
      <w:r w:rsidR="00DC28BC" w:rsidRPr="000F2308">
        <w:t xml:space="preserve"> and Japan </w:t>
      </w:r>
      <w:r w:rsidR="004469A8" w:rsidRPr="000F2308">
        <w:t>in the decades</w:t>
      </w:r>
      <w:r w:rsidR="00F86957" w:rsidRPr="000F2308">
        <w:t xml:space="preserve"> to come</w:t>
      </w:r>
      <w:r w:rsidR="008733B6" w:rsidRPr="000F2308">
        <w:t>.</w:t>
      </w:r>
    </w:p>
    <w:p w14:paraId="4103F7BD" w14:textId="00BCEADC" w:rsidR="008733B6" w:rsidRPr="00597B5F" w:rsidRDefault="00382F2F" w:rsidP="00486466">
      <w:r>
        <w:t xml:space="preserve">Thank you. </w:t>
      </w:r>
      <w:r w:rsidR="00303FB9">
        <w:fldChar w:fldCharType="begin"/>
      </w:r>
      <w:r w:rsidR="00303FB9">
        <w:instrText xml:space="preserve"> :End:BPD_OR3 </w:instrText>
      </w:r>
      <w:r w:rsidR="00303FB9">
        <w:fldChar w:fldCharType="end"/>
      </w:r>
    </w:p>
    <w:sectPr w:rsidR="008733B6" w:rsidRPr="00597B5F" w:rsidSect="00B417A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E621" w14:textId="77777777" w:rsidR="00AC0880" w:rsidRDefault="00AC0880" w:rsidP="00301F40">
      <w:pPr>
        <w:spacing w:after="0"/>
      </w:pPr>
      <w:r>
        <w:separator/>
      </w:r>
    </w:p>
  </w:endnote>
  <w:endnote w:type="continuationSeparator" w:id="0">
    <w:p w14:paraId="7C6A6F40" w14:textId="77777777" w:rsidR="00AC0880" w:rsidRDefault="00AC0880" w:rsidP="00301F40">
      <w:pPr>
        <w:spacing w:after="0"/>
      </w:pPr>
      <w:r>
        <w:continuationSeparator/>
      </w:r>
    </w:p>
  </w:endnote>
  <w:endnote w:type="continuationNotice" w:id="1">
    <w:p w14:paraId="5E8C7521" w14:textId="77777777" w:rsidR="00AC0880" w:rsidRDefault="00AC08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032E" w14:textId="77777777" w:rsidR="00D51DC4" w:rsidRDefault="00D51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7E3E" w14:textId="65ABEB6A" w:rsidR="00B417A8" w:rsidRDefault="00B417A8" w:rsidP="00B417A8">
    <w:pPr>
      <w:pStyle w:val="Footer"/>
      <w:jc w:val="right"/>
    </w:pPr>
    <w:r>
      <w:t xml:space="preserve">Page </w:t>
    </w:r>
    <w:sdt>
      <w:sdtPr>
        <w:id w:val="1173065661"/>
        <w:docPartObj>
          <w:docPartGallery w:val="Page Numbers (Bottom of Page)"/>
          <w:docPartUnique/>
        </w:docPartObj>
      </w:sdtPr>
      <w:sdtEndPr>
        <w:rPr>
          <w:noProof/>
        </w:rPr>
      </w:sdtEndPr>
      <w:sdtContent>
        <w:r w:rsidRPr="00B417A8">
          <w:rPr>
            <w:b/>
            <w:bCs/>
          </w:rPr>
          <w:fldChar w:fldCharType="begin"/>
        </w:r>
        <w:r w:rsidRPr="00B417A8">
          <w:rPr>
            <w:b/>
            <w:bCs/>
          </w:rPr>
          <w:instrText xml:space="preserve"> PAGE   \* MERGEFORMAT </w:instrText>
        </w:r>
        <w:r w:rsidRPr="00B417A8">
          <w:rPr>
            <w:b/>
            <w:bCs/>
          </w:rPr>
          <w:fldChar w:fldCharType="separate"/>
        </w:r>
        <w:r w:rsidRPr="00B417A8">
          <w:rPr>
            <w:b/>
            <w:bCs/>
            <w:noProof/>
          </w:rPr>
          <w:t>2</w:t>
        </w:r>
        <w:r w:rsidRPr="00B417A8">
          <w:rPr>
            <w:b/>
            <w:bCs/>
            <w:noProof/>
          </w:rPr>
          <w:fldChar w:fldCharType="end"/>
        </w:r>
        <w:r>
          <w:rPr>
            <w:noProof/>
          </w:rPr>
          <w:t xml:space="preserve"> of </w:t>
        </w:r>
        <w:r w:rsidRPr="00B417A8">
          <w:rPr>
            <w:b/>
            <w:bCs/>
            <w:noProof/>
          </w:rPr>
          <w:fldChar w:fldCharType="begin"/>
        </w:r>
        <w:r w:rsidRPr="00B417A8">
          <w:rPr>
            <w:b/>
            <w:bCs/>
            <w:noProof/>
          </w:rPr>
          <w:instrText xml:space="preserve"> NUMPAGES  \* Arabic  \* MERGEFORMAT </w:instrText>
        </w:r>
        <w:r w:rsidRPr="00B417A8">
          <w:rPr>
            <w:b/>
            <w:bCs/>
            <w:noProof/>
          </w:rPr>
          <w:fldChar w:fldCharType="separate"/>
        </w:r>
        <w:r w:rsidRPr="00B417A8">
          <w:rPr>
            <w:b/>
            <w:bCs/>
            <w:noProof/>
          </w:rPr>
          <w:t>9</w:t>
        </w:r>
        <w:r w:rsidRPr="00B417A8">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E2D6" w14:textId="77777777" w:rsidR="00D51DC4" w:rsidRDefault="00D51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F115A" w14:textId="77777777" w:rsidR="00AC0880" w:rsidRDefault="00AC0880" w:rsidP="00301F40">
      <w:pPr>
        <w:spacing w:after="0"/>
      </w:pPr>
      <w:r>
        <w:separator/>
      </w:r>
    </w:p>
  </w:footnote>
  <w:footnote w:type="continuationSeparator" w:id="0">
    <w:p w14:paraId="463034C8" w14:textId="77777777" w:rsidR="00AC0880" w:rsidRDefault="00AC0880" w:rsidP="00301F40">
      <w:pPr>
        <w:spacing w:after="0"/>
      </w:pPr>
      <w:r>
        <w:continuationSeparator/>
      </w:r>
    </w:p>
  </w:footnote>
  <w:footnote w:type="continuationNotice" w:id="1">
    <w:p w14:paraId="5416CC4C" w14:textId="77777777" w:rsidR="00AC0880" w:rsidRDefault="00AC0880">
      <w:pPr>
        <w:spacing w:after="0"/>
      </w:pPr>
    </w:p>
  </w:footnote>
  <w:footnote w:id="2">
    <w:p w14:paraId="5013FCBC" w14:textId="11090926" w:rsidR="00780263" w:rsidRPr="0095108C" w:rsidRDefault="00780263" w:rsidP="00780263">
      <w:pPr>
        <w:pStyle w:val="FootnoteText"/>
        <w:rPr>
          <w:rStyle w:val="FootnoteReference"/>
        </w:rPr>
      </w:pPr>
      <w:r w:rsidRPr="0095108C">
        <w:rPr>
          <w:rStyle w:val="FootnoteReference"/>
        </w:rPr>
        <w:sym w:font="Symbol" w:char="F02A"/>
      </w:r>
      <w:r>
        <w:t xml:space="preserve"> I would like to express my appreciation to </w:t>
      </w:r>
      <w:r w:rsidRPr="00780263">
        <w:t xml:space="preserve">Oliver Richards, Emma Baudinette, Patrick D'Arcy, Matt </w:t>
      </w:r>
      <w:proofErr w:type="gramStart"/>
      <w:r w:rsidRPr="00780263">
        <w:t>Maloney</w:t>
      </w:r>
      <w:proofErr w:type="gramEnd"/>
      <w:r>
        <w:t xml:space="preserve"> and Elise Whalan for their assistance in preparing this address.</w:t>
      </w:r>
    </w:p>
  </w:footnote>
  <w:footnote w:id="3">
    <w:p w14:paraId="007A4C59" w14:textId="08D46084" w:rsidR="00434BA8" w:rsidRDefault="00434BA8" w:rsidP="00D42F3C">
      <w:pPr>
        <w:pStyle w:val="FootnoteText"/>
      </w:pPr>
      <w:r>
        <w:rPr>
          <w:rStyle w:val="FootnoteReference"/>
        </w:rPr>
        <w:footnoteRef/>
      </w:r>
      <w:r>
        <w:t xml:space="preserve"> </w:t>
      </w:r>
      <w:r w:rsidRPr="000F2308">
        <w:t>Herbert Smith Freehills, ‘Japan-Australia Investment Report 2022: Decarbonisation and Energy Security’, (2023), 6th Edition, March.</w:t>
      </w:r>
    </w:p>
  </w:footnote>
  <w:footnote w:id="4">
    <w:p w14:paraId="59855330" w14:textId="527AA86C" w:rsidR="003A6006" w:rsidRDefault="003A6006">
      <w:pPr>
        <w:pStyle w:val="FootnoteText"/>
      </w:pPr>
      <w:r>
        <w:rPr>
          <w:rStyle w:val="FootnoteReference"/>
        </w:rPr>
        <w:footnoteRef/>
      </w:r>
      <w:r>
        <w:t xml:space="preserve"> </w:t>
      </w:r>
      <w:r w:rsidRPr="000F2308">
        <w:t xml:space="preserve">Australia’s Mining Monthly, </w:t>
      </w:r>
      <w:hyperlink r:id="rId1" w:history="1">
        <w:r w:rsidRPr="000F2308">
          <w:rPr>
            <w:i/>
          </w:rPr>
          <w:t>https://www.miningmonthly.com/logistics/news/1423618/japan-takes-2-billionth-tonne-of-rio-iron-ore</w:t>
        </w:r>
      </w:hyperlink>
      <w:r w:rsidRPr="000F2308">
        <w:t>, (2021), accessed 30 April 2023</w:t>
      </w:r>
    </w:p>
  </w:footnote>
  <w:footnote w:id="5">
    <w:p w14:paraId="2C8BD9A0" w14:textId="53AA9BE3" w:rsidR="004A2F1C" w:rsidRPr="00AB56E6" w:rsidRDefault="004A2F1C">
      <w:pPr>
        <w:pStyle w:val="FootnoteText"/>
      </w:pPr>
      <w:r w:rsidRPr="00AB56E6">
        <w:rPr>
          <w:rStyle w:val="FootnoteReference"/>
          <w:szCs w:val="16"/>
        </w:rPr>
        <w:footnoteRef/>
      </w:r>
      <w:r w:rsidRPr="00AB56E6">
        <w:t xml:space="preserve"> </w:t>
      </w:r>
      <w:r w:rsidRPr="000F2308">
        <w:t xml:space="preserve">International Monetary Fund, </w:t>
      </w:r>
      <w:r w:rsidR="009D3CCF" w:rsidRPr="000F2308">
        <w:t>‘</w:t>
      </w:r>
      <w:r w:rsidRPr="000F2308">
        <w:t xml:space="preserve">World </w:t>
      </w:r>
      <w:r w:rsidR="009D3CCF" w:rsidRPr="000F2308">
        <w:t>E</w:t>
      </w:r>
      <w:r w:rsidRPr="000F2308">
        <w:t xml:space="preserve">conomic </w:t>
      </w:r>
      <w:r w:rsidR="009D3CCF" w:rsidRPr="000F2308">
        <w:t>O</w:t>
      </w:r>
      <w:r w:rsidRPr="000F2308">
        <w:t>utlook</w:t>
      </w:r>
      <w:r w:rsidR="009D3CCF" w:rsidRPr="000F2308">
        <w:t xml:space="preserve"> Database</w:t>
      </w:r>
      <w:r w:rsidR="004661E2" w:rsidRPr="000F2308">
        <w:t xml:space="preserve">, </w:t>
      </w:r>
      <w:r w:rsidR="004C7B90" w:rsidRPr="000F2308">
        <w:t>April 2023,</w:t>
      </w:r>
      <w:r w:rsidR="00685F2E" w:rsidRPr="000F2308">
        <w:t xml:space="preserve"> </w:t>
      </w:r>
      <w:r w:rsidR="00685F2E" w:rsidRPr="000F2308">
        <w:rPr>
          <w:i/>
        </w:rPr>
        <w:t>International Monetary Fund</w:t>
      </w:r>
      <w:r w:rsidR="00495617" w:rsidRPr="000F2308">
        <w:t xml:space="preserve"> (202</w:t>
      </w:r>
      <w:r w:rsidR="00FF649C" w:rsidRPr="000F2308">
        <w:t>3</w:t>
      </w:r>
      <w:r w:rsidR="00495617" w:rsidRPr="000F2308">
        <w:t>)</w:t>
      </w:r>
      <w:r w:rsidR="00685F2E" w:rsidRPr="000F2308">
        <w:t>,</w:t>
      </w:r>
      <w:r w:rsidRPr="000F2308">
        <w:t xml:space="preserve"> </w:t>
      </w:r>
      <w:r w:rsidR="00FF649C" w:rsidRPr="000F2308">
        <w:t>U.S. Dollars</w:t>
      </w:r>
      <w:r w:rsidR="00685F2E" w:rsidRPr="000F2308">
        <w:t xml:space="preserve">, </w:t>
      </w:r>
      <w:hyperlink r:id="rId2" w:history="1">
        <w:r w:rsidR="004C7B90" w:rsidRPr="000F2308">
          <w:rPr>
            <w:rStyle w:val="Hyperlink"/>
            <w:rFonts w:cs="Arial"/>
            <w:color w:val="auto"/>
            <w:szCs w:val="16"/>
          </w:rPr>
          <w:t>https://www.imf.org/en/Publications/WEO/weo-database/2023/Apri</w:t>
        </w:r>
        <w:r w:rsidR="004C7B90" w:rsidRPr="000F2308">
          <w:rPr>
            <w:rStyle w:val="Hyperlink"/>
            <w:color w:val="auto"/>
            <w:szCs w:val="16"/>
          </w:rPr>
          <w:t>l</w:t>
        </w:r>
      </w:hyperlink>
      <w:r w:rsidR="00685F2E" w:rsidRPr="000F2308">
        <w:t>, accessed 26 April 2023.</w:t>
      </w:r>
    </w:p>
  </w:footnote>
  <w:footnote w:id="6">
    <w:p w14:paraId="431511DD" w14:textId="1490DD2F" w:rsidR="003D261F" w:rsidRPr="00AB56E6" w:rsidRDefault="003D261F">
      <w:pPr>
        <w:pStyle w:val="FootnoteText"/>
      </w:pPr>
      <w:r w:rsidRPr="00AB56E6">
        <w:rPr>
          <w:rStyle w:val="FootnoteReference"/>
          <w:szCs w:val="16"/>
        </w:rPr>
        <w:footnoteRef/>
      </w:r>
      <w:r w:rsidRPr="00AB56E6">
        <w:t xml:space="preserve"> </w:t>
      </w:r>
      <w:r w:rsidR="004A2F1C" w:rsidRPr="000F2308">
        <w:t xml:space="preserve">Credit Suisse Research Institute, </w:t>
      </w:r>
      <w:r w:rsidR="004A2F1C" w:rsidRPr="000F2308">
        <w:rPr>
          <w:i/>
        </w:rPr>
        <w:t>Global Wealth Report 2022</w:t>
      </w:r>
      <w:r w:rsidR="00495617" w:rsidRPr="000F2308">
        <w:t xml:space="preserve"> (2022), 5.</w:t>
      </w:r>
    </w:p>
  </w:footnote>
  <w:footnote w:id="7">
    <w:p w14:paraId="4B288BCD" w14:textId="25DBEE50" w:rsidR="00701C65" w:rsidRPr="00AB56E6" w:rsidRDefault="00701C65">
      <w:pPr>
        <w:pStyle w:val="FootnoteText"/>
      </w:pPr>
      <w:r w:rsidRPr="00AB56E6">
        <w:rPr>
          <w:rStyle w:val="FootnoteReference"/>
          <w:szCs w:val="16"/>
        </w:rPr>
        <w:footnoteRef/>
      </w:r>
      <w:r w:rsidRPr="00AB56E6">
        <w:t xml:space="preserve"> </w:t>
      </w:r>
      <w:r w:rsidRPr="000F2308">
        <w:t>Fitch Ratings</w:t>
      </w:r>
      <w:r w:rsidR="00495617" w:rsidRPr="000F2308">
        <w:t>,</w:t>
      </w:r>
      <w:r w:rsidRPr="000F2308">
        <w:t xml:space="preserve"> </w:t>
      </w:r>
      <w:r w:rsidR="00C71A5B" w:rsidRPr="000F2308">
        <w:t xml:space="preserve">‘Fitch Affirms Australia at 'AAA'; Outlook Stable’, </w:t>
      </w:r>
      <w:r w:rsidR="00C71A5B" w:rsidRPr="000F2308">
        <w:rPr>
          <w:i/>
        </w:rPr>
        <w:t>Fitch Ratings</w:t>
      </w:r>
      <w:r w:rsidR="00C71A5B" w:rsidRPr="000F2308">
        <w:t xml:space="preserve"> (</w:t>
      </w:r>
      <w:r w:rsidRPr="000F2308">
        <w:t>2 Dec</w:t>
      </w:r>
      <w:r w:rsidR="00C71A5B" w:rsidRPr="000F2308">
        <w:t>.</w:t>
      </w:r>
      <w:r w:rsidRPr="000F2308">
        <w:t xml:space="preserve"> 2022</w:t>
      </w:r>
      <w:r w:rsidR="00C71A5B" w:rsidRPr="000F2308">
        <w:t>), https://www.fitchratings.com/research/sovereigns/fitch-affirms-australia-at-aaa-outlook-stable-02-12-2022#:~:text=Fitch%20Ratings%20%2D%20Hong%20Kong%20%2D%2002,of%20this%20rating%20action%20commentary, accessed 26 April 2023.</w:t>
      </w:r>
    </w:p>
  </w:footnote>
  <w:footnote w:id="8">
    <w:p w14:paraId="0BA7CDAE" w14:textId="46941592" w:rsidR="0092160D" w:rsidRPr="00AB56E6" w:rsidRDefault="0092160D" w:rsidP="007343BE">
      <w:pPr>
        <w:pStyle w:val="FootnoteText"/>
      </w:pPr>
      <w:r w:rsidRPr="00AB56E6">
        <w:rPr>
          <w:rStyle w:val="FootnoteReference"/>
          <w:szCs w:val="16"/>
        </w:rPr>
        <w:footnoteRef/>
      </w:r>
      <w:r w:rsidRPr="00AB56E6">
        <w:t xml:space="preserve"> </w:t>
      </w:r>
      <w:r w:rsidR="007343BE" w:rsidRPr="000F2308">
        <w:t xml:space="preserve">Organisation for Economic Co-operation and Development, </w:t>
      </w:r>
      <w:r w:rsidR="000F4619" w:rsidRPr="000F2308">
        <w:t>‘</w:t>
      </w:r>
      <w:r w:rsidR="007343BE" w:rsidRPr="000F2308">
        <w:t>Tax revenue</w:t>
      </w:r>
      <w:r w:rsidR="000F4619" w:rsidRPr="000F2308">
        <w:t xml:space="preserve">’, </w:t>
      </w:r>
      <w:r w:rsidR="000F4619" w:rsidRPr="000F2308">
        <w:rPr>
          <w:i/>
        </w:rPr>
        <w:t>OECD Data</w:t>
      </w:r>
      <w:r w:rsidR="000F4619" w:rsidRPr="000F2308">
        <w:t xml:space="preserve"> (</w:t>
      </w:r>
      <w:r w:rsidR="007343BE" w:rsidRPr="000F2308">
        <w:t>2023</w:t>
      </w:r>
      <w:r w:rsidR="000F4619" w:rsidRPr="000F2308">
        <w:t>), https://data.oecd.org/tax/tax-revenue.htm, accessed 26 April</w:t>
      </w:r>
      <w:r w:rsidRPr="000F2308" w:rsidDel="007343BE">
        <w:t xml:space="preserve"> 2023</w:t>
      </w:r>
      <w:r w:rsidRPr="000F2308" w:rsidDel="00D86430">
        <w:t>.</w:t>
      </w:r>
    </w:p>
  </w:footnote>
  <w:footnote w:id="9">
    <w:p w14:paraId="1FB209D2" w14:textId="4B3DF838" w:rsidR="009D242A" w:rsidRPr="00146012" w:rsidRDefault="009D242A">
      <w:pPr>
        <w:pStyle w:val="FootnoteText"/>
      </w:pPr>
      <w:r w:rsidRPr="00AB56E6">
        <w:rPr>
          <w:rStyle w:val="FootnoteReference"/>
          <w:szCs w:val="16"/>
        </w:rPr>
        <w:footnoteRef/>
      </w:r>
      <w:r w:rsidRPr="00AB56E6">
        <w:t xml:space="preserve"> </w:t>
      </w:r>
      <w:r w:rsidR="00D42F3C" w:rsidRPr="000F2308">
        <w:t xml:space="preserve">IMD World Competitiveness </w:t>
      </w:r>
      <w:proofErr w:type="spellStart"/>
      <w:r w:rsidR="00D42F3C" w:rsidRPr="000F2308">
        <w:t>Center</w:t>
      </w:r>
      <w:proofErr w:type="spellEnd"/>
      <w:r w:rsidR="00D42F3C" w:rsidRPr="000F2308">
        <w:t>,</w:t>
      </w:r>
      <w:r w:rsidRPr="000F2308">
        <w:t xml:space="preserve"> </w:t>
      </w:r>
      <w:r w:rsidR="00BF248C" w:rsidRPr="000F2308">
        <w:t xml:space="preserve">‘IMD World Competitiveness Yearbook’, </w:t>
      </w:r>
      <w:r w:rsidRPr="000F2308">
        <w:rPr>
          <w:i/>
        </w:rPr>
        <w:t>Institute for Management Development</w:t>
      </w:r>
      <w:r w:rsidR="00BF248C" w:rsidRPr="000F2308">
        <w:t xml:space="preserve"> (</w:t>
      </w:r>
      <w:r w:rsidRPr="000F2308">
        <w:t>2022</w:t>
      </w:r>
      <w:r w:rsidR="00BF248C" w:rsidRPr="000F23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87D7" w14:textId="77777777" w:rsidR="00D51DC4" w:rsidRDefault="00D51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D19F" w14:textId="72F84F0C" w:rsidR="00D51DC4" w:rsidRDefault="00D51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10B8" w14:textId="77777777" w:rsidR="00D51DC4" w:rsidRDefault="00D51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408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AC9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24CC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F8C9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2402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9A34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2CF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6AD8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CA3B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C2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29CA"/>
    <w:multiLevelType w:val="multilevel"/>
    <w:tmpl w:val="AD341EF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D21A77"/>
    <w:multiLevelType w:val="hybridMultilevel"/>
    <w:tmpl w:val="06EE32E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B922A5"/>
    <w:multiLevelType w:val="hybridMultilevel"/>
    <w:tmpl w:val="513AB66E"/>
    <w:lvl w:ilvl="0" w:tplc="EAF07822">
      <w:numFmt w:val="bullet"/>
      <w:lvlText w:val="-"/>
      <w:lvlJc w:val="left"/>
      <w:pPr>
        <w:ind w:left="880" w:hanging="360"/>
      </w:pPr>
      <w:rPr>
        <w:rFonts w:ascii="Calibri" w:eastAsiaTheme="minorHAnsi" w:hAnsi="Calibri" w:cs="Calibri"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3" w15:restartNumberingAfterBreak="0">
    <w:nsid w:val="12B31A5C"/>
    <w:multiLevelType w:val="hybridMultilevel"/>
    <w:tmpl w:val="544A30FE"/>
    <w:lvl w:ilvl="0" w:tplc="FCD073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413D9"/>
    <w:multiLevelType w:val="hybridMultilevel"/>
    <w:tmpl w:val="4120EB2E"/>
    <w:lvl w:ilvl="0" w:tplc="B0C4FED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6D5023"/>
    <w:multiLevelType w:val="multilevel"/>
    <w:tmpl w:val="049C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C66379"/>
    <w:multiLevelType w:val="hybridMultilevel"/>
    <w:tmpl w:val="15363564"/>
    <w:lvl w:ilvl="0" w:tplc="5C50DF6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822580"/>
    <w:multiLevelType w:val="hybridMultilevel"/>
    <w:tmpl w:val="7CF2E5DA"/>
    <w:lvl w:ilvl="0" w:tplc="01A692B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733710"/>
    <w:multiLevelType w:val="hybridMultilevel"/>
    <w:tmpl w:val="0F4C1E5A"/>
    <w:lvl w:ilvl="0" w:tplc="2408CC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7756CB"/>
    <w:multiLevelType w:val="hybridMultilevel"/>
    <w:tmpl w:val="E18A0910"/>
    <w:lvl w:ilvl="0" w:tplc="FD844654">
      <w:start w:val="1"/>
      <w:numFmt w:val="bullet"/>
      <w:lvlText w:val="•"/>
      <w:lvlJc w:val="left"/>
      <w:pPr>
        <w:tabs>
          <w:tab w:val="num" w:pos="720"/>
        </w:tabs>
        <w:ind w:left="720" w:hanging="360"/>
      </w:pPr>
      <w:rPr>
        <w:rFonts w:ascii="Arial" w:hAnsi="Arial" w:hint="default"/>
      </w:rPr>
    </w:lvl>
    <w:lvl w:ilvl="1" w:tplc="7BE2EA12" w:tentative="1">
      <w:start w:val="1"/>
      <w:numFmt w:val="bullet"/>
      <w:lvlText w:val="•"/>
      <w:lvlJc w:val="left"/>
      <w:pPr>
        <w:tabs>
          <w:tab w:val="num" w:pos="1440"/>
        </w:tabs>
        <w:ind w:left="1440" w:hanging="360"/>
      </w:pPr>
      <w:rPr>
        <w:rFonts w:ascii="Arial" w:hAnsi="Arial" w:hint="default"/>
      </w:rPr>
    </w:lvl>
    <w:lvl w:ilvl="2" w:tplc="72B2B45E" w:tentative="1">
      <w:start w:val="1"/>
      <w:numFmt w:val="bullet"/>
      <w:lvlText w:val="•"/>
      <w:lvlJc w:val="left"/>
      <w:pPr>
        <w:tabs>
          <w:tab w:val="num" w:pos="2160"/>
        </w:tabs>
        <w:ind w:left="2160" w:hanging="360"/>
      </w:pPr>
      <w:rPr>
        <w:rFonts w:ascii="Arial" w:hAnsi="Arial" w:hint="default"/>
      </w:rPr>
    </w:lvl>
    <w:lvl w:ilvl="3" w:tplc="EF7852B2" w:tentative="1">
      <w:start w:val="1"/>
      <w:numFmt w:val="bullet"/>
      <w:lvlText w:val="•"/>
      <w:lvlJc w:val="left"/>
      <w:pPr>
        <w:tabs>
          <w:tab w:val="num" w:pos="2880"/>
        </w:tabs>
        <w:ind w:left="2880" w:hanging="360"/>
      </w:pPr>
      <w:rPr>
        <w:rFonts w:ascii="Arial" w:hAnsi="Arial" w:hint="default"/>
      </w:rPr>
    </w:lvl>
    <w:lvl w:ilvl="4" w:tplc="F7DEAF72" w:tentative="1">
      <w:start w:val="1"/>
      <w:numFmt w:val="bullet"/>
      <w:lvlText w:val="•"/>
      <w:lvlJc w:val="left"/>
      <w:pPr>
        <w:tabs>
          <w:tab w:val="num" w:pos="3600"/>
        </w:tabs>
        <w:ind w:left="3600" w:hanging="360"/>
      </w:pPr>
      <w:rPr>
        <w:rFonts w:ascii="Arial" w:hAnsi="Arial" w:hint="default"/>
      </w:rPr>
    </w:lvl>
    <w:lvl w:ilvl="5" w:tplc="488ECDE0" w:tentative="1">
      <w:start w:val="1"/>
      <w:numFmt w:val="bullet"/>
      <w:lvlText w:val="•"/>
      <w:lvlJc w:val="left"/>
      <w:pPr>
        <w:tabs>
          <w:tab w:val="num" w:pos="4320"/>
        </w:tabs>
        <w:ind w:left="4320" w:hanging="360"/>
      </w:pPr>
      <w:rPr>
        <w:rFonts w:ascii="Arial" w:hAnsi="Arial" w:hint="default"/>
      </w:rPr>
    </w:lvl>
    <w:lvl w:ilvl="6" w:tplc="C896D7A2" w:tentative="1">
      <w:start w:val="1"/>
      <w:numFmt w:val="bullet"/>
      <w:lvlText w:val="•"/>
      <w:lvlJc w:val="left"/>
      <w:pPr>
        <w:tabs>
          <w:tab w:val="num" w:pos="5040"/>
        </w:tabs>
        <w:ind w:left="5040" w:hanging="360"/>
      </w:pPr>
      <w:rPr>
        <w:rFonts w:ascii="Arial" w:hAnsi="Arial" w:hint="default"/>
      </w:rPr>
    </w:lvl>
    <w:lvl w:ilvl="7" w:tplc="F520746A" w:tentative="1">
      <w:start w:val="1"/>
      <w:numFmt w:val="bullet"/>
      <w:lvlText w:val="•"/>
      <w:lvlJc w:val="left"/>
      <w:pPr>
        <w:tabs>
          <w:tab w:val="num" w:pos="5760"/>
        </w:tabs>
        <w:ind w:left="5760" w:hanging="360"/>
      </w:pPr>
      <w:rPr>
        <w:rFonts w:ascii="Arial" w:hAnsi="Arial" w:hint="default"/>
      </w:rPr>
    </w:lvl>
    <w:lvl w:ilvl="8" w:tplc="A30E02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A85D03"/>
    <w:multiLevelType w:val="multilevel"/>
    <w:tmpl w:val="9110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9722C7"/>
    <w:multiLevelType w:val="hybridMultilevel"/>
    <w:tmpl w:val="18C0D178"/>
    <w:lvl w:ilvl="0" w:tplc="632606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5E6BE6"/>
    <w:multiLevelType w:val="multilevel"/>
    <w:tmpl w:val="51C8D3E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3" w15:restartNumberingAfterBreak="0">
    <w:nsid w:val="3F2F3225"/>
    <w:multiLevelType w:val="multilevel"/>
    <w:tmpl w:val="7AFED5E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1461FC"/>
    <w:multiLevelType w:val="hybridMultilevel"/>
    <w:tmpl w:val="E996A6E8"/>
    <w:lvl w:ilvl="0" w:tplc="CF28BC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94C96"/>
    <w:multiLevelType w:val="hybridMultilevel"/>
    <w:tmpl w:val="4B0C9E22"/>
    <w:lvl w:ilvl="0" w:tplc="2E7E0F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DD04BA"/>
    <w:multiLevelType w:val="hybridMultilevel"/>
    <w:tmpl w:val="6FE4D7A6"/>
    <w:lvl w:ilvl="0" w:tplc="A4DE7D40">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94CC1"/>
    <w:multiLevelType w:val="hybridMultilevel"/>
    <w:tmpl w:val="C424184C"/>
    <w:lvl w:ilvl="0" w:tplc="7A00F5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BC1023"/>
    <w:multiLevelType w:val="multilevel"/>
    <w:tmpl w:val="36DACCB6"/>
    <w:lvl w:ilvl="0">
      <w:start w:val="6"/>
      <w:numFmt w:val="decimal"/>
      <w:lvlText w:val="%1"/>
      <w:lvlJc w:val="left"/>
      <w:pPr>
        <w:ind w:left="0" w:firstLine="0"/>
      </w:pPr>
      <w:rPr>
        <w:rFonts w:hint="default"/>
      </w:rPr>
    </w:lvl>
    <w:lvl w:ilvl="1">
      <w:start w:val="1"/>
      <w:numFmt w:val="decimal"/>
      <w:lvlText w:val="%1.%2"/>
      <w:lvlJc w:val="left"/>
      <w:pPr>
        <w:ind w:left="3403" w:firstLine="0"/>
      </w:pPr>
      <w:rPr>
        <w:rFonts w:hint="default"/>
        <w:b/>
        <w:bCs w:val="0"/>
      </w:rPr>
    </w:lvl>
    <w:lvl w:ilvl="2">
      <w:start w:val="1"/>
      <w:numFmt w:val="decimal"/>
      <w:lvlRestart w:val="1"/>
      <w:lvlText w:val="Figure %1.%3"/>
      <w:lvlJc w:val="left"/>
      <w:pPr>
        <w:ind w:left="0" w:firstLine="0"/>
      </w:pPr>
      <w:rPr>
        <w:rFonts w:hint="default"/>
      </w:rPr>
    </w:lvl>
    <w:lvl w:ilvl="3">
      <w:start w:val="1"/>
      <w:numFmt w:val="decimal"/>
      <w:lvlRestart w:val="1"/>
      <w:lvlText w:val="Table %1.%4"/>
      <w:lvlJc w:val="left"/>
      <w:pPr>
        <w:ind w:left="0" w:firstLine="0"/>
      </w:pPr>
      <w:rPr>
        <w:rFonts w:hint="default"/>
      </w:rPr>
    </w:lvl>
    <w:lvl w:ilvl="4">
      <w:start w:val="1"/>
      <w:numFmt w:val="decimal"/>
      <w:lvlRestart w:val="1"/>
      <w:lvlText w:val="Chart %1.%5"/>
      <w:lvlJc w:val="left"/>
      <w:pPr>
        <w:ind w:left="1134" w:firstLine="0"/>
      </w:pPr>
    </w:lvl>
    <w:lvl w:ilvl="5">
      <w:start w:val="1"/>
      <w:numFmt w:val="decimal"/>
      <w:lvlRestart w:val="1"/>
      <w:lvlText w:val="Box %1.%6"/>
      <w:lvlJc w:val="left"/>
      <w:pPr>
        <w:ind w:left="0" w:firstLine="0"/>
      </w:pPr>
      <w:rPr>
        <w:rFonts w:hint="default"/>
      </w:rPr>
    </w:lvl>
    <w:lvl w:ilvl="6">
      <w:start w:val="1"/>
      <w:numFmt w:val="decimal"/>
      <w:lvlRestart w:val="1"/>
      <w:lvlText w:val="Table %1.%2.%7"/>
      <w:lvlJc w:val="left"/>
      <w:pPr>
        <w:ind w:left="0" w:firstLine="0"/>
      </w:pPr>
      <w:rPr>
        <w:rFonts w:hint="default"/>
      </w:rPr>
    </w:lvl>
    <w:lvl w:ilvl="7">
      <w:start w:val="1"/>
      <w:numFmt w:val="decimal"/>
      <w:lvlRestart w:val="1"/>
      <w:lvlText w:val="Chart %1.%2.%8"/>
      <w:lvlJc w:val="left"/>
      <w:pPr>
        <w:ind w:left="0" w:firstLine="0"/>
      </w:pPr>
      <w:rPr>
        <w:rFonts w:hint="default"/>
      </w:rPr>
    </w:lvl>
    <w:lvl w:ilvl="8">
      <w:start w:val="1"/>
      <w:numFmt w:val="decimal"/>
      <w:lvlRestart w:val="1"/>
      <w:lvlText w:val="Box %1.%2.%9"/>
      <w:lvlJc w:val="left"/>
      <w:pPr>
        <w:ind w:left="0" w:firstLine="0"/>
      </w:pPr>
      <w:rPr>
        <w:rFonts w:hint="default"/>
      </w:rPr>
    </w:lvl>
  </w:abstractNum>
  <w:abstractNum w:abstractNumId="29" w15:restartNumberingAfterBreak="0">
    <w:nsid w:val="4E8634B5"/>
    <w:multiLevelType w:val="multilevel"/>
    <w:tmpl w:val="9F0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8F0EF0"/>
    <w:multiLevelType w:val="multilevel"/>
    <w:tmpl w:val="C3B47E5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2C2A84"/>
    <w:multiLevelType w:val="multilevel"/>
    <w:tmpl w:val="555E7D5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1B5B0B"/>
    <w:multiLevelType w:val="multilevel"/>
    <w:tmpl w:val="F964209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9509C6"/>
    <w:multiLevelType w:val="hybridMultilevel"/>
    <w:tmpl w:val="2FA40208"/>
    <w:lvl w:ilvl="0" w:tplc="2D800AD0">
      <w:numFmt w:val="bullet"/>
      <w:lvlText w:val="-"/>
      <w:lvlJc w:val="left"/>
      <w:pPr>
        <w:ind w:left="880" w:hanging="360"/>
      </w:pPr>
      <w:rPr>
        <w:rFonts w:ascii="Calibri" w:eastAsiaTheme="minorHAnsi" w:hAnsi="Calibri" w:cs="Calibri"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34" w15:restartNumberingAfterBreak="0">
    <w:nsid w:val="756F6806"/>
    <w:multiLevelType w:val="multilevel"/>
    <w:tmpl w:val="2C425832"/>
    <w:lvl w:ilvl="0">
      <w:start w:val="1"/>
      <w:numFmt w:val="bullet"/>
      <w:lvlText w:val="•"/>
      <w:lvlJc w:val="left"/>
      <w:pPr>
        <w:tabs>
          <w:tab w:val="num" w:pos="520"/>
        </w:tabs>
        <w:ind w:left="520" w:hanging="520"/>
      </w:pPr>
      <w:rPr>
        <w:rFonts w:ascii="Times New Roman" w:hAnsi="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5" w15:restartNumberingAfterBreak="0">
    <w:nsid w:val="770831A4"/>
    <w:multiLevelType w:val="hybridMultilevel"/>
    <w:tmpl w:val="8DE649E2"/>
    <w:lvl w:ilvl="0" w:tplc="1966B89A">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AE733FC"/>
    <w:multiLevelType w:val="multilevel"/>
    <w:tmpl w:val="1C7C186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937720"/>
    <w:multiLevelType w:val="hybridMultilevel"/>
    <w:tmpl w:val="81ECB3BC"/>
    <w:lvl w:ilvl="0" w:tplc="0FF8E3C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4368050">
    <w:abstractNumId w:val="22"/>
  </w:num>
  <w:num w:numId="2" w16cid:durableId="1425222822">
    <w:abstractNumId w:val="14"/>
  </w:num>
  <w:num w:numId="3" w16cid:durableId="1422263031">
    <w:abstractNumId w:val="31"/>
  </w:num>
  <w:num w:numId="4" w16cid:durableId="155592042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924468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6762386">
    <w:abstractNumId w:val="20"/>
  </w:num>
  <w:num w:numId="7" w16cid:durableId="1733312053">
    <w:abstractNumId w:val="19"/>
  </w:num>
  <w:num w:numId="8" w16cid:durableId="804540915">
    <w:abstractNumId w:val="29"/>
  </w:num>
  <w:num w:numId="9" w16cid:durableId="1256790514">
    <w:abstractNumId w:val="12"/>
  </w:num>
  <w:num w:numId="10" w16cid:durableId="635911940">
    <w:abstractNumId w:val="33"/>
  </w:num>
  <w:num w:numId="11" w16cid:durableId="213391665">
    <w:abstractNumId w:val="30"/>
  </w:num>
  <w:num w:numId="12" w16cid:durableId="259722306">
    <w:abstractNumId w:val="11"/>
  </w:num>
  <w:num w:numId="13" w16cid:durableId="560137361">
    <w:abstractNumId w:val="26"/>
  </w:num>
  <w:num w:numId="14" w16cid:durableId="1780642630">
    <w:abstractNumId w:val="37"/>
  </w:num>
  <w:num w:numId="15" w16cid:durableId="720057133">
    <w:abstractNumId w:val="23"/>
  </w:num>
  <w:num w:numId="16" w16cid:durableId="11576158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64864">
    <w:abstractNumId w:val="27"/>
  </w:num>
  <w:num w:numId="18" w16cid:durableId="1479221728">
    <w:abstractNumId w:val="17"/>
  </w:num>
  <w:num w:numId="19" w16cid:durableId="2061203173">
    <w:abstractNumId w:val="13"/>
  </w:num>
  <w:num w:numId="20" w16cid:durableId="526984524">
    <w:abstractNumId w:val="21"/>
  </w:num>
  <w:num w:numId="21" w16cid:durableId="1496530612">
    <w:abstractNumId w:val="36"/>
  </w:num>
  <w:num w:numId="22" w16cid:durableId="1350373394">
    <w:abstractNumId w:val="10"/>
  </w:num>
  <w:num w:numId="23" w16cid:durableId="175115452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091015">
    <w:abstractNumId w:val="15"/>
  </w:num>
  <w:num w:numId="25" w16cid:durableId="203717104">
    <w:abstractNumId w:val="22"/>
  </w:num>
  <w:num w:numId="26" w16cid:durableId="588319788">
    <w:abstractNumId w:val="25"/>
  </w:num>
  <w:num w:numId="27" w16cid:durableId="1645895186">
    <w:abstractNumId w:val="35"/>
  </w:num>
  <w:num w:numId="28" w16cid:durableId="904529984">
    <w:abstractNumId w:val="9"/>
  </w:num>
  <w:num w:numId="29" w16cid:durableId="1061094081">
    <w:abstractNumId w:val="7"/>
  </w:num>
  <w:num w:numId="30" w16cid:durableId="832643589">
    <w:abstractNumId w:val="6"/>
  </w:num>
  <w:num w:numId="31" w16cid:durableId="388654703">
    <w:abstractNumId w:val="5"/>
  </w:num>
  <w:num w:numId="32" w16cid:durableId="1619607728">
    <w:abstractNumId w:val="4"/>
  </w:num>
  <w:num w:numId="33" w16cid:durableId="554510924">
    <w:abstractNumId w:val="8"/>
  </w:num>
  <w:num w:numId="34" w16cid:durableId="1854614282">
    <w:abstractNumId w:val="3"/>
  </w:num>
  <w:num w:numId="35" w16cid:durableId="1980183782">
    <w:abstractNumId w:val="2"/>
  </w:num>
  <w:num w:numId="36" w16cid:durableId="1109545379">
    <w:abstractNumId w:val="1"/>
  </w:num>
  <w:num w:numId="37" w16cid:durableId="1445150640">
    <w:abstractNumId w:val="0"/>
  </w:num>
  <w:num w:numId="38" w16cid:durableId="1827503132">
    <w:abstractNumId w:val="32"/>
  </w:num>
  <w:num w:numId="39" w16cid:durableId="1212962278">
    <w:abstractNumId w:val="18"/>
  </w:num>
  <w:num w:numId="40" w16cid:durableId="139004056">
    <w:abstractNumId w:val="24"/>
  </w:num>
  <w:num w:numId="41" w16cid:durableId="542795263">
    <w:abstractNumId w:val="16"/>
  </w:num>
  <w:num w:numId="42" w16cid:durableId="1370446505">
    <w:abstractNumId w:val="22"/>
  </w:num>
  <w:num w:numId="43" w16cid:durableId="1181895766">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9"/>
    <w:rsid w:val="000008B7"/>
    <w:rsid w:val="000010CD"/>
    <w:rsid w:val="00002002"/>
    <w:rsid w:val="000028AB"/>
    <w:rsid w:val="00002A62"/>
    <w:rsid w:val="00002E68"/>
    <w:rsid w:val="00003A54"/>
    <w:rsid w:val="000048E2"/>
    <w:rsid w:val="00004EDD"/>
    <w:rsid w:val="0000500C"/>
    <w:rsid w:val="00006758"/>
    <w:rsid w:val="000075F8"/>
    <w:rsid w:val="0001011E"/>
    <w:rsid w:val="0001381A"/>
    <w:rsid w:val="00013ECB"/>
    <w:rsid w:val="000154DC"/>
    <w:rsid w:val="00016606"/>
    <w:rsid w:val="00017096"/>
    <w:rsid w:val="0002022A"/>
    <w:rsid w:val="00021A5F"/>
    <w:rsid w:val="00022964"/>
    <w:rsid w:val="000238ED"/>
    <w:rsid w:val="00025525"/>
    <w:rsid w:val="00025B17"/>
    <w:rsid w:val="00025E52"/>
    <w:rsid w:val="0002686E"/>
    <w:rsid w:val="00026CE1"/>
    <w:rsid w:val="000301AC"/>
    <w:rsid w:val="00030225"/>
    <w:rsid w:val="0003120C"/>
    <w:rsid w:val="00031C50"/>
    <w:rsid w:val="0003327D"/>
    <w:rsid w:val="0003379E"/>
    <w:rsid w:val="000345EB"/>
    <w:rsid w:val="00036113"/>
    <w:rsid w:val="0003681F"/>
    <w:rsid w:val="00037F8E"/>
    <w:rsid w:val="000401A4"/>
    <w:rsid w:val="00041E2B"/>
    <w:rsid w:val="00041EFC"/>
    <w:rsid w:val="000424F1"/>
    <w:rsid w:val="00044432"/>
    <w:rsid w:val="00044C0A"/>
    <w:rsid w:val="00045292"/>
    <w:rsid w:val="00045452"/>
    <w:rsid w:val="00047A6C"/>
    <w:rsid w:val="00050C66"/>
    <w:rsid w:val="00051FD0"/>
    <w:rsid w:val="00052F0A"/>
    <w:rsid w:val="00054033"/>
    <w:rsid w:val="00054AFD"/>
    <w:rsid w:val="00055247"/>
    <w:rsid w:val="00055A46"/>
    <w:rsid w:val="00055E2C"/>
    <w:rsid w:val="0005733D"/>
    <w:rsid w:val="0005769F"/>
    <w:rsid w:val="0006030C"/>
    <w:rsid w:val="00062C3E"/>
    <w:rsid w:val="000647FA"/>
    <w:rsid w:val="00064F94"/>
    <w:rsid w:val="0006603D"/>
    <w:rsid w:val="0006620A"/>
    <w:rsid w:val="00066EDB"/>
    <w:rsid w:val="00067660"/>
    <w:rsid w:val="00067E3E"/>
    <w:rsid w:val="00067FC4"/>
    <w:rsid w:val="00070223"/>
    <w:rsid w:val="00071CB3"/>
    <w:rsid w:val="00071F91"/>
    <w:rsid w:val="00072E63"/>
    <w:rsid w:val="000735AA"/>
    <w:rsid w:val="00075076"/>
    <w:rsid w:val="00076450"/>
    <w:rsid w:val="00076503"/>
    <w:rsid w:val="000811C5"/>
    <w:rsid w:val="00081AE2"/>
    <w:rsid w:val="00082B4F"/>
    <w:rsid w:val="000837D8"/>
    <w:rsid w:val="000839EA"/>
    <w:rsid w:val="0008514E"/>
    <w:rsid w:val="00087F21"/>
    <w:rsid w:val="00092749"/>
    <w:rsid w:val="00093729"/>
    <w:rsid w:val="00094431"/>
    <w:rsid w:val="00095558"/>
    <w:rsid w:val="000955DE"/>
    <w:rsid w:val="000957A9"/>
    <w:rsid w:val="00097E4D"/>
    <w:rsid w:val="000A0768"/>
    <w:rsid w:val="000A0A58"/>
    <w:rsid w:val="000A0A99"/>
    <w:rsid w:val="000A1177"/>
    <w:rsid w:val="000A14CA"/>
    <w:rsid w:val="000A14FD"/>
    <w:rsid w:val="000A1968"/>
    <w:rsid w:val="000A2167"/>
    <w:rsid w:val="000A2288"/>
    <w:rsid w:val="000A23D0"/>
    <w:rsid w:val="000A4163"/>
    <w:rsid w:val="000A4BF8"/>
    <w:rsid w:val="000A63C6"/>
    <w:rsid w:val="000A6D2C"/>
    <w:rsid w:val="000A6DDF"/>
    <w:rsid w:val="000B0986"/>
    <w:rsid w:val="000B09A0"/>
    <w:rsid w:val="000B1603"/>
    <w:rsid w:val="000B201B"/>
    <w:rsid w:val="000B267B"/>
    <w:rsid w:val="000B3065"/>
    <w:rsid w:val="000B530E"/>
    <w:rsid w:val="000B56FC"/>
    <w:rsid w:val="000B600D"/>
    <w:rsid w:val="000B6B2A"/>
    <w:rsid w:val="000B6C3B"/>
    <w:rsid w:val="000B7B86"/>
    <w:rsid w:val="000B7E1E"/>
    <w:rsid w:val="000C0BE7"/>
    <w:rsid w:val="000C2430"/>
    <w:rsid w:val="000C29C1"/>
    <w:rsid w:val="000C465A"/>
    <w:rsid w:val="000D07C6"/>
    <w:rsid w:val="000D124A"/>
    <w:rsid w:val="000D6CF0"/>
    <w:rsid w:val="000D749F"/>
    <w:rsid w:val="000E00B6"/>
    <w:rsid w:val="000E2C09"/>
    <w:rsid w:val="000E472D"/>
    <w:rsid w:val="000E532D"/>
    <w:rsid w:val="000E5545"/>
    <w:rsid w:val="000E65D3"/>
    <w:rsid w:val="000E6701"/>
    <w:rsid w:val="000E7DE8"/>
    <w:rsid w:val="000F2308"/>
    <w:rsid w:val="000F32F6"/>
    <w:rsid w:val="000F3AA6"/>
    <w:rsid w:val="000F4619"/>
    <w:rsid w:val="000F4C8D"/>
    <w:rsid w:val="000F66A2"/>
    <w:rsid w:val="000F744B"/>
    <w:rsid w:val="000F7C78"/>
    <w:rsid w:val="00100483"/>
    <w:rsid w:val="00100A07"/>
    <w:rsid w:val="00101EAE"/>
    <w:rsid w:val="00102132"/>
    <w:rsid w:val="0010243D"/>
    <w:rsid w:val="00103C60"/>
    <w:rsid w:val="0010473C"/>
    <w:rsid w:val="00105A4D"/>
    <w:rsid w:val="00106DF5"/>
    <w:rsid w:val="001074C0"/>
    <w:rsid w:val="00107734"/>
    <w:rsid w:val="00115B53"/>
    <w:rsid w:val="00115E82"/>
    <w:rsid w:val="00116C78"/>
    <w:rsid w:val="00116CB7"/>
    <w:rsid w:val="0011702C"/>
    <w:rsid w:val="00117408"/>
    <w:rsid w:val="00117480"/>
    <w:rsid w:val="00120D1F"/>
    <w:rsid w:val="0012274B"/>
    <w:rsid w:val="00123E19"/>
    <w:rsid w:val="00124695"/>
    <w:rsid w:val="00124B07"/>
    <w:rsid w:val="001267E5"/>
    <w:rsid w:val="0013042C"/>
    <w:rsid w:val="0013087B"/>
    <w:rsid w:val="0013130B"/>
    <w:rsid w:val="001328BF"/>
    <w:rsid w:val="00135F01"/>
    <w:rsid w:val="00137F99"/>
    <w:rsid w:val="0014109D"/>
    <w:rsid w:val="00142349"/>
    <w:rsid w:val="0014256F"/>
    <w:rsid w:val="00142AF9"/>
    <w:rsid w:val="00142B78"/>
    <w:rsid w:val="00144D11"/>
    <w:rsid w:val="00146012"/>
    <w:rsid w:val="00147E17"/>
    <w:rsid w:val="0015191D"/>
    <w:rsid w:val="0015354A"/>
    <w:rsid w:val="00153838"/>
    <w:rsid w:val="00153B70"/>
    <w:rsid w:val="00153F98"/>
    <w:rsid w:val="00155096"/>
    <w:rsid w:val="001557B2"/>
    <w:rsid w:val="001566F9"/>
    <w:rsid w:val="001579B2"/>
    <w:rsid w:val="001612DC"/>
    <w:rsid w:val="0016207D"/>
    <w:rsid w:val="00163482"/>
    <w:rsid w:val="00163ACF"/>
    <w:rsid w:val="001640E7"/>
    <w:rsid w:val="00165170"/>
    <w:rsid w:val="0016609B"/>
    <w:rsid w:val="00167058"/>
    <w:rsid w:val="001672F7"/>
    <w:rsid w:val="00167C2C"/>
    <w:rsid w:val="00171429"/>
    <w:rsid w:val="00171A4B"/>
    <w:rsid w:val="00171AFF"/>
    <w:rsid w:val="00171EBD"/>
    <w:rsid w:val="001731ED"/>
    <w:rsid w:val="00175ECE"/>
    <w:rsid w:val="00175F3A"/>
    <w:rsid w:val="001765D7"/>
    <w:rsid w:val="001766F5"/>
    <w:rsid w:val="00181A58"/>
    <w:rsid w:val="0018205E"/>
    <w:rsid w:val="00183401"/>
    <w:rsid w:val="00185093"/>
    <w:rsid w:val="00185C4C"/>
    <w:rsid w:val="001862B2"/>
    <w:rsid w:val="00186BC8"/>
    <w:rsid w:val="0018771A"/>
    <w:rsid w:val="00187D96"/>
    <w:rsid w:val="0019073C"/>
    <w:rsid w:val="001908E9"/>
    <w:rsid w:val="00192047"/>
    <w:rsid w:val="0019252A"/>
    <w:rsid w:val="00193384"/>
    <w:rsid w:val="00194C3E"/>
    <w:rsid w:val="001956B8"/>
    <w:rsid w:val="00195767"/>
    <w:rsid w:val="0019652F"/>
    <w:rsid w:val="001A0CDB"/>
    <w:rsid w:val="001A46C9"/>
    <w:rsid w:val="001A4B0A"/>
    <w:rsid w:val="001A5277"/>
    <w:rsid w:val="001A6C2E"/>
    <w:rsid w:val="001A70A8"/>
    <w:rsid w:val="001A7832"/>
    <w:rsid w:val="001A7ED1"/>
    <w:rsid w:val="001B0D69"/>
    <w:rsid w:val="001B0DB3"/>
    <w:rsid w:val="001B177D"/>
    <w:rsid w:val="001B1C1C"/>
    <w:rsid w:val="001B29B5"/>
    <w:rsid w:val="001B2B71"/>
    <w:rsid w:val="001B2BC9"/>
    <w:rsid w:val="001B3063"/>
    <w:rsid w:val="001B4879"/>
    <w:rsid w:val="001B5317"/>
    <w:rsid w:val="001B7902"/>
    <w:rsid w:val="001C19F4"/>
    <w:rsid w:val="001C1F3E"/>
    <w:rsid w:val="001C4606"/>
    <w:rsid w:val="001C4DA9"/>
    <w:rsid w:val="001C5CF3"/>
    <w:rsid w:val="001C66BA"/>
    <w:rsid w:val="001D039B"/>
    <w:rsid w:val="001D18D4"/>
    <w:rsid w:val="001D1AAA"/>
    <w:rsid w:val="001D1DFF"/>
    <w:rsid w:val="001D3136"/>
    <w:rsid w:val="001D43BB"/>
    <w:rsid w:val="001D4A81"/>
    <w:rsid w:val="001D54C5"/>
    <w:rsid w:val="001D64B9"/>
    <w:rsid w:val="001D6684"/>
    <w:rsid w:val="001E0BBB"/>
    <w:rsid w:val="001E2BD2"/>
    <w:rsid w:val="001E4B92"/>
    <w:rsid w:val="001E57D5"/>
    <w:rsid w:val="001E5BE5"/>
    <w:rsid w:val="001E74FC"/>
    <w:rsid w:val="001F0C5B"/>
    <w:rsid w:val="001F1A64"/>
    <w:rsid w:val="001F23B3"/>
    <w:rsid w:val="001F2FA5"/>
    <w:rsid w:val="001F361F"/>
    <w:rsid w:val="001F4C42"/>
    <w:rsid w:val="001F5A11"/>
    <w:rsid w:val="001F63BA"/>
    <w:rsid w:val="001F6882"/>
    <w:rsid w:val="001F6DB1"/>
    <w:rsid w:val="001F7319"/>
    <w:rsid w:val="00200F55"/>
    <w:rsid w:val="002024C3"/>
    <w:rsid w:val="0020454D"/>
    <w:rsid w:val="00205C31"/>
    <w:rsid w:val="0020624B"/>
    <w:rsid w:val="00207A8F"/>
    <w:rsid w:val="00210E12"/>
    <w:rsid w:val="0021131F"/>
    <w:rsid w:val="00211716"/>
    <w:rsid w:val="00214EC4"/>
    <w:rsid w:val="00222EA8"/>
    <w:rsid w:val="0022396C"/>
    <w:rsid w:val="00224D4A"/>
    <w:rsid w:val="00227FEB"/>
    <w:rsid w:val="0023081A"/>
    <w:rsid w:val="00231598"/>
    <w:rsid w:val="002344E8"/>
    <w:rsid w:val="00236F7B"/>
    <w:rsid w:val="002374FF"/>
    <w:rsid w:val="0024095D"/>
    <w:rsid w:val="00241193"/>
    <w:rsid w:val="0024209F"/>
    <w:rsid w:val="00242113"/>
    <w:rsid w:val="00242217"/>
    <w:rsid w:val="00244562"/>
    <w:rsid w:val="00245F94"/>
    <w:rsid w:val="0024792A"/>
    <w:rsid w:val="00251ADB"/>
    <w:rsid w:val="00251EF9"/>
    <w:rsid w:val="00253A46"/>
    <w:rsid w:val="00254292"/>
    <w:rsid w:val="002566D9"/>
    <w:rsid w:val="00257165"/>
    <w:rsid w:val="002604C6"/>
    <w:rsid w:val="00261657"/>
    <w:rsid w:val="002622CE"/>
    <w:rsid w:val="002627CC"/>
    <w:rsid w:val="00262C2E"/>
    <w:rsid w:val="00263EDF"/>
    <w:rsid w:val="00266556"/>
    <w:rsid w:val="00267E7C"/>
    <w:rsid w:val="00267F5B"/>
    <w:rsid w:val="00270CD3"/>
    <w:rsid w:val="00272EE3"/>
    <w:rsid w:val="00274C05"/>
    <w:rsid w:val="002751FB"/>
    <w:rsid w:val="002753D9"/>
    <w:rsid w:val="00276A01"/>
    <w:rsid w:val="002779EE"/>
    <w:rsid w:val="00277D47"/>
    <w:rsid w:val="00281864"/>
    <w:rsid w:val="00282022"/>
    <w:rsid w:val="0028317A"/>
    <w:rsid w:val="002833EF"/>
    <w:rsid w:val="00284CF5"/>
    <w:rsid w:val="00286711"/>
    <w:rsid w:val="002876F5"/>
    <w:rsid w:val="00290A96"/>
    <w:rsid w:val="0029140F"/>
    <w:rsid w:val="00291930"/>
    <w:rsid w:val="00291CED"/>
    <w:rsid w:val="00292735"/>
    <w:rsid w:val="00293F47"/>
    <w:rsid w:val="00295A25"/>
    <w:rsid w:val="00295E57"/>
    <w:rsid w:val="0029705D"/>
    <w:rsid w:val="00297318"/>
    <w:rsid w:val="002973CF"/>
    <w:rsid w:val="00297D32"/>
    <w:rsid w:val="002A2777"/>
    <w:rsid w:val="002A2FED"/>
    <w:rsid w:val="002A4D99"/>
    <w:rsid w:val="002A55ED"/>
    <w:rsid w:val="002A656A"/>
    <w:rsid w:val="002A79CA"/>
    <w:rsid w:val="002A7C4F"/>
    <w:rsid w:val="002B455D"/>
    <w:rsid w:val="002B7853"/>
    <w:rsid w:val="002C00D4"/>
    <w:rsid w:val="002C1F53"/>
    <w:rsid w:val="002C23D0"/>
    <w:rsid w:val="002C26BB"/>
    <w:rsid w:val="002C2E4B"/>
    <w:rsid w:val="002C5543"/>
    <w:rsid w:val="002C5D29"/>
    <w:rsid w:val="002C7B88"/>
    <w:rsid w:val="002D07F6"/>
    <w:rsid w:val="002D1E25"/>
    <w:rsid w:val="002D376A"/>
    <w:rsid w:val="002D4896"/>
    <w:rsid w:val="002D495E"/>
    <w:rsid w:val="002D49C0"/>
    <w:rsid w:val="002D54FD"/>
    <w:rsid w:val="002D5FA4"/>
    <w:rsid w:val="002D6A62"/>
    <w:rsid w:val="002D6C8E"/>
    <w:rsid w:val="002D7027"/>
    <w:rsid w:val="002D7D3F"/>
    <w:rsid w:val="002E04FE"/>
    <w:rsid w:val="002E0E6D"/>
    <w:rsid w:val="002E150E"/>
    <w:rsid w:val="002E1DB5"/>
    <w:rsid w:val="002E200E"/>
    <w:rsid w:val="002E25D0"/>
    <w:rsid w:val="002E3754"/>
    <w:rsid w:val="002E3F71"/>
    <w:rsid w:val="002E3FED"/>
    <w:rsid w:val="002E4096"/>
    <w:rsid w:val="002E43C5"/>
    <w:rsid w:val="002E6444"/>
    <w:rsid w:val="002E7DED"/>
    <w:rsid w:val="002F138D"/>
    <w:rsid w:val="002F5736"/>
    <w:rsid w:val="002F754E"/>
    <w:rsid w:val="00300562"/>
    <w:rsid w:val="0030196D"/>
    <w:rsid w:val="00301F40"/>
    <w:rsid w:val="0030207B"/>
    <w:rsid w:val="003026F8"/>
    <w:rsid w:val="00302FFE"/>
    <w:rsid w:val="00303FB9"/>
    <w:rsid w:val="00305096"/>
    <w:rsid w:val="003050C1"/>
    <w:rsid w:val="00305506"/>
    <w:rsid w:val="00305C88"/>
    <w:rsid w:val="00307399"/>
    <w:rsid w:val="00310E26"/>
    <w:rsid w:val="00311870"/>
    <w:rsid w:val="00312074"/>
    <w:rsid w:val="003125A1"/>
    <w:rsid w:val="0031263A"/>
    <w:rsid w:val="003140DB"/>
    <w:rsid w:val="00315286"/>
    <w:rsid w:val="00315EDB"/>
    <w:rsid w:val="003161A4"/>
    <w:rsid w:val="0031735F"/>
    <w:rsid w:val="0031769C"/>
    <w:rsid w:val="00320459"/>
    <w:rsid w:val="00320AA5"/>
    <w:rsid w:val="00322DFC"/>
    <w:rsid w:val="00324A9A"/>
    <w:rsid w:val="0032625E"/>
    <w:rsid w:val="00326F85"/>
    <w:rsid w:val="00330C84"/>
    <w:rsid w:val="00330D37"/>
    <w:rsid w:val="00330E95"/>
    <w:rsid w:val="003313E3"/>
    <w:rsid w:val="00331A56"/>
    <w:rsid w:val="003327DE"/>
    <w:rsid w:val="00334DFE"/>
    <w:rsid w:val="003363A6"/>
    <w:rsid w:val="00336FF8"/>
    <w:rsid w:val="00340701"/>
    <w:rsid w:val="00340C87"/>
    <w:rsid w:val="00340DB5"/>
    <w:rsid w:val="0034168F"/>
    <w:rsid w:val="0034205B"/>
    <w:rsid w:val="0034338F"/>
    <w:rsid w:val="0034570B"/>
    <w:rsid w:val="00346242"/>
    <w:rsid w:val="00346630"/>
    <w:rsid w:val="003513E6"/>
    <w:rsid w:val="00352010"/>
    <w:rsid w:val="00352235"/>
    <w:rsid w:val="00353E4E"/>
    <w:rsid w:val="00355710"/>
    <w:rsid w:val="0035633F"/>
    <w:rsid w:val="00360121"/>
    <w:rsid w:val="00361276"/>
    <w:rsid w:val="00362100"/>
    <w:rsid w:val="003623DC"/>
    <w:rsid w:val="00362C01"/>
    <w:rsid w:val="003632D0"/>
    <w:rsid w:val="0036360B"/>
    <w:rsid w:val="00363B9A"/>
    <w:rsid w:val="00363D49"/>
    <w:rsid w:val="0036539E"/>
    <w:rsid w:val="003654ED"/>
    <w:rsid w:val="00365F1B"/>
    <w:rsid w:val="00366CF2"/>
    <w:rsid w:val="00367A23"/>
    <w:rsid w:val="00370063"/>
    <w:rsid w:val="00370B71"/>
    <w:rsid w:val="003715E0"/>
    <w:rsid w:val="00371A88"/>
    <w:rsid w:val="00373BAC"/>
    <w:rsid w:val="00373CBD"/>
    <w:rsid w:val="00375261"/>
    <w:rsid w:val="00375973"/>
    <w:rsid w:val="00375CE9"/>
    <w:rsid w:val="00375D21"/>
    <w:rsid w:val="00376381"/>
    <w:rsid w:val="00377203"/>
    <w:rsid w:val="00377EB2"/>
    <w:rsid w:val="003803D5"/>
    <w:rsid w:val="00380B53"/>
    <w:rsid w:val="0038110B"/>
    <w:rsid w:val="00381CCF"/>
    <w:rsid w:val="00382F2F"/>
    <w:rsid w:val="003831F8"/>
    <w:rsid w:val="003841B0"/>
    <w:rsid w:val="003849D4"/>
    <w:rsid w:val="00385401"/>
    <w:rsid w:val="003859A8"/>
    <w:rsid w:val="00385BBA"/>
    <w:rsid w:val="00386A43"/>
    <w:rsid w:val="003904FE"/>
    <w:rsid w:val="003905BC"/>
    <w:rsid w:val="00393A55"/>
    <w:rsid w:val="00393B41"/>
    <w:rsid w:val="00395007"/>
    <w:rsid w:val="00395E5D"/>
    <w:rsid w:val="00395EC0"/>
    <w:rsid w:val="003961B8"/>
    <w:rsid w:val="0039644B"/>
    <w:rsid w:val="003967F2"/>
    <w:rsid w:val="003969F3"/>
    <w:rsid w:val="003A6006"/>
    <w:rsid w:val="003A645C"/>
    <w:rsid w:val="003A7DF2"/>
    <w:rsid w:val="003B0B7B"/>
    <w:rsid w:val="003B1CFD"/>
    <w:rsid w:val="003B4818"/>
    <w:rsid w:val="003B530F"/>
    <w:rsid w:val="003B59AA"/>
    <w:rsid w:val="003B5F51"/>
    <w:rsid w:val="003C0639"/>
    <w:rsid w:val="003C3300"/>
    <w:rsid w:val="003C3DFF"/>
    <w:rsid w:val="003C49FD"/>
    <w:rsid w:val="003C612A"/>
    <w:rsid w:val="003C69EF"/>
    <w:rsid w:val="003C6C1F"/>
    <w:rsid w:val="003D0CE4"/>
    <w:rsid w:val="003D0D80"/>
    <w:rsid w:val="003D261F"/>
    <w:rsid w:val="003D415F"/>
    <w:rsid w:val="003D42D6"/>
    <w:rsid w:val="003D44B8"/>
    <w:rsid w:val="003D4C9D"/>
    <w:rsid w:val="003D54EF"/>
    <w:rsid w:val="003D783E"/>
    <w:rsid w:val="003E03CF"/>
    <w:rsid w:val="003E0442"/>
    <w:rsid w:val="003E1253"/>
    <w:rsid w:val="003E43DF"/>
    <w:rsid w:val="003E46E0"/>
    <w:rsid w:val="003E4AC6"/>
    <w:rsid w:val="003E4D75"/>
    <w:rsid w:val="003E6E2A"/>
    <w:rsid w:val="003F14FA"/>
    <w:rsid w:val="003F3EA5"/>
    <w:rsid w:val="003F505C"/>
    <w:rsid w:val="003F6456"/>
    <w:rsid w:val="003F75B0"/>
    <w:rsid w:val="004003DE"/>
    <w:rsid w:val="004015A0"/>
    <w:rsid w:val="00401A59"/>
    <w:rsid w:val="00401C29"/>
    <w:rsid w:val="00402E1D"/>
    <w:rsid w:val="00403663"/>
    <w:rsid w:val="0040494B"/>
    <w:rsid w:val="00406424"/>
    <w:rsid w:val="0041006A"/>
    <w:rsid w:val="00410CFE"/>
    <w:rsid w:val="00411242"/>
    <w:rsid w:val="004113D5"/>
    <w:rsid w:val="00413C4A"/>
    <w:rsid w:val="0041527A"/>
    <w:rsid w:val="0042102A"/>
    <w:rsid w:val="0042137A"/>
    <w:rsid w:val="00421E19"/>
    <w:rsid w:val="0042242D"/>
    <w:rsid w:val="0042305B"/>
    <w:rsid w:val="0042318F"/>
    <w:rsid w:val="00423F2B"/>
    <w:rsid w:val="00424430"/>
    <w:rsid w:val="0042601D"/>
    <w:rsid w:val="0042694A"/>
    <w:rsid w:val="00427F50"/>
    <w:rsid w:val="0043011A"/>
    <w:rsid w:val="004302FD"/>
    <w:rsid w:val="00431275"/>
    <w:rsid w:val="0043356F"/>
    <w:rsid w:val="004342B3"/>
    <w:rsid w:val="0043474E"/>
    <w:rsid w:val="00434BA8"/>
    <w:rsid w:val="00434D9B"/>
    <w:rsid w:val="00435A02"/>
    <w:rsid w:val="0044297C"/>
    <w:rsid w:val="00443500"/>
    <w:rsid w:val="004436AC"/>
    <w:rsid w:val="00443E30"/>
    <w:rsid w:val="00443EA7"/>
    <w:rsid w:val="00444A48"/>
    <w:rsid w:val="00444B8B"/>
    <w:rsid w:val="00444D16"/>
    <w:rsid w:val="00445092"/>
    <w:rsid w:val="004464AD"/>
    <w:rsid w:val="004469A8"/>
    <w:rsid w:val="004505AC"/>
    <w:rsid w:val="00452FB5"/>
    <w:rsid w:val="0045396B"/>
    <w:rsid w:val="00454156"/>
    <w:rsid w:val="00454188"/>
    <w:rsid w:val="00455D90"/>
    <w:rsid w:val="00457577"/>
    <w:rsid w:val="004579BB"/>
    <w:rsid w:val="004605B1"/>
    <w:rsid w:val="00461762"/>
    <w:rsid w:val="00462200"/>
    <w:rsid w:val="00465021"/>
    <w:rsid w:val="004652BE"/>
    <w:rsid w:val="004661E2"/>
    <w:rsid w:val="00466907"/>
    <w:rsid w:val="00466FA3"/>
    <w:rsid w:val="00467318"/>
    <w:rsid w:val="00467459"/>
    <w:rsid w:val="0047036C"/>
    <w:rsid w:val="0047338E"/>
    <w:rsid w:val="004734EB"/>
    <w:rsid w:val="00474638"/>
    <w:rsid w:val="00477E48"/>
    <w:rsid w:val="00480D25"/>
    <w:rsid w:val="00481F8A"/>
    <w:rsid w:val="00483270"/>
    <w:rsid w:val="00484E37"/>
    <w:rsid w:val="00485C92"/>
    <w:rsid w:val="00485FD3"/>
    <w:rsid w:val="00486466"/>
    <w:rsid w:val="004867BE"/>
    <w:rsid w:val="00486904"/>
    <w:rsid w:val="004900E8"/>
    <w:rsid w:val="004911F3"/>
    <w:rsid w:val="00495617"/>
    <w:rsid w:val="00497C54"/>
    <w:rsid w:val="004A12AB"/>
    <w:rsid w:val="004A1D71"/>
    <w:rsid w:val="004A24D9"/>
    <w:rsid w:val="004A2F1C"/>
    <w:rsid w:val="004A61E1"/>
    <w:rsid w:val="004A6C30"/>
    <w:rsid w:val="004A7310"/>
    <w:rsid w:val="004A7BC1"/>
    <w:rsid w:val="004B0B1E"/>
    <w:rsid w:val="004B1686"/>
    <w:rsid w:val="004B1DBE"/>
    <w:rsid w:val="004C038A"/>
    <w:rsid w:val="004C13D6"/>
    <w:rsid w:val="004C31B0"/>
    <w:rsid w:val="004C35EE"/>
    <w:rsid w:val="004C46B2"/>
    <w:rsid w:val="004C4A4D"/>
    <w:rsid w:val="004C590E"/>
    <w:rsid w:val="004C7805"/>
    <w:rsid w:val="004C7B90"/>
    <w:rsid w:val="004D03E4"/>
    <w:rsid w:val="004D0B4E"/>
    <w:rsid w:val="004D134F"/>
    <w:rsid w:val="004D24D3"/>
    <w:rsid w:val="004D2E75"/>
    <w:rsid w:val="004D4379"/>
    <w:rsid w:val="004D757F"/>
    <w:rsid w:val="004D7A92"/>
    <w:rsid w:val="004E2812"/>
    <w:rsid w:val="004E62A7"/>
    <w:rsid w:val="004E6A7D"/>
    <w:rsid w:val="004E7C51"/>
    <w:rsid w:val="004F1991"/>
    <w:rsid w:val="004F30CC"/>
    <w:rsid w:val="004F31FE"/>
    <w:rsid w:val="004F4A54"/>
    <w:rsid w:val="004F5582"/>
    <w:rsid w:val="004F5BDB"/>
    <w:rsid w:val="004F5EC6"/>
    <w:rsid w:val="004F61F2"/>
    <w:rsid w:val="00500EF0"/>
    <w:rsid w:val="0050389C"/>
    <w:rsid w:val="00505520"/>
    <w:rsid w:val="00506174"/>
    <w:rsid w:val="005102D0"/>
    <w:rsid w:val="00511023"/>
    <w:rsid w:val="00511B6D"/>
    <w:rsid w:val="00511C19"/>
    <w:rsid w:val="0051230F"/>
    <w:rsid w:val="00512355"/>
    <w:rsid w:val="00512E11"/>
    <w:rsid w:val="00512F3F"/>
    <w:rsid w:val="00513BFF"/>
    <w:rsid w:val="0051423C"/>
    <w:rsid w:val="00515485"/>
    <w:rsid w:val="00517983"/>
    <w:rsid w:val="00517E29"/>
    <w:rsid w:val="0052127B"/>
    <w:rsid w:val="00521A8E"/>
    <w:rsid w:val="00522346"/>
    <w:rsid w:val="00525A38"/>
    <w:rsid w:val="00526068"/>
    <w:rsid w:val="00526D16"/>
    <w:rsid w:val="00526E0A"/>
    <w:rsid w:val="005306B5"/>
    <w:rsid w:val="00533765"/>
    <w:rsid w:val="00533CA2"/>
    <w:rsid w:val="005346C4"/>
    <w:rsid w:val="00534A72"/>
    <w:rsid w:val="005358E3"/>
    <w:rsid w:val="00536F51"/>
    <w:rsid w:val="005376A0"/>
    <w:rsid w:val="00540FA0"/>
    <w:rsid w:val="00540FD5"/>
    <w:rsid w:val="00543D82"/>
    <w:rsid w:val="00543F13"/>
    <w:rsid w:val="0054546A"/>
    <w:rsid w:val="00545A4C"/>
    <w:rsid w:val="00546C26"/>
    <w:rsid w:val="00547DCC"/>
    <w:rsid w:val="00547DF8"/>
    <w:rsid w:val="00550888"/>
    <w:rsid w:val="00552A8F"/>
    <w:rsid w:val="005532B2"/>
    <w:rsid w:val="0055482E"/>
    <w:rsid w:val="005554B6"/>
    <w:rsid w:val="00555C66"/>
    <w:rsid w:val="00556474"/>
    <w:rsid w:val="00557429"/>
    <w:rsid w:val="00557611"/>
    <w:rsid w:val="00557888"/>
    <w:rsid w:val="00557E9B"/>
    <w:rsid w:val="0056137A"/>
    <w:rsid w:val="005618D8"/>
    <w:rsid w:val="005625A8"/>
    <w:rsid w:val="005639CC"/>
    <w:rsid w:val="00564BB0"/>
    <w:rsid w:val="00564CBE"/>
    <w:rsid w:val="00565EFE"/>
    <w:rsid w:val="00567D45"/>
    <w:rsid w:val="00570631"/>
    <w:rsid w:val="005709F2"/>
    <w:rsid w:val="00571F4C"/>
    <w:rsid w:val="005730E1"/>
    <w:rsid w:val="005738CF"/>
    <w:rsid w:val="005739BD"/>
    <w:rsid w:val="00573A37"/>
    <w:rsid w:val="00573F71"/>
    <w:rsid w:val="00575057"/>
    <w:rsid w:val="00575B35"/>
    <w:rsid w:val="005778AC"/>
    <w:rsid w:val="0058262E"/>
    <w:rsid w:val="00583504"/>
    <w:rsid w:val="00583638"/>
    <w:rsid w:val="0058396D"/>
    <w:rsid w:val="005840D8"/>
    <w:rsid w:val="0058421A"/>
    <w:rsid w:val="0058445A"/>
    <w:rsid w:val="00587C08"/>
    <w:rsid w:val="00590BD4"/>
    <w:rsid w:val="005914BB"/>
    <w:rsid w:val="005919EB"/>
    <w:rsid w:val="00591E0B"/>
    <w:rsid w:val="00592D79"/>
    <w:rsid w:val="00593B38"/>
    <w:rsid w:val="00593D86"/>
    <w:rsid w:val="00593EF7"/>
    <w:rsid w:val="005940E7"/>
    <w:rsid w:val="00595721"/>
    <w:rsid w:val="00597B5F"/>
    <w:rsid w:val="005A0AF5"/>
    <w:rsid w:val="005A0ECA"/>
    <w:rsid w:val="005A0FE0"/>
    <w:rsid w:val="005A1420"/>
    <w:rsid w:val="005A1AA4"/>
    <w:rsid w:val="005A46B4"/>
    <w:rsid w:val="005A5358"/>
    <w:rsid w:val="005A5D2C"/>
    <w:rsid w:val="005A632A"/>
    <w:rsid w:val="005A680D"/>
    <w:rsid w:val="005A7205"/>
    <w:rsid w:val="005A7234"/>
    <w:rsid w:val="005A7317"/>
    <w:rsid w:val="005B02B1"/>
    <w:rsid w:val="005B1674"/>
    <w:rsid w:val="005B3388"/>
    <w:rsid w:val="005B3752"/>
    <w:rsid w:val="005B403A"/>
    <w:rsid w:val="005B4BDE"/>
    <w:rsid w:val="005B55AC"/>
    <w:rsid w:val="005B5715"/>
    <w:rsid w:val="005B68BF"/>
    <w:rsid w:val="005B7B7F"/>
    <w:rsid w:val="005C013B"/>
    <w:rsid w:val="005C1CFA"/>
    <w:rsid w:val="005C4D05"/>
    <w:rsid w:val="005C5ABB"/>
    <w:rsid w:val="005C7877"/>
    <w:rsid w:val="005C78F4"/>
    <w:rsid w:val="005C7BC2"/>
    <w:rsid w:val="005D1A9B"/>
    <w:rsid w:val="005D1E8D"/>
    <w:rsid w:val="005D251C"/>
    <w:rsid w:val="005D49EA"/>
    <w:rsid w:val="005D4EEE"/>
    <w:rsid w:val="005D53C7"/>
    <w:rsid w:val="005D57F7"/>
    <w:rsid w:val="005D7E9D"/>
    <w:rsid w:val="005E2282"/>
    <w:rsid w:val="005E2F1A"/>
    <w:rsid w:val="005E7F86"/>
    <w:rsid w:val="005F1D17"/>
    <w:rsid w:val="005F20B7"/>
    <w:rsid w:val="005F2355"/>
    <w:rsid w:val="005F304C"/>
    <w:rsid w:val="005F3EDD"/>
    <w:rsid w:val="005F480F"/>
    <w:rsid w:val="005F52CA"/>
    <w:rsid w:val="005F5A21"/>
    <w:rsid w:val="005F6C0E"/>
    <w:rsid w:val="005F72CE"/>
    <w:rsid w:val="005F7E98"/>
    <w:rsid w:val="00603868"/>
    <w:rsid w:val="00604656"/>
    <w:rsid w:val="006055A3"/>
    <w:rsid w:val="006056C9"/>
    <w:rsid w:val="00606116"/>
    <w:rsid w:val="0060723B"/>
    <w:rsid w:val="00610D02"/>
    <w:rsid w:val="00611461"/>
    <w:rsid w:val="00611615"/>
    <w:rsid w:val="006123E4"/>
    <w:rsid w:val="006128D7"/>
    <w:rsid w:val="00612F8F"/>
    <w:rsid w:val="00613400"/>
    <w:rsid w:val="00615E4B"/>
    <w:rsid w:val="0061651E"/>
    <w:rsid w:val="0061778A"/>
    <w:rsid w:val="00617887"/>
    <w:rsid w:val="0062114B"/>
    <w:rsid w:val="006236BA"/>
    <w:rsid w:val="006238AE"/>
    <w:rsid w:val="006247E8"/>
    <w:rsid w:val="00625EF8"/>
    <w:rsid w:val="006312D8"/>
    <w:rsid w:val="00632B51"/>
    <w:rsid w:val="00632DDA"/>
    <w:rsid w:val="006366BA"/>
    <w:rsid w:val="0063672C"/>
    <w:rsid w:val="00636954"/>
    <w:rsid w:val="0063746D"/>
    <w:rsid w:val="00637E08"/>
    <w:rsid w:val="00640624"/>
    <w:rsid w:val="00642FFF"/>
    <w:rsid w:val="0064305C"/>
    <w:rsid w:val="00645344"/>
    <w:rsid w:val="00646031"/>
    <w:rsid w:val="00646551"/>
    <w:rsid w:val="00646CF3"/>
    <w:rsid w:val="0065066F"/>
    <w:rsid w:val="00652FBA"/>
    <w:rsid w:val="00653550"/>
    <w:rsid w:val="006537E7"/>
    <w:rsid w:val="00653EC0"/>
    <w:rsid w:val="0065462D"/>
    <w:rsid w:val="00655D89"/>
    <w:rsid w:val="006568EE"/>
    <w:rsid w:val="00660D66"/>
    <w:rsid w:val="0066106B"/>
    <w:rsid w:val="00662CEC"/>
    <w:rsid w:val="00662E80"/>
    <w:rsid w:val="006634F3"/>
    <w:rsid w:val="006642F3"/>
    <w:rsid w:val="00664598"/>
    <w:rsid w:val="006647D7"/>
    <w:rsid w:val="00665CE6"/>
    <w:rsid w:val="00666400"/>
    <w:rsid w:val="00667DA2"/>
    <w:rsid w:val="00671CE7"/>
    <w:rsid w:val="006720D4"/>
    <w:rsid w:val="00672354"/>
    <w:rsid w:val="00672448"/>
    <w:rsid w:val="006726F7"/>
    <w:rsid w:val="00672FAA"/>
    <w:rsid w:val="00673487"/>
    <w:rsid w:val="006749DF"/>
    <w:rsid w:val="00675648"/>
    <w:rsid w:val="00675774"/>
    <w:rsid w:val="00675C89"/>
    <w:rsid w:val="00677A69"/>
    <w:rsid w:val="006805B4"/>
    <w:rsid w:val="006808DD"/>
    <w:rsid w:val="00681E07"/>
    <w:rsid w:val="00684070"/>
    <w:rsid w:val="006855C0"/>
    <w:rsid w:val="00685F2E"/>
    <w:rsid w:val="006874FC"/>
    <w:rsid w:val="00690526"/>
    <w:rsid w:val="00691BB6"/>
    <w:rsid w:val="0069227D"/>
    <w:rsid w:val="00692556"/>
    <w:rsid w:val="00692CB0"/>
    <w:rsid w:val="00692DDB"/>
    <w:rsid w:val="00694865"/>
    <w:rsid w:val="00695706"/>
    <w:rsid w:val="006969D2"/>
    <w:rsid w:val="00697A6D"/>
    <w:rsid w:val="006A1AE8"/>
    <w:rsid w:val="006A20B6"/>
    <w:rsid w:val="006A3819"/>
    <w:rsid w:val="006A4E11"/>
    <w:rsid w:val="006A6672"/>
    <w:rsid w:val="006A7DB7"/>
    <w:rsid w:val="006B0C79"/>
    <w:rsid w:val="006B1A09"/>
    <w:rsid w:val="006B1B3E"/>
    <w:rsid w:val="006B1CE4"/>
    <w:rsid w:val="006B2013"/>
    <w:rsid w:val="006B286B"/>
    <w:rsid w:val="006B4A00"/>
    <w:rsid w:val="006C02CC"/>
    <w:rsid w:val="006C04D0"/>
    <w:rsid w:val="006C0786"/>
    <w:rsid w:val="006C2A2E"/>
    <w:rsid w:val="006C2CDC"/>
    <w:rsid w:val="006C3545"/>
    <w:rsid w:val="006C6B73"/>
    <w:rsid w:val="006C77B6"/>
    <w:rsid w:val="006C7DB0"/>
    <w:rsid w:val="006D0E5A"/>
    <w:rsid w:val="006D1224"/>
    <w:rsid w:val="006D21CB"/>
    <w:rsid w:val="006D3CEC"/>
    <w:rsid w:val="006D4483"/>
    <w:rsid w:val="006D542B"/>
    <w:rsid w:val="006D71B3"/>
    <w:rsid w:val="006D730E"/>
    <w:rsid w:val="006D79C4"/>
    <w:rsid w:val="006D7DCE"/>
    <w:rsid w:val="006E26EF"/>
    <w:rsid w:val="006E691D"/>
    <w:rsid w:val="006E6A35"/>
    <w:rsid w:val="006F1CD8"/>
    <w:rsid w:val="006F29D6"/>
    <w:rsid w:val="006F2DC1"/>
    <w:rsid w:val="006F2E04"/>
    <w:rsid w:val="006F5C81"/>
    <w:rsid w:val="006F6D6C"/>
    <w:rsid w:val="00700B55"/>
    <w:rsid w:val="00700BCA"/>
    <w:rsid w:val="00701C65"/>
    <w:rsid w:val="00701EBF"/>
    <w:rsid w:val="00701F2C"/>
    <w:rsid w:val="0070209B"/>
    <w:rsid w:val="0070478B"/>
    <w:rsid w:val="00704C1C"/>
    <w:rsid w:val="007116CB"/>
    <w:rsid w:val="00711936"/>
    <w:rsid w:val="00714A1B"/>
    <w:rsid w:val="00715984"/>
    <w:rsid w:val="00716A43"/>
    <w:rsid w:val="007170CE"/>
    <w:rsid w:val="007202BC"/>
    <w:rsid w:val="0072098A"/>
    <w:rsid w:val="007211A2"/>
    <w:rsid w:val="0072120C"/>
    <w:rsid w:val="00725036"/>
    <w:rsid w:val="00725788"/>
    <w:rsid w:val="0072584F"/>
    <w:rsid w:val="00727B14"/>
    <w:rsid w:val="00727CE9"/>
    <w:rsid w:val="00727D5B"/>
    <w:rsid w:val="007343BE"/>
    <w:rsid w:val="00734B27"/>
    <w:rsid w:val="007352CC"/>
    <w:rsid w:val="00735D67"/>
    <w:rsid w:val="007368E3"/>
    <w:rsid w:val="007378BB"/>
    <w:rsid w:val="00737B6A"/>
    <w:rsid w:val="00737C76"/>
    <w:rsid w:val="0074101F"/>
    <w:rsid w:val="00741258"/>
    <w:rsid w:val="0074148F"/>
    <w:rsid w:val="00741802"/>
    <w:rsid w:val="00741B83"/>
    <w:rsid w:val="0074270F"/>
    <w:rsid w:val="007429F5"/>
    <w:rsid w:val="00743DAD"/>
    <w:rsid w:val="00746E93"/>
    <w:rsid w:val="0074727B"/>
    <w:rsid w:val="007475D5"/>
    <w:rsid w:val="00747D3A"/>
    <w:rsid w:val="00750B64"/>
    <w:rsid w:val="0075252F"/>
    <w:rsid w:val="007527DA"/>
    <w:rsid w:val="00752C33"/>
    <w:rsid w:val="007547CB"/>
    <w:rsid w:val="00754FA3"/>
    <w:rsid w:val="0075572E"/>
    <w:rsid w:val="00755867"/>
    <w:rsid w:val="007566B4"/>
    <w:rsid w:val="007579F9"/>
    <w:rsid w:val="00757B48"/>
    <w:rsid w:val="007606D5"/>
    <w:rsid w:val="00760CA9"/>
    <w:rsid w:val="00762136"/>
    <w:rsid w:val="007627AF"/>
    <w:rsid w:val="00763AB8"/>
    <w:rsid w:val="00764496"/>
    <w:rsid w:val="00765A92"/>
    <w:rsid w:val="00766019"/>
    <w:rsid w:val="007660C7"/>
    <w:rsid w:val="00766C35"/>
    <w:rsid w:val="00767754"/>
    <w:rsid w:val="00767A2D"/>
    <w:rsid w:val="00767C3B"/>
    <w:rsid w:val="00770295"/>
    <w:rsid w:val="007703B9"/>
    <w:rsid w:val="00771FCF"/>
    <w:rsid w:val="00772A5B"/>
    <w:rsid w:val="00773C1F"/>
    <w:rsid w:val="007741E4"/>
    <w:rsid w:val="0077431B"/>
    <w:rsid w:val="00776558"/>
    <w:rsid w:val="0077738C"/>
    <w:rsid w:val="00780263"/>
    <w:rsid w:val="00780D70"/>
    <w:rsid w:val="00781656"/>
    <w:rsid w:val="00782206"/>
    <w:rsid w:val="00783F2E"/>
    <w:rsid w:val="00784A5B"/>
    <w:rsid w:val="0078507F"/>
    <w:rsid w:val="007863E4"/>
    <w:rsid w:val="00786883"/>
    <w:rsid w:val="007877FD"/>
    <w:rsid w:val="00791704"/>
    <w:rsid w:val="00793DA9"/>
    <w:rsid w:val="00795AB8"/>
    <w:rsid w:val="00796AE2"/>
    <w:rsid w:val="00797B16"/>
    <w:rsid w:val="007A0235"/>
    <w:rsid w:val="007A056C"/>
    <w:rsid w:val="007A079D"/>
    <w:rsid w:val="007A0E9B"/>
    <w:rsid w:val="007A2E93"/>
    <w:rsid w:val="007A2F63"/>
    <w:rsid w:val="007A3677"/>
    <w:rsid w:val="007A5C7A"/>
    <w:rsid w:val="007A6EF2"/>
    <w:rsid w:val="007A713B"/>
    <w:rsid w:val="007A77FF"/>
    <w:rsid w:val="007A797C"/>
    <w:rsid w:val="007A7BA2"/>
    <w:rsid w:val="007B0297"/>
    <w:rsid w:val="007B03AF"/>
    <w:rsid w:val="007B22DC"/>
    <w:rsid w:val="007B31F9"/>
    <w:rsid w:val="007B384C"/>
    <w:rsid w:val="007B63F5"/>
    <w:rsid w:val="007B6D1E"/>
    <w:rsid w:val="007B72B9"/>
    <w:rsid w:val="007B7502"/>
    <w:rsid w:val="007B7A15"/>
    <w:rsid w:val="007B7C59"/>
    <w:rsid w:val="007C138E"/>
    <w:rsid w:val="007C1491"/>
    <w:rsid w:val="007C3BA8"/>
    <w:rsid w:val="007C5D1C"/>
    <w:rsid w:val="007C5ED6"/>
    <w:rsid w:val="007C6624"/>
    <w:rsid w:val="007C7272"/>
    <w:rsid w:val="007D12DA"/>
    <w:rsid w:val="007D23E6"/>
    <w:rsid w:val="007D2A09"/>
    <w:rsid w:val="007D31DC"/>
    <w:rsid w:val="007D3E44"/>
    <w:rsid w:val="007D7FDF"/>
    <w:rsid w:val="007E09AB"/>
    <w:rsid w:val="007E14D8"/>
    <w:rsid w:val="007E24F8"/>
    <w:rsid w:val="007E2A70"/>
    <w:rsid w:val="007E30BA"/>
    <w:rsid w:val="007E363A"/>
    <w:rsid w:val="007E3AE9"/>
    <w:rsid w:val="007E5652"/>
    <w:rsid w:val="007E6054"/>
    <w:rsid w:val="007E63F6"/>
    <w:rsid w:val="007E6941"/>
    <w:rsid w:val="007F0955"/>
    <w:rsid w:val="007F0DB7"/>
    <w:rsid w:val="007F2866"/>
    <w:rsid w:val="007F2977"/>
    <w:rsid w:val="007F4BFC"/>
    <w:rsid w:val="007F63F7"/>
    <w:rsid w:val="007F6505"/>
    <w:rsid w:val="007F650E"/>
    <w:rsid w:val="007F75BC"/>
    <w:rsid w:val="007F794C"/>
    <w:rsid w:val="00801324"/>
    <w:rsid w:val="00801D69"/>
    <w:rsid w:val="00803AF9"/>
    <w:rsid w:val="00804B30"/>
    <w:rsid w:val="008056FF"/>
    <w:rsid w:val="00806AEC"/>
    <w:rsid w:val="00807587"/>
    <w:rsid w:val="00810B2B"/>
    <w:rsid w:val="00810BEC"/>
    <w:rsid w:val="0081148C"/>
    <w:rsid w:val="00811B2C"/>
    <w:rsid w:val="008121CD"/>
    <w:rsid w:val="008123A1"/>
    <w:rsid w:val="00812F44"/>
    <w:rsid w:val="00812FD0"/>
    <w:rsid w:val="008135E6"/>
    <w:rsid w:val="00813758"/>
    <w:rsid w:val="00813BEB"/>
    <w:rsid w:val="00814426"/>
    <w:rsid w:val="00814B59"/>
    <w:rsid w:val="00816209"/>
    <w:rsid w:val="008162C6"/>
    <w:rsid w:val="00816422"/>
    <w:rsid w:val="0081761B"/>
    <w:rsid w:val="00821DCC"/>
    <w:rsid w:val="008233B8"/>
    <w:rsid w:val="00826A9A"/>
    <w:rsid w:val="00826B42"/>
    <w:rsid w:val="00827AD9"/>
    <w:rsid w:val="008301F9"/>
    <w:rsid w:val="00830516"/>
    <w:rsid w:val="008308EC"/>
    <w:rsid w:val="0083283B"/>
    <w:rsid w:val="00833016"/>
    <w:rsid w:val="00833E00"/>
    <w:rsid w:val="00834AEE"/>
    <w:rsid w:val="00835211"/>
    <w:rsid w:val="00836957"/>
    <w:rsid w:val="0084095C"/>
    <w:rsid w:val="00840D8A"/>
    <w:rsid w:val="0084229D"/>
    <w:rsid w:val="0084251F"/>
    <w:rsid w:val="0084309F"/>
    <w:rsid w:val="00843FA5"/>
    <w:rsid w:val="00846E55"/>
    <w:rsid w:val="008473CB"/>
    <w:rsid w:val="008520F9"/>
    <w:rsid w:val="008525C1"/>
    <w:rsid w:val="00852ABA"/>
    <w:rsid w:val="00853C8B"/>
    <w:rsid w:val="00855F91"/>
    <w:rsid w:val="008560DB"/>
    <w:rsid w:val="00856211"/>
    <w:rsid w:val="00856A0A"/>
    <w:rsid w:val="00856CD6"/>
    <w:rsid w:val="008575B3"/>
    <w:rsid w:val="00857FA4"/>
    <w:rsid w:val="00860336"/>
    <w:rsid w:val="00860FF2"/>
    <w:rsid w:val="0086342E"/>
    <w:rsid w:val="00863C9E"/>
    <w:rsid w:val="00864152"/>
    <w:rsid w:val="008645B2"/>
    <w:rsid w:val="008705AB"/>
    <w:rsid w:val="00871CFF"/>
    <w:rsid w:val="008733B6"/>
    <w:rsid w:val="00876C30"/>
    <w:rsid w:val="00876C59"/>
    <w:rsid w:val="00876F5A"/>
    <w:rsid w:val="00877B95"/>
    <w:rsid w:val="008802B0"/>
    <w:rsid w:val="008849E7"/>
    <w:rsid w:val="00885532"/>
    <w:rsid w:val="00885AFD"/>
    <w:rsid w:val="00886836"/>
    <w:rsid w:val="00892A5E"/>
    <w:rsid w:val="00893861"/>
    <w:rsid w:val="00893A2D"/>
    <w:rsid w:val="00893F29"/>
    <w:rsid w:val="00895AB9"/>
    <w:rsid w:val="00897D95"/>
    <w:rsid w:val="008A1422"/>
    <w:rsid w:val="008A1E57"/>
    <w:rsid w:val="008A2986"/>
    <w:rsid w:val="008A40C2"/>
    <w:rsid w:val="008A466D"/>
    <w:rsid w:val="008A4B93"/>
    <w:rsid w:val="008A51B0"/>
    <w:rsid w:val="008A5688"/>
    <w:rsid w:val="008B01F8"/>
    <w:rsid w:val="008B1A4C"/>
    <w:rsid w:val="008B263D"/>
    <w:rsid w:val="008B65B8"/>
    <w:rsid w:val="008B707E"/>
    <w:rsid w:val="008B75FB"/>
    <w:rsid w:val="008B7895"/>
    <w:rsid w:val="008C14B5"/>
    <w:rsid w:val="008C3034"/>
    <w:rsid w:val="008C3B39"/>
    <w:rsid w:val="008C432B"/>
    <w:rsid w:val="008C4440"/>
    <w:rsid w:val="008C44EF"/>
    <w:rsid w:val="008C63C1"/>
    <w:rsid w:val="008C6982"/>
    <w:rsid w:val="008D0A8D"/>
    <w:rsid w:val="008D1919"/>
    <w:rsid w:val="008D3CA8"/>
    <w:rsid w:val="008D42C4"/>
    <w:rsid w:val="008D4302"/>
    <w:rsid w:val="008D55B1"/>
    <w:rsid w:val="008D66DC"/>
    <w:rsid w:val="008D7279"/>
    <w:rsid w:val="008D7394"/>
    <w:rsid w:val="008D7ED5"/>
    <w:rsid w:val="008E05A9"/>
    <w:rsid w:val="008E0E51"/>
    <w:rsid w:val="008E1CD3"/>
    <w:rsid w:val="008E20E3"/>
    <w:rsid w:val="008E4E19"/>
    <w:rsid w:val="008E5AA9"/>
    <w:rsid w:val="008E5E16"/>
    <w:rsid w:val="008E6F31"/>
    <w:rsid w:val="008E7013"/>
    <w:rsid w:val="008E787C"/>
    <w:rsid w:val="008E7950"/>
    <w:rsid w:val="008F041F"/>
    <w:rsid w:val="008F0E5A"/>
    <w:rsid w:val="008F3C0A"/>
    <w:rsid w:val="008F6DFC"/>
    <w:rsid w:val="0090061A"/>
    <w:rsid w:val="00900E84"/>
    <w:rsid w:val="00901EBB"/>
    <w:rsid w:val="009034F0"/>
    <w:rsid w:val="00903870"/>
    <w:rsid w:val="00903FBD"/>
    <w:rsid w:val="0090499E"/>
    <w:rsid w:val="00905A93"/>
    <w:rsid w:val="00910177"/>
    <w:rsid w:val="009111E4"/>
    <w:rsid w:val="009112B9"/>
    <w:rsid w:val="0091161C"/>
    <w:rsid w:val="00911B09"/>
    <w:rsid w:val="0091353C"/>
    <w:rsid w:val="0091385E"/>
    <w:rsid w:val="00915E20"/>
    <w:rsid w:val="009203EF"/>
    <w:rsid w:val="00920B19"/>
    <w:rsid w:val="00920BEB"/>
    <w:rsid w:val="0092160D"/>
    <w:rsid w:val="0092192B"/>
    <w:rsid w:val="00923A5D"/>
    <w:rsid w:val="00926587"/>
    <w:rsid w:val="00926695"/>
    <w:rsid w:val="00926AE1"/>
    <w:rsid w:val="00926F30"/>
    <w:rsid w:val="00927E33"/>
    <w:rsid w:val="00932142"/>
    <w:rsid w:val="009328FE"/>
    <w:rsid w:val="0094039A"/>
    <w:rsid w:val="009404F1"/>
    <w:rsid w:val="00941101"/>
    <w:rsid w:val="00941CC4"/>
    <w:rsid w:val="00943518"/>
    <w:rsid w:val="0094421C"/>
    <w:rsid w:val="009465CA"/>
    <w:rsid w:val="00946870"/>
    <w:rsid w:val="00947C50"/>
    <w:rsid w:val="00950531"/>
    <w:rsid w:val="009538B5"/>
    <w:rsid w:val="00953D09"/>
    <w:rsid w:val="00955284"/>
    <w:rsid w:val="00956007"/>
    <w:rsid w:val="00957678"/>
    <w:rsid w:val="0095786F"/>
    <w:rsid w:val="00961276"/>
    <w:rsid w:val="00962BF2"/>
    <w:rsid w:val="00962CAD"/>
    <w:rsid w:val="00962DD3"/>
    <w:rsid w:val="00962ECA"/>
    <w:rsid w:val="00963449"/>
    <w:rsid w:val="00963860"/>
    <w:rsid w:val="009644EE"/>
    <w:rsid w:val="00964597"/>
    <w:rsid w:val="00964714"/>
    <w:rsid w:val="009655C6"/>
    <w:rsid w:val="00965A56"/>
    <w:rsid w:val="00965A72"/>
    <w:rsid w:val="009665CD"/>
    <w:rsid w:val="00967D45"/>
    <w:rsid w:val="00970575"/>
    <w:rsid w:val="00970CA3"/>
    <w:rsid w:val="0097191D"/>
    <w:rsid w:val="00972F3A"/>
    <w:rsid w:val="00974F9A"/>
    <w:rsid w:val="009750DF"/>
    <w:rsid w:val="0097675B"/>
    <w:rsid w:val="00976F39"/>
    <w:rsid w:val="009800E4"/>
    <w:rsid w:val="00980F6E"/>
    <w:rsid w:val="009818E4"/>
    <w:rsid w:val="009853C1"/>
    <w:rsid w:val="009862EF"/>
    <w:rsid w:val="00986F70"/>
    <w:rsid w:val="009871CD"/>
    <w:rsid w:val="0098739F"/>
    <w:rsid w:val="0098777C"/>
    <w:rsid w:val="00991E0E"/>
    <w:rsid w:val="009922B6"/>
    <w:rsid w:val="009928F8"/>
    <w:rsid w:val="00993E0B"/>
    <w:rsid w:val="00994E87"/>
    <w:rsid w:val="00996975"/>
    <w:rsid w:val="00997FE8"/>
    <w:rsid w:val="009A01DC"/>
    <w:rsid w:val="009A0869"/>
    <w:rsid w:val="009A111D"/>
    <w:rsid w:val="009A22DC"/>
    <w:rsid w:val="009A30D2"/>
    <w:rsid w:val="009A358B"/>
    <w:rsid w:val="009A4B40"/>
    <w:rsid w:val="009A5702"/>
    <w:rsid w:val="009A61A6"/>
    <w:rsid w:val="009A6FB8"/>
    <w:rsid w:val="009A7F29"/>
    <w:rsid w:val="009B0167"/>
    <w:rsid w:val="009B029D"/>
    <w:rsid w:val="009B1292"/>
    <w:rsid w:val="009B3E1C"/>
    <w:rsid w:val="009B4005"/>
    <w:rsid w:val="009B5BCC"/>
    <w:rsid w:val="009B5F9A"/>
    <w:rsid w:val="009B6AEF"/>
    <w:rsid w:val="009B71D1"/>
    <w:rsid w:val="009B7B3F"/>
    <w:rsid w:val="009C0402"/>
    <w:rsid w:val="009C13EC"/>
    <w:rsid w:val="009C19DB"/>
    <w:rsid w:val="009C1D7E"/>
    <w:rsid w:val="009C2BAC"/>
    <w:rsid w:val="009C2EC6"/>
    <w:rsid w:val="009C3AE8"/>
    <w:rsid w:val="009C52AD"/>
    <w:rsid w:val="009C5E66"/>
    <w:rsid w:val="009C60AB"/>
    <w:rsid w:val="009C7EFB"/>
    <w:rsid w:val="009D1181"/>
    <w:rsid w:val="009D1C7B"/>
    <w:rsid w:val="009D242A"/>
    <w:rsid w:val="009D2A9A"/>
    <w:rsid w:val="009D37AD"/>
    <w:rsid w:val="009D3CCF"/>
    <w:rsid w:val="009D3EDC"/>
    <w:rsid w:val="009D7835"/>
    <w:rsid w:val="009E0CC3"/>
    <w:rsid w:val="009E0EFC"/>
    <w:rsid w:val="009E1EFE"/>
    <w:rsid w:val="009E28A0"/>
    <w:rsid w:val="009E2B8D"/>
    <w:rsid w:val="009E2E63"/>
    <w:rsid w:val="009E46BD"/>
    <w:rsid w:val="009E56E8"/>
    <w:rsid w:val="009E7DF7"/>
    <w:rsid w:val="009F1E8E"/>
    <w:rsid w:val="009F2B3C"/>
    <w:rsid w:val="009F2CFA"/>
    <w:rsid w:val="009F2DF4"/>
    <w:rsid w:val="009F431F"/>
    <w:rsid w:val="009F520A"/>
    <w:rsid w:val="009F548B"/>
    <w:rsid w:val="009F7048"/>
    <w:rsid w:val="009F70E2"/>
    <w:rsid w:val="00A000B3"/>
    <w:rsid w:val="00A007F2"/>
    <w:rsid w:val="00A02D61"/>
    <w:rsid w:val="00A04A20"/>
    <w:rsid w:val="00A06AEB"/>
    <w:rsid w:val="00A07C53"/>
    <w:rsid w:val="00A10976"/>
    <w:rsid w:val="00A10B43"/>
    <w:rsid w:val="00A126AD"/>
    <w:rsid w:val="00A138E4"/>
    <w:rsid w:val="00A13E0F"/>
    <w:rsid w:val="00A1497C"/>
    <w:rsid w:val="00A15796"/>
    <w:rsid w:val="00A20154"/>
    <w:rsid w:val="00A2017A"/>
    <w:rsid w:val="00A207F9"/>
    <w:rsid w:val="00A212D8"/>
    <w:rsid w:val="00A21537"/>
    <w:rsid w:val="00A22731"/>
    <w:rsid w:val="00A24F87"/>
    <w:rsid w:val="00A2640B"/>
    <w:rsid w:val="00A30C0D"/>
    <w:rsid w:val="00A31E33"/>
    <w:rsid w:val="00A3209C"/>
    <w:rsid w:val="00A326E4"/>
    <w:rsid w:val="00A32B45"/>
    <w:rsid w:val="00A32BAC"/>
    <w:rsid w:val="00A32EE0"/>
    <w:rsid w:val="00A32F1A"/>
    <w:rsid w:val="00A36128"/>
    <w:rsid w:val="00A36332"/>
    <w:rsid w:val="00A36E93"/>
    <w:rsid w:val="00A37A88"/>
    <w:rsid w:val="00A409A6"/>
    <w:rsid w:val="00A40D5F"/>
    <w:rsid w:val="00A41EE6"/>
    <w:rsid w:val="00A437D7"/>
    <w:rsid w:val="00A43CB1"/>
    <w:rsid w:val="00A45563"/>
    <w:rsid w:val="00A45D65"/>
    <w:rsid w:val="00A4741B"/>
    <w:rsid w:val="00A507C8"/>
    <w:rsid w:val="00A51F27"/>
    <w:rsid w:val="00A52AB5"/>
    <w:rsid w:val="00A52C51"/>
    <w:rsid w:val="00A540AA"/>
    <w:rsid w:val="00A5597E"/>
    <w:rsid w:val="00A5722A"/>
    <w:rsid w:val="00A57741"/>
    <w:rsid w:val="00A615DC"/>
    <w:rsid w:val="00A61928"/>
    <w:rsid w:val="00A65EE3"/>
    <w:rsid w:val="00A66DA3"/>
    <w:rsid w:val="00A67EB3"/>
    <w:rsid w:val="00A71A2B"/>
    <w:rsid w:val="00A73C9F"/>
    <w:rsid w:val="00A740F1"/>
    <w:rsid w:val="00A7547F"/>
    <w:rsid w:val="00A759F8"/>
    <w:rsid w:val="00A76337"/>
    <w:rsid w:val="00A76D56"/>
    <w:rsid w:val="00A77A98"/>
    <w:rsid w:val="00A8081E"/>
    <w:rsid w:val="00A82D15"/>
    <w:rsid w:val="00A82E2C"/>
    <w:rsid w:val="00A83332"/>
    <w:rsid w:val="00A83345"/>
    <w:rsid w:val="00A835CE"/>
    <w:rsid w:val="00A85D2D"/>
    <w:rsid w:val="00A85EDF"/>
    <w:rsid w:val="00A85F07"/>
    <w:rsid w:val="00A87AAB"/>
    <w:rsid w:val="00A910EB"/>
    <w:rsid w:val="00A912EC"/>
    <w:rsid w:val="00A9226E"/>
    <w:rsid w:val="00A93786"/>
    <w:rsid w:val="00A94715"/>
    <w:rsid w:val="00A9498D"/>
    <w:rsid w:val="00A95B73"/>
    <w:rsid w:val="00A9750B"/>
    <w:rsid w:val="00A97F37"/>
    <w:rsid w:val="00A97F38"/>
    <w:rsid w:val="00AA0648"/>
    <w:rsid w:val="00AA07A4"/>
    <w:rsid w:val="00AA161A"/>
    <w:rsid w:val="00AA1C64"/>
    <w:rsid w:val="00AA2212"/>
    <w:rsid w:val="00AA359A"/>
    <w:rsid w:val="00AA4750"/>
    <w:rsid w:val="00AA6EFB"/>
    <w:rsid w:val="00AA7F77"/>
    <w:rsid w:val="00AB0337"/>
    <w:rsid w:val="00AB2EE0"/>
    <w:rsid w:val="00AB4FD8"/>
    <w:rsid w:val="00AB56E6"/>
    <w:rsid w:val="00AB70B4"/>
    <w:rsid w:val="00AC0880"/>
    <w:rsid w:val="00AC0A02"/>
    <w:rsid w:val="00AC0DE5"/>
    <w:rsid w:val="00AC1EC6"/>
    <w:rsid w:val="00AC2AB6"/>
    <w:rsid w:val="00AC2E2B"/>
    <w:rsid w:val="00AD14D0"/>
    <w:rsid w:val="00AD1ACE"/>
    <w:rsid w:val="00AD1AF4"/>
    <w:rsid w:val="00AD1F92"/>
    <w:rsid w:val="00AD216E"/>
    <w:rsid w:val="00AD4762"/>
    <w:rsid w:val="00AD5DB1"/>
    <w:rsid w:val="00AD670B"/>
    <w:rsid w:val="00AD74F4"/>
    <w:rsid w:val="00AE10CC"/>
    <w:rsid w:val="00AE1385"/>
    <w:rsid w:val="00AE1689"/>
    <w:rsid w:val="00AE16AE"/>
    <w:rsid w:val="00AE54DA"/>
    <w:rsid w:val="00AE5806"/>
    <w:rsid w:val="00AE6706"/>
    <w:rsid w:val="00AF1D79"/>
    <w:rsid w:val="00AF2018"/>
    <w:rsid w:val="00AF35FA"/>
    <w:rsid w:val="00AF3982"/>
    <w:rsid w:val="00AF6431"/>
    <w:rsid w:val="00AF68AC"/>
    <w:rsid w:val="00AF70D6"/>
    <w:rsid w:val="00AF7613"/>
    <w:rsid w:val="00B0001F"/>
    <w:rsid w:val="00B00466"/>
    <w:rsid w:val="00B020D3"/>
    <w:rsid w:val="00B02294"/>
    <w:rsid w:val="00B04976"/>
    <w:rsid w:val="00B04BE3"/>
    <w:rsid w:val="00B05882"/>
    <w:rsid w:val="00B05C13"/>
    <w:rsid w:val="00B069DB"/>
    <w:rsid w:val="00B07286"/>
    <w:rsid w:val="00B077DC"/>
    <w:rsid w:val="00B07DB7"/>
    <w:rsid w:val="00B1043D"/>
    <w:rsid w:val="00B10671"/>
    <w:rsid w:val="00B10732"/>
    <w:rsid w:val="00B1074C"/>
    <w:rsid w:val="00B1159B"/>
    <w:rsid w:val="00B11AED"/>
    <w:rsid w:val="00B125B4"/>
    <w:rsid w:val="00B15136"/>
    <w:rsid w:val="00B155D9"/>
    <w:rsid w:val="00B15C8E"/>
    <w:rsid w:val="00B17FB1"/>
    <w:rsid w:val="00B245B4"/>
    <w:rsid w:val="00B24DB5"/>
    <w:rsid w:val="00B254C1"/>
    <w:rsid w:val="00B2711E"/>
    <w:rsid w:val="00B30EEF"/>
    <w:rsid w:val="00B3203F"/>
    <w:rsid w:val="00B32F86"/>
    <w:rsid w:val="00B332C2"/>
    <w:rsid w:val="00B34C90"/>
    <w:rsid w:val="00B352AC"/>
    <w:rsid w:val="00B36F65"/>
    <w:rsid w:val="00B373E9"/>
    <w:rsid w:val="00B37A55"/>
    <w:rsid w:val="00B40311"/>
    <w:rsid w:val="00B40D00"/>
    <w:rsid w:val="00B417A8"/>
    <w:rsid w:val="00B42BFA"/>
    <w:rsid w:val="00B45755"/>
    <w:rsid w:val="00B4617F"/>
    <w:rsid w:val="00B46E73"/>
    <w:rsid w:val="00B4721D"/>
    <w:rsid w:val="00B47DF8"/>
    <w:rsid w:val="00B50FE3"/>
    <w:rsid w:val="00B52627"/>
    <w:rsid w:val="00B532ED"/>
    <w:rsid w:val="00B539C9"/>
    <w:rsid w:val="00B55531"/>
    <w:rsid w:val="00B56091"/>
    <w:rsid w:val="00B62DF3"/>
    <w:rsid w:val="00B63F0D"/>
    <w:rsid w:val="00B642C3"/>
    <w:rsid w:val="00B64F96"/>
    <w:rsid w:val="00B6662C"/>
    <w:rsid w:val="00B66D85"/>
    <w:rsid w:val="00B67017"/>
    <w:rsid w:val="00B67C5F"/>
    <w:rsid w:val="00B67DAD"/>
    <w:rsid w:val="00B71A73"/>
    <w:rsid w:val="00B7410F"/>
    <w:rsid w:val="00B74612"/>
    <w:rsid w:val="00B75523"/>
    <w:rsid w:val="00B77379"/>
    <w:rsid w:val="00B774F9"/>
    <w:rsid w:val="00B81714"/>
    <w:rsid w:val="00B8175B"/>
    <w:rsid w:val="00B817A7"/>
    <w:rsid w:val="00B8276D"/>
    <w:rsid w:val="00B848EF"/>
    <w:rsid w:val="00B8638A"/>
    <w:rsid w:val="00B86BF0"/>
    <w:rsid w:val="00B9004E"/>
    <w:rsid w:val="00B90A2D"/>
    <w:rsid w:val="00B9138F"/>
    <w:rsid w:val="00B93625"/>
    <w:rsid w:val="00B93BF7"/>
    <w:rsid w:val="00B94A4F"/>
    <w:rsid w:val="00B952BC"/>
    <w:rsid w:val="00B9575E"/>
    <w:rsid w:val="00B958D2"/>
    <w:rsid w:val="00B95B69"/>
    <w:rsid w:val="00B95E23"/>
    <w:rsid w:val="00B962A8"/>
    <w:rsid w:val="00B96B37"/>
    <w:rsid w:val="00B96CCF"/>
    <w:rsid w:val="00B96E55"/>
    <w:rsid w:val="00BA1952"/>
    <w:rsid w:val="00BA2FC4"/>
    <w:rsid w:val="00BA3C34"/>
    <w:rsid w:val="00BA3D88"/>
    <w:rsid w:val="00BA4A88"/>
    <w:rsid w:val="00BA5C7F"/>
    <w:rsid w:val="00BA66D4"/>
    <w:rsid w:val="00BA6808"/>
    <w:rsid w:val="00BB10DE"/>
    <w:rsid w:val="00BB2C6E"/>
    <w:rsid w:val="00BB3D56"/>
    <w:rsid w:val="00BB43F3"/>
    <w:rsid w:val="00BB4B46"/>
    <w:rsid w:val="00BB5ED4"/>
    <w:rsid w:val="00BB61CC"/>
    <w:rsid w:val="00BC301A"/>
    <w:rsid w:val="00BC48F9"/>
    <w:rsid w:val="00BD0F50"/>
    <w:rsid w:val="00BD217D"/>
    <w:rsid w:val="00BD2E9A"/>
    <w:rsid w:val="00BD3297"/>
    <w:rsid w:val="00BD4670"/>
    <w:rsid w:val="00BD5CF9"/>
    <w:rsid w:val="00BD7929"/>
    <w:rsid w:val="00BE2B22"/>
    <w:rsid w:val="00BE476C"/>
    <w:rsid w:val="00BE54A5"/>
    <w:rsid w:val="00BE578B"/>
    <w:rsid w:val="00BE6A44"/>
    <w:rsid w:val="00BE6EFA"/>
    <w:rsid w:val="00BF083A"/>
    <w:rsid w:val="00BF0884"/>
    <w:rsid w:val="00BF0E59"/>
    <w:rsid w:val="00BF248C"/>
    <w:rsid w:val="00BF277A"/>
    <w:rsid w:val="00BF3A0A"/>
    <w:rsid w:val="00BF3FA0"/>
    <w:rsid w:val="00BF415A"/>
    <w:rsid w:val="00BF42BB"/>
    <w:rsid w:val="00BF6717"/>
    <w:rsid w:val="00BF77C5"/>
    <w:rsid w:val="00BF7F57"/>
    <w:rsid w:val="00C015D3"/>
    <w:rsid w:val="00C027A0"/>
    <w:rsid w:val="00C03F86"/>
    <w:rsid w:val="00C04103"/>
    <w:rsid w:val="00C041EC"/>
    <w:rsid w:val="00C04A46"/>
    <w:rsid w:val="00C04ADD"/>
    <w:rsid w:val="00C06031"/>
    <w:rsid w:val="00C0746C"/>
    <w:rsid w:val="00C11178"/>
    <w:rsid w:val="00C11A2B"/>
    <w:rsid w:val="00C12122"/>
    <w:rsid w:val="00C131E1"/>
    <w:rsid w:val="00C13469"/>
    <w:rsid w:val="00C134AB"/>
    <w:rsid w:val="00C1414F"/>
    <w:rsid w:val="00C14376"/>
    <w:rsid w:val="00C144DF"/>
    <w:rsid w:val="00C16607"/>
    <w:rsid w:val="00C16FC5"/>
    <w:rsid w:val="00C2128B"/>
    <w:rsid w:val="00C21331"/>
    <w:rsid w:val="00C21569"/>
    <w:rsid w:val="00C2216F"/>
    <w:rsid w:val="00C22538"/>
    <w:rsid w:val="00C22641"/>
    <w:rsid w:val="00C22B46"/>
    <w:rsid w:val="00C23D43"/>
    <w:rsid w:val="00C2421C"/>
    <w:rsid w:val="00C2496E"/>
    <w:rsid w:val="00C24F35"/>
    <w:rsid w:val="00C25B89"/>
    <w:rsid w:val="00C26665"/>
    <w:rsid w:val="00C32428"/>
    <w:rsid w:val="00C324E7"/>
    <w:rsid w:val="00C336D7"/>
    <w:rsid w:val="00C34576"/>
    <w:rsid w:val="00C36342"/>
    <w:rsid w:val="00C37EFE"/>
    <w:rsid w:val="00C41367"/>
    <w:rsid w:val="00C433F1"/>
    <w:rsid w:val="00C43A9B"/>
    <w:rsid w:val="00C443DC"/>
    <w:rsid w:val="00C45B6D"/>
    <w:rsid w:val="00C465EC"/>
    <w:rsid w:val="00C468CE"/>
    <w:rsid w:val="00C47BEA"/>
    <w:rsid w:val="00C5029D"/>
    <w:rsid w:val="00C50C5B"/>
    <w:rsid w:val="00C51C09"/>
    <w:rsid w:val="00C52A67"/>
    <w:rsid w:val="00C5599B"/>
    <w:rsid w:val="00C559D5"/>
    <w:rsid w:val="00C56009"/>
    <w:rsid w:val="00C56325"/>
    <w:rsid w:val="00C56EC7"/>
    <w:rsid w:val="00C57F75"/>
    <w:rsid w:val="00C6097E"/>
    <w:rsid w:val="00C60C6B"/>
    <w:rsid w:val="00C60E60"/>
    <w:rsid w:val="00C623ED"/>
    <w:rsid w:val="00C627E3"/>
    <w:rsid w:val="00C62FD6"/>
    <w:rsid w:val="00C67377"/>
    <w:rsid w:val="00C700CB"/>
    <w:rsid w:val="00C70C86"/>
    <w:rsid w:val="00C711EE"/>
    <w:rsid w:val="00C71A5B"/>
    <w:rsid w:val="00C724B7"/>
    <w:rsid w:val="00C74476"/>
    <w:rsid w:val="00C76E59"/>
    <w:rsid w:val="00C77991"/>
    <w:rsid w:val="00C77C92"/>
    <w:rsid w:val="00C80186"/>
    <w:rsid w:val="00C8147B"/>
    <w:rsid w:val="00C83E36"/>
    <w:rsid w:val="00C84757"/>
    <w:rsid w:val="00C84CB9"/>
    <w:rsid w:val="00C858D5"/>
    <w:rsid w:val="00C864E8"/>
    <w:rsid w:val="00C87DA9"/>
    <w:rsid w:val="00C91642"/>
    <w:rsid w:val="00C92A29"/>
    <w:rsid w:val="00C92F9F"/>
    <w:rsid w:val="00C93063"/>
    <w:rsid w:val="00C93327"/>
    <w:rsid w:val="00C945E2"/>
    <w:rsid w:val="00C96033"/>
    <w:rsid w:val="00C96F2A"/>
    <w:rsid w:val="00CA0659"/>
    <w:rsid w:val="00CA08CF"/>
    <w:rsid w:val="00CA114D"/>
    <w:rsid w:val="00CA195F"/>
    <w:rsid w:val="00CA214A"/>
    <w:rsid w:val="00CA3920"/>
    <w:rsid w:val="00CA413F"/>
    <w:rsid w:val="00CA44D8"/>
    <w:rsid w:val="00CA762A"/>
    <w:rsid w:val="00CB23DC"/>
    <w:rsid w:val="00CB2459"/>
    <w:rsid w:val="00CB259D"/>
    <w:rsid w:val="00CB2B9F"/>
    <w:rsid w:val="00CB4A04"/>
    <w:rsid w:val="00CB4B3F"/>
    <w:rsid w:val="00CB539B"/>
    <w:rsid w:val="00CB6F54"/>
    <w:rsid w:val="00CB7815"/>
    <w:rsid w:val="00CB7B4F"/>
    <w:rsid w:val="00CB7C01"/>
    <w:rsid w:val="00CC0A10"/>
    <w:rsid w:val="00CC1ABA"/>
    <w:rsid w:val="00CC3B8B"/>
    <w:rsid w:val="00CC4917"/>
    <w:rsid w:val="00CC788C"/>
    <w:rsid w:val="00CC797E"/>
    <w:rsid w:val="00CD0C32"/>
    <w:rsid w:val="00CD1340"/>
    <w:rsid w:val="00CD1CCA"/>
    <w:rsid w:val="00CD206B"/>
    <w:rsid w:val="00CD2791"/>
    <w:rsid w:val="00CD3127"/>
    <w:rsid w:val="00CD3CAC"/>
    <w:rsid w:val="00CD3EA7"/>
    <w:rsid w:val="00CD499C"/>
    <w:rsid w:val="00CD5128"/>
    <w:rsid w:val="00CD5582"/>
    <w:rsid w:val="00CD6233"/>
    <w:rsid w:val="00CE139B"/>
    <w:rsid w:val="00CE2C0F"/>
    <w:rsid w:val="00CE381A"/>
    <w:rsid w:val="00CE46BF"/>
    <w:rsid w:val="00CE6BA1"/>
    <w:rsid w:val="00CF1330"/>
    <w:rsid w:val="00CF19BF"/>
    <w:rsid w:val="00CF2330"/>
    <w:rsid w:val="00CF2470"/>
    <w:rsid w:val="00CF24B5"/>
    <w:rsid w:val="00CF3005"/>
    <w:rsid w:val="00CF3190"/>
    <w:rsid w:val="00CF4D88"/>
    <w:rsid w:val="00CF5111"/>
    <w:rsid w:val="00CF5D95"/>
    <w:rsid w:val="00CF6786"/>
    <w:rsid w:val="00CF7965"/>
    <w:rsid w:val="00D00AC6"/>
    <w:rsid w:val="00D02AF8"/>
    <w:rsid w:val="00D02F37"/>
    <w:rsid w:val="00D04419"/>
    <w:rsid w:val="00D04E53"/>
    <w:rsid w:val="00D068FA"/>
    <w:rsid w:val="00D100F7"/>
    <w:rsid w:val="00D109D8"/>
    <w:rsid w:val="00D10BCE"/>
    <w:rsid w:val="00D11327"/>
    <w:rsid w:val="00D11717"/>
    <w:rsid w:val="00D1444C"/>
    <w:rsid w:val="00D162C2"/>
    <w:rsid w:val="00D17582"/>
    <w:rsid w:val="00D20354"/>
    <w:rsid w:val="00D23064"/>
    <w:rsid w:val="00D248E4"/>
    <w:rsid w:val="00D25BBD"/>
    <w:rsid w:val="00D261A8"/>
    <w:rsid w:val="00D26630"/>
    <w:rsid w:val="00D26A59"/>
    <w:rsid w:val="00D27C40"/>
    <w:rsid w:val="00D27DC4"/>
    <w:rsid w:val="00D30277"/>
    <w:rsid w:val="00D313CC"/>
    <w:rsid w:val="00D31E2A"/>
    <w:rsid w:val="00D3387F"/>
    <w:rsid w:val="00D34BA0"/>
    <w:rsid w:val="00D41FC3"/>
    <w:rsid w:val="00D423DA"/>
    <w:rsid w:val="00D4291E"/>
    <w:rsid w:val="00D42F3C"/>
    <w:rsid w:val="00D44F74"/>
    <w:rsid w:val="00D45EBF"/>
    <w:rsid w:val="00D46317"/>
    <w:rsid w:val="00D4799A"/>
    <w:rsid w:val="00D50173"/>
    <w:rsid w:val="00D50BA0"/>
    <w:rsid w:val="00D51DC4"/>
    <w:rsid w:val="00D54222"/>
    <w:rsid w:val="00D55253"/>
    <w:rsid w:val="00D55882"/>
    <w:rsid w:val="00D55A43"/>
    <w:rsid w:val="00D55E18"/>
    <w:rsid w:val="00D566C2"/>
    <w:rsid w:val="00D60EC2"/>
    <w:rsid w:val="00D61F48"/>
    <w:rsid w:val="00D62441"/>
    <w:rsid w:val="00D657AC"/>
    <w:rsid w:val="00D659A9"/>
    <w:rsid w:val="00D65F6E"/>
    <w:rsid w:val="00D6614C"/>
    <w:rsid w:val="00D66AB4"/>
    <w:rsid w:val="00D670FE"/>
    <w:rsid w:val="00D72AD8"/>
    <w:rsid w:val="00D72B44"/>
    <w:rsid w:val="00D756A6"/>
    <w:rsid w:val="00D76C74"/>
    <w:rsid w:val="00D76FD3"/>
    <w:rsid w:val="00D770AF"/>
    <w:rsid w:val="00D81DB1"/>
    <w:rsid w:val="00D82303"/>
    <w:rsid w:val="00D82939"/>
    <w:rsid w:val="00D82BF5"/>
    <w:rsid w:val="00D832F3"/>
    <w:rsid w:val="00D8359C"/>
    <w:rsid w:val="00D83CFF"/>
    <w:rsid w:val="00D83E5F"/>
    <w:rsid w:val="00D84425"/>
    <w:rsid w:val="00D86430"/>
    <w:rsid w:val="00D87E26"/>
    <w:rsid w:val="00D90132"/>
    <w:rsid w:val="00D90A36"/>
    <w:rsid w:val="00D91B6F"/>
    <w:rsid w:val="00D920F5"/>
    <w:rsid w:val="00D922F3"/>
    <w:rsid w:val="00D9265A"/>
    <w:rsid w:val="00D92745"/>
    <w:rsid w:val="00D928AD"/>
    <w:rsid w:val="00D951A3"/>
    <w:rsid w:val="00D96340"/>
    <w:rsid w:val="00D97171"/>
    <w:rsid w:val="00D972DD"/>
    <w:rsid w:val="00D97485"/>
    <w:rsid w:val="00D97711"/>
    <w:rsid w:val="00D97DF0"/>
    <w:rsid w:val="00DA095C"/>
    <w:rsid w:val="00DA0F23"/>
    <w:rsid w:val="00DA4E83"/>
    <w:rsid w:val="00DA54C1"/>
    <w:rsid w:val="00DA55F1"/>
    <w:rsid w:val="00DA6555"/>
    <w:rsid w:val="00DA7188"/>
    <w:rsid w:val="00DA78AD"/>
    <w:rsid w:val="00DB084D"/>
    <w:rsid w:val="00DB0B4E"/>
    <w:rsid w:val="00DB0BBA"/>
    <w:rsid w:val="00DB1C99"/>
    <w:rsid w:val="00DB1E92"/>
    <w:rsid w:val="00DB34F7"/>
    <w:rsid w:val="00DB3AC6"/>
    <w:rsid w:val="00DB3B40"/>
    <w:rsid w:val="00DB4276"/>
    <w:rsid w:val="00DB4FE5"/>
    <w:rsid w:val="00DB643A"/>
    <w:rsid w:val="00DB686A"/>
    <w:rsid w:val="00DB694C"/>
    <w:rsid w:val="00DB7D45"/>
    <w:rsid w:val="00DC0131"/>
    <w:rsid w:val="00DC1519"/>
    <w:rsid w:val="00DC1C64"/>
    <w:rsid w:val="00DC28BC"/>
    <w:rsid w:val="00DC377A"/>
    <w:rsid w:val="00DC6011"/>
    <w:rsid w:val="00DC7BF8"/>
    <w:rsid w:val="00DD10A0"/>
    <w:rsid w:val="00DD184F"/>
    <w:rsid w:val="00DD1F15"/>
    <w:rsid w:val="00DD2F67"/>
    <w:rsid w:val="00DD2F74"/>
    <w:rsid w:val="00DD3A0A"/>
    <w:rsid w:val="00DD5963"/>
    <w:rsid w:val="00DD5AD1"/>
    <w:rsid w:val="00DD6CFC"/>
    <w:rsid w:val="00DD73B4"/>
    <w:rsid w:val="00DD7E07"/>
    <w:rsid w:val="00DE0ECD"/>
    <w:rsid w:val="00DE36AB"/>
    <w:rsid w:val="00DE4B1C"/>
    <w:rsid w:val="00DE4FE7"/>
    <w:rsid w:val="00DE55A3"/>
    <w:rsid w:val="00DE60E9"/>
    <w:rsid w:val="00DE6195"/>
    <w:rsid w:val="00DE61D4"/>
    <w:rsid w:val="00DE6B47"/>
    <w:rsid w:val="00DE6C93"/>
    <w:rsid w:val="00DE7EA4"/>
    <w:rsid w:val="00DF0172"/>
    <w:rsid w:val="00DF1AA9"/>
    <w:rsid w:val="00DF1CA0"/>
    <w:rsid w:val="00DF2518"/>
    <w:rsid w:val="00DF2C10"/>
    <w:rsid w:val="00DF363D"/>
    <w:rsid w:val="00DF4C8A"/>
    <w:rsid w:val="00DF55DB"/>
    <w:rsid w:val="00DF7C24"/>
    <w:rsid w:val="00DF7D16"/>
    <w:rsid w:val="00E00963"/>
    <w:rsid w:val="00E00C4C"/>
    <w:rsid w:val="00E024DF"/>
    <w:rsid w:val="00E03286"/>
    <w:rsid w:val="00E037D9"/>
    <w:rsid w:val="00E03EB2"/>
    <w:rsid w:val="00E04C7E"/>
    <w:rsid w:val="00E04E53"/>
    <w:rsid w:val="00E0553C"/>
    <w:rsid w:val="00E05AA4"/>
    <w:rsid w:val="00E125D6"/>
    <w:rsid w:val="00E151B5"/>
    <w:rsid w:val="00E1697E"/>
    <w:rsid w:val="00E2086F"/>
    <w:rsid w:val="00E20B6F"/>
    <w:rsid w:val="00E22CDF"/>
    <w:rsid w:val="00E2304A"/>
    <w:rsid w:val="00E23A75"/>
    <w:rsid w:val="00E26724"/>
    <w:rsid w:val="00E26728"/>
    <w:rsid w:val="00E27BFC"/>
    <w:rsid w:val="00E3044A"/>
    <w:rsid w:val="00E304BD"/>
    <w:rsid w:val="00E30ED8"/>
    <w:rsid w:val="00E312BA"/>
    <w:rsid w:val="00E31590"/>
    <w:rsid w:val="00E31683"/>
    <w:rsid w:val="00E31EA9"/>
    <w:rsid w:val="00E31EF2"/>
    <w:rsid w:val="00E32526"/>
    <w:rsid w:val="00E32CB8"/>
    <w:rsid w:val="00E33F20"/>
    <w:rsid w:val="00E34587"/>
    <w:rsid w:val="00E34910"/>
    <w:rsid w:val="00E34C76"/>
    <w:rsid w:val="00E34FC3"/>
    <w:rsid w:val="00E362CA"/>
    <w:rsid w:val="00E36761"/>
    <w:rsid w:val="00E36AC6"/>
    <w:rsid w:val="00E36D78"/>
    <w:rsid w:val="00E37E64"/>
    <w:rsid w:val="00E420A1"/>
    <w:rsid w:val="00E42E47"/>
    <w:rsid w:val="00E436F0"/>
    <w:rsid w:val="00E4416D"/>
    <w:rsid w:val="00E4457F"/>
    <w:rsid w:val="00E44CF7"/>
    <w:rsid w:val="00E44F4B"/>
    <w:rsid w:val="00E45F19"/>
    <w:rsid w:val="00E461F5"/>
    <w:rsid w:val="00E46796"/>
    <w:rsid w:val="00E47F5F"/>
    <w:rsid w:val="00E50366"/>
    <w:rsid w:val="00E513FD"/>
    <w:rsid w:val="00E51D45"/>
    <w:rsid w:val="00E52680"/>
    <w:rsid w:val="00E538FC"/>
    <w:rsid w:val="00E53D87"/>
    <w:rsid w:val="00E55821"/>
    <w:rsid w:val="00E56194"/>
    <w:rsid w:val="00E609DC"/>
    <w:rsid w:val="00E61C05"/>
    <w:rsid w:val="00E6201D"/>
    <w:rsid w:val="00E63266"/>
    <w:rsid w:val="00E655EB"/>
    <w:rsid w:val="00E657BF"/>
    <w:rsid w:val="00E66AD6"/>
    <w:rsid w:val="00E66CAF"/>
    <w:rsid w:val="00E67E77"/>
    <w:rsid w:val="00E711F6"/>
    <w:rsid w:val="00E7155A"/>
    <w:rsid w:val="00E72EDC"/>
    <w:rsid w:val="00E7389F"/>
    <w:rsid w:val="00E76483"/>
    <w:rsid w:val="00E832E7"/>
    <w:rsid w:val="00E836AB"/>
    <w:rsid w:val="00E8475F"/>
    <w:rsid w:val="00E84981"/>
    <w:rsid w:val="00E84B0F"/>
    <w:rsid w:val="00E857CD"/>
    <w:rsid w:val="00E861FD"/>
    <w:rsid w:val="00E87791"/>
    <w:rsid w:val="00E91AA8"/>
    <w:rsid w:val="00E923D6"/>
    <w:rsid w:val="00E927A5"/>
    <w:rsid w:val="00E92935"/>
    <w:rsid w:val="00E937AE"/>
    <w:rsid w:val="00E95113"/>
    <w:rsid w:val="00E95B23"/>
    <w:rsid w:val="00E95BF3"/>
    <w:rsid w:val="00E96215"/>
    <w:rsid w:val="00E969E6"/>
    <w:rsid w:val="00E970D6"/>
    <w:rsid w:val="00EA0A66"/>
    <w:rsid w:val="00EA0C9F"/>
    <w:rsid w:val="00EA0D24"/>
    <w:rsid w:val="00EA0D9B"/>
    <w:rsid w:val="00EA101F"/>
    <w:rsid w:val="00EA1712"/>
    <w:rsid w:val="00EA574A"/>
    <w:rsid w:val="00EA5D7D"/>
    <w:rsid w:val="00EA7537"/>
    <w:rsid w:val="00EA7FF6"/>
    <w:rsid w:val="00EB04E9"/>
    <w:rsid w:val="00EB1BB3"/>
    <w:rsid w:val="00EB47D8"/>
    <w:rsid w:val="00EB5552"/>
    <w:rsid w:val="00EB5B14"/>
    <w:rsid w:val="00EC024F"/>
    <w:rsid w:val="00EC0279"/>
    <w:rsid w:val="00EC02EB"/>
    <w:rsid w:val="00EC0DE7"/>
    <w:rsid w:val="00EC1668"/>
    <w:rsid w:val="00EC2021"/>
    <w:rsid w:val="00EC4FF3"/>
    <w:rsid w:val="00EC5CCC"/>
    <w:rsid w:val="00EC5FD0"/>
    <w:rsid w:val="00EC614E"/>
    <w:rsid w:val="00EC7B6D"/>
    <w:rsid w:val="00EC7D2D"/>
    <w:rsid w:val="00ED06EB"/>
    <w:rsid w:val="00ED3C48"/>
    <w:rsid w:val="00ED3E9A"/>
    <w:rsid w:val="00ED46FC"/>
    <w:rsid w:val="00ED49FC"/>
    <w:rsid w:val="00ED690F"/>
    <w:rsid w:val="00ED699A"/>
    <w:rsid w:val="00ED762A"/>
    <w:rsid w:val="00ED7978"/>
    <w:rsid w:val="00ED7EA0"/>
    <w:rsid w:val="00EE0356"/>
    <w:rsid w:val="00EE0FFD"/>
    <w:rsid w:val="00EE2803"/>
    <w:rsid w:val="00EE2D83"/>
    <w:rsid w:val="00EE418B"/>
    <w:rsid w:val="00EE4D5F"/>
    <w:rsid w:val="00EE638E"/>
    <w:rsid w:val="00EE6554"/>
    <w:rsid w:val="00EE6987"/>
    <w:rsid w:val="00EF2B7B"/>
    <w:rsid w:val="00EF2C4E"/>
    <w:rsid w:val="00EF33BE"/>
    <w:rsid w:val="00EF61EF"/>
    <w:rsid w:val="00EF6B9B"/>
    <w:rsid w:val="00EF6C92"/>
    <w:rsid w:val="00F0060B"/>
    <w:rsid w:val="00F01331"/>
    <w:rsid w:val="00F01ECB"/>
    <w:rsid w:val="00F03331"/>
    <w:rsid w:val="00F039FE"/>
    <w:rsid w:val="00F043C7"/>
    <w:rsid w:val="00F050E7"/>
    <w:rsid w:val="00F07B7B"/>
    <w:rsid w:val="00F07E93"/>
    <w:rsid w:val="00F11187"/>
    <w:rsid w:val="00F112DD"/>
    <w:rsid w:val="00F13CA1"/>
    <w:rsid w:val="00F14A17"/>
    <w:rsid w:val="00F14BE1"/>
    <w:rsid w:val="00F1577F"/>
    <w:rsid w:val="00F1605D"/>
    <w:rsid w:val="00F164EF"/>
    <w:rsid w:val="00F168B6"/>
    <w:rsid w:val="00F17767"/>
    <w:rsid w:val="00F17BCE"/>
    <w:rsid w:val="00F208F1"/>
    <w:rsid w:val="00F21C71"/>
    <w:rsid w:val="00F22280"/>
    <w:rsid w:val="00F23B9B"/>
    <w:rsid w:val="00F25408"/>
    <w:rsid w:val="00F26090"/>
    <w:rsid w:val="00F26CCA"/>
    <w:rsid w:val="00F32E3F"/>
    <w:rsid w:val="00F33141"/>
    <w:rsid w:val="00F344F8"/>
    <w:rsid w:val="00F34576"/>
    <w:rsid w:val="00F3615A"/>
    <w:rsid w:val="00F372E5"/>
    <w:rsid w:val="00F375EA"/>
    <w:rsid w:val="00F40980"/>
    <w:rsid w:val="00F40A94"/>
    <w:rsid w:val="00F41745"/>
    <w:rsid w:val="00F41CC5"/>
    <w:rsid w:val="00F42322"/>
    <w:rsid w:val="00F424CA"/>
    <w:rsid w:val="00F42521"/>
    <w:rsid w:val="00F42675"/>
    <w:rsid w:val="00F45514"/>
    <w:rsid w:val="00F46DEF"/>
    <w:rsid w:val="00F47826"/>
    <w:rsid w:val="00F5074A"/>
    <w:rsid w:val="00F50AE8"/>
    <w:rsid w:val="00F51C33"/>
    <w:rsid w:val="00F5455F"/>
    <w:rsid w:val="00F54AEE"/>
    <w:rsid w:val="00F54B45"/>
    <w:rsid w:val="00F54BE6"/>
    <w:rsid w:val="00F61266"/>
    <w:rsid w:val="00F619DF"/>
    <w:rsid w:val="00F63588"/>
    <w:rsid w:val="00F63903"/>
    <w:rsid w:val="00F64449"/>
    <w:rsid w:val="00F645F0"/>
    <w:rsid w:val="00F64C49"/>
    <w:rsid w:val="00F65B06"/>
    <w:rsid w:val="00F66802"/>
    <w:rsid w:val="00F67900"/>
    <w:rsid w:val="00F71040"/>
    <w:rsid w:val="00F71BCE"/>
    <w:rsid w:val="00F74989"/>
    <w:rsid w:val="00F74ED4"/>
    <w:rsid w:val="00F763F3"/>
    <w:rsid w:val="00F7677C"/>
    <w:rsid w:val="00F77834"/>
    <w:rsid w:val="00F77887"/>
    <w:rsid w:val="00F80ADA"/>
    <w:rsid w:val="00F81546"/>
    <w:rsid w:val="00F83D2C"/>
    <w:rsid w:val="00F84C75"/>
    <w:rsid w:val="00F86188"/>
    <w:rsid w:val="00F86957"/>
    <w:rsid w:val="00F90ABA"/>
    <w:rsid w:val="00F90F06"/>
    <w:rsid w:val="00F91085"/>
    <w:rsid w:val="00F91314"/>
    <w:rsid w:val="00F9404A"/>
    <w:rsid w:val="00F94353"/>
    <w:rsid w:val="00F94979"/>
    <w:rsid w:val="00F9555B"/>
    <w:rsid w:val="00F957FA"/>
    <w:rsid w:val="00FA0FD3"/>
    <w:rsid w:val="00FA14AD"/>
    <w:rsid w:val="00FA5037"/>
    <w:rsid w:val="00FA52C2"/>
    <w:rsid w:val="00FB1064"/>
    <w:rsid w:val="00FB194A"/>
    <w:rsid w:val="00FB2806"/>
    <w:rsid w:val="00FB3140"/>
    <w:rsid w:val="00FB3198"/>
    <w:rsid w:val="00FB3A70"/>
    <w:rsid w:val="00FB6C3F"/>
    <w:rsid w:val="00FB73D3"/>
    <w:rsid w:val="00FC00A6"/>
    <w:rsid w:val="00FC0181"/>
    <w:rsid w:val="00FC0C5E"/>
    <w:rsid w:val="00FC1968"/>
    <w:rsid w:val="00FC25AE"/>
    <w:rsid w:val="00FC46C2"/>
    <w:rsid w:val="00FC4B7E"/>
    <w:rsid w:val="00FC5183"/>
    <w:rsid w:val="00FC66E2"/>
    <w:rsid w:val="00FC7B19"/>
    <w:rsid w:val="00FC7C81"/>
    <w:rsid w:val="00FD06B6"/>
    <w:rsid w:val="00FD16BC"/>
    <w:rsid w:val="00FD3B60"/>
    <w:rsid w:val="00FD42A2"/>
    <w:rsid w:val="00FD4B94"/>
    <w:rsid w:val="00FD5602"/>
    <w:rsid w:val="00FE02EB"/>
    <w:rsid w:val="00FE067D"/>
    <w:rsid w:val="00FE19A1"/>
    <w:rsid w:val="00FE5F73"/>
    <w:rsid w:val="00FE6B4B"/>
    <w:rsid w:val="00FE6EDE"/>
    <w:rsid w:val="00FE7E42"/>
    <w:rsid w:val="00FF0DA9"/>
    <w:rsid w:val="00FF2007"/>
    <w:rsid w:val="00FF2F24"/>
    <w:rsid w:val="00FF2FCC"/>
    <w:rsid w:val="00FF3B2F"/>
    <w:rsid w:val="00FF4128"/>
    <w:rsid w:val="00FF45AB"/>
    <w:rsid w:val="00FF46F0"/>
    <w:rsid w:val="00FF5144"/>
    <w:rsid w:val="00FF649C"/>
    <w:rsid w:val="00FF75D0"/>
    <w:rsid w:val="132FA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8343"/>
  <w15:docId w15:val="{9EB2261A-FDFE-4817-A0D5-1C107A00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7A8"/>
    <w:pPr>
      <w:keepLines/>
      <w:jc w:val="both"/>
    </w:pPr>
    <w:rPr>
      <w:sz w:val="24"/>
    </w:rPr>
  </w:style>
  <w:style w:type="paragraph" w:styleId="Heading1">
    <w:name w:val="heading 1"/>
    <w:basedOn w:val="Normal"/>
    <w:next w:val="Normal"/>
    <w:link w:val="Heading1Char"/>
    <w:uiPriority w:val="9"/>
    <w:qFormat/>
    <w:rsid w:val="00D66AB4"/>
    <w:pPr>
      <w:keepNext/>
      <w:spacing w:before="40" w:after="12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6AB4"/>
    <w:pPr>
      <w:keepNext/>
      <w:spacing w:before="40" w:after="12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6AB4"/>
    <w:pPr>
      <w:keepNext/>
      <w:spacing w:before="40" w:after="120" w:line="240" w:lineRule="auto"/>
      <w:outlineLvl w:val="2"/>
    </w:pPr>
    <w:rPr>
      <w:rFonts w:asciiTheme="majorHAnsi" w:eastAsiaTheme="majorEastAsia" w:hAnsiTheme="majorHAnsi" w:cstheme="majorBidi"/>
      <w:color w:val="2F5496" w:themeColor="accent1" w:themeShade="BF"/>
      <w:szCs w:val="24"/>
    </w:rPr>
  </w:style>
  <w:style w:type="paragraph" w:styleId="Heading4">
    <w:name w:val="heading 4"/>
    <w:basedOn w:val="Normal"/>
    <w:next w:val="Normal"/>
    <w:link w:val="Heading4Char"/>
    <w:uiPriority w:val="9"/>
    <w:unhideWhenUsed/>
    <w:qFormat/>
    <w:rsid w:val="007D3E44"/>
    <w:pPr>
      <w:keepNext/>
      <w:spacing w:before="40" w:after="120"/>
      <w:outlineLvl w:val="3"/>
    </w:pPr>
    <w:rPr>
      <w:rFonts w:asciiTheme="majorHAnsi" w:eastAsiaTheme="majorEastAsia" w:hAnsiTheme="majorHAnsi" w:cstheme="majorBidi"/>
      <w:iCs/>
      <w:color w:val="2F5496"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6AB4"/>
    <w:rPr>
      <w:rFonts w:asciiTheme="majorHAnsi" w:eastAsiaTheme="majorEastAsia" w:hAnsiTheme="majorHAnsi" w:cstheme="majorBidi"/>
      <w:color w:val="2F5496" w:themeColor="accent1" w:themeShade="BF"/>
      <w:sz w:val="26"/>
      <w:szCs w:val="26"/>
    </w:rPr>
  </w:style>
  <w:style w:type="paragraph" w:customStyle="1" w:styleId="Bullet">
    <w:name w:val="Bullet"/>
    <w:basedOn w:val="Normal"/>
    <w:link w:val="BulletChar"/>
    <w:qFormat/>
    <w:rsid w:val="00801D69"/>
    <w:pPr>
      <w:numPr>
        <w:numId w:val="1"/>
      </w:numPr>
    </w:pPr>
  </w:style>
  <w:style w:type="character" w:customStyle="1" w:styleId="BulletChar">
    <w:name w:val="Bullet Char"/>
    <w:basedOn w:val="DefaultParagraphFont"/>
    <w:link w:val="Bullet"/>
    <w:qFormat/>
    <w:rsid w:val="00801D69"/>
    <w:rPr>
      <w:rFonts w:ascii="Arial" w:hAnsi="Arial"/>
      <w:sz w:val="24"/>
    </w:rPr>
  </w:style>
  <w:style w:type="paragraph" w:customStyle="1" w:styleId="Dash">
    <w:name w:val="Dash"/>
    <w:basedOn w:val="Normal"/>
    <w:link w:val="DashChar"/>
    <w:qFormat/>
    <w:rsid w:val="00801D69"/>
    <w:pPr>
      <w:numPr>
        <w:ilvl w:val="1"/>
        <w:numId w:val="1"/>
      </w:numPr>
    </w:pPr>
  </w:style>
  <w:style w:type="character" w:customStyle="1" w:styleId="DashChar">
    <w:name w:val="Dash Char"/>
    <w:basedOn w:val="DefaultParagraphFont"/>
    <w:link w:val="Dash"/>
    <w:rsid w:val="00801D69"/>
    <w:rPr>
      <w:rFonts w:ascii="Arial" w:hAnsi="Arial"/>
      <w:sz w:val="24"/>
    </w:rPr>
  </w:style>
  <w:style w:type="paragraph" w:customStyle="1" w:styleId="DoubleDot">
    <w:name w:val="Double Dot"/>
    <w:basedOn w:val="Normal"/>
    <w:link w:val="DoubleDotChar"/>
    <w:qFormat/>
    <w:rsid w:val="00801D69"/>
    <w:pPr>
      <w:numPr>
        <w:ilvl w:val="2"/>
        <w:numId w:val="1"/>
      </w:numPr>
    </w:pPr>
  </w:style>
  <w:style w:type="character" w:customStyle="1" w:styleId="DoubleDotChar">
    <w:name w:val="Double Dot Char"/>
    <w:basedOn w:val="DefaultParagraphFont"/>
    <w:link w:val="DoubleDot"/>
    <w:rsid w:val="00801D69"/>
    <w:rPr>
      <w:rFonts w:ascii="Arial" w:hAnsi="Arial"/>
      <w:sz w:val="24"/>
    </w:rPr>
  </w:style>
  <w:style w:type="paragraph" w:styleId="Revision">
    <w:name w:val="Revision"/>
    <w:hidden/>
    <w:uiPriority w:val="99"/>
    <w:semiHidden/>
    <w:rsid w:val="001A70A8"/>
    <w:pPr>
      <w:spacing w:after="0" w:line="240" w:lineRule="auto"/>
    </w:pPr>
  </w:style>
  <w:style w:type="character" w:styleId="CommentReference">
    <w:name w:val="annotation reference"/>
    <w:basedOn w:val="DefaultParagraphFont"/>
    <w:uiPriority w:val="99"/>
    <w:semiHidden/>
    <w:unhideWhenUsed/>
    <w:rsid w:val="0010243D"/>
    <w:rPr>
      <w:sz w:val="16"/>
      <w:szCs w:val="16"/>
    </w:rPr>
  </w:style>
  <w:style w:type="paragraph" w:styleId="CommentText">
    <w:name w:val="annotation text"/>
    <w:basedOn w:val="Normal"/>
    <w:link w:val="CommentTextChar"/>
    <w:uiPriority w:val="99"/>
    <w:unhideWhenUsed/>
    <w:rsid w:val="0010243D"/>
    <w:rPr>
      <w:sz w:val="20"/>
      <w:szCs w:val="20"/>
    </w:rPr>
  </w:style>
  <w:style w:type="character" w:customStyle="1" w:styleId="CommentTextChar">
    <w:name w:val="Comment Text Char"/>
    <w:basedOn w:val="DefaultParagraphFont"/>
    <w:link w:val="CommentText"/>
    <w:uiPriority w:val="99"/>
    <w:rsid w:val="001024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243D"/>
    <w:rPr>
      <w:b/>
      <w:bCs/>
    </w:rPr>
  </w:style>
  <w:style w:type="character" w:customStyle="1" w:styleId="CommentSubjectChar">
    <w:name w:val="Comment Subject Char"/>
    <w:basedOn w:val="CommentTextChar"/>
    <w:link w:val="CommentSubject"/>
    <w:uiPriority w:val="99"/>
    <w:semiHidden/>
    <w:rsid w:val="0010243D"/>
    <w:rPr>
      <w:rFonts w:ascii="Arial" w:hAnsi="Arial"/>
      <w:b/>
      <w:bCs/>
      <w:sz w:val="20"/>
      <w:szCs w:val="20"/>
    </w:rPr>
  </w:style>
  <w:style w:type="character" w:customStyle="1" w:styleId="Heading3Char">
    <w:name w:val="Heading 3 Char"/>
    <w:basedOn w:val="DefaultParagraphFont"/>
    <w:link w:val="Heading3"/>
    <w:uiPriority w:val="9"/>
    <w:rsid w:val="00D66AB4"/>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rsid w:val="007D3E44"/>
    <w:rPr>
      <w:rFonts w:asciiTheme="majorHAnsi" w:eastAsiaTheme="majorEastAsia" w:hAnsiTheme="majorHAnsi" w:cstheme="majorBidi"/>
      <w:iCs/>
      <w:color w:val="2F5496" w:themeColor="accent1" w:themeShade="BF"/>
      <w:sz w:val="26"/>
    </w:rPr>
  </w:style>
  <w:style w:type="character" w:customStyle="1" w:styleId="Heading1Char">
    <w:name w:val="Heading 1 Char"/>
    <w:basedOn w:val="DefaultParagraphFont"/>
    <w:link w:val="Heading1"/>
    <w:uiPriority w:val="9"/>
    <w:rsid w:val="00D66AB4"/>
    <w:rPr>
      <w:rFonts w:asciiTheme="majorHAnsi" w:eastAsiaTheme="majorEastAsia" w:hAnsiTheme="majorHAnsi" w:cstheme="majorBidi"/>
      <w:color w:val="2F5496" w:themeColor="accent1" w:themeShade="BF"/>
      <w:sz w:val="32"/>
      <w:szCs w:val="32"/>
    </w:rPr>
  </w:style>
  <w:style w:type="paragraph" w:customStyle="1" w:styleId="ChartMainHeading-Lvl11">
    <w:name w:val="Chart Main Heading - Lvl 1.1"/>
    <w:next w:val="Normal"/>
    <w:qFormat/>
    <w:rsid w:val="0013042C"/>
    <w:pPr>
      <w:keepNext/>
      <w:keepLines/>
      <w:tabs>
        <w:tab w:val="left" w:pos="1134"/>
      </w:tabs>
      <w:spacing w:before="240" w:after="120" w:line="240" w:lineRule="auto"/>
      <w:ind w:left="1134"/>
    </w:pPr>
    <w:rPr>
      <w:rFonts w:ascii="Calibri" w:eastAsia="Times New Roman" w:hAnsi="Calibri" w:cs="Times New Roman"/>
      <w:b/>
      <w:color w:val="4472C4" w:themeColor="accent1"/>
      <w:sz w:val="24"/>
      <w:szCs w:val="20"/>
      <w:lang w:eastAsia="en-AU"/>
    </w:rPr>
  </w:style>
  <w:style w:type="paragraph" w:customStyle="1" w:styleId="TableMainHeading-Lvl11">
    <w:name w:val="Table Main Heading - Lvl 1.1"/>
    <w:basedOn w:val="Normal"/>
    <w:next w:val="Normal"/>
    <w:qFormat/>
    <w:rsid w:val="0013042C"/>
    <w:pPr>
      <w:keepNext/>
      <w:tabs>
        <w:tab w:val="left" w:pos="1134"/>
      </w:tabs>
      <w:spacing w:before="240"/>
      <w:outlineLvl w:val="2"/>
    </w:pPr>
    <w:rPr>
      <w:rFonts w:ascii="Calibri" w:eastAsia="Times New Roman" w:hAnsi="Calibri" w:cs="Arial"/>
      <w:b/>
      <w:color w:val="4472C4" w:themeColor="accent1"/>
      <w:kern w:val="32"/>
      <w:szCs w:val="26"/>
      <w:lang w:eastAsia="en-AU"/>
    </w:rPr>
  </w:style>
  <w:style w:type="paragraph" w:customStyle="1" w:styleId="BoxHeading-Lvl11">
    <w:name w:val="Box Heading - Lvl 1.1"/>
    <w:basedOn w:val="Normal"/>
    <w:qFormat/>
    <w:rsid w:val="0013042C"/>
    <w:pPr>
      <w:keepNext/>
      <w:tabs>
        <w:tab w:val="left" w:pos="1134"/>
      </w:tabs>
      <w:spacing w:before="240" w:after="240"/>
    </w:pPr>
    <w:rPr>
      <w:rFonts w:ascii="Calibri" w:eastAsia="Times New Roman" w:hAnsi="Calibri" w:cs="Arial"/>
      <w:b/>
      <w:color w:val="4472C4" w:themeColor="accent1"/>
      <w:kern w:val="32"/>
      <w:sz w:val="28"/>
      <w:szCs w:val="26"/>
      <w:lang w:eastAsia="en-AU"/>
    </w:rPr>
  </w:style>
  <w:style w:type="paragraph" w:customStyle="1" w:styleId="FigureMainHeading-Lvl11">
    <w:name w:val="Figure Main Heading - Lvl 1.1"/>
    <w:next w:val="Normal"/>
    <w:qFormat/>
    <w:rsid w:val="0013042C"/>
    <w:pPr>
      <w:keepNext/>
      <w:tabs>
        <w:tab w:val="left" w:pos="1134"/>
      </w:tabs>
      <w:spacing w:before="240" w:after="120" w:line="240" w:lineRule="auto"/>
    </w:pPr>
    <w:rPr>
      <w:rFonts w:ascii="Calibri" w:eastAsia="Times New Roman" w:hAnsi="Calibri" w:cs="Times New Roman"/>
      <w:b/>
      <w:color w:val="4472C4" w:themeColor="accent1"/>
      <w:sz w:val="24"/>
      <w:szCs w:val="20"/>
      <w:lang w:eastAsia="en-AU"/>
    </w:rPr>
  </w:style>
  <w:style w:type="paragraph" w:customStyle="1" w:styleId="BoxHeading-Lvl111">
    <w:name w:val="Box Heading - Lvl 1.1.1"/>
    <w:basedOn w:val="BoxHeading-Lvl11"/>
    <w:next w:val="Normal"/>
    <w:qFormat/>
    <w:rsid w:val="0013042C"/>
  </w:style>
  <w:style w:type="paragraph" w:customStyle="1" w:styleId="ChartMainHeading-Lvl111">
    <w:name w:val="Chart Main Heading - Lvl 1.1.1"/>
    <w:basedOn w:val="ChartMainHeading-Lvl11"/>
    <w:next w:val="Normal"/>
    <w:qFormat/>
    <w:rsid w:val="0013042C"/>
    <w:pPr>
      <w:ind w:left="0"/>
    </w:pPr>
  </w:style>
  <w:style w:type="paragraph" w:customStyle="1" w:styleId="TableMainHeading-Lvl111">
    <w:name w:val="Table Main Heading - Lvl 1.1.1"/>
    <w:basedOn w:val="TableMainHeading-Lvl11"/>
    <w:next w:val="Normal"/>
    <w:qFormat/>
    <w:rsid w:val="0013042C"/>
  </w:style>
  <w:style w:type="paragraph" w:customStyle="1" w:styleId="xdash">
    <w:name w:val="x_dash"/>
    <w:basedOn w:val="Normal"/>
    <w:rsid w:val="00F65B06"/>
    <w:pPr>
      <w:spacing w:before="100" w:beforeAutospacing="1" w:after="100" w:afterAutospacing="1"/>
    </w:pPr>
    <w:rPr>
      <w:rFonts w:ascii="Calibri" w:hAnsi="Calibri" w:cs="Calibri"/>
      <w:lang w:eastAsia="en-AU"/>
    </w:rPr>
  </w:style>
  <w:style w:type="character" w:customStyle="1" w:styleId="ui-provider">
    <w:name w:val="ui-provider"/>
    <w:basedOn w:val="DefaultParagraphFont"/>
    <w:rsid w:val="005625A8"/>
  </w:style>
  <w:style w:type="table" w:styleId="TableGrid">
    <w:name w:val="Table Grid"/>
    <w:basedOn w:val="TableNormal"/>
    <w:uiPriority w:val="39"/>
    <w:rsid w:val="008E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1B3E"/>
    <w:pPr>
      <w:spacing w:after="0"/>
      <w:jc w:val="left"/>
    </w:pPr>
    <w:rPr>
      <w:sz w:val="16"/>
      <w:szCs w:val="20"/>
    </w:rPr>
  </w:style>
  <w:style w:type="character" w:customStyle="1" w:styleId="FootnoteTextChar">
    <w:name w:val="Footnote Text Char"/>
    <w:basedOn w:val="DefaultParagraphFont"/>
    <w:link w:val="FootnoteText"/>
    <w:uiPriority w:val="99"/>
    <w:rsid w:val="006B1B3E"/>
    <w:rPr>
      <w:sz w:val="16"/>
      <w:szCs w:val="20"/>
    </w:rPr>
  </w:style>
  <w:style w:type="character" w:styleId="FootnoteReference">
    <w:name w:val="footnote reference"/>
    <w:basedOn w:val="DefaultParagraphFont"/>
    <w:uiPriority w:val="99"/>
    <w:unhideWhenUsed/>
    <w:rsid w:val="00301F40"/>
    <w:rPr>
      <w:vertAlign w:val="superscript"/>
    </w:rPr>
  </w:style>
  <w:style w:type="character" w:styleId="Hyperlink">
    <w:name w:val="Hyperlink"/>
    <w:basedOn w:val="DefaultParagraphFont"/>
    <w:uiPriority w:val="99"/>
    <w:unhideWhenUsed/>
    <w:rsid w:val="00301F40"/>
    <w:rPr>
      <w:color w:val="0563C1" w:themeColor="hyperlink"/>
      <w:u w:val="single"/>
    </w:rPr>
  </w:style>
  <w:style w:type="character" w:styleId="FollowedHyperlink">
    <w:name w:val="FollowedHyperlink"/>
    <w:basedOn w:val="DefaultParagraphFont"/>
    <w:uiPriority w:val="99"/>
    <w:semiHidden/>
    <w:unhideWhenUsed/>
    <w:rsid w:val="008D66DC"/>
    <w:rPr>
      <w:color w:val="954F72" w:themeColor="followedHyperlink"/>
      <w:u w:val="single"/>
    </w:rPr>
  </w:style>
  <w:style w:type="paragraph" w:styleId="Header">
    <w:name w:val="header"/>
    <w:basedOn w:val="Normal"/>
    <w:link w:val="HeaderChar"/>
    <w:uiPriority w:val="99"/>
    <w:unhideWhenUsed/>
    <w:rsid w:val="007527DA"/>
    <w:pPr>
      <w:tabs>
        <w:tab w:val="center" w:pos="4513"/>
        <w:tab w:val="right" w:pos="9026"/>
      </w:tabs>
      <w:spacing w:after="0"/>
    </w:pPr>
  </w:style>
  <w:style w:type="character" w:customStyle="1" w:styleId="HeaderChar">
    <w:name w:val="Header Char"/>
    <w:basedOn w:val="DefaultParagraphFont"/>
    <w:link w:val="Header"/>
    <w:uiPriority w:val="99"/>
    <w:rsid w:val="007527DA"/>
    <w:rPr>
      <w:rFonts w:ascii="Arial" w:hAnsi="Arial"/>
      <w:sz w:val="24"/>
    </w:rPr>
  </w:style>
  <w:style w:type="paragraph" w:styleId="Footer">
    <w:name w:val="footer"/>
    <w:basedOn w:val="Normal"/>
    <w:link w:val="FooterChar"/>
    <w:uiPriority w:val="99"/>
    <w:unhideWhenUsed/>
    <w:rsid w:val="007527DA"/>
    <w:pPr>
      <w:tabs>
        <w:tab w:val="center" w:pos="4513"/>
        <w:tab w:val="right" w:pos="9026"/>
      </w:tabs>
      <w:spacing w:after="0"/>
    </w:pPr>
  </w:style>
  <w:style w:type="character" w:customStyle="1" w:styleId="FooterChar">
    <w:name w:val="Footer Char"/>
    <w:basedOn w:val="DefaultParagraphFont"/>
    <w:link w:val="Footer"/>
    <w:uiPriority w:val="99"/>
    <w:rsid w:val="007527DA"/>
    <w:rPr>
      <w:rFonts w:ascii="Arial" w:hAnsi="Arial"/>
      <w:sz w:val="24"/>
    </w:rPr>
  </w:style>
  <w:style w:type="paragraph" w:customStyle="1" w:styleId="OutlineNumbered1">
    <w:name w:val="Outline Numbered 1"/>
    <w:basedOn w:val="Normal"/>
    <w:link w:val="OutlineNumbered1Char"/>
    <w:rsid w:val="009E7DF7"/>
    <w:pPr>
      <w:numPr>
        <w:numId w:val="3"/>
      </w:numPr>
    </w:pPr>
  </w:style>
  <w:style w:type="character" w:customStyle="1" w:styleId="OutlineNumbered1Char">
    <w:name w:val="Outline Numbered 1 Char"/>
    <w:basedOn w:val="BulletChar"/>
    <w:link w:val="OutlineNumbered1"/>
    <w:rsid w:val="009E7DF7"/>
    <w:rPr>
      <w:rFonts w:ascii="Arial" w:hAnsi="Arial"/>
      <w:sz w:val="24"/>
    </w:rPr>
  </w:style>
  <w:style w:type="paragraph" w:customStyle="1" w:styleId="OutlineNumbered2">
    <w:name w:val="Outline Numbered 2"/>
    <w:basedOn w:val="Normal"/>
    <w:link w:val="OutlineNumbered2Char"/>
    <w:rsid w:val="009E7DF7"/>
    <w:pPr>
      <w:numPr>
        <w:ilvl w:val="1"/>
        <w:numId w:val="3"/>
      </w:numPr>
    </w:pPr>
  </w:style>
  <w:style w:type="character" w:customStyle="1" w:styleId="OutlineNumbered2Char">
    <w:name w:val="Outline Numbered 2 Char"/>
    <w:basedOn w:val="BulletChar"/>
    <w:link w:val="OutlineNumbered2"/>
    <w:rsid w:val="009E7DF7"/>
    <w:rPr>
      <w:rFonts w:ascii="Arial" w:hAnsi="Arial"/>
      <w:sz w:val="24"/>
    </w:rPr>
  </w:style>
  <w:style w:type="paragraph" w:customStyle="1" w:styleId="OutlineNumbered3">
    <w:name w:val="Outline Numbered 3"/>
    <w:basedOn w:val="Normal"/>
    <w:link w:val="OutlineNumbered3Char"/>
    <w:rsid w:val="009E7DF7"/>
    <w:pPr>
      <w:numPr>
        <w:ilvl w:val="2"/>
        <w:numId w:val="3"/>
      </w:numPr>
    </w:pPr>
  </w:style>
  <w:style w:type="character" w:customStyle="1" w:styleId="OutlineNumbered3Char">
    <w:name w:val="Outline Numbered 3 Char"/>
    <w:basedOn w:val="BulletChar"/>
    <w:link w:val="OutlineNumbered3"/>
    <w:rsid w:val="009E7DF7"/>
    <w:rPr>
      <w:rFonts w:ascii="Arial" w:hAnsi="Arial"/>
      <w:sz w:val="24"/>
    </w:rPr>
  </w:style>
  <w:style w:type="paragraph" w:styleId="NormalWeb">
    <w:name w:val="Normal (Web)"/>
    <w:basedOn w:val="Normal"/>
    <w:uiPriority w:val="99"/>
    <w:semiHidden/>
    <w:unhideWhenUsed/>
    <w:rsid w:val="006B2013"/>
    <w:pPr>
      <w:spacing w:before="100" w:beforeAutospacing="1" w:after="100" w:afterAutospacing="1"/>
    </w:pPr>
    <w:rPr>
      <w:rFonts w:ascii="Times New Roman" w:eastAsia="Times New Roman" w:hAnsi="Times New Roman" w:cs="Times New Roman"/>
      <w:szCs w:val="24"/>
      <w:lang w:eastAsia="en-AU"/>
    </w:rPr>
  </w:style>
  <w:style w:type="paragraph" w:styleId="Title">
    <w:name w:val="Title"/>
    <w:basedOn w:val="Normal"/>
    <w:next w:val="Normal"/>
    <w:link w:val="TitleChar"/>
    <w:uiPriority w:val="10"/>
    <w:qFormat/>
    <w:rsid w:val="00B417A8"/>
    <w:pPr>
      <w:spacing w:before="240"/>
      <w:jc w:val="center"/>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417A8"/>
    <w:rPr>
      <w:rFonts w:asciiTheme="majorHAnsi" w:eastAsiaTheme="majorEastAsia" w:hAnsiTheme="majorHAnsi" w:cstheme="majorBidi"/>
      <w:spacing w:val="-10"/>
      <w:kern w:val="28"/>
      <w:sz w:val="32"/>
      <w:szCs w:val="56"/>
    </w:rPr>
  </w:style>
  <w:style w:type="paragraph" w:customStyle="1" w:styleId="ChartMainHeading">
    <w:name w:val="Chart Main Heading"/>
    <w:basedOn w:val="Normal"/>
    <w:next w:val="Normal"/>
    <w:qFormat/>
    <w:rsid w:val="007D3E44"/>
    <w:pPr>
      <w:keepNext/>
      <w:spacing w:after="0" w:line="240" w:lineRule="auto"/>
      <w:jc w:val="center"/>
    </w:pPr>
    <w:rPr>
      <w:b/>
    </w:rPr>
  </w:style>
  <w:style w:type="character" w:styleId="UnresolvedMention">
    <w:name w:val="Unresolved Mention"/>
    <w:basedOn w:val="DefaultParagraphFont"/>
    <w:uiPriority w:val="99"/>
    <w:semiHidden/>
    <w:unhideWhenUsed/>
    <w:rsid w:val="007D31DC"/>
    <w:rPr>
      <w:color w:val="605E5C"/>
      <w:shd w:val="clear" w:color="auto" w:fill="E1DFDD"/>
    </w:rPr>
  </w:style>
  <w:style w:type="paragraph" w:customStyle="1" w:styleId="ChartandTableFootnoteSmall">
    <w:name w:val="Chart and Table Footnote Small"/>
    <w:basedOn w:val="Normal"/>
    <w:qFormat/>
    <w:rsid w:val="007D3E44"/>
    <w:pPr>
      <w:spacing w:after="0" w:line="240" w:lineRule="auto"/>
      <w:ind w:left="680" w:hanging="680"/>
    </w:pPr>
    <w:rPr>
      <w:sz w:val="18"/>
      <w:szCs w:val="20"/>
    </w:rPr>
  </w:style>
  <w:style w:type="paragraph" w:styleId="ListParagraph">
    <w:name w:val="List Paragraph"/>
    <w:basedOn w:val="Normal"/>
    <w:uiPriority w:val="34"/>
    <w:qFormat/>
    <w:rsid w:val="005A6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1611">
      <w:bodyDiv w:val="1"/>
      <w:marLeft w:val="0"/>
      <w:marRight w:val="0"/>
      <w:marTop w:val="0"/>
      <w:marBottom w:val="0"/>
      <w:divBdr>
        <w:top w:val="none" w:sz="0" w:space="0" w:color="auto"/>
        <w:left w:val="none" w:sz="0" w:space="0" w:color="auto"/>
        <w:bottom w:val="none" w:sz="0" w:space="0" w:color="auto"/>
        <w:right w:val="none" w:sz="0" w:space="0" w:color="auto"/>
      </w:divBdr>
    </w:div>
    <w:div w:id="266810185">
      <w:bodyDiv w:val="1"/>
      <w:marLeft w:val="0"/>
      <w:marRight w:val="0"/>
      <w:marTop w:val="0"/>
      <w:marBottom w:val="0"/>
      <w:divBdr>
        <w:top w:val="none" w:sz="0" w:space="0" w:color="auto"/>
        <w:left w:val="none" w:sz="0" w:space="0" w:color="auto"/>
        <w:bottom w:val="none" w:sz="0" w:space="0" w:color="auto"/>
        <w:right w:val="none" w:sz="0" w:space="0" w:color="auto"/>
      </w:divBdr>
    </w:div>
    <w:div w:id="449056220">
      <w:bodyDiv w:val="1"/>
      <w:marLeft w:val="0"/>
      <w:marRight w:val="0"/>
      <w:marTop w:val="0"/>
      <w:marBottom w:val="0"/>
      <w:divBdr>
        <w:top w:val="none" w:sz="0" w:space="0" w:color="auto"/>
        <w:left w:val="none" w:sz="0" w:space="0" w:color="auto"/>
        <w:bottom w:val="none" w:sz="0" w:space="0" w:color="auto"/>
        <w:right w:val="none" w:sz="0" w:space="0" w:color="auto"/>
      </w:divBdr>
    </w:div>
    <w:div w:id="565531442">
      <w:bodyDiv w:val="1"/>
      <w:marLeft w:val="0"/>
      <w:marRight w:val="0"/>
      <w:marTop w:val="0"/>
      <w:marBottom w:val="0"/>
      <w:divBdr>
        <w:top w:val="none" w:sz="0" w:space="0" w:color="auto"/>
        <w:left w:val="none" w:sz="0" w:space="0" w:color="auto"/>
        <w:bottom w:val="none" w:sz="0" w:space="0" w:color="auto"/>
        <w:right w:val="none" w:sz="0" w:space="0" w:color="auto"/>
      </w:divBdr>
    </w:div>
    <w:div w:id="686757798">
      <w:bodyDiv w:val="1"/>
      <w:marLeft w:val="0"/>
      <w:marRight w:val="0"/>
      <w:marTop w:val="0"/>
      <w:marBottom w:val="0"/>
      <w:divBdr>
        <w:top w:val="none" w:sz="0" w:space="0" w:color="auto"/>
        <w:left w:val="none" w:sz="0" w:space="0" w:color="auto"/>
        <w:bottom w:val="none" w:sz="0" w:space="0" w:color="auto"/>
        <w:right w:val="none" w:sz="0" w:space="0" w:color="auto"/>
      </w:divBdr>
      <w:divsChild>
        <w:div w:id="1794984279">
          <w:marLeft w:val="274"/>
          <w:marRight w:val="0"/>
          <w:marTop w:val="0"/>
          <w:marBottom w:val="0"/>
          <w:divBdr>
            <w:top w:val="none" w:sz="0" w:space="0" w:color="auto"/>
            <w:left w:val="none" w:sz="0" w:space="0" w:color="auto"/>
            <w:bottom w:val="none" w:sz="0" w:space="0" w:color="auto"/>
            <w:right w:val="none" w:sz="0" w:space="0" w:color="auto"/>
          </w:divBdr>
        </w:div>
      </w:divsChild>
    </w:div>
    <w:div w:id="776292435">
      <w:bodyDiv w:val="1"/>
      <w:marLeft w:val="0"/>
      <w:marRight w:val="0"/>
      <w:marTop w:val="0"/>
      <w:marBottom w:val="0"/>
      <w:divBdr>
        <w:top w:val="none" w:sz="0" w:space="0" w:color="auto"/>
        <w:left w:val="none" w:sz="0" w:space="0" w:color="auto"/>
        <w:bottom w:val="none" w:sz="0" w:space="0" w:color="auto"/>
        <w:right w:val="none" w:sz="0" w:space="0" w:color="auto"/>
      </w:divBdr>
    </w:div>
    <w:div w:id="856385445">
      <w:bodyDiv w:val="1"/>
      <w:marLeft w:val="0"/>
      <w:marRight w:val="0"/>
      <w:marTop w:val="0"/>
      <w:marBottom w:val="0"/>
      <w:divBdr>
        <w:top w:val="none" w:sz="0" w:space="0" w:color="auto"/>
        <w:left w:val="none" w:sz="0" w:space="0" w:color="auto"/>
        <w:bottom w:val="none" w:sz="0" w:space="0" w:color="auto"/>
        <w:right w:val="none" w:sz="0" w:space="0" w:color="auto"/>
      </w:divBdr>
    </w:div>
    <w:div w:id="905650053">
      <w:bodyDiv w:val="1"/>
      <w:marLeft w:val="0"/>
      <w:marRight w:val="0"/>
      <w:marTop w:val="0"/>
      <w:marBottom w:val="0"/>
      <w:divBdr>
        <w:top w:val="none" w:sz="0" w:space="0" w:color="auto"/>
        <w:left w:val="none" w:sz="0" w:space="0" w:color="auto"/>
        <w:bottom w:val="none" w:sz="0" w:space="0" w:color="auto"/>
        <w:right w:val="none" w:sz="0" w:space="0" w:color="auto"/>
      </w:divBdr>
    </w:div>
    <w:div w:id="994070515">
      <w:bodyDiv w:val="1"/>
      <w:marLeft w:val="0"/>
      <w:marRight w:val="0"/>
      <w:marTop w:val="0"/>
      <w:marBottom w:val="0"/>
      <w:divBdr>
        <w:top w:val="none" w:sz="0" w:space="0" w:color="auto"/>
        <w:left w:val="none" w:sz="0" w:space="0" w:color="auto"/>
        <w:bottom w:val="none" w:sz="0" w:space="0" w:color="auto"/>
        <w:right w:val="none" w:sz="0" w:space="0" w:color="auto"/>
      </w:divBdr>
    </w:div>
    <w:div w:id="1423525300">
      <w:bodyDiv w:val="1"/>
      <w:marLeft w:val="0"/>
      <w:marRight w:val="0"/>
      <w:marTop w:val="0"/>
      <w:marBottom w:val="0"/>
      <w:divBdr>
        <w:top w:val="none" w:sz="0" w:space="0" w:color="auto"/>
        <w:left w:val="none" w:sz="0" w:space="0" w:color="auto"/>
        <w:bottom w:val="none" w:sz="0" w:space="0" w:color="auto"/>
        <w:right w:val="none" w:sz="0" w:space="0" w:color="auto"/>
      </w:divBdr>
    </w:div>
    <w:div w:id="1505701445">
      <w:bodyDiv w:val="1"/>
      <w:marLeft w:val="0"/>
      <w:marRight w:val="0"/>
      <w:marTop w:val="0"/>
      <w:marBottom w:val="0"/>
      <w:divBdr>
        <w:top w:val="none" w:sz="0" w:space="0" w:color="auto"/>
        <w:left w:val="none" w:sz="0" w:space="0" w:color="auto"/>
        <w:bottom w:val="none" w:sz="0" w:space="0" w:color="auto"/>
        <w:right w:val="none" w:sz="0" w:space="0" w:color="auto"/>
      </w:divBdr>
    </w:div>
    <w:div w:id="1546209444">
      <w:bodyDiv w:val="1"/>
      <w:marLeft w:val="0"/>
      <w:marRight w:val="0"/>
      <w:marTop w:val="0"/>
      <w:marBottom w:val="0"/>
      <w:divBdr>
        <w:top w:val="none" w:sz="0" w:space="0" w:color="auto"/>
        <w:left w:val="none" w:sz="0" w:space="0" w:color="auto"/>
        <w:bottom w:val="none" w:sz="0" w:space="0" w:color="auto"/>
        <w:right w:val="none" w:sz="0" w:space="0" w:color="auto"/>
      </w:divBdr>
    </w:div>
    <w:div w:id="1553620092">
      <w:bodyDiv w:val="1"/>
      <w:marLeft w:val="0"/>
      <w:marRight w:val="0"/>
      <w:marTop w:val="0"/>
      <w:marBottom w:val="0"/>
      <w:divBdr>
        <w:top w:val="none" w:sz="0" w:space="0" w:color="auto"/>
        <w:left w:val="none" w:sz="0" w:space="0" w:color="auto"/>
        <w:bottom w:val="none" w:sz="0" w:space="0" w:color="auto"/>
        <w:right w:val="none" w:sz="0" w:space="0" w:color="auto"/>
      </w:divBdr>
    </w:div>
    <w:div w:id="1580746503">
      <w:bodyDiv w:val="1"/>
      <w:marLeft w:val="0"/>
      <w:marRight w:val="0"/>
      <w:marTop w:val="0"/>
      <w:marBottom w:val="0"/>
      <w:divBdr>
        <w:top w:val="none" w:sz="0" w:space="0" w:color="auto"/>
        <w:left w:val="none" w:sz="0" w:space="0" w:color="auto"/>
        <w:bottom w:val="none" w:sz="0" w:space="0" w:color="auto"/>
        <w:right w:val="none" w:sz="0" w:space="0" w:color="auto"/>
      </w:divBdr>
    </w:div>
    <w:div w:id="1596209688">
      <w:bodyDiv w:val="1"/>
      <w:marLeft w:val="0"/>
      <w:marRight w:val="0"/>
      <w:marTop w:val="0"/>
      <w:marBottom w:val="0"/>
      <w:divBdr>
        <w:top w:val="none" w:sz="0" w:space="0" w:color="auto"/>
        <w:left w:val="none" w:sz="0" w:space="0" w:color="auto"/>
        <w:bottom w:val="none" w:sz="0" w:space="0" w:color="auto"/>
        <w:right w:val="none" w:sz="0" w:space="0" w:color="auto"/>
      </w:divBdr>
    </w:div>
    <w:div w:id="1719469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mf.org/en/Publications/WEO/weo-database/2023/April" TargetMode="External"/><Relationship Id="rId1" Type="http://schemas.openxmlformats.org/officeDocument/2006/relationships/hyperlink" Target="https://www.miningmonthly.com/logistics/news/1423618/japan-takes-2-billionth-tonne-of-rio-iron-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2023EXEC-9-37223</_dlc_DocId>
    <_dlc_DocIdUrl xmlns="0f563589-9cf9-4143-b1eb-fb0534803d38">
      <Url>http://tweb/sites/exec/executive/_layouts/15/DocIdRedir.aspx?ID=2023EXEC-9-37223</Url>
      <Description>2023EXEC-9-37223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DEE84F8C8B2E64F8AE988265C0B1281" ma:contentTypeVersion="55835" ma:contentTypeDescription="Create a new document." ma:contentTypeScope="" ma:versionID="33f4dbea4f0718d95e05ff107b81979e">
  <xsd:schema xmlns:xsd="http://www.w3.org/2001/XMLSchema" xmlns:xs="http://www.w3.org/2001/XMLSchema" xmlns:p="http://schemas.microsoft.com/office/2006/metadata/properties" xmlns:ns2="0f563589-9cf9-4143-b1eb-fb0534803d38" targetNamespace="http://schemas.microsoft.com/office/2006/metadata/properties" ma:root="true" ma:fieldsID="d04420cb677181ce355aaefaadb5d949" ns2:_="">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84B4-64A8-4BDC-A78C-EB591A25D671}">
  <ds:schemaRefs>
    <ds:schemaRef ds:uri="http://schemas.microsoft.com/office/2006/metadata/properties"/>
    <ds:schemaRef ds:uri="http://schemas.microsoft.com/office/infopath/2007/PartnerControls"/>
    <ds:schemaRef ds:uri="0f563589-9cf9-4143-b1eb-fb0534803d38"/>
  </ds:schemaRefs>
</ds:datastoreItem>
</file>

<file path=customXml/itemProps2.xml><?xml version="1.0" encoding="utf-8"?>
<ds:datastoreItem xmlns:ds="http://schemas.openxmlformats.org/officeDocument/2006/customXml" ds:itemID="{04406190-D7C5-49BE-B5EA-82B04E1B8809}">
  <ds:schemaRefs>
    <ds:schemaRef ds:uri="http://schemas.microsoft.com/sharepoint/v3/contenttype/forms"/>
  </ds:schemaRefs>
</ds:datastoreItem>
</file>

<file path=customXml/itemProps3.xml><?xml version="1.0" encoding="utf-8"?>
<ds:datastoreItem xmlns:ds="http://schemas.openxmlformats.org/officeDocument/2006/customXml" ds:itemID="{B0F30C03-EA7B-4047-9D83-00E4066E5CDA}">
  <ds:schemaRefs>
    <ds:schemaRef ds:uri="http://schemas.microsoft.com/sharepoint/events"/>
  </ds:schemaRefs>
</ds:datastoreItem>
</file>

<file path=customXml/itemProps4.xml><?xml version="1.0" encoding="utf-8"?>
<ds:datastoreItem xmlns:ds="http://schemas.openxmlformats.org/officeDocument/2006/customXml" ds:itemID="{424A7A84-4398-48D5-BEE7-20C5A96B7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30B8D-D319-4021-8269-B5FDA5757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Keynote address to the Australian Government Fixed Income Forum</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Keynote address to the Australian Government Fixed Income Forum</dc:title>
  <dc:subject/>
  <dc:creator>Australian Government</dc:creator>
  <cp:keywords/>
  <dc:description/>
  <cp:lastModifiedBy>Smith, Matthew</cp:lastModifiedBy>
  <cp:revision>4</cp:revision>
  <cp:lastPrinted>2023-05-23T23:33:00Z</cp:lastPrinted>
  <dcterms:created xsi:type="dcterms:W3CDTF">2023-06-01T06:25:00Z</dcterms:created>
  <dcterms:modified xsi:type="dcterms:W3CDTF">2023-06-02T03:21:00Z</dcterms:modified>
</cp:coreProperties>
</file>