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695A8" w14:textId="198EA203" w:rsidR="00D64859" w:rsidRPr="008F3A7B" w:rsidRDefault="20EF2F9C" w:rsidP="00D64859">
      <w:pPr>
        <w:pStyle w:val="Heading2"/>
        <w:spacing w:after="480"/>
      </w:pPr>
      <w:r>
        <w:t>SUMMARY OF CONSULTATION PROCESS</w:t>
      </w:r>
      <w:r w:rsidR="25183607">
        <w:t xml:space="preserve"> Outcomes</w:t>
      </w:r>
    </w:p>
    <w:p w14:paraId="1A51D472" w14:textId="60BFE5E3" w:rsidR="001F6C2B" w:rsidRDefault="002B6EF3" w:rsidP="002B6EF3">
      <w:pPr>
        <w:rPr>
          <w:color w:val="000000" w:themeColor="text1"/>
          <w:szCs w:val="24"/>
        </w:rPr>
      </w:pPr>
      <w:r w:rsidRPr="4EA53C11">
        <w:rPr>
          <w:color w:val="000000" w:themeColor="text1"/>
          <w:szCs w:val="24"/>
        </w:rPr>
        <w:t>The Government announced on 25 October 2022 (as part of the October 2022-23 Budget)</w:t>
      </w:r>
      <w:r w:rsidR="001F6C2B">
        <w:rPr>
          <w:color w:val="000000" w:themeColor="text1"/>
          <w:szCs w:val="24"/>
        </w:rPr>
        <w:t xml:space="preserve"> a Multinational Tax Integrity Package</w:t>
      </w:r>
      <w:r w:rsidR="00162A09">
        <w:rPr>
          <w:color w:val="000000" w:themeColor="text1"/>
          <w:szCs w:val="24"/>
        </w:rPr>
        <w:t>, which would:</w:t>
      </w:r>
    </w:p>
    <w:p w14:paraId="5CFC9F6B" w14:textId="5CFADC29" w:rsidR="002B6EF3" w:rsidRPr="00162A09" w:rsidRDefault="00184646" w:rsidP="002B6EF3">
      <w:pPr>
        <w:pStyle w:val="Bullet"/>
      </w:pPr>
      <w:r>
        <w:rPr>
          <w:color w:val="000000" w:themeColor="text1"/>
          <w:szCs w:val="24"/>
        </w:rPr>
        <w:t>s</w:t>
      </w:r>
      <w:r w:rsidR="002B6EF3" w:rsidRPr="00162A09">
        <w:rPr>
          <w:color w:val="000000" w:themeColor="text1"/>
          <w:szCs w:val="24"/>
        </w:rPr>
        <w:t>trengthen Australia’s thin capitalisation rules to address risks to the corporate tax base arising from the use of excessive debt deductions</w:t>
      </w:r>
      <w:r w:rsidR="005E00C6">
        <w:rPr>
          <w:color w:val="000000" w:themeColor="text1"/>
          <w:szCs w:val="24"/>
        </w:rPr>
        <w:t>;</w:t>
      </w:r>
    </w:p>
    <w:p w14:paraId="7FB82A4C" w14:textId="56852EBE" w:rsidR="00162A09" w:rsidRDefault="6208D0F9" w:rsidP="002B6EF3">
      <w:pPr>
        <w:pStyle w:val="Bullet"/>
      </w:pPr>
      <w:r>
        <w:t xml:space="preserve">introduce an anti-avoidance rule to </w:t>
      </w:r>
      <w:r w:rsidR="003F73FC">
        <w:t>deny</w:t>
      </w:r>
      <w:r>
        <w:t xml:space="preserve"> deductions for payments made to related parties in relation to intangible</w:t>
      </w:r>
      <w:r w:rsidR="00FF6763">
        <w:t xml:space="preserve"> asset</w:t>
      </w:r>
      <w:r>
        <w:t xml:space="preserve">s </w:t>
      </w:r>
      <w:r w:rsidR="0DF04E6A">
        <w:t>connected with</w:t>
      </w:r>
      <w:r>
        <w:t xml:space="preserve"> low- or no-tax jurisdictions</w:t>
      </w:r>
      <w:r w:rsidR="002F4959">
        <w:t>;</w:t>
      </w:r>
      <w:r w:rsidR="005E00C6">
        <w:t xml:space="preserve"> and</w:t>
      </w:r>
    </w:p>
    <w:p w14:paraId="44BA8636" w14:textId="0C983155" w:rsidR="00C83143" w:rsidRPr="00162A09" w:rsidRDefault="00C83143" w:rsidP="002B6EF3">
      <w:pPr>
        <w:pStyle w:val="Bullet"/>
      </w:pPr>
      <w:r>
        <w:t>introduce reporting requirements for relevant companies to enhance the tax information they disclose to the public</w:t>
      </w:r>
      <w:r w:rsidR="00BF6177">
        <w:t>.</w:t>
      </w:r>
    </w:p>
    <w:p w14:paraId="4A37E34C" w14:textId="009BA8DA" w:rsidR="00E55B6D" w:rsidRPr="008F3A7B" w:rsidRDefault="003E2280" w:rsidP="00BA3D27">
      <w:r>
        <w:rPr>
          <w:color w:val="000000" w:themeColor="text1"/>
        </w:rPr>
        <w:t>Stakeholders have</w:t>
      </w:r>
      <w:r w:rsidRPr="390CA426">
        <w:rPr>
          <w:color w:val="000000" w:themeColor="text1"/>
        </w:rPr>
        <w:t xml:space="preserve"> been consulted throughout the development of the measure</w:t>
      </w:r>
      <w:r>
        <w:rPr>
          <w:color w:val="000000" w:themeColor="text1"/>
        </w:rPr>
        <w:t>s</w:t>
      </w:r>
      <w:r w:rsidRPr="390CA426">
        <w:rPr>
          <w:color w:val="000000" w:themeColor="text1"/>
        </w:rPr>
        <w:t xml:space="preserve"> to inform </w:t>
      </w:r>
      <w:r>
        <w:rPr>
          <w:color w:val="000000" w:themeColor="text1"/>
        </w:rPr>
        <w:t>their</w:t>
      </w:r>
      <w:r w:rsidRPr="390CA426">
        <w:rPr>
          <w:color w:val="000000" w:themeColor="text1"/>
        </w:rPr>
        <w:t xml:space="preserve"> design and implementation. </w:t>
      </w:r>
      <w:r w:rsidR="00CC712F">
        <w:rPr>
          <w:color w:val="000000" w:themeColor="text1"/>
          <w:szCs w:val="24"/>
        </w:rPr>
        <w:t xml:space="preserve">The below summarises key issues </w:t>
      </w:r>
      <w:r>
        <w:rPr>
          <w:color w:val="000000" w:themeColor="text1"/>
          <w:szCs w:val="24"/>
        </w:rPr>
        <w:t xml:space="preserve">raised in public consultation on exposure draft legislation for the measures. </w:t>
      </w:r>
    </w:p>
    <w:p w14:paraId="11F1A504" w14:textId="07130A5D" w:rsidR="00D64859" w:rsidRDefault="00D64859" w:rsidP="00D64859">
      <w:pPr>
        <w:pStyle w:val="Heading3"/>
      </w:pPr>
      <w:r>
        <w:t>Summary of key</w:t>
      </w:r>
      <w:r w:rsidRPr="00294D00">
        <w:t xml:space="preserve"> issues </w:t>
      </w:r>
      <w:r w:rsidR="006B4656">
        <w:t xml:space="preserve">- </w:t>
      </w:r>
      <w:r w:rsidR="006B4656" w:rsidRPr="00A03F5C">
        <w:t>Treasury Laws Amendment (Making Multinationals Pay Their Fair Share: Integrity and Transparency) Bill 2023</w:t>
      </w:r>
    </w:p>
    <w:p w14:paraId="7B3A5AA2" w14:textId="09989F45" w:rsidR="0064483A" w:rsidRDefault="557066C8" w:rsidP="0064483A">
      <w:pPr>
        <w:rPr>
          <w:color w:val="242424"/>
          <w:u w:val="single"/>
          <w:shd w:val="clear" w:color="auto" w:fill="FFFFFF"/>
        </w:rPr>
      </w:pPr>
      <w:r w:rsidRPr="00871974">
        <w:rPr>
          <w:u w:val="single"/>
        </w:rPr>
        <w:t>Schedule 1</w:t>
      </w:r>
      <w:r w:rsidR="14AD4112" w:rsidRPr="00871974">
        <w:rPr>
          <w:u w:val="single"/>
        </w:rPr>
        <w:t xml:space="preserve"> - </w:t>
      </w:r>
      <w:r w:rsidR="14AD4112" w:rsidRPr="00871974">
        <w:rPr>
          <w:color w:val="242424"/>
          <w:u w:val="single"/>
          <w:shd w:val="clear" w:color="auto" w:fill="FFFFFF"/>
        </w:rPr>
        <w:t xml:space="preserve">Multinational tax transparency – Corporate </w:t>
      </w:r>
      <w:r w:rsidR="29DCC5F8" w:rsidRPr="00871974">
        <w:rPr>
          <w:color w:val="242424"/>
          <w:u w:val="single"/>
          <w:shd w:val="clear" w:color="auto" w:fill="FFFFFF"/>
        </w:rPr>
        <w:t>subsidiary disclosures</w:t>
      </w:r>
    </w:p>
    <w:p w14:paraId="2577CBDE" w14:textId="08F7247B" w:rsidR="00293AA5" w:rsidRDefault="2A128649" w:rsidP="0064483A">
      <w:pPr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 xml:space="preserve">The exposure draft </w:t>
      </w:r>
      <w:r w:rsidR="7548F0FF">
        <w:rPr>
          <w:color w:val="242424"/>
          <w:shd w:val="clear" w:color="auto" w:fill="FFFFFF"/>
        </w:rPr>
        <w:t>received minimal stakeholder fee</w:t>
      </w:r>
      <w:r w:rsidR="16EA46E4">
        <w:rPr>
          <w:color w:val="242424"/>
          <w:shd w:val="clear" w:color="auto" w:fill="FFFFFF"/>
        </w:rPr>
        <w:t>dback</w:t>
      </w:r>
      <w:r w:rsidR="007A2C4B">
        <w:rPr>
          <w:color w:val="242424"/>
          <w:shd w:val="clear" w:color="auto" w:fill="FFFFFF"/>
        </w:rPr>
        <w:t xml:space="preserve">, </w:t>
      </w:r>
      <w:r w:rsidR="459C3D8D">
        <w:rPr>
          <w:color w:val="242424"/>
          <w:shd w:val="clear" w:color="auto" w:fill="FFFFFF"/>
        </w:rPr>
        <w:t>focus</w:t>
      </w:r>
      <w:r w:rsidR="007A2C4B">
        <w:rPr>
          <w:color w:val="242424"/>
          <w:shd w:val="clear" w:color="auto" w:fill="FFFFFF"/>
        </w:rPr>
        <w:t>ing</w:t>
      </w:r>
      <w:r w:rsidR="459C3D8D">
        <w:rPr>
          <w:color w:val="242424"/>
          <w:shd w:val="clear" w:color="auto" w:fill="FFFFFF"/>
        </w:rPr>
        <w:t xml:space="preserve"> on</w:t>
      </w:r>
      <w:r w:rsidR="4C537735">
        <w:rPr>
          <w:color w:val="242424"/>
          <w:shd w:val="clear" w:color="auto" w:fill="FFFFFF"/>
        </w:rPr>
        <w:t>ly on</w:t>
      </w:r>
      <w:r w:rsidR="459C3D8D">
        <w:rPr>
          <w:color w:val="242424"/>
          <w:shd w:val="clear" w:color="auto" w:fill="FFFFFF"/>
        </w:rPr>
        <w:t xml:space="preserve"> minor technical drafting suggestions</w:t>
      </w:r>
      <w:r w:rsidR="6549F805">
        <w:rPr>
          <w:color w:val="242424"/>
          <w:shd w:val="clear" w:color="auto" w:fill="FFFFFF"/>
        </w:rPr>
        <w:t xml:space="preserve">, such as </w:t>
      </w:r>
      <w:r w:rsidR="3379B0BD">
        <w:rPr>
          <w:color w:val="242424"/>
          <w:shd w:val="clear" w:color="auto" w:fill="FFFFFF"/>
        </w:rPr>
        <w:t>clarifying wording</w:t>
      </w:r>
      <w:r w:rsidR="3DAD163D">
        <w:rPr>
          <w:color w:val="242424"/>
          <w:shd w:val="clear" w:color="auto" w:fill="FFFFFF"/>
        </w:rPr>
        <w:t>,</w:t>
      </w:r>
      <w:r w:rsidR="73DB942A">
        <w:rPr>
          <w:color w:val="242424"/>
          <w:shd w:val="clear" w:color="auto" w:fill="FFFFFF"/>
        </w:rPr>
        <w:t xml:space="preserve"> and aligning definitions</w:t>
      </w:r>
      <w:r w:rsidR="613077EF">
        <w:rPr>
          <w:color w:val="242424"/>
          <w:shd w:val="clear" w:color="auto" w:fill="FFFFFF"/>
        </w:rPr>
        <w:t>/</w:t>
      </w:r>
      <w:r w:rsidR="3DAD163D">
        <w:rPr>
          <w:color w:val="242424"/>
          <w:shd w:val="clear" w:color="auto" w:fill="FFFFFF"/>
        </w:rPr>
        <w:t xml:space="preserve">concepts contained in the Corporations Act. </w:t>
      </w:r>
    </w:p>
    <w:p w14:paraId="251B8FE2" w14:textId="05D49A4E" w:rsidR="00D44FC3" w:rsidRDefault="00D44FC3" w:rsidP="0064483A">
      <w:pPr>
        <w:rPr>
          <w:color w:val="242424"/>
          <w:u w:val="single"/>
          <w:shd w:val="clear" w:color="auto" w:fill="FFFFFF"/>
        </w:rPr>
      </w:pPr>
      <w:r w:rsidRPr="003B455E">
        <w:rPr>
          <w:color w:val="242424"/>
          <w:u w:val="single"/>
          <w:shd w:val="clear" w:color="auto" w:fill="FFFFFF"/>
        </w:rPr>
        <w:t xml:space="preserve">Schedule </w:t>
      </w:r>
      <w:r w:rsidR="00B40D4D">
        <w:rPr>
          <w:color w:val="242424"/>
          <w:u w:val="single"/>
          <w:shd w:val="clear" w:color="auto" w:fill="FFFFFF"/>
        </w:rPr>
        <w:t>2</w:t>
      </w:r>
      <w:r w:rsidR="002803BD" w:rsidRPr="003B455E">
        <w:rPr>
          <w:color w:val="242424"/>
          <w:u w:val="single"/>
          <w:shd w:val="clear" w:color="auto" w:fill="FFFFFF"/>
        </w:rPr>
        <w:t xml:space="preserve"> - Amending Australia's interest limitation (thin capitalisation) rules</w:t>
      </w:r>
    </w:p>
    <w:p w14:paraId="2575D37F" w14:textId="68148CDD" w:rsidR="003B455E" w:rsidRPr="008F3A7B" w:rsidRDefault="499D652A" w:rsidP="28387C7C">
      <w:pPr>
        <w:rPr>
          <w:color w:val="000000" w:themeColor="text1"/>
        </w:rPr>
      </w:pPr>
      <w:r w:rsidRPr="773482A7">
        <w:rPr>
          <w:color w:val="000000" w:themeColor="text1"/>
        </w:rPr>
        <w:t xml:space="preserve">The introduction of a 30 per cent earnings-based </w:t>
      </w:r>
      <w:r w:rsidR="7DC86BD1" w:rsidRPr="773482A7">
        <w:rPr>
          <w:color w:val="000000" w:themeColor="text1"/>
        </w:rPr>
        <w:t xml:space="preserve">(interest </w:t>
      </w:r>
      <w:r w:rsidRPr="773482A7">
        <w:rPr>
          <w:color w:val="000000" w:themeColor="text1"/>
        </w:rPr>
        <w:t>limitation</w:t>
      </w:r>
      <w:r w:rsidR="61A02DDF" w:rsidRPr="773482A7">
        <w:rPr>
          <w:color w:val="000000" w:themeColor="text1"/>
        </w:rPr>
        <w:t>) rule</w:t>
      </w:r>
      <w:r w:rsidRPr="773482A7">
        <w:rPr>
          <w:color w:val="000000" w:themeColor="text1"/>
        </w:rPr>
        <w:t xml:space="preserve"> received broad</w:t>
      </w:r>
      <w:r w:rsidR="29BEB911" w:rsidRPr="773482A7">
        <w:rPr>
          <w:color w:val="000000" w:themeColor="text1"/>
        </w:rPr>
        <w:t xml:space="preserve"> </w:t>
      </w:r>
      <w:r w:rsidRPr="773482A7">
        <w:rPr>
          <w:color w:val="000000" w:themeColor="text1"/>
        </w:rPr>
        <w:t>support, generally</w:t>
      </w:r>
      <w:r w:rsidR="16331C53" w:rsidRPr="773482A7">
        <w:rPr>
          <w:color w:val="000000" w:themeColor="text1"/>
        </w:rPr>
        <w:t>, with refinements suggested to improve the operability</w:t>
      </w:r>
      <w:r w:rsidR="34F69355" w:rsidRPr="768CD48D">
        <w:rPr>
          <w:color w:val="000000" w:themeColor="text1"/>
        </w:rPr>
        <w:t xml:space="preserve"> </w:t>
      </w:r>
      <w:r w:rsidR="55BA77C9" w:rsidRPr="768CD48D">
        <w:rPr>
          <w:color w:val="000000" w:themeColor="text1"/>
        </w:rPr>
        <w:t xml:space="preserve">of the legislation </w:t>
      </w:r>
      <w:r w:rsidR="34F69355" w:rsidRPr="768CD48D">
        <w:rPr>
          <w:color w:val="000000" w:themeColor="text1"/>
        </w:rPr>
        <w:t xml:space="preserve">focusing </w:t>
      </w:r>
      <w:r w:rsidR="3A61D32E" w:rsidRPr="768CD48D">
        <w:rPr>
          <w:color w:val="000000" w:themeColor="text1"/>
        </w:rPr>
        <w:t xml:space="preserve">mostly </w:t>
      </w:r>
      <w:r w:rsidR="34F69355" w:rsidRPr="768CD48D">
        <w:rPr>
          <w:color w:val="000000" w:themeColor="text1"/>
        </w:rPr>
        <w:t>on technical (definitional) changes</w:t>
      </w:r>
      <w:r w:rsidR="574B981D" w:rsidRPr="768CD48D">
        <w:rPr>
          <w:color w:val="000000" w:themeColor="text1"/>
        </w:rPr>
        <w:t>.</w:t>
      </w:r>
      <w:r w:rsidRPr="773482A7">
        <w:rPr>
          <w:color w:val="000000" w:themeColor="text1"/>
        </w:rPr>
        <w:t xml:space="preserve"> </w:t>
      </w:r>
      <w:r w:rsidR="63293DBC" w:rsidRPr="773482A7">
        <w:rPr>
          <w:color w:val="000000" w:themeColor="text1"/>
        </w:rPr>
        <w:t>Property and infrastructure stakeholders sought a</w:t>
      </w:r>
      <w:r w:rsidR="381FADE3" w:rsidRPr="773482A7">
        <w:rPr>
          <w:color w:val="000000" w:themeColor="text1"/>
        </w:rPr>
        <w:t xml:space="preserve"> carve out from the new rules, </w:t>
      </w:r>
      <w:r w:rsidR="691AE28A" w:rsidRPr="768CD48D">
        <w:rPr>
          <w:color w:val="000000" w:themeColor="text1"/>
        </w:rPr>
        <w:t>noting</w:t>
      </w:r>
      <w:r w:rsidR="381FADE3" w:rsidRPr="773482A7">
        <w:rPr>
          <w:color w:val="000000" w:themeColor="text1"/>
        </w:rPr>
        <w:t xml:space="preserve"> that </w:t>
      </w:r>
      <w:r w:rsidR="09BFAA55" w:rsidRPr="768CD48D">
        <w:rPr>
          <w:color w:val="000000" w:themeColor="text1"/>
        </w:rPr>
        <w:t xml:space="preserve">changes to </w:t>
      </w:r>
      <w:r w:rsidR="381FADE3" w:rsidRPr="773482A7">
        <w:rPr>
          <w:color w:val="000000" w:themeColor="text1"/>
        </w:rPr>
        <w:t xml:space="preserve">the </w:t>
      </w:r>
      <w:r w:rsidR="09BFAA55" w:rsidRPr="768CD48D">
        <w:rPr>
          <w:color w:val="000000" w:themeColor="text1"/>
        </w:rPr>
        <w:t>arm’s length</w:t>
      </w:r>
      <w:r w:rsidR="381FADE3" w:rsidRPr="773482A7">
        <w:rPr>
          <w:color w:val="000000" w:themeColor="text1"/>
        </w:rPr>
        <w:t xml:space="preserve"> debt test </w:t>
      </w:r>
      <w:r w:rsidR="09BFAA55" w:rsidRPr="768CD48D">
        <w:rPr>
          <w:color w:val="000000" w:themeColor="text1"/>
        </w:rPr>
        <w:t>could have adverse effects</w:t>
      </w:r>
      <w:r w:rsidR="51717E4D" w:rsidRPr="773482A7">
        <w:rPr>
          <w:color w:val="000000" w:themeColor="text1"/>
        </w:rPr>
        <w:t xml:space="preserve"> for </w:t>
      </w:r>
      <w:r w:rsidR="09BFAA55" w:rsidRPr="768CD48D">
        <w:rPr>
          <w:color w:val="000000" w:themeColor="text1"/>
        </w:rPr>
        <w:t>asse</w:t>
      </w:r>
      <w:r w:rsidR="1F853B99" w:rsidRPr="768CD48D">
        <w:rPr>
          <w:color w:val="000000" w:themeColor="text1"/>
        </w:rPr>
        <w:t>t</w:t>
      </w:r>
      <w:r w:rsidR="00E2588C">
        <w:rPr>
          <w:color w:val="000000" w:themeColor="text1"/>
        </w:rPr>
        <w:noBreakHyphen/>
      </w:r>
      <w:r w:rsidR="1F853B99" w:rsidRPr="768CD48D">
        <w:rPr>
          <w:color w:val="000000" w:themeColor="text1"/>
        </w:rPr>
        <w:t xml:space="preserve">intensive </w:t>
      </w:r>
      <w:r w:rsidR="6F99FE1F" w:rsidRPr="768CD48D">
        <w:rPr>
          <w:color w:val="000000" w:themeColor="text1"/>
        </w:rPr>
        <w:t>entities’</w:t>
      </w:r>
      <w:r w:rsidR="51717E4D" w:rsidRPr="773482A7">
        <w:rPr>
          <w:color w:val="000000" w:themeColor="text1"/>
        </w:rPr>
        <w:t xml:space="preserve"> </w:t>
      </w:r>
      <w:r w:rsidR="38EAF010" w:rsidRPr="773482A7">
        <w:rPr>
          <w:color w:val="000000" w:themeColor="text1"/>
        </w:rPr>
        <w:t xml:space="preserve">third-party (arm’s length) </w:t>
      </w:r>
      <w:r w:rsidR="51717E4D" w:rsidRPr="773482A7">
        <w:rPr>
          <w:color w:val="000000" w:themeColor="text1"/>
        </w:rPr>
        <w:t>debt deductions.</w:t>
      </w:r>
    </w:p>
    <w:p w14:paraId="728D34FC" w14:textId="776CEF18" w:rsidR="003B455E" w:rsidRPr="008F3A7B" w:rsidRDefault="6794BCF4" w:rsidP="1B50E1E0">
      <w:pPr>
        <w:rPr>
          <w:color w:val="000000" w:themeColor="text1"/>
        </w:rPr>
      </w:pPr>
      <w:r w:rsidRPr="00D65A8F">
        <w:rPr>
          <w:color w:val="000000" w:themeColor="text1"/>
        </w:rPr>
        <w:t>As a result of consultation, the changes to section 25-90 were removed from the Bill</w:t>
      </w:r>
      <w:r w:rsidR="00D65A8F">
        <w:rPr>
          <w:color w:val="000000" w:themeColor="text1"/>
        </w:rPr>
        <w:t>,</w:t>
      </w:r>
      <w:r w:rsidRPr="00D65A8F">
        <w:rPr>
          <w:color w:val="000000" w:themeColor="text1"/>
        </w:rPr>
        <w:t xml:space="preserve"> the third</w:t>
      </w:r>
      <w:r w:rsidR="00A726DA">
        <w:rPr>
          <w:color w:val="000000" w:themeColor="text1"/>
        </w:rPr>
        <w:t>-</w:t>
      </w:r>
      <w:r w:rsidRPr="773482A7">
        <w:rPr>
          <w:color w:val="000000" w:themeColor="text1"/>
        </w:rPr>
        <w:t xml:space="preserve">party debt test conditions were </w:t>
      </w:r>
      <w:r w:rsidR="003C133F">
        <w:rPr>
          <w:color w:val="000000" w:themeColor="text1"/>
        </w:rPr>
        <w:t>adjusted</w:t>
      </w:r>
      <w:r w:rsidR="003C133F" w:rsidRPr="773482A7">
        <w:rPr>
          <w:color w:val="000000" w:themeColor="text1"/>
        </w:rPr>
        <w:t xml:space="preserve"> </w:t>
      </w:r>
      <w:r w:rsidRPr="773482A7">
        <w:rPr>
          <w:color w:val="000000" w:themeColor="text1"/>
        </w:rPr>
        <w:t xml:space="preserve">to accommodate </w:t>
      </w:r>
      <w:r w:rsidR="45510EBE" w:rsidRPr="773482A7">
        <w:rPr>
          <w:color w:val="000000" w:themeColor="text1"/>
        </w:rPr>
        <w:t>a</w:t>
      </w:r>
      <w:r w:rsidR="00DA7558">
        <w:rPr>
          <w:color w:val="000000" w:themeColor="text1"/>
        </w:rPr>
        <w:t>n appropriate</w:t>
      </w:r>
      <w:r w:rsidR="750A1C2C" w:rsidRPr="773482A7">
        <w:rPr>
          <w:color w:val="000000" w:themeColor="text1"/>
        </w:rPr>
        <w:t xml:space="preserve"> range of </w:t>
      </w:r>
      <w:r w:rsidRPr="773482A7">
        <w:rPr>
          <w:color w:val="000000" w:themeColor="text1"/>
        </w:rPr>
        <w:t xml:space="preserve">financing arrangements </w:t>
      </w:r>
      <w:r w:rsidR="4EB532F3" w:rsidRPr="773482A7">
        <w:rPr>
          <w:color w:val="000000" w:themeColor="text1"/>
        </w:rPr>
        <w:t>for greenfield/construction projects</w:t>
      </w:r>
      <w:r w:rsidRPr="773482A7">
        <w:rPr>
          <w:color w:val="000000" w:themeColor="text1"/>
        </w:rPr>
        <w:t xml:space="preserve">, technical changes were adopted to better </w:t>
      </w:r>
      <w:r w:rsidR="00BF3EED">
        <w:rPr>
          <w:color w:val="000000" w:themeColor="text1"/>
        </w:rPr>
        <w:t xml:space="preserve">reflect the </w:t>
      </w:r>
      <w:r w:rsidR="004D1F04">
        <w:rPr>
          <w:color w:val="000000" w:themeColor="text1"/>
        </w:rPr>
        <w:t>arrangements within</w:t>
      </w:r>
      <w:r w:rsidR="00BF3EED" w:rsidRPr="773482A7">
        <w:rPr>
          <w:color w:val="000000" w:themeColor="text1"/>
        </w:rPr>
        <w:t xml:space="preserve"> </w:t>
      </w:r>
      <w:r w:rsidRPr="773482A7">
        <w:rPr>
          <w:color w:val="000000" w:themeColor="text1"/>
        </w:rPr>
        <w:t>trusts and non-consolidated groups, the business continuity test was adopted as a</w:t>
      </w:r>
      <w:r w:rsidR="7482A2B6" w:rsidRPr="773482A7">
        <w:rPr>
          <w:color w:val="000000" w:themeColor="text1"/>
        </w:rPr>
        <w:t xml:space="preserve"> </w:t>
      </w:r>
      <w:r w:rsidR="00D22420">
        <w:rPr>
          <w:color w:val="000000" w:themeColor="text1"/>
        </w:rPr>
        <w:t>more suitable</w:t>
      </w:r>
      <w:r w:rsidR="00D22420" w:rsidRPr="773482A7">
        <w:rPr>
          <w:color w:val="000000" w:themeColor="text1"/>
        </w:rPr>
        <w:t xml:space="preserve"> </w:t>
      </w:r>
      <w:r w:rsidR="7482A2B6" w:rsidRPr="773482A7">
        <w:rPr>
          <w:color w:val="000000" w:themeColor="text1"/>
        </w:rPr>
        <w:t>approach</w:t>
      </w:r>
      <w:r w:rsidRPr="773482A7">
        <w:rPr>
          <w:color w:val="000000" w:themeColor="text1"/>
        </w:rPr>
        <w:t xml:space="preserve"> </w:t>
      </w:r>
      <w:r w:rsidR="4A093B03" w:rsidRPr="773482A7">
        <w:rPr>
          <w:color w:val="000000" w:themeColor="text1"/>
        </w:rPr>
        <w:t>for</w:t>
      </w:r>
      <w:r w:rsidRPr="773482A7">
        <w:rPr>
          <w:color w:val="000000" w:themeColor="text1"/>
        </w:rPr>
        <w:t xml:space="preserve"> allow</w:t>
      </w:r>
      <w:r w:rsidR="488D0D4D" w:rsidRPr="773482A7">
        <w:rPr>
          <w:color w:val="000000" w:themeColor="text1"/>
        </w:rPr>
        <w:t>ing</w:t>
      </w:r>
      <w:r w:rsidRPr="773482A7">
        <w:rPr>
          <w:color w:val="000000" w:themeColor="text1"/>
        </w:rPr>
        <w:t xml:space="preserve"> the carry-forward of previously disallowed debt deductions, </w:t>
      </w:r>
      <w:r w:rsidR="06424D19" w:rsidRPr="3DBDF132">
        <w:rPr>
          <w:color w:val="000000" w:themeColor="text1"/>
        </w:rPr>
        <w:t>the ‘depreciation’ co</w:t>
      </w:r>
      <w:r w:rsidR="00314C1F">
        <w:rPr>
          <w:color w:val="000000" w:themeColor="text1"/>
        </w:rPr>
        <w:t>m</w:t>
      </w:r>
      <w:r w:rsidR="06424D19" w:rsidRPr="3DBDF132">
        <w:rPr>
          <w:color w:val="000000" w:themeColor="text1"/>
        </w:rPr>
        <w:t>po</w:t>
      </w:r>
      <w:r w:rsidR="003A7C40">
        <w:rPr>
          <w:color w:val="000000" w:themeColor="text1"/>
        </w:rPr>
        <w:t>n</w:t>
      </w:r>
      <w:r w:rsidR="06424D19" w:rsidRPr="3DBDF132">
        <w:rPr>
          <w:color w:val="000000" w:themeColor="text1"/>
        </w:rPr>
        <w:t xml:space="preserve">ent of EBITDA was broadened </w:t>
      </w:r>
      <w:r w:rsidRPr="773482A7">
        <w:rPr>
          <w:color w:val="000000" w:themeColor="text1"/>
        </w:rPr>
        <w:t xml:space="preserve">and the definitions of ‘debt deduction’ and ‘net debt deduction’ were clarified and revised to </w:t>
      </w:r>
      <w:r w:rsidR="00A16089">
        <w:rPr>
          <w:color w:val="000000" w:themeColor="text1"/>
        </w:rPr>
        <w:t xml:space="preserve">be </w:t>
      </w:r>
      <w:r w:rsidRPr="773482A7">
        <w:rPr>
          <w:color w:val="000000" w:themeColor="text1"/>
        </w:rPr>
        <w:t>more closely align</w:t>
      </w:r>
      <w:r w:rsidR="31110E3C" w:rsidRPr="773482A7">
        <w:rPr>
          <w:color w:val="000000" w:themeColor="text1"/>
        </w:rPr>
        <w:t>ed</w:t>
      </w:r>
      <w:r w:rsidR="624D9925" w:rsidRPr="773482A7">
        <w:rPr>
          <w:color w:val="000000" w:themeColor="text1"/>
        </w:rPr>
        <w:t xml:space="preserve">, </w:t>
      </w:r>
      <w:r w:rsidR="6FBA16E8" w:rsidRPr="3DBDF132">
        <w:rPr>
          <w:color w:val="000000" w:themeColor="text1"/>
        </w:rPr>
        <w:t xml:space="preserve">intended </w:t>
      </w:r>
      <w:r w:rsidR="624D9925" w:rsidRPr="773482A7">
        <w:rPr>
          <w:color w:val="000000" w:themeColor="text1"/>
        </w:rPr>
        <w:t xml:space="preserve">to ensure </w:t>
      </w:r>
      <w:r w:rsidR="0DD3B028" w:rsidRPr="773482A7">
        <w:rPr>
          <w:color w:val="000000" w:themeColor="text1"/>
        </w:rPr>
        <w:t xml:space="preserve">a broader range of financing arrangements were not </w:t>
      </w:r>
      <w:r w:rsidR="008852C6" w:rsidRPr="773482A7">
        <w:rPr>
          <w:color w:val="000000" w:themeColor="text1"/>
        </w:rPr>
        <w:t>adversely</w:t>
      </w:r>
      <w:r w:rsidR="0DD3B028" w:rsidRPr="773482A7">
        <w:rPr>
          <w:color w:val="000000" w:themeColor="text1"/>
        </w:rPr>
        <w:t xml:space="preserve"> affected</w:t>
      </w:r>
      <w:r w:rsidRPr="773482A7">
        <w:rPr>
          <w:color w:val="000000" w:themeColor="text1"/>
        </w:rPr>
        <w:t>.</w:t>
      </w:r>
      <w:r w:rsidR="008E01B3">
        <w:rPr>
          <w:color w:val="000000" w:themeColor="text1"/>
        </w:rPr>
        <w:t xml:space="preserve"> Targeted debt creation rules were included to support the policy intent.</w:t>
      </w:r>
      <w:r w:rsidR="4DF35FB9" w:rsidRPr="3DBDF132">
        <w:rPr>
          <w:color w:val="000000" w:themeColor="text1"/>
        </w:rPr>
        <w:t xml:space="preserve"> </w:t>
      </w:r>
    </w:p>
    <w:p w14:paraId="0F23F6DF" w14:textId="17D13513" w:rsidR="24BF5A7C" w:rsidRDefault="1103BE45" w:rsidP="773482A7">
      <w:pPr>
        <w:spacing w:after="480"/>
        <w:rPr>
          <w:color w:val="000000" w:themeColor="text1"/>
        </w:rPr>
      </w:pPr>
      <w:r w:rsidRPr="70841BDE">
        <w:rPr>
          <w:color w:val="000000" w:themeColor="text1"/>
        </w:rPr>
        <w:lastRenderedPageBreak/>
        <w:t xml:space="preserve">Treasury continued to engage with </w:t>
      </w:r>
      <w:r w:rsidR="0352E0E6" w:rsidRPr="70841BDE">
        <w:rPr>
          <w:color w:val="000000" w:themeColor="text1"/>
        </w:rPr>
        <w:t xml:space="preserve">targeted stakeholders after the public consultation closed, focused </w:t>
      </w:r>
      <w:r w:rsidR="001D73D1" w:rsidRPr="70841BDE">
        <w:rPr>
          <w:color w:val="000000" w:themeColor="text1"/>
        </w:rPr>
        <w:t>o</w:t>
      </w:r>
      <w:r w:rsidR="0352E0E6" w:rsidRPr="70841BDE">
        <w:rPr>
          <w:color w:val="000000" w:themeColor="text1"/>
        </w:rPr>
        <w:t>n the property and infrastructures sectors, to refine the legislative text</w:t>
      </w:r>
      <w:r w:rsidR="5EC8D967" w:rsidRPr="70841BDE">
        <w:rPr>
          <w:color w:val="000000" w:themeColor="text1"/>
        </w:rPr>
        <w:t xml:space="preserve"> to address unintended consequences identified through the consultation process</w:t>
      </w:r>
      <w:r w:rsidR="0352E0E6" w:rsidRPr="70841BDE">
        <w:rPr>
          <w:color w:val="000000" w:themeColor="text1"/>
        </w:rPr>
        <w:t>.</w:t>
      </w:r>
    </w:p>
    <w:p w14:paraId="4B09E47C" w14:textId="0990FF23" w:rsidR="006B4656" w:rsidRPr="0031503F" w:rsidRDefault="006B4656" w:rsidP="00A03F5C">
      <w:pPr>
        <w:pStyle w:val="Heading3"/>
        <w:rPr>
          <w:b w:val="0"/>
          <w:color w:val="000000" w:themeColor="text1"/>
        </w:rPr>
      </w:pPr>
      <w:r w:rsidRPr="0031503F">
        <w:rPr>
          <w:color w:val="000000" w:themeColor="text1"/>
        </w:rPr>
        <w:t>Summary of key issues – other elements</w:t>
      </w:r>
    </w:p>
    <w:p w14:paraId="073B3BD1" w14:textId="77502902" w:rsidR="006B4656" w:rsidRPr="0031503F" w:rsidRDefault="006B4656" w:rsidP="66E279F9">
      <w:pPr>
        <w:rPr>
          <w:color w:val="000000" w:themeColor="text1"/>
          <w:u w:val="single"/>
          <w:shd w:val="clear" w:color="auto" w:fill="FFFFFF"/>
        </w:rPr>
      </w:pPr>
      <w:r w:rsidRPr="0031503F">
        <w:rPr>
          <w:color w:val="000000" w:themeColor="text1"/>
          <w:u w:val="single"/>
          <w:shd w:val="clear" w:color="auto" w:fill="FFFFFF"/>
        </w:rPr>
        <w:t>Multinational tax transparency – public country-by-country reporting (tax changes)</w:t>
      </w:r>
    </w:p>
    <w:p w14:paraId="2CD79A18" w14:textId="50394309" w:rsidR="006B4656" w:rsidRPr="0031503F" w:rsidRDefault="006B4656" w:rsidP="006B4656">
      <w:pPr>
        <w:rPr>
          <w:color w:val="000000" w:themeColor="text1"/>
        </w:rPr>
      </w:pPr>
      <w:r w:rsidRPr="0031503F">
        <w:rPr>
          <w:color w:val="000000" w:themeColor="text1"/>
        </w:rPr>
        <w:t xml:space="preserve">The </w:t>
      </w:r>
      <w:r w:rsidR="00312495" w:rsidRPr="0031503F">
        <w:rPr>
          <w:color w:val="000000" w:themeColor="text1"/>
        </w:rPr>
        <w:t>focus</w:t>
      </w:r>
      <w:r w:rsidRPr="0031503F">
        <w:rPr>
          <w:color w:val="000000" w:themeColor="text1"/>
        </w:rPr>
        <w:t xml:space="preserve"> of stakeholder feedback was </w:t>
      </w:r>
      <w:r w:rsidR="00504F89" w:rsidRPr="0031503F">
        <w:rPr>
          <w:color w:val="000000" w:themeColor="text1"/>
        </w:rPr>
        <w:t>that</w:t>
      </w:r>
      <w:r w:rsidRPr="0031503F">
        <w:rPr>
          <w:color w:val="000000" w:themeColor="text1"/>
        </w:rPr>
        <w:t xml:space="preserve"> the data labels being proposed </w:t>
      </w:r>
      <w:r w:rsidR="00504F89" w:rsidRPr="0031503F">
        <w:rPr>
          <w:color w:val="000000" w:themeColor="text1"/>
        </w:rPr>
        <w:t xml:space="preserve">were </w:t>
      </w:r>
      <w:r w:rsidRPr="0031503F">
        <w:rPr>
          <w:color w:val="000000" w:themeColor="text1"/>
        </w:rPr>
        <w:t xml:space="preserve">in addition to what is required under </w:t>
      </w:r>
      <w:r w:rsidR="0038709F" w:rsidRPr="0031503F">
        <w:rPr>
          <w:color w:val="000000" w:themeColor="text1"/>
        </w:rPr>
        <w:t>the EU approach and</w:t>
      </w:r>
      <w:r w:rsidR="00870DFA" w:rsidRPr="0031503F">
        <w:rPr>
          <w:color w:val="000000" w:themeColor="text1"/>
        </w:rPr>
        <w:t xml:space="preserve"> the </w:t>
      </w:r>
      <w:r w:rsidRPr="0031503F">
        <w:rPr>
          <w:color w:val="000000" w:themeColor="text1"/>
        </w:rPr>
        <w:t xml:space="preserve">existing OECD </w:t>
      </w:r>
      <w:r w:rsidR="00870DFA" w:rsidRPr="0031503F">
        <w:rPr>
          <w:color w:val="000000" w:themeColor="text1"/>
        </w:rPr>
        <w:t>BEPS 13 Action</w:t>
      </w:r>
      <w:r w:rsidRPr="0031503F">
        <w:rPr>
          <w:color w:val="000000" w:themeColor="text1"/>
        </w:rPr>
        <w:t xml:space="preserve"> – namely, listing and valuing of intangible assets, related party expenses and an effective tax rate calculation in line with the Pillar Two solution. </w:t>
      </w:r>
      <w:r w:rsidR="55FFD35F" w:rsidRPr="0031503F">
        <w:rPr>
          <w:color w:val="000000" w:themeColor="text1"/>
          <w:shd w:val="clear" w:color="auto" w:fill="FFFFFF"/>
        </w:rPr>
        <w:t>C</w:t>
      </w:r>
      <w:r w:rsidRPr="0031503F">
        <w:rPr>
          <w:color w:val="000000" w:themeColor="text1"/>
        </w:rPr>
        <w:t xml:space="preserve">oncerns focused on timing and confidentiality issues, noting these labels were a departure from the general multilateral consensus on </w:t>
      </w:r>
      <w:r w:rsidR="00A71373" w:rsidRPr="0031503F">
        <w:rPr>
          <w:color w:val="000000" w:themeColor="text1"/>
        </w:rPr>
        <w:t xml:space="preserve">Country-by-Country </w:t>
      </w:r>
      <w:r w:rsidRPr="0031503F">
        <w:rPr>
          <w:color w:val="000000" w:themeColor="text1"/>
        </w:rPr>
        <w:t xml:space="preserve">reporting. Some stakeholders </w:t>
      </w:r>
      <w:r w:rsidR="003C133F" w:rsidRPr="0031503F">
        <w:rPr>
          <w:color w:val="000000" w:themeColor="text1"/>
        </w:rPr>
        <w:t xml:space="preserve">noted </w:t>
      </w:r>
      <w:r w:rsidRPr="0031503F">
        <w:rPr>
          <w:color w:val="000000" w:themeColor="text1"/>
        </w:rPr>
        <w:t xml:space="preserve">these additional disclosures could detract from compliance with the </w:t>
      </w:r>
      <w:r w:rsidR="00A71373" w:rsidRPr="0031503F">
        <w:rPr>
          <w:color w:val="000000" w:themeColor="text1"/>
        </w:rPr>
        <w:t>Country</w:t>
      </w:r>
      <w:r w:rsidR="00CA3066" w:rsidRPr="0031503F">
        <w:rPr>
          <w:color w:val="000000" w:themeColor="text1"/>
        </w:rPr>
        <w:noBreakHyphen/>
      </w:r>
      <w:r w:rsidR="00A71373" w:rsidRPr="0031503F">
        <w:rPr>
          <w:color w:val="000000" w:themeColor="text1"/>
        </w:rPr>
        <w:t>by</w:t>
      </w:r>
      <w:r w:rsidR="00CA3066" w:rsidRPr="0031503F">
        <w:rPr>
          <w:color w:val="000000" w:themeColor="text1"/>
        </w:rPr>
        <w:noBreakHyphen/>
      </w:r>
      <w:r w:rsidR="00A71373" w:rsidRPr="0031503F">
        <w:rPr>
          <w:color w:val="000000" w:themeColor="text1"/>
        </w:rPr>
        <w:t xml:space="preserve">Country </w:t>
      </w:r>
      <w:r w:rsidRPr="0031503F">
        <w:rPr>
          <w:color w:val="000000" w:themeColor="text1"/>
        </w:rPr>
        <w:t>policy more broadly.</w:t>
      </w:r>
    </w:p>
    <w:p w14:paraId="663F5665" w14:textId="25C512EB" w:rsidR="006B4656" w:rsidRPr="0031503F" w:rsidRDefault="006B4656" w:rsidP="006B4656">
      <w:pPr>
        <w:rPr>
          <w:color w:val="000000" w:themeColor="text1"/>
        </w:rPr>
      </w:pPr>
      <w:r w:rsidRPr="0031503F">
        <w:rPr>
          <w:color w:val="000000" w:themeColor="text1"/>
        </w:rPr>
        <w:t xml:space="preserve">Corporate stakeholders </w:t>
      </w:r>
      <w:r w:rsidR="02F93EAF" w:rsidRPr="0031503F">
        <w:rPr>
          <w:color w:val="000000" w:themeColor="text1"/>
        </w:rPr>
        <w:t>noted</w:t>
      </w:r>
      <w:r w:rsidRPr="0031503F">
        <w:rPr>
          <w:color w:val="000000" w:themeColor="text1"/>
        </w:rPr>
        <w:t xml:space="preserve"> the “standard” data labels required for disclosure (i.e. those already reported under existing tax transparency rules), although they had concerns that these would need to be disclosed globally, on a fully disaggregated basis</w:t>
      </w:r>
      <w:r w:rsidR="00A6653E" w:rsidRPr="0031503F">
        <w:rPr>
          <w:color w:val="000000" w:themeColor="text1"/>
        </w:rPr>
        <w:t>. Stakeholders</w:t>
      </w:r>
      <w:r w:rsidR="0054320A" w:rsidRPr="0031503F">
        <w:rPr>
          <w:color w:val="000000" w:themeColor="text1"/>
        </w:rPr>
        <w:t xml:space="preserve"> noted </w:t>
      </w:r>
      <w:r w:rsidRPr="0031503F">
        <w:rPr>
          <w:color w:val="000000" w:themeColor="text1"/>
        </w:rPr>
        <w:t>the EU, for example, only requires that level of disclosure for EU member states and certain EU defined non-cooperative jurisdictions.</w:t>
      </w:r>
    </w:p>
    <w:p w14:paraId="1428E2EC" w14:textId="2C420D72" w:rsidR="0B2F038C" w:rsidRPr="0031503F" w:rsidRDefault="00E76437" w:rsidP="70841BDE">
      <w:pPr>
        <w:rPr>
          <w:color w:val="000000" w:themeColor="text1"/>
        </w:rPr>
      </w:pPr>
      <w:r w:rsidRPr="0031503F">
        <w:rPr>
          <w:color w:val="000000" w:themeColor="text1"/>
        </w:rPr>
        <w:t xml:space="preserve">To better align </w:t>
      </w:r>
      <w:r w:rsidR="00656423" w:rsidRPr="0031503F">
        <w:rPr>
          <w:color w:val="000000" w:themeColor="text1"/>
        </w:rPr>
        <w:t>the Government’s</w:t>
      </w:r>
      <w:r w:rsidR="00AF5B8A" w:rsidRPr="0031503F">
        <w:rPr>
          <w:color w:val="000000" w:themeColor="text1"/>
        </w:rPr>
        <w:t xml:space="preserve"> </w:t>
      </w:r>
      <w:r w:rsidR="00A71373" w:rsidRPr="0031503F">
        <w:rPr>
          <w:color w:val="000000" w:themeColor="text1"/>
        </w:rPr>
        <w:t>proposed</w:t>
      </w:r>
      <w:r w:rsidRPr="0031503F">
        <w:rPr>
          <w:color w:val="000000" w:themeColor="text1"/>
        </w:rPr>
        <w:t xml:space="preserve"> </w:t>
      </w:r>
      <w:r w:rsidR="00A71373" w:rsidRPr="0031503F">
        <w:rPr>
          <w:color w:val="000000" w:themeColor="text1"/>
        </w:rPr>
        <w:t xml:space="preserve">Country-by-Country </w:t>
      </w:r>
      <w:r w:rsidRPr="0031503F">
        <w:rPr>
          <w:color w:val="000000" w:themeColor="text1"/>
        </w:rPr>
        <w:t xml:space="preserve">reporting requirements with the commencement of the EU’s </w:t>
      </w:r>
      <w:r w:rsidR="000267C7" w:rsidRPr="0031503F">
        <w:rPr>
          <w:color w:val="000000" w:themeColor="text1"/>
        </w:rPr>
        <w:t>reporting directive, t</w:t>
      </w:r>
      <w:r w:rsidR="0B2F038C" w:rsidRPr="0031503F">
        <w:rPr>
          <w:color w:val="000000" w:themeColor="text1"/>
        </w:rPr>
        <w:t xml:space="preserve">he Government will defer the application date by 12 months to 1 July 2024 and consult further on </w:t>
      </w:r>
      <w:r w:rsidR="03136B71" w:rsidRPr="0031503F">
        <w:rPr>
          <w:color w:val="000000" w:themeColor="text1"/>
        </w:rPr>
        <w:t>the appropriate level of disaggregated reporting.</w:t>
      </w:r>
    </w:p>
    <w:p w14:paraId="1B837BB8" w14:textId="6907754F" w:rsidR="00143F60" w:rsidRPr="0031503F" w:rsidRDefault="00143F60" w:rsidP="00143F60">
      <w:pPr>
        <w:rPr>
          <w:color w:val="000000" w:themeColor="text1"/>
          <w:u w:val="single"/>
        </w:rPr>
      </w:pPr>
      <w:r w:rsidRPr="0031503F">
        <w:rPr>
          <w:color w:val="000000" w:themeColor="text1"/>
          <w:u w:val="single"/>
        </w:rPr>
        <w:t>Deductions for payments relating to intangible assets connected with low corporate tax jurisdictions</w:t>
      </w:r>
      <w:r w:rsidR="00A26364" w:rsidRPr="0031503F">
        <w:rPr>
          <w:color w:val="000000" w:themeColor="text1"/>
          <w:u w:val="single"/>
        </w:rPr>
        <w:t xml:space="preserve"> </w:t>
      </w:r>
    </w:p>
    <w:p w14:paraId="640DAF56" w14:textId="7D0A8D5A" w:rsidR="00B70EAA" w:rsidRDefault="00354F41">
      <w:pPr>
        <w:pStyle w:val="Bullet"/>
        <w:numPr>
          <w:ilvl w:val="0"/>
          <w:numId w:val="0"/>
        </w:numPr>
        <w:tabs>
          <w:tab w:val="left" w:pos="720"/>
        </w:tabs>
        <w:spacing w:before="120" w:after="120"/>
      </w:pPr>
      <w:r w:rsidRPr="0031503F">
        <w:rPr>
          <w:color w:val="000000" w:themeColor="text1"/>
        </w:rPr>
        <w:t xml:space="preserve">Stakeholders </w:t>
      </w:r>
      <w:r w:rsidR="00350D83" w:rsidRPr="7447A2BC">
        <w:rPr>
          <w:color w:val="000000" w:themeColor="text1"/>
        </w:rPr>
        <w:t>noted</w:t>
      </w:r>
      <w:r w:rsidR="0098478F" w:rsidRPr="7447A2BC">
        <w:rPr>
          <w:color w:val="000000" w:themeColor="text1"/>
        </w:rPr>
        <w:t xml:space="preserve"> </w:t>
      </w:r>
      <w:r w:rsidR="2F8CF1BA" w:rsidRPr="7447A2BC">
        <w:rPr>
          <w:color w:val="000000" w:themeColor="text1"/>
        </w:rPr>
        <w:t>concerns</w:t>
      </w:r>
      <w:r w:rsidR="005D35D4" w:rsidRPr="7447A2BC">
        <w:rPr>
          <w:color w:val="000000" w:themeColor="text1"/>
        </w:rPr>
        <w:t xml:space="preserve"> with relying on a headline corporate tax rate to identify a low- or no</w:t>
      </w:r>
      <w:r w:rsidR="00945F85">
        <w:rPr>
          <w:color w:val="000000" w:themeColor="text1"/>
        </w:rPr>
        <w:noBreakHyphen/>
      </w:r>
      <w:r w:rsidR="005D35D4" w:rsidRPr="7447A2BC">
        <w:rPr>
          <w:color w:val="000000" w:themeColor="text1"/>
        </w:rPr>
        <w:t>tax juri</w:t>
      </w:r>
      <w:r w:rsidR="00C562F7" w:rsidRPr="7447A2BC">
        <w:rPr>
          <w:color w:val="000000" w:themeColor="text1"/>
        </w:rPr>
        <w:t>s</w:t>
      </w:r>
      <w:r w:rsidR="005D35D4" w:rsidRPr="7447A2BC">
        <w:rPr>
          <w:color w:val="000000" w:themeColor="text1"/>
        </w:rPr>
        <w:t>diction</w:t>
      </w:r>
      <w:r w:rsidR="4E076C39" w:rsidRPr="7447A2BC">
        <w:rPr>
          <w:color w:val="000000" w:themeColor="text1"/>
        </w:rPr>
        <w:t xml:space="preserve"> and that</w:t>
      </w:r>
      <w:r w:rsidR="00C805B5" w:rsidRPr="7447A2BC">
        <w:rPr>
          <w:color w:val="000000" w:themeColor="text1"/>
        </w:rPr>
        <w:t xml:space="preserve"> taxes such as subnational taxes, foreign and Australian controlled foreign company taxes and royalty withholding taxes were not </w:t>
      </w:r>
      <w:r w:rsidR="2D59DED2">
        <w:t>taken account of</w:t>
      </w:r>
      <w:r w:rsidR="00C805B5" w:rsidRPr="7447A2BC">
        <w:rPr>
          <w:color w:val="000000" w:themeColor="text1"/>
        </w:rPr>
        <w:t xml:space="preserve">. </w:t>
      </w:r>
      <w:r w:rsidR="007C6BD2">
        <w:t>Stakeholders also queried interactions between the exposure draft legislation and the OECD Pillar Two global minimum tax and domestic minimum tax.</w:t>
      </w:r>
    </w:p>
    <w:p w14:paraId="0767A085" w14:textId="7A246A76" w:rsidR="00EA0F3F" w:rsidRDefault="00720415" w:rsidP="00C30FC5">
      <w:r>
        <w:t xml:space="preserve">The </w:t>
      </w:r>
      <w:r w:rsidR="17FC3054">
        <w:t>G</w:t>
      </w:r>
      <w:r>
        <w:t xml:space="preserve">overnment has made changes to better achieve the policy intent. </w:t>
      </w:r>
      <w:r w:rsidR="008445A5">
        <w:t xml:space="preserve">These changes are reflected in a revised Bill and explanatory memorandum. These are available on the Treasury website to provide stakeholders with certainty. </w:t>
      </w:r>
    </w:p>
    <w:p w14:paraId="4FD6B031" w14:textId="0A2B263D" w:rsidR="00EA0F3F" w:rsidRPr="00C30FC5" w:rsidRDefault="00D926E7" w:rsidP="00C30FC5">
      <w:pPr>
        <w:pStyle w:val="Bullet"/>
        <w:numPr>
          <w:ilvl w:val="0"/>
          <w:numId w:val="0"/>
        </w:numPr>
        <w:tabs>
          <w:tab w:val="left" w:pos="720"/>
        </w:tabs>
        <w:spacing w:before="120" w:after="120"/>
      </w:pPr>
      <w:r>
        <w:t xml:space="preserve">The </w:t>
      </w:r>
      <w:r w:rsidR="774EA2EC">
        <w:t>G</w:t>
      </w:r>
      <w:r>
        <w:t xml:space="preserve">overnment is further considering interactions of the intangibles measure with global minimum taxes and domestic minimum taxes. </w:t>
      </w:r>
      <w:r w:rsidR="00EA0F3F">
        <w:t xml:space="preserve">The </w:t>
      </w:r>
      <w:r w:rsidR="7E09F3D3">
        <w:t>G</w:t>
      </w:r>
      <w:r w:rsidR="00EA0F3F">
        <w:t>overnment announced Australia’s implementation of a 15 per cent global minimum tax and domestic minimum tax in the 2023</w:t>
      </w:r>
      <w:r w:rsidR="00F3381E">
        <w:noBreakHyphen/>
        <w:t>24 </w:t>
      </w:r>
      <w:r w:rsidR="00EA0F3F">
        <w:t>Budget, joining a growing number of jurisdictions implementing a global minimum tax from 2024.</w:t>
      </w:r>
    </w:p>
    <w:p w14:paraId="2B7D4FCA" w14:textId="77777777" w:rsidR="001D133E" w:rsidRPr="00951AFE" w:rsidRDefault="001D133E" w:rsidP="00951AFE">
      <w:pPr>
        <w:spacing w:after="160" w:line="259" w:lineRule="auto"/>
        <w:rPr>
          <w:b/>
          <w:i/>
          <w:caps/>
        </w:rPr>
      </w:pPr>
    </w:p>
    <w:sectPr w:rsidR="001D133E" w:rsidRPr="00951AFE" w:rsidSect="001D133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062E0" w14:textId="77777777" w:rsidR="00EA7911" w:rsidRDefault="00EA7911" w:rsidP="001D133E">
      <w:pPr>
        <w:spacing w:after="0"/>
      </w:pPr>
      <w:r>
        <w:separator/>
      </w:r>
    </w:p>
  </w:endnote>
  <w:endnote w:type="continuationSeparator" w:id="0">
    <w:p w14:paraId="6D386234" w14:textId="77777777" w:rsidR="00EA7911" w:rsidRDefault="00EA7911" w:rsidP="001D133E">
      <w:pPr>
        <w:spacing w:after="0"/>
      </w:pPr>
      <w:r>
        <w:continuationSeparator/>
      </w:r>
    </w:p>
  </w:endnote>
  <w:endnote w:type="continuationNotice" w:id="1">
    <w:p w14:paraId="03378B52" w14:textId="77777777" w:rsidR="00EA7911" w:rsidRDefault="00EA79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BCCFC" w14:textId="77777777" w:rsidR="001D133E" w:rsidRDefault="001D133E" w:rsidP="001D133E">
    <w:pPr>
      <w:pStyle w:val="Footer"/>
      <w:tabs>
        <w:tab w:val="clear" w:pos="4153"/>
        <w:tab w:val="clear" w:pos="8306"/>
        <w:tab w:val="left" w:pos="268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49B1" w14:textId="77777777" w:rsidR="001D133E" w:rsidRDefault="001D133E" w:rsidP="001D133E">
    <w:pPr>
      <w:pStyle w:val="Footer"/>
    </w:pPr>
  </w:p>
  <w:p w14:paraId="5170FEC4" w14:textId="77777777" w:rsidR="001D133E" w:rsidRPr="001D133E" w:rsidRDefault="001D133E" w:rsidP="001D1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A5EF" w14:textId="77777777" w:rsidR="00EA7911" w:rsidRDefault="00EA7911" w:rsidP="001D133E">
      <w:pPr>
        <w:spacing w:after="0"/>
      </w:pPr>
      <w:r>
        <w:separator/>
      </w:r>
    </w:p>
  </w:footnote>
  <w:footnote w:type="continuationSeparator" w:id="0">
    <w:p w14:paraId="6190B88B" w14:textId="77777777" w:rsidR="00EA7911" w:rsidRDefault="00EA7911" w:rsidP="001D133E">
      <w:pPr>
        <w:spacing w:after="0"/>
      </w:pPr>
      <w:r>
        <w:continuationSeparator/>
      </w:r>
    </w:p>
  </w:footnote>
  <w:footnote w:type="continuationNotice" w:id="1">
    <w:p w14:paraId="357C2B0C" w14:textId="77777777" w:rsidR="00EA7911" w:rsidRDefault="00EA79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039A" w14:textId="77777777" w:rsidR="001D133E" w:rsidRDefault="001D133E" w:rsidP="001D133E">
    <w:pPr>
      <w:pStyle w:val="FooterAddress"/>
    </w:pPr>
    <w:bookmarkStart w:id="0" w:name="_Hlk26334942"/>
    <w:bookmarkStart w:id="1" w:name="_Hlk26334943"/>
  </w:p>
  <w:p w14:paraId="3FD712CC" w14:textId="77777777" w:rsidR="001D133E" w:rsidRDefault="001D133E" w:rsidP="001D133E">
    <w:pPr>
      <w:jc w:val="center"/>
    </w:pPr>
    <w:r>
      <w:rPr>
        <w:noProof/>
      </w:rPr>
      <w:drawing>
        <wp:inline distT="0" distB="0" distL="0" distR="0" wp14:anchorId="1504FABA" wp14:editId="7B137527">
          <wp:extent cx="1924050" cy="1193800"/>
          <wp:effectExtent l="19050" t="0" r="0" b="0"/>
          <wp:docPr id="1" name="Picture 1" descr="crest_treasury_stack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st_treasury_stack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0833" w14:textId="77777777" w:rsidR="001D133E" w:rsidRDefault="007225C1" w:rsidP="001D133E">
    <w:pPr>
      <w:pStyle w:val="Header"/>
    </w:pPr>
    <w:r>
      <w:rPr>
        <w:noProof/>
      </w:rPr>
      <w:pict w14:anchorId="348253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85.3pt;height:194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p w14:paraId="18818D55" w14:textId="77777777" w:rsidR="001D133E" w:rsidRPr="001D133E" w:rsidRDefault="001D133E" w:rsidP="001D13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591"/>
    <w:multiLevelType w:val="multilevel"/>
    <w:tmpl w:val="20B6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35DEB"/>
    <w:multiLevelType w:val="multilevel"/>
    <w:tmpl w:val="B256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60CCB"/>
    <w:multiLevelType w:val="multilevel"/>
    <w:tmpl w:val="035A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6072AA"/>
    <w:multiLevelType w:val="multilevel"/>
    <w:tmpl w:val="5138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13644B"/>
    <w:multiLevelType w:val="hybridMultilevel"/>
    <w:tmpl w:val="25B638D2"/>
    <w:lvl w:ilvl="0" w:tplc="0C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D2B02"/>
    <w:multiLevelType w:val="multilevel"/>
    <w:tmpl w:val="4D52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A16AD8"/>
    <w:multiLevelType w:val="multilevel"/>
    <w:tmpl w:val="6730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F046A9"/>
    <w:multiLevelType w:val="multilevel"/>
    <w:tmpl w:val="B08ED550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2D2113"/>
    <w:multiLevelType w:val="hybridMultilevel"/>
    <w:tmpl w:val="F32EE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29F1D87"/>
    <w:multiLevelType w:val="multilevel"/>
    <w:tmpl w:val="A6DAA5E2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8B16110"/>
    <w:multiLevelType w:val="multilevel"/>
    <w:tmpl w:val="215AE69A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D870A5A"/>
    <w:multiLevelType w:val="multilevel"/>
    <w:tmpl w:val="C33C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  <w:num w:numId="12">
    <w:abstractNumId w:val="9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59"/>
    <w:rsid w:val="00006E3E"/>
    <w:rsid w:val="00013B4B"/>
    <w:rsid w:val="00013F16"/>
    <w:rsid w:val="000179F4"/>
    <w:rsid w:val="0002160F"/>
    <w:rsid w:val="00022A0D"/>
    <w:rsid w:val="000256E9"/>
    <w:rsid w:val="000267C7"/>
    <w:rsid w:val="00027239"/>
    <w:rsid w:val="00030708"/>
    <w:rsid w:val="000314AA"/>
    <w:rsid w:val="00031C9A"/>
    <w:rsid w:val="00032F1B"/>
    <w:rsid w:val="0003322D"/>
    <w:rsid w:val="0003642B"/>
    <w:rsid w:val="00036939"/>
    <w:rsid w:val="000371B0"/>
    <w:rsid w:val="000378C5"/>
    <w:rsid w:val="00041418"/>
    <w:rsid w:val="00041739"/>
    <w:rsid w:val="00041CB4"/>
    <w:rsid w:val="0004200C"/>
    <w:rsid w:val="00044087"/>
    <w:rsid w:val="0004464A"/>
    <w:rsid w:val="00045E81"/>
    <w:rsid w:val="0005346B"/>
    <w:rsid w:val="000565F3"/>
    <w:rsid w:val="00056C4F"/>
    <w:rsid w:val="0006029D"/>
    <w:rsid w:val="00060D28"/>
    <w:rsid w:val="00062C02"/>
    <w:rsid w:val="00072ACF"/>
    <w:rsid w:val="00073673"/>
    <w:rsid w:val="000756DA"/>
    <w:rsid w:val="00081112"/>
    <w:rsid w:val="00083212"/>
    <w:rsid w:val="00084E83"/>
    <w:rsid w:val="00084F64"/>
    <w:rsid w:val="000854FE"/>
    <w:rsid w:val="0008580B"/>
    <w:rsid w:val="00085F37"/>
    <w:rsid w:val="0008626A"/>
    <w:rsid w:val="0009521E"/>
    <w:rsid w:val="000963C7"/>
    <w:rsid w:val="00097612"/>
    <w:rsid w:val="000A36E4"/>
    <w:rsid w:val="000A3DF5"/>
    <w:rsid w:val="000A782C"/>
    <w:rsid w:val="000A7EB2"/>
    <w:rsid w:val="000B007C"/>
    <w:rsid w:val="000B0DE3"/>
    <w:rsid w:val="000B492F"/>
    <w:rsid w:val="000C4930"/>
    <w:rsid w:val="000C5C19"/>
    <w:rsid w:val="000E0980"/>
    <w:rsid w:val="000E2DFA"/>
    <w:rsid w:val="000E305F"/>
    <w:rsid w:val="000E3451"/>
    <w:rsid w:val="000E3FBB"/>
    <w:rsid w:val="000E6B90"/>
    <w:rsid w:val="000F024C"/>
    <w:rsid w:val="000F064E"/>
    <w:rsid w:val="000F3986"/>
    <w:rsid w:val="000F41CF"/>
    <w:rsid w:val="000F59A1"/>
    <w:rsid w:val="00101A6C"/>
    <w:rsid w:val="00105822"/>
    <w:rsid w:val="00110CCD"/>
    <w:rsid w:val="00111669"/>
    <w:rsid w:val="001128E2"/>
    <w:rsid w:val="001132E5"/>
    <w:rsid w:val="0011419C"/>
    <w:rsid w:val="00114553"/>
    <w:rsid w:val="001163E0"/>
    <w:rsid w:val="00116E57"/>
    <w:rsid w:val="00117046"/>
    <w:rsid w:val="001208B1"/>
    <w:rsid w:val="00130A88"/>
    <w:rsid w:val="00132465"/>
    <w:rsid w:val="00132D97"/>
    <w:rsid w:val="00133DBB"/>
    <w:rsid w:val="00140DA9"/>
    <w:rsid w:val="0014377E"/>
    <w:rsid w:val="00143F4F"/>
    <w:rsid w:val="00143F60"/>
    <w:rsid w:val="00150FB2"/>
    <w:rsid w:val="00153F32"/>
    <w:rsid w:val="0015467E"/>
    <w:rsid w:val="001621B8"/>
    <w:rsid w:val="00162A09"/>
    <w:rsid w:val="00164601"/>
    <w:rsid w:val="00165357"/>
    <w:rsid w:val="001657EE"/>
    <w:rsid w:val="00172370"/>
    <w:rsid w:val="00172ADA"/>
    <w:rsid w:val="0017405A"/>
    <w:rsid w:val="00174F07"/>
    <w:rsid w:val="00175094"/>
    <w:rsid w:val="00176D48"/>
    <w:rsid w:val="00184646"/>
    <w:rsid w:val="00193EB3"/>
    <w:rsid w:val="001967DF"/>
    <w:rsid w:val="00196D05"/>
    <w:rsid w:val="001A02CB"/>
    <w:rsid w:val="001A234F"/>
    <w:rsid w:val="001B0471"/>
    <w:rsid w:val="001B5F5B"/>
    <w:rsid w:val="001B6CDD"/>
    <w:rsid w:val="001B7D16"/>
    <w:rsid w:val="001C2A88"/>
    <w:rsid w:val="001D133E"/>
    <w:rsid w:val="001D73D1"/>
    <w:rsid w:val="001E03BE"/>
    <w:rsid w:val="001E0D8C"/>
    <w:rsid w:val="001E23FE"/>
    <w:rsid w:val="001E3ED4"/>
    <w:rsid w:val="001E5C29"/>
    <w:rsid w:val="001E7FB8"/>
    <w:rsid w:val="001F055E"/>
    <w:rsid w:val="001F6C2B"/>
    <w:rsid w:val="001F7201"/>
    <w:rsid w:val="001F7C7E"/>
    <w:rsid w:val="00204597"/>
    <w:rsid w:val="0020753A"/>
    <w:rsid w:val="00210A96"/>
    <w:rsid w:val="00213533"/>
    <w:rsid w:val="00223277"/>
    <w:rsid w:val="002233E3"/>
    <w:rsid w:val="00224310"/>
    <w:rsid w:val="00231C86"/>
    <w:rsid w:val="0023208A"/>
    <w:rsid w:val="002363EB"/>
    <w:rsid w:val="00236DE3"/>
    <w:rsid w:val="0024403B"/>
    <w:rsid w:val="00246230"/>
    <w:rsid w:val="00247143"/>
    <w:rsid w:val="002472CF"/>
    <w:rsid w:val="00263197"/>
    <w:rsid w:val="002641FD"/>
    <w:rsid w:val="002721D1"/>
    <w:rsid w:val="002758B3"/>
    <w:rsid w:val="00275EE2"/>
    <w:rsid w:val="00276088"/>
    <w:rsid w:val="002803BD"/>
    <w:rsid w:val="002815BE"/>
    <w:rsid w:val="00283815"/>
    <w:rsid w:val="00286C35"/>
    <w:rsid w:val="0028741E"/>
    <w:rsid w:val="00290391"/>
    <w:rsid w:val="00291E17"/>
    <w:rsid w:val="00293AA5"/>
    <w:rsid w:val="00295515"/>
    <w:rsid w:val="002A1373"/>
    <w:rsid w:val="002A1BFF"/>
    <w:rsid w:val="002A23E8"/>
    <w:rsid w:val="002A5D25"/>
    <w:rsid w:val="002A721E"/>
    <w:rsid w:val="002B10FD"/>
    <w:rsid w:val="002B18F2"/>
    <w:rsid w:val="002B19F2"/>
    <w:rsid w:val="002B3902"/>
    <w:rsid w:val="002B5129"/>
    <w:rsid w:val="002B6EF3"/>
    <w:rsid w:val="002B72EF"/>
    <w:rsid w:val="002C122C"/>
    <w:rsid w:val="002C5C4B"/>
    <w:rsid w:val="002C6614"/>
    <w:rsid w:val="002D07CC"/>
    <w:rsid w:val="002D2564"/>
    <w:rsid w:val="002D34A0"/>
    <w:rsid w:val="002D34EF"/>
    <w:rsid w:val="002D74E6"/>
    <w:rsid w:val="002D78F8"/>
    <w:rsid w:val="002E2020"/>
    <w:rsid w:val="002F13E9"/>
    <w:rsid w:val="002F193F"/>
    <w:rsid w:val="002F1AFF"/>
    <w:rsid w:val="002F3ACC"/>
    <w:rsid w:val="002F4959"/>
    <w:rsid w:val="002F4AD8"/>
    <w:rsid w:val="002F4BF1"/>
    <w:rsid w:val="002F5A51"/>
    <w:rsid w:val="002F5F39"/>
    <w:rsid w:val="002F5F6C"/>
    <w:rsid w:val="003008F9"/>
    <w:rsid w:val="0030637B"/>
    <w:rsid w:val="00306C4D"/>
    <w:rsid w:val="00311FF3"/>
    <w:rsid w:val="00312495"/>
    <w:rsid w:val="0031271A"/>
    <w:rsid w:val="00313189"/>
    <w:rsid w:val="00314C1F"/>
    <w:rsid w:val="0031503F"/>
    <w:rsid w:val="003152D9"/>
    <w:rsid w:val="00326E28"/>
    <w:rsid w:val="00327B8F"/>
    <w:rsid w:val="00330A19"/>
    <w:rsid w:val="00331944"/>
    <w:rsid w:val="00335A01"/>
    <w:rsid w:val="00337F8A"/>
    <w:rsid w:val="00350D83"/>
    <w:rsid w:val="00351577"/>
    <w:rsid w:val="00351991"/>
    <w:rsid w:val="00351A8C"/>
    <w:rsid w:val="00354F41"/>
    <w:rsid w:val="003561E6"/>
    <w:rsid w:val="00356FF8"/>
    <w:rsid w:val="00360BA9"/>
    <w:rsid w:val="00361217"/>
    <w:rsid w:val="0036224F"/>
    <w:rsid w:val="00364C44"/>
    <w:rsid w:val="003678F9"/>
    <w:rsid w:val="00370A84"/>
    <w:rsid w:val="0037112B"/>
    <w:rsid w:val="003716FD"/>
    <w:rsid w:val="003741E0"/>
    <w:rsid w:val="00374581"/>
    <w:rsid w:val="003748EE"/>
    <w:rsid w:val="0037543D"/>
    <w:rsid w:val="003767C0"/>
    <w:rsid w:val="00376848"/>
    <w:rsid w:val="0038571C"/>
    <w:rsid w:val="00385C9A"/>
    <w:rsid w:val="00386E6F"/>
    <w:rsid w:val="0038709F"/>
    <w:rsid w:val="00391EBD"/>
    <w:rsid w:val="003A0C36"/>
    <w:rsid w:val="003A1E6B"/>
    <w:rsid w:val="003A35F6"/>
    <w:rsid w:val="003A5FFE"/>
    <w:rsid w:val="003A61B4"/>
    <w:rsid w:val="003A7323"/>
    <w:rsid w:val="003A7C40"/>
    <w:rsid w:val="003B455E"/>
    <w:rsid w:val="003B72AA"/>
    <w:rsid w:val="003B7A31"/>
    <w:rsid w:val="003C133F"/>
    <w:rsid w:val="003C3587"/>
    <w:rsid w:val="003C4F7C"/>
    <w:rsid w:val="003C7B98"/>
    <w:rsid w:val="003D2415"/>
    <w:rsid w:val="003D26A9"/>
    <w:rsid w:val="003D4542"/>
    <w:rsid w:val="003D6E07"/>
    <w:rsid w:val="003D739D"/>
    <w:rsid w:val="003E1B74"/>
    <w:rsid w:val="003E2280"/>
    <w:rsid w:val="003E2A5B"/>
    <w:rsid w:val="003E535C"/>
    <w:rsid w:val="003F1539"/>
    <w:rsid w:val="003F18B0"/>
    <w:rsid w:val="003F229B"/>
    <w:rsid w:val="003F4E9C"/>
    <w:rsid w:val="003F73FC"/>
    <w:rsid w:val="0040004F"/>
    <w:rsid w:val="004010B2"/>
    <w:rsid w:val="00402E02"/>
    <w:rsid w:val="0040431D"/>
    <w:rsid w:val="00405DF8"/>
    <w:rsid w:val="00411515"/>
    <w:rsid w:val="00411787"/>
    <w:rsid w:val="00412F90"/>
    <w:rsid w:val="00415F70"/>
    <w:rsid w:val="0042094F"/>
    <w:rsid w:val="00421726"/>
    <w:rsid w:val="00423E22"/>
    <w:rsid w:val="004241F9"/>
    <w:rsid w:val="00427812"/>
    <w:rsid w:val="00430E7A"/>
    <w:rsid w:val="00432D27"/>
    <w:rsid w:val="004342A5"/>
    <w:rsid w:val="004372D7"/>
    <w:rsid w:val="004407D8"/>
    <w:rsid w:val="00441220"/>
    <w:rsid w:val="00441897"/>
    <w:rsid w:val="0044397A"/>
    <w:rsid w:val="004465FB"/>
    <w:rsid w:val="00446A18"/>
    <w:rsid w:val="004472F5"/>
    <w:rsid w:val="004508C5"/>
    <w:rsid w:val="00451D59"/>
    <w:rsid w:val="004535B7"/>
    <w:rsid w:val="0045364E"/>
    <w:rsid w:val="00457431"/>
    <w:rsid w:val="0046173F"/>
    <w:rsid w:val="0046273F"/>
    <w:rsid w:val="004664BF"/>
    <w:rsid w:val="00471147"/>
    <w:rsid w:val="0047310A"/>
    <w:rsid w:val="00476AD7"/>
    <w:rsid w:val="00485068"/>
    <w:rsid w:val="00490638"/>
    <w:rsid w:val="00491ECD"/>
    <w:rsid w:val="00493D15"/>
    <w:rsid w:val="00494CA1"/>
    <w:rsid w:val="00497BAC"/>
    <w:rsid w:val="004A0BAA"/>
    <w:rsid w:val="004A20FC"/>
    <w:rsid w:val="004A256B"/>
    <w:rsid w:val="004A2DC0"/>
    <w:rsid w:val="004A4096"/>
    <w:rsid w:val="004A48F8"/>
    <w:rsid w:val="004B198F"/>
    <w:rsid w:val="004B1B7E"/>
    <w:rsid w:val="004B1D74"/>
    <w:rsid w:val="004B2C5B"/>
    <w:rsid w:val="004C0B97"/>
    <w:rsid w:val="004C12BD"/>
    <w:rsid w:val="004C1CF9"/>
    <w:rsid w:val="004C5C00"/>
    <w:rsid w:val="004C7ECA"/>
    <w:rsid w:val="004D0211"/>
    <w:rsid w:val="004D0540"/>
    <w:rsid w:val="004D1F04"/>
    <w:rsid w:val="004D373B"/>
    <w:rsid w:val="004D5171"/>
    <w:rsid w:val="004D73C4"/>
    <w:rsid w:val="004E1719"/>
    <w:rsid w:val="004E1868"/>
    <w:rsid w:val="004E2C0B"/>
    <w:rsid w:val="004E2E17"/>
    <w:rsid w:val="004E5302"/>
    <w:rsid w:val="004F0AAA"/>
    <w:rsid w:val="004F19A8"/>
    <w:rsid w:val="004F272F"/>
    <w:rsid w:val="004F6276"/>
    <w:rsid w:val="004F7D42"/>
    <w:rsid w:val="00503EEC"/>
    <w:rsid w:val="00503F0F"/>
    <w:rsid w:val="00504A53"/>
    <w:rsid w:val="00504F89"/>
    <w:rsid w:val="00506E32"/>
    <w:rsid w:val="00506FD7"/>
    <w:rsid w:val="005075E8"/>
    <w:rsid w:val="00507E6C"/>
    <w:rsid w:val="00517D3C"/>
    <w:rsid w:val="00520062"/>
    <w:rsid w:val="005218B8"/>
    <w:rsid w:val="00522C34"/>
    <w:rsid w:val="0052634A"/>
    <w:rsid w:val="00526BF0"/>
    <w:rsid w:val="00531B7B"/>
    <w:rsid w:val="00532B5E"/>
    <w:rsid w:val="00537161"/>
    <w:rsid w:val="00540115"/>
    <w:rsid w:val="0054232C"/>
    <w:rsid w:val="0054254C"/>
    <w:rsid w:val="0054320A"/>
    <w:rsid w:val="00544057"/>
    <w:rsid w:val="0054759B"/>
    <w:rsid w:val="0055197B"/>
    <w:rsid w:val="00553ED8"/>
    <w:rsid w:val="0055445E"/>
    <w:rsid w:val="00556031"/>
    <w:rsid w:val="005567D5"/>
    <w:rsid w:val="005568C3"/>
    <w:rsid w:val="00557DE5"/>
    <w:rsid w:val="005620A2"/>
    <w:rsid w:val="00564501"/>
    <w:rsid w:val="00564AE7"/>
    <w:rsid w:val="00565A27"/>
    <w:rsid w:val="00565C9A"/>
    <w:rsid w:val="00571D0A"/>
    <w:rsid w:val="005740A7"/>
    <w:rsid w:val="005741E0"/>
    <w:rsid w:val="00574741"/>
    <w:rsid w:val="00575C9E"/>
    <w:rsid w:val="00576C4C"/>
    <w:rsid w:val="00576F84"/>
    <w:rsid w:val="00577249"/>
    <w:rsid w:val="00577CAA"/>
    <w:rsid w:val="00582118"/>
    <w:rsid w:val="005850A4"/>
    <w:rsid w:val="00585917"/>
    <w:rsid w:val="00585936"/>
    <w:rsid w:val="00592163"/>
    <w:rsid w:val="005927DC"/>
    <w:rsid w:val="00592D92"/>
    <w:rsid w:val="00592F4A"/>
    <w:rsid w:val="00595803"/>
    <w:rsid w:val="00597085"/>
    <w:rsid w:val="00597975"/>
    <w:rsid w:val="005A0C78"/>
    <w:rsid w:val="005A1D3B"/>
    <w:rsid w:val="005A21F9"/>
    <w:rsid w:val="005A389A"/>
    <w:rsid w:val="005A5094"/>
    <w:rsid w:val="005B16B5"/>
    <w:rsid w:val="005B1A8D"/>
    <w:rsid w:val="005B4834"/>
    <w:rsid w:val="005B4D8C"/>
    <w:rsid w:val="005B5925"/>
    <w:rsid w:val="005B5D98"/>
    <w:rsid w:val="005B7EFB"/>
    <w:rsid w:val="005C1809"/>
    <w:rsid w:val="005C2FA8"/>
    <w:rsid w:val="005C3C20"/>
    <w:rsid w:val="005C4DC1"/>
    <w:rsid w:val="005D279B"/>
    <w:rsid w:val="005D354A"/>
    <w:rsid w:val="005D35D4"/>
    <w:rsid w:val="005D3E81"/>
    <w:rsid w:val="005D5892"/>
    <w:rsid w:val="005D612D"/>
    <w:rsid w:val="005E00C6"/>
    <w:rsid w:val="005E0C8B"/>
    <w:rsid w:val="005E1CAE"/>
    <w:rsid w:val="005E34DE"/>
    <w:rsid w:val="005E429A"/>
    <w:rsid w:val="005E6A68"/>
    <w:rsid w:val="005E7E46"/>
    <w:rsid w:val="005F13F0"/>
    <w:rsid w:val="005F3822"/>
    <w:rsid w:val="005F67AD"/>
    <w:rsid w:val="006135BD"/>
    <w:rsid w:val="006136EE"/>
    <w:rsid w:val="006145DB"/>
    <w:rsid w:val="006158DA"/>
    <w:rsid w:val="00615F87"/>
    <w:rsid w:val="0061617D"/>
    <w:rsid w:val="00616658"/>
    <w:rsid w:val="00616CA4"/>
    <w:rsid w:val="0062085B"/>
    <w:rsid w:val="00620CAB"/>
    <w:rsid w:val="00624EAF"/>
    <w:rsid w:val="0062696D"/>
    <w:rsid w:val="0062772A"/>
    <w:rsid w:val="00631828"/>
    <w:rsid w:val="0063214A"/>
    <w:rsid w:val="006329BA"/>
    <w:rsid w:val="00633332"/>
    <w:rsid w:val="00633D21"/>
    <w:rsid w:val="00634197"/>
    <w:rsid w:val="00634B4C"/>
    <w:rsid w:val="00635318"/>
    <w:rsid w:val="00635AB8"/>
    <w:rsid w:val="006377F8"/>
    <w:rsid w:val="00640E49"/>
    <w:rsid w:val="006414E7"/>
    <w:rsid w:val="00642D88"/>
    <w:rsid w:val="0064453D"/>
    <w:rsid w:val="0064483A"/>
    <w:rsid w:val="00644EFF"/>
    <w:rsid w:val="0064642B"/>
    <w:rsid w:val="00646969"/>
    <w:rsid w:val="00647B29"/>
    <w:rsid w:val="00656423"/>
    <w:rsid w:val="006571B5"/>
    <w:rsid w:val="00663830"/>
    <w:rsid w:val="00664F88"/>
    <w:rsid w:val="00665E55"/>
    <w:rsid w:val="0067096C"/>
    <w:rsid w:val="00671DC6"/>
    <w:rsid w:val="00672D86"/>
    <w:rsid w:val="0067622E"/>
    <w:rsid w:val="006804B0"/>
    <w:rsid w:val="006805D2"/>
    <w:rsid w:val="006817DA"/>
    <w:rsid w:val="00683712"/>
    <w:rsid w:val="00684DC9"/>
    <w:rsid w:val="0068764F"/>
    <w:rsid w:val="00687A17"/>
    <w:rsid w:val="00687C00"/>
    <w:rsid w:val="006927CF"/>
    <w:rsid w:val="00692E35"/>
    <w:rsid w:val="0069678A"/>
    <w:rsid w:val="006A35CA"/>
    <w:rsid w:val="006A4675"/>
    <w:rsid w:val="006A6573"/>
    <w:rsid w:val="006A798B"/>
    <w:rsid w:val="006B0E05"/>
    <w:rsid w:val="006B4656"/>
    <w:rsid w:val="006B4C39"/>
    <w:rsid w:val="006B50F4"/>
    <w:rsid w:val="006B5BA2"/>
    <w:rsid w:val="006C0D7C"/>
    <w:rsid w:val="006C11B4"/>
    <w:rsid w:val="006C2269"/>
    <w:rsid w:val="006C3C1E"/>
    <w:rsid w:val="006C4108"/>
    <w:rsid w:val="006C568C"/>
    <w:rsid w:val="006C7942"/>
    <w:rsid w:val="006D0303"/>
    <w:rsid w:val="006D0FF0"/>
    <w:rsid w:val="006D2BEA"/>
    <w:rsid w:val="006D4207"/>
    <w:rsid w:val="006D577B"/>
    <w:rsid w:val="006D70A4"/>
    <w:rsid w:val="006D71E4"/>
    <w:rsid w:val="006D731A"/>
    <w:rsid w:val="006D7CCE"/>
    <w:rsid w:val="006D7F1F"/>
    <w:rsid w:val="006E24AD"/>
    <w:rsid w:val="006E2816"/>
    <w:rsid w:val="006E346F"/>
    <w:rsid w:val="006E38B3"/>
    <w:rsid w:val="006E5334"/>
    <w:rsid w:val="006E6B4E"/>
    <w:rsid w:val="006F14DA"/>
    <w:rsid w:val="006F330B"/>
    <w:rsid w:val="006F50F0"/>
    <w:rsid w:val="006F5C42"/>
    <w:rsid w:val="006F6315"/>
    <w:rsid w:val="006F6FF1"/>
    <w:rsid w:val="006F75D5"/>
    <w:rsid w:val="0070047B"/>
    <w:rsid w:val="007004CF"/>
    <w:rsid w:val="0070053F"/>
    <w:rsid w:val="00704AF3"/>
    <w:rsid w:val="007110FB"/>
    <w:rsid w:val="007129A2"/>
    <w:rsid w:val="007129A5"/>
    <w:rsid w:val="00712B95"/>
    <w:rsid w:val="00716794"/>
    <w:rsid w:val="00720333"/>
    <w:rsid w:val="00720415"/>
    <w:rsid w:val="007225C1"/>
    <w:rsid w:val="0072662E"/>
    <w:rsid w:val="0072723F"/>
    <w:rsid w:val="0073252F"/>
    <w:rsid w:val="00732F02"/>
    <w:rsid w:val="00733499"/>
    <w:rsid w:val="0073373E"/>
    <w:rsid w:val="007340E5"/>
    <w:rsid w:val="0073607F"/>
    <w:rsid w:val="00737B2D"/>
    <w:rsid w:val="00737BD7"/>
    <w:rsid w:val="00740609"/>
    <w:rsid w:val="0074148B"/>
    <w:rsid w:val="00744326"/>
    <w:rsid w:val="00744650"/>
    <w:rsid w:val="00744BCD"/>
    <w:rsid w:val="0074504B"/>
    <w:rsid w:val="007456AB"/>
    <w:rsid w:val="007457DA"/>
    <w:rsid w:val="00747A05"/>
    <w:rsid w:val="00750117"/>
    <w:rsid w:val="00751DEA"/>
    <w:rsid w:val="00753ABC"/>
    <w:rsid w:val="00756E7E"/>
    <w:rsid w:val="007616CA"/>
    <w:rsid w:val="00762033"/>
    <w:rsid w:val="00762390"/>
    <w:rsid w:val="00763F56"/>
    <w:rsid w:val="00766E0F"/>
    <w:rsid w:val="00767CF5"/>
    <w:rsid w:val="00770102"/>
    <w:rsid w:val="00772786"/>
    <w:rsid w:val="00773812"/>
    <w:rsid w:val="007750B3"/>
    <w:rsid w:val="00777CBC"/>
    <w:rsid w:val="00780E1D"/>
    <w:rsid w:val="007811DD"/>
    <w:rsid w:val="007811F6"/>
    <w:rsid w:val="00781BAD"/>
    <w:rsid w:val="007820A3"/>
    <w:rsid w:val="007855FF"/>
    <w:rsid w:val="00787255"/>
    <w:rsid w:val="00791B62"/>
    <w:rsid w:val="00793F48"/>
    <w:rsid w:val="00795AC6"/>
    <w:rsid w:val="007A2C4B"/>
    <w:rsid w:val="007A2F32"/>
    <w:rsid w:val="007B0757"/>
    <w:rsid w:val="007B2661"/>
    <w:rsid w:val="007B3543"/>
    <w:rsid w:val="007B4A7B"/>
    <w:rsid w:val="007B5B83"/>
    <w:rsid w:val="007C0FA3"/>
    <w:rsid w:val="007C1799"/>
    <w:rsid w:val="007C28B9"/>
    <w:rsid w:val="007C6BD2"/>
    <w:rsid w:val="007C71EA"/>
    <w:rsid w:val="007D19FC"/>
    <w:rsid w:val="007D21FD"/>
    <w:rsid w:val="007D2365"/>
    <w:rsid w:val="007D3C72"/>
    <w:rsid w:val="007D4CE6"/>
    <w:rsid w:val="007D55B0"/>
    <w:rsid w:val="007D70A3"/>
    <w:rsid w:val="007D78F4"/>
    <w:rsid w:val="007E0C6E"/>
    <w:rsid w:val="007E2DB2"/>
    <w:rsid w:val="007E5B14"/>
    <w:rsid w:val="007F3116"/>
    <w:rsid w:val="007F4B44"/>
    <w:rsid w:val="007F5048"/>
    <w:rsid w:val="007F6CF5"/>
    <w:rsid w:val="00800C8E"/>
    <w:rsid w:val="008041D8"/>
    <w:rsid w:val="00804EED"/>
    <w:rsid w:val="008054EC"/>
    <w:rsid w:val="0080632C"/>
    <w:rsid w:val="008103E9"/>
    <w:rsid w:val="00812328"/>
    <w:rsid w:val="008140CE"/>
    <w:rsid w:val="00816A33"/>
    <w:rsid w:val="00816F69"/>
    <w:rsid w:val="00820C8F"/>
    <w:rsid w:val="008227D1"/>
    <w:rsid w:val="00823C6F"/>
    <w:rsid w:val="0082792A"/>
    <w:rsid w:val="00827DA8"/>
    <w:rsid w:val="00830E0B"/>
    <w:rsid w:val="0083122C"/>
    <w:rsid w:val="00831868"/>
    <w:rsid w:val="00832A77"/>
    <w:rsid w:val="00836F7D"/>
    <w:rsid w:val="008407CE"/>
    <w:rsid w:val="008413D4"/>
    <w:rsid w:val="008422C0"/>
    <w:rsid w:val="008443E0"/>
    <w:rsid w:val="008445A5"/>
    <w:rsid w:val="008447DC"/>
    <w:rsid w:val="00846DCD"/>
    <w:rsid w:val="00850266"/>
    <w:rsid w:val="00851FC4"/>
    <w:rsid w:val="00853739"/>
    <w:rsid w:val="008539DE"/>
    <w:rsid w:val="00853CA0"/>
    <w:rsid w:val="00854E28"/>
    <w:rsid w:val="00854F14"/>
    <w:rsid w:val="0085543C"/>
    <w:rsid w:val="00855BEE"/>
    <w:rsid w:val="0085829B"/>
    <w:rsid w:val="00862FC2"/>
    <w:rsid w:val="00866125"/>
    <w:rsid w:val="0086769C"/>
    <w:rsid w:val="008706D9"/>
    <w:rsid w:val="00870DFA"/>
    <w:rsid w:val="00871974"/>
    <w:rsid w:val="00871E5D"/>
    <w:rsid w:val="00871EFB"/>
    <w:rsid w:val="00871F84"/>
    <w:rsid w:val="00876793"/>
    <w:rsid w:val="00881748"/>
    <w:rsid w:val="00881B18"/>
    <w:rsid w:val="0088481D"/>
    <w:rsid w:val="008852C6"/>
    <w:rsid w:val="00892BAD"/>
    <w:rsid w:val="00893657"/>
    <w:rsid w:val="008A44D0"/>
    <w:rsid w:val="008A6061"/>
    <w:rsid w:val="008A6584"/>
    <w:rsid w:val="008B123E"/>
    <w:rsid w:val="008B2344"/>
    <w:rsid w:val="008B3C3B"/>
    <w:rsid w:val="008C03A8"/>
    <w:rsid w:val="008C0666"/>
    <w:rsid w:val="008C0BAA"/>
    <w:rsid w:val="008C2FC6"/>
    <w:rsid w:val="008D28AF"/>
    <w:rsid w:val="008D677B"/>
    <w:rsid w:val="008D6CF1"/>
    <w:rsid w:val="008E01B3"/>
    <w:rsid w:val="008E0A05"/>
    <w:rsid w:val="008E18DA"/>
    <w:rsid w:val="008E4777"/>
    <w:rsid w:val="008E574B"/>
    <w:rsid w:val="008E66D3"/>
    <w:rsid w:val="008E72E8"/>
    <w:rsid w:val="008F347C"/>
    <w:rsid w:val="008F4635"/>
    <w:rsid w:val="008F4CEA"/>
    <w:rsid w:val="00900739"/>
    <w:rsid w:val="00900B7F"/>
    <w:rsid w:val="009014FC"/>
    <w:rsid w:val="00901CA5"/>
    <w:rsid w:val="00902BD4"/>
    <w:rsid w:val="00911164"/>
    <w:rsid w:val="00915291"/>
    <w:rsid w:val="00916A2C"/>
    <w:rsid w:val="00917742"/>
    <w:rsid w:val="00917787"/>
    <w:rsid w:val="00920D4B"/>
    <w:rsid w:val="009227A3"/>
    <w:rsid w:val="0092437F"/>
    <w:rsid w:val="009264E4"/>
    <w:rsid w:val="0092682E"/>
    <w:rsid w:val="00926F04"/>
    <w:rsid w:val="00927659"/>
    <w:rsid w:val="009318EB"/>
    <w:rsid w:val="00933F93"/>
    <w:rsid w:val="00941333"/>
    <w:rsid w:val="0094367E"/>
    <w:rsid w:val="00945F85"/>
    <w:rsid w:val="00947AF3"/>
    <w:rsid w:val="00950189"/>
    <w:rsid w:val="00951844"/>
    <w:rsid w:val="009518AB"/>
    <w:rsid w:val="00951AFE"/>
    <w:rsid w:val="00954FFC"/>
    <w:rsid w:val="00960583"/>
    <w:rsid w:val="00960C54"/>
    <w:rsid w:val="00962D41"/>
    <w:rsid w:val="0096576C"/>
    <w:rsid w:val="00967850"/>
    <w:rsid w:val="00971D5B"/>
    <w:rsid w:val="00972630"/>
    <w:rsid w:val="00973C45"/>
    <w:rsid w:val="00973C9F"/>
    <w:rsid w:val="00975AE2"/>
    <w:rsid w:val="00976B54"/>
    <w:rsid w:val="00976B64"/>
    <w:rsid w:val="00977128"/>
    <w:rsid w:val="009802EF"/>
    <w:rsid w:val="009842C5"/>
    <w:rsid w:val="0098478F"/>
    <w:rsid w:val="00986041"/>
    <w:rsid w:val="009872A4"/>
    <w:rsid w:val="00987CEC"/>
    <w:rsid w:val="00991266"/>
    <w:rsid w:val="009913AB"/>
    <w:rsid w:val="00993E99"/>
    <w:rsid w:val="00996FAA"/>
    <w:rsid w:val="00997B45"/>
    <w:rsid w:val="009A08FD"/>
    <w:rsid w:val="009A12A5"/>
    <w:rsid w:val="009A1906"/>
    <w:rsid w:val="009A2335"/>
    <w:rsid w:val="009A2B08"/>
    <w:rsid w:val="009A5222"/>
    <w:rsid w:val="009A565A"/>
    <w:rsid w:val="009A745E"/>
    <w:rsid w:val="009B06C2"/>
    <w:rsid w:val="009B353F"/>
    <w:rsid w:val="009B55F9"/>
    <w:rsid w:val="009C1659"/>
    <w:rsid w:val="009C2D36"/>
    <w:rsid w:val="009D018A"/>
    <w:rsid w:val="009D0952"/>
    <w:rsid w:val="009D2B45"/>
    <w:rsid w:val="009D4DEA"/>
    <w:rsid w:val="009D5F26"/>
    <w:rsid w:val="009E6709"/>
    <w:rsid w:val="009E7752"/>
    <w:rsid w:val="009E7A89"/>
    <w:rsid w:val="009F1EC3"/>
    <w:rsid w:val="009F3D70"/>
    <w:rsid w:val="009F4559"/>
    <w:rsid w:val="00A000A4"/>
    <w:rsid w:val="00A01E75"/>
    <w:rsid w:val="00A0363D"/>
    <w:rsid w:val="00A03F5C"/>
    <w:rsid w:val="00A040C0"/>
    <w:rsid w:val="00A054C7"/>
    <w:rsid w:val="00A05AF7"/>
    <w:rsid w:val="00A07F0B"/>
    <w:rsid w:val="00A10B6C"/>
    <w:rsid w:val="00A12495"/>
    <w:rsid w:val="00A16089"/>
    <w:rsid w:val="00A16C8C"/>
    <w:rsid w:val="00A16E98"/>
    <w:rsid w:val="00A20F63"/>
    <w:rsid w:val="00A22118"/>
    <w:rsid w:val="00A227AF"/>
    <w:rsid w:val="00A234AB"/>
    <w:rsid w:val="00A25F80"/>
    <w:rsid w:val="00A26173"/>
    <w:rsid w:val="00A26364"/>
    <w:rsid w:val="00A26EE2"/>
    <w:rsid w:val="00A2715E"/>
    <w:rsid w:val="00A31121"/>
    <w:rsid w:val="00A3387B"/>
    <w:rsid w:val="00A36FE7"/>
    <w:rsid w:val="00A379E7"/>
    <w:rsid w:val="00A45390"/>
    <w:rsid w:val="00A51EE6"/>
    <w:rsid w:val="00A51F35"/>
    <w:rsid w:val="00A533EB"/>
    <w:rsid w:val="00A56449"/>
    <w:rsid w:val="00A56B68"/>
    <w:rsid w:val="00A60AB2"/>
    <w:rsid w:val="00A62725"/>
    <w:rsid w:val="00A638E9"/>
    <w:rsid w:val="00A656E6"/>
    <w:rsid w:val="00A66192"/>
    <w:rsid w:val="00A663CF"/>
    <w:rsid w:val="00A6653E"/>
    <w:rsid w:val="00A70B02"/>
    <w:rsid w:val="00A71373"/>
    <w:rsid w:val="00A726DA"/>
    <w:rsid w:val="00A73C17"/>
    <w:rsid w:val="00A749F2"/>
    <w:rsid w:val="00A76F8E"/>
    <w:rsid w:val="00A772B0"/>
    <w:rsid w:val="00A77374"/>
    <w:rsid w:val="00A80A09"/>
    <w:rsid w:val="00A82450"/>
    <w:rsid w:val="00A82E27"/>
    <w:rsid w:val="00A831FB"/>
    <w:rsid w:val="00A840F6"/>
    <w:rsid w:val="00A962D5"/>
    <w:rsid w:val="00AA381F"/>
    <w:rsid w:val="00AA529E"/>
    <w:rsid w:val="00AB2351"/>
    <w:rsid w:val="00AB56D1"/>
    <w:rsid w:val="00AB6366"/>
    <w:rsid w:val="00AB750E"/>
    <w:rsid w:val="00AB7A66"/>
    <w:rsid w:val="00AC3E3A"/>
    <w:rsid w:val="00AC3E69"/>
    <w:rsid w:val="00AC46C4"/>
    <w:rsid w:val="00AD46E7"/>
    <w:rsid w:val="00AE299D"/>
    <w:rsid w:val="00AE29C7"/>
    <w:rsid w:val="00AE47CE"/>
    <w:rsid w:val="00AE4820"/>
    <w:rsid w:val="00AE5860"/>
    <w:rsid w:val="00AE6DAC"/>
    <w:rsid w:val="00AF2012"/>
    <w:rsid w:val="00AF33DD"/>
    <w:rsid w:val="00AF5B8A"/>
    <w:rsid w:val="00B00F2A"/>
    <w:rsid w:val="00B05774"/>
    <w:rsid w:val="00B05F66"/>
    <w:rsid w:val="00B06D8C"/>
    <w:rsid w:val="00B10049"/>
    <w:rsid w:val="00B125BC"/>
    <w:rsid w:val="00B14A4C"/>
    <w:rsid w:val="00B15E95"/>
    <w:rsid w:val="00B16CF5"/>
    <w:rsid w:val="00B2248F"/>
    <w:rsid w:val="00B228AC"/>
    <w:rsid w:val="00B23173"/>
    <w:rsid w:val="00B24308"/>
    <w:rsid w:val="00B25620"/>
    <w:rsid w:val="00B26A57"/>
    <w:rsid w:val="00B274D2"/>
    <w:rsid w:val="00B27B9F"/>
    <w:rsid w:val="00B300E1"/>
    <w:rsid w:val="00B344F6"/>
    <w:rsid w:val="00B3677E"/>
    <w:rsid w:val="00B40D06"/>
    <w:rsid w:val="00B40D4D"/>
    <w:rsid w:val="00B40FDC"/>
    <w:rsid w:val="00B4178B"/>
    <w:rsid w:val="00B4338E"/>
    <w:rsid w:val="00B460CD"/>
    <w:rsid w:val="00B46B2F"/>
    <w:rsid w:val="00B46DF4"/>
    <w:rsid w:val="00B50AF6"/>
    <w:rsid w:val="00B50D10"/>
    <w:rsid w:val="00B5179A"/>
    <w:rsid w:val="00B51D4B"/>
    <w:rsid w:val="00B54525"/>
    <w:rsid w:val="00B560F8"/>
    <w:rsid w:val="00B57EFD"/>
    <w:rsid w:val="00B62483"/>
    <w:rsid w:val="00B63324"/>
    <w:rsid w:val="00B655CA"/>
    <w:rsid w:val="00B65711"/>
    <w:rsid w:val="00B65A4D"/>
    <w:rsid w:val="00B70EAA"/>
    <w:rsid w:val="00B71425"/>
    <w:rsid w:val="00B7310E"/>
    <w:rsid w:val="00B739B4"/>
    <w:rsid w:val="00B7546D"/>
    <w:rsid w:val="00B7655B"/>
    <w:rsid w:val="00B86B5C"/>
    <w:rsid w:val="00B86F84"/>
    <w:rsid w:val="00B923EE"/>
    <w:rsid w:val="00B93C81"/>
    <w:rsid w:val="00B9404B"/>
    <w:rsid w:val="00BA14AA"/>
    <w:rsid w:val="00BA15EB"/>
    <w:rsid w:val="00BA235D"/>
    <w:rsid w:val="00BA3D27"/>
    <w:rsid w:val="00BA3F5F"/>
    <w:rsid w:val="00BA7699"/>
    <w:rsid w:val="00BA7A82"/>
    <w:rsid w:val="00BB3280"/>
    <w:rsid w:val="00BB61C9"/>
    <w:rsid w:val="00BC333B"/>
    <w:rsid w:val="00BC37EB"/>
    <w:rsid w:val="00BC3E70"/>
    <w:rsid w:val="00BC45A2"/>
    <w:rsid w:val="00BC7919"/>
    <w:rsid w:val="00BD077D"/>
    <w:rsid w:val="00BD095E"/>
    <w:rsid w:val="00BD2225"/>
    <w:rsid w:val="00BD4559"/>
    <w:rsid w:val="00BD66E0"/>
    <w:rsid w:val="00BE2A84"/>
    <w:rsid w:val="00BE44CA"/>
    <w:rsid w:val="00BE7F74"/>
    <w:rsid w:val="00BF1B4F"/>
    <w:rsid w:val="00BF1EB9"/>
    <w:rsid w:val="00BF3A21"/>
    <w:rsid w:val="00BF3EED"/>
    <w:rsid w:val="00BF40F2"/>
    <w:rsid w:val="00BF4A44"/>
    <w:rsid w:val="00BF6177"/>
    <w:rsid w:val="00BF6686"/>
    <w:rsid w:val="00C03075"/>
    <w:rsid w:val="00C12A32"/>
    <w:rsid w:val="00C12C00"/>
    <w:rsid w:val="00C14955"/>
    <w:rsid w:val="00C157AC"/>
    <w:rsid w:val="00C15BA4"/>
    <w:rsid w:val="00C174F8"/>
    <w:rsid w:val="00C2196F"/>
    <w:rsid w:val="00C2254E"/>
    <w:rsid w:val="00C257B1"/>
    <w:rsid w:val="00C25E4B"/>
    <w:rsid w:val="00C2658D"/>
    <w:rsid w:val="00C305FF"/>
    <w:rsid w:val="00C30FC5"/>
    <w:rsid w:val="00C329E7"/>
    <w:rsid w:val="00C33404"/>
    <w:rsid w:val="00C33C37"/>
    <w:rsid w:val="00C341D9"/>
    <w:rsid w:val="00C41833"/>
    <w:rsid w:val="00C419F0"/>
    <w:rsid w:val="00C41F02"/>
    <w:rsid w:val="00C43755"/>
    <w:rsid w:val="00C47FBD"/>
    <w:rsid w:val="00C50A79"/>
    <w:rsid w:val="00C562F7"/>
    <w:rsid w:val="00C570A3"/>
    <w:rsid w:val="00C579FA"/>
    <w:rsid w:val="00C62243"/>
    <w:rsid w:val="00C62AC8"/>
    <w:rsid w:val="00C658AE"/>
    <w:rsid w:val="00C6791F"/>
    <w:rsid w:val="00C67B07"/>
    <w:rsid w:val="00C70682"/>
    <w:rsid w:val="00C70BDD"/>
    <w:rsid w:val="00C72F21"/>
    <w:rsid w:val="00C743F2"/>
    <w:rsid w:val="00C7523B"/>
    <w:rsid w:val="00C764C3"/>
    <w:rsid w:val="00C769B9"/>
    <w:rsid w:val="00C80216"/>
    <w:rsid w:val="00C805B5"/>
    <w:rsid w:val="00C80CC3"/>
    <w:rsid w:val="00C82476"/>
    <w:rsid w:val="00C83143"/>
    <w:rsid w:val="00C84523"/>
    <w:rsid w:val="00C86AAB"/>
    <w:rsid w:val="00C87309"/>
    <w:rsid w:val="00C90FB8"/>
    <w:rsid w:val="00C9174A"/>
    <w:rsid w:val="00C9209D"/>
    <w:rsid w:val="00C93BEC"/>
    <w:rsid w:val="00C9500F"/>
    <w:rsid w:val="00C968C4"/>
    <w:rsid w:val="00C97FA2"/>
    <w:rsid w:val="00CA3066"/>
    <w:rsid w:val="00CA31C3"/>
    <w:rsid w:val="00CA48C1"/>
    <w:rsid w:val="00CA607B"/>
    <w:rsid w:val="00CB075B"/>
    <w:rsid w:val="00CB45B9"/>
    <w:rsid w:val="00CB5E09"/>
    <w:rsid w:val="00CC01D7"/>
    <w:rsid w:val="00CC2B47"/>
    <w:rsid w:val="00CC4F7D"/>
    <w:rsid w:val="00CC5967"/>
    <w:rsid w:val="00CC712F"/>
    <w:rsid w:val="00CC7786"/>
    <w:rsid w:val="00CD1C5C"/>
    <w:rsid w:val="00CD3809"/>
    <w:rsid w:val="00CD48A1"/>
    <w:rsid w:val="00CD5388"/>
    <w:rsid w:val="00CE7EFA"/>
    <w:rsid w:val="00CF1064"/>
    <w:rsid w:val="00CF4D79"/>
    <w:rsid w:val="00CF5798"/>
    <w:rsid w:val="00CF5CEA"/>
    <w:rsid w:val="00D02BC7"/>
    <w:rsid w:val="00D057D0"/>
    <w:rsid w:val="00D21A34"/>
    <w:rsid w:val="00D22420"/>
    <w:rsid w:val="00D250CF"/>
    <w:rsid w:val="00D30279"/>
    <w:rsid w:val="00D340EC"/>
    <w:rsid w:val="00D35EC9"/>
    <w:rsid w:val="00D36125"/>
    <w:rsid w:val="00D378CA"/>
    <w:rsid w:val="00D41C2B"/>
    <w:rsid w:val="00D4223F"/>
    <w:rsid w:val="00D434B4"/>
    <w:rsid w:val="00D43E18"/>
    <w:rsid w:val="00D44FC3"/>
    <w:rsid w:val="00D47112"/>
    <w:rsid w:val="00D51239"/>
    <w:rsid w:val="00D544DB"/>
    <w:rsid w:val="00D54D7E"/>
    <w:rsid w:val="00D6306B"/>
    <w:rsid w:val="00D64859"/>
    <w:rsid w:val="00D65335"/>
    <w:rsid w:val="00D65A8F"/>
    <w:rsid w:val="00D65AE8"/>
    <w:rsid w:val="00D711C3"/>
    <w:rsid w:val="00D72C9D"/>
    <w:rsid w:val="00D736FF"/>
    <w:rsid w:val="00D73F5C"/>
    <w:rsid w:val="00D756F5"/>
    <w:rsid w:val="00D770D2"/>
    <w:rsid w:val="00D8027B"/>
    <w:rsid w:val="00D83A3F"/>
    <w:rsid w:val="00D841B6"/>
    <w:rsid w:val="00D85918"/>
    <w:rsid w:val="00D877E1"/>
    <w:rsid w:val="00D912D6"/>
    <w:rsid w:val="00D926E7"/>
    <w:rsid w:val="00D92FF1"/>
    <w:rsid w:val="00D944EA"/>
    <w:rsid w:val="00D950B2"/>
    <w:rsid w:val="00D978BB"/>
    <w:rsid w:val="00DA0B38"/>
    <w:rsid w:val="00DA0B95"/>
    <w:rsid w:val="00DA1B9B"/>
    <w:rsid w:val="00DA457E"/>
    <w:rsid w:val="00DA6B99"/>
    <w:rsid w:val="00DA7558"/>
    <w:rsid w:val="00DB1862"/>
    <w:rsid w:val="00DB2FDE"/>
    <w:rsid w:val="00DB7811"/>
    <w:rsid w:val="00DC0E48"/>
    <w:rsid w:val="00DC460A"/>
    <w:rsid w:val="00DC489C"/>
    <w:rsid w:val="00DC66D3"/>
    <w:rsid w:val="00DCC30A"/>
    <w:rsid w:val="00DD136B"/>
    <w:rsid w:val="00DD1F23"/>
    <w:rsid w:val="00DE1419"/>
    <w:rsid w:val="00DE43AA"/>
    <w:rsid w:val="00DE4DFF"/>
    <w:rsid w:val="00DE53D8"/>
    <w:rsid w:val="00DE567C"/>
    <w:rsid w:val="00DE79F5"/>
    <w:rsid w:val="00DF700C"/>
    <w:rsid w:val="00E0022A"/>
    <w:rsid w:val="00E01D89"/>
    <w:rsid w:val="00E03D13"/>
    <w:rsid w:val="00E0484E"/>
    <w:rsid w:val="00E0524A"/>
    <w:rsid w:val="00E11B8C"/>
    <w:rsid w:val="00E125D3"/>
    <w:rsid w:val="00E127D7"/>
    <w:rsid w:val="00E20AB1"/>
    <w:rsid w:val="00E24ED0"/>
    <w:rsid w:val="00E2588C"/>
    <w:rsid w:val="00E3078D"/>
    <w:rsid w:val="00E31A76"/>
    <w:rsid w:val="00E31E39"/>
    <w:rsid w:val="00E35015"/>
    <w:rsid w:val="00E35048"/>
    <w:rsid w:val="00E35AE7"/>
    <w:rsid w:val="00E368A5"/>
    <w:rsid w:val="00E37128"/>
    <w:rsid w:val="00E37611"/>
    <w:rsid w:val="00E4130F"/>
    <w:rsid w:val="00E432F9"/>
    <w:rsid w:val="00E43509"/>
    <w:rsid w:val="00E46014"/>
    <w:rsid w:val="00E50604"/>
    <w:rsid w:val="00E50F30"/>
    <w:rsid w:val="00E51B32"/>
    <w:rsid w:val="00E55B6D"/>
    <w:rsid w:val="00E60666"/>
    <w:rsid w:val="00E62F8B"/>
    <w:rsid w:val="00E63C17"/>
    <w:rsid w:val="00E66165"/>
    <w:rsid w:val="00E66CD5"/>
    <w:rsid w:val="00E72EB6"/>
    <w:rsid w:val="00E75AFD"/>
    <w:rsid w:val="00E76437"/>
    <w:rsid w:val="00E7672E"/>
    <w:rsid w:val="00E81370"/>
    <w:rsid w:val="00E8181D"/>
    <w:rsid w:val="00E81998"/>
    <w:rsid w:val="00E86160"/>
    <w:rsid w:val="00E86D64"/>
    <w:rsid w:val="00E877A4"/>
    <w:rsid w:val="00E878E9"/>
    <w:rsid w:val="00E905D7"/>
    <w:rsid w:val="00E93E52"/>
    <w:rsid w:val="00E94604"/>
    <w:rsid w:val="00E96E05"/>
    <w:rsid w:val="00EA0F3F"/>
    <w:rsid w:val="00EA20D0"/>
    <w:rsid w:val="00EA31D3"/>
    <w:rsid w:val="00EA4E9F"/>
    <w:rsid w:val="00EA68F0"/>
    <w:rsid w:val="00EA7091"/>
    <w:rsid w:val="00EA759B"/>
    <w:rsid w:val="00EA7911"/>
    <w:rsid w:val="00EB18C5"/>
    <w:rsid w:val="00EB60E8"/>
    <w:rsid w:val="00EB6233"/>
    <w:rsid w:val="00EC0EB0"/>
    <w:rsid w:val="00EC1577"/>
    <w:rsid w:val="00EC5B5E"/>
    <w:rsid w:val="00EC6930"/>
    <w:rsid w:val="00ED0AA8"/>
    <w:rsid w:val="00ED15BF"/>
    <w:rsid w:val="00ED2987"/>
    <w:rsid w:val="00ED3E51"/>
    <w:rsid w:val="00EE0798"/>
    <w:rsid w:val="00EE2254"/>
    <w:rsid w:val="00EE2AED"/>
    <w:rsid w:val="00EE37DA"/>
    <w:rsid w:val="00EE761E"/>
    <w:rsid w:val="00EF3EE9"/>
    <w:rsid w:val="00EF47BD"/>
    <w:rsid w:val="00F00917"/>
    <w:rsid w:val="00F01116"/>
    <w:rsid w:val="00F02720"/>
    <w:rsid w:val="00F03509"/>
    <w:rsid w:val="00F112E9"/>
    <w:rsid w:val="00F11D26"/>
    <w:rsid w:val="00F1299F"/>
    <w:rsid w:val="00F1502E"/>
    <w:rsid w:val="00F15EC3"/>
    <w:rsid w:val="00F26A0B"/>
    <w:rsid w:val="00F26D0E"/>
    <w:rsid w:val="00F27BF6"/>
    <w:rsid w:val="00F31595"/>
    <w:rsid w:val="00F333AF"/>
    <w:rsid w:val="00F3381E"/>
    <w:rsid w:val="00F3444E"/>
    <w:rsid w:val="00F349F0"/>
    <w:rsid w:val="00F3687E"/>
    <w:rsid w:val="00F36CDB"/>
    <w:rsid w:val="00F376ED"/>
    <w:rsid w:val="00F435F1"/>
    <w:rsid w:val="00F457B7"/>
    <w:rsid w:val="00F45BE4"/>
    <w:rsid w:val="00F462B2"/>
    <w:rsid w:val="00F51064"/>
    <w:rsid w:val="00F54D1C"/>
    <w:rsid w:val="00F61889"/>
    <w:rsid w:val="00F63B6D"/>
    <w:rsid w:val="00F6541A"/>
    <w:rsid w:val="00F67EDB"/>
    <w:rsid w:val="00F731A8"/>
    <w:rsid w:val="00F73739"/>
    <w:rsid w:val="00F75B45"/>
    <w:rsid w:val="00F763FC"/>
    <w:rsid w:val="00F77BCA"/>
    <w:rsid w:val="00F81425"/>
    <w:rsid w:val="00F84665"/>
    <w:rsid w:val="00F847FC"/>
    <w:rsid w:val="00F8697A"/>
    <w:rsid w:val="00F94C77"/>
    <w:rsid w:val="00F95AF0"/>
    <w:rsid w:val="00FA2637"/>
    <w:rsid w:val="00FA5486"/>
    <w:rsid w:val="00FA6A9C"/>
    <w:rsid w:val="00FB1D20"/>
    <w:rsid w:val="00FB7E3F"/>
    <w:rsid w:val="00FC01CB"/>
    <w:rsid w:val="00FC1209"/>
    <w:rsid w:val="00FC3300"/>
    <w:rsid w:val="00FC34CC"/>
    <w:rsid w:val="00FC40A9"/>
    <w:rsid w:val="00FC52E7"/>
    <w:rsid w:val="00FC68DD"/>
    <w:rsid w:val="00FD1D03"/>
    <w:rsid w:val="00FD4900"/>
    <w:rsid w:val="00FE2732"/>
    <w:rsid w:val="00FE3E78"/>
    <w:rsid w:val="00FE4583"/>
    <w:rsid w:val="00FE479A"/>
    <w:rsid w:val="00FE560A"/>
    <w:rsid w:val="00FF1159"/>
    <w:rsid w:val="00FF1545"/>
    <w:rsid w:val="00FF273D"/>
    <w:rsid w:val="00FF28C8"/>
    <w:rsid w:val="00FF3212"/>
    <w:rsid w:val="00FF4F98"/>
    <w:rsid w:val="00FF6763"/>
    <w:rsid w:val="00FF6D30"/>
    <w:rsid w:val="00FF737A"/>
    <w:rsid w:val="00FF7938"/>
    <w:rsid w:val="017E92D0"/>
    <w:rsid w:val="01DBB3F8"/>
    <w:rsid w:val="02266A0F"/>
    <w:rsid w:val="027DBBC1"/>
    <w:rsid w:val="02CEAEC4"/>
    <w:rsid w:val="02F93EAF"/>
    <w:rsid w:val="03136B71"/>
    <w:rsid w:val="031C993F"/>
    <w:rsid w:val="0352E0E6"/>
    <w:rsid w:val="037F2CBB"/>
    <w:rsid w:val="03D36643"/>
    <w:rsid w:val="03EFDD0C"/>
    <w:rsid w:val="04071DBA"/>
    <w:rsid w:val="04A9D847"/>
    <w:rsid w:val="04B600C1"/>
    <w:rsid w:val="04D40D14"/>
    <w:rsid w:val="04EA5D9A"/>
    <w:rsid w:val="0527C261"/>
    <w:rsid w:val="05492E7C"/>
    <w:rsid w:val="06424D19"/>
    <w:rsid w:val="067AD02A"/>
    <w:rsid w:val="06A04C48"/>
    <w:rsid w:val="06F9ACBA"/>
    <w:rsid w:val="08769342"/>
    <w:rsid w:val="0899AC4D"/>
    <w:rsid w:val="08B66B3D"/>
    <w:rsid w:val="08ED7F52"/>
    <w:rsid w:val="08F9EC99"/>
    <w:rsid w:val="09BFAA55"/>
    <w:rsid w:val="09DC3154"/>
    <w:rsid w:val="0A726AC3"/>
    <w:rsid w:val="0B2F038C"/>
    <w:rsid w:val="0B6323E5"/>
    <w:rsid w:val="0BC5FAA0"/>
    <w:rsid w:val="0C15B774"/>
    <w:rsid w:val="0C450FE4"/>
    <w:rsid w:val="0C4D57CD"/>
    <w:rsid w:val="0CC579D4"/>
    <w:rsid w:val="0CDF9B98"/>
    <w:rsid w:val="0D4216DF"/>
    <w:rsid w:val="0D6787DA"/>
    <w:rsid w:val="0D9E0B1C"/>
    <w:rsid w:val="0DAD5422"/>
    <w:rsid w:val="0DD3B028"/>
    <w:rsid w:val="0DF04E6A"/>
    <w:rsid w:val="0FE2B334"/>
    <w:rsid w:val="10AB2E63"/>
    <w:rsid w:val="1103BE45"/>
    <w:rsid w:val="11389087"/>
    <w:rsid w:val="1156189F"/>
    <w:rsid w:val="115A953A"/>
    <w:rsid w:val="11866439"/>
    <w:rsid w:val="12366BBF"/>
    <w:rsid w:val="12609C9B"/>
    <w:rsid w:val="12BF2A02"/>
    <w:rsid w:val="12FE7410"/>
    <w:rsid w:val="13551E44"/>
    <w:rsid w:val="14AD4112"/>
    <w:rsid w:val="15B5B692"/>
    <w:rsid w:val="15DE39DF"/>
    <w:rsid w:val="16188CC4"/>
    <w:rsid w:val="16331C53"/>
    <w:rsid w:val="16EA46E4"/>
    <w:rsid w:val="1770B751"/>
    <w:rsid w:val="17781B4B"/>
    <w:rsid w:val="17E015F3"/>
    <w:rsid w:val="17FC3054"/>
    <w:rsid w:val="183D5C60"/>
    <w:rsid w:val="188886DD"/>
    <w:rsid w:val="18D42EF7"/>
    <w:rsid w:val="192C91C1"/>
    <w:rsid w:val="193CA813"/>
    <w:rsid w:val="1946B0B5"/>
    <w:rsid w:val="19DB8308"/>
    <w:rsid w:val="19E7B9C0"/>
    <w:rsid w:val="1A8927B5"/>
    <w:rsid w:val="1B12A776"/>
    <w:rsid w:val="1B239F73"/>
    <w:rsid w:val="1B50E1E0"/>
    <w:rsid w:val="1BA1CB21"/>
    <w:rsid w:val="1BB1E7CF"/>
    <w:rsid w:val="1C24F42E"/>
    <w:rsid w:val="1C30E415"/>
    <w:rsid w:val="1C45FC6A"/>
    <w:rsid w:val="1C7DEFD0"/>
    <w:rsid w:val="1CCEB44B"/>
    <w:rsid w:val="1CE3E953"/>
    <w:rsid w:val="1DC0C877"/>
    <w:rsid w:val="1E7FDE6D"/>
    <w:rsid w:val="1F32C879"/>
    <w:rsid w:val="1F5D12BA"/>
    <w:rsid w:val="1F8158EB"/>
    <w:rsid w:val="1F853B99"/>
    <w:rsid w:val="1FB27962"/>
    <w:rsid w:val="2008EB15"/>
    <w:rsid w:val="20143407"/>
    <w:rsid w:val="20A0A3C3"/>
    <w:rsid w:val="20CB1380"/>
    <w:rsid w:val="20D43FA8"/>
    <w:rsid w:val="20EF2F9C"/>
    <w:rsid w:val="20F86939"/>
    <w:rsid w:val="21F59F46"/>
    <w:rsid w:val="22917016"/>
    <w:rsid w:val="229C0244"/>
    <w:rsid w:val="22BC0C6A"/>
    <w:rsid w:val="22F7CE12"/>
    <w:rsid w:val="241E8C73"/>
    <w:rsid w:val="243ED8DA"/>
    <w:rsid w:val="2485BD9B"/>
    <w:rsid w:val="24BF5A7C"/>
    <w:rsid w:val="25183607"/>
    <w:rsid w:val="25251435"/>
    <w:rsid w:val="258ADAD9"/>
    <w:rsid w:val="2639A226"/>
    <w:rsid w:val="267CE175"/>
    <w:rsid w:val="274935EF"/>
    <w:rsid w:val="280DD62D"/>
    <w:rsid w:val="28156B9E"/>
    <w:rsid w:val="28387C7C"/>
    <w:rsid w:val="2879D868"/>
    <w:rsid w:val="28B57E40"/>
    <w:rsid w:val="29BEB911"/>
    <w:rsid w:val="29DCC5F8"/>
    <w:rsid w:val="2A128649"/>
    <w:rsid w:val="2A4657BA"/>
    <w:rsid w:val="2A637600"/>
    <w:rsid w:val="2B2A6634"/>
    <w:rsid w:val="2B41EF45"/>
    <w:rsid w:val="2C00EF2F"/>
    <w:rsid w:val="2C04F29C"/>
    <w:rsid w:val="2C29E109"/>
    <w:rsid w:val="2C51DB13"/>
    <w:rsid w:val="2D3EB4EE"/>
    <w:rsid w:val="2D596DC5"/>
    <w:rsid w:val="2D59DED2"/>
    <w:rsid w:val="2D6AD29E"/>
    <w:rsid w:val="2E7F971C"/>
    <w:rsid w:val="2EA2FF94"/>
    <w:rsid w:val="2F2E1B1F"/>
    <w:rsid w:val="2F8CF1BA"/>
    <w:rsid w:val="308C5AFE"/>
    <w:rsid w:val="30C782F1"/>
    <w:rsid w:val="31110E3C"/>
    <w:rsid w:val="324BDA53"/>
    <w:rsid w:val="3270811E"/>
    <w:rsid w:val="32D050FB"/>
    <w:rsid w:val="33134EB1"/>
    <w:rsid w:val="33719600"/>
    <w:rsid w:val="3379B0BD"/>
    <w:rsid w:val="33D659AD"/>
    <w:rsid w:val="33FE8EBA"/>
    <w:rsid w:val="34F69355"/>
    <w:rsid w:val="35BDBD6D"/>
    <w:rsid w:val="365C45A1"/>
    <w:rsid w:val="3697099F"/>
    <w:rsid w:val="36DAD19E"/>
    <w:rsid w:val="36EA0850"/>
    <w:rsid w:val="3741F02A"/>
    <w:rsid w:val="381FADE3"/>
    <w:rsid w:val="38EAF010"/>
    <w:rsid w:val="390CA426"/>
    <w:rsid w:val="39275287"/>
    <w:rsid w:val="395FF872"/>
    <w:rsid w:val="396470A5"/>
    <w:rsid w:val="3972844E"/>
    <w:rsid w:val="397A484C"/>
    <w:rsid w:val="3A61D32E"/>
    <w:rsid w:val="3A853A63"/>
    <w:rsid w:val="3AB92180"/>
    <w:rsid w:val="3B4BB420"/>
    <w:rsid w:val="3B5C77DF"/>
    <w:rsid w:val="3BA49454"/>
    <w:rsid w:val="3C10AA78"/>
    <w:rsid w:val="3C596EB8"/>
    <w:rsid w:val="3C9ABDE0"/>
    <w:rsid w:val="3CA5B1F9"/>
    <w:rsid w:val="3CC20953"/>
    <w:rsid w:val="3CC62086"/>
    <w:rsid w:val="3CE3FA0E"/>
    <w:rsid w:val="3D18AB7D"/>
    <w:rsid w:val="3DAD163D"/>
    <w:rsid w:val="3DBDF132"/>
    <w:rsid w:val="3EE6ADCC"/>
    <w:rsid w:val="3EEEC885"/>
    <w:rsid w:val="3F3A81B2"/>
    <w:rsid w:val="3F51F492"/>
    <w:rsid w:val="3FD97BCC"/>
    <w:rsid w:val="40127DD0"/>
    <w:rsid w:val="40288800"/>
    <w:rsid w:val="40A6F895"/>
    <w:rsid w:val="41760E4F"/>
    <w:rsid w:val="41B9D64E"/>
    <w:rsid w:val="41E352E4"/>
    <w:rsid w:val="41EE108C"/>
    <w:rsid w:val="42379628"/>
    <w:rsid w:val="42517DE8"/>
    <w:rsid w:val="426ED1C8"/>
    <w:rsid w:val="427BF0BE"/>
    <w:rsid w:val="42E23DF0"/>
    <w:rsid w:val="43157894"/>
    <w:rsid w:val="4356A2CE"/>
    <w:rsid w:val="436F33D0"/>
    <w:rsid w:val="43FC62AB"/>
    <w:rsid w:val="4415D747"/>
    <w:rsid w:val="4425879B"/>
    <w:rsid w:val="4437B0B9"/>
    <w:rsid w:val="4472849A"/>
    <w:rsid w:val="447E7363"/>
    <w:rsid w:val="4490E888"/>
    <w:rsid w:val="44B794D5"/>
    <w:rsid w:val="453ED9AB"/>
    <w:rsid w:val="45510EBE"/>
    <w:rsid w:val="459C3D8D"/>
    <w:rsid w:val="45A1AFDD"/>
    <w:rsid w:val="45B17DEB"/>
    <w:rsid w:val="45FB3D7D"/>
    <w:rsid w:val="4803A234"/>
    <w:rsid w:val="4825F46A"/>
    <w:rsid w:val="485D5210"/>
    <w:rsid w:val="488D0D4D"/>
    <w:rsid w:val="4895AACB"/>
    <w:rsid w:val="48D25430"/>
    <w:rsid w:val="499D652A"/>
    <w:rsid w:val="49A66CC2"/>
    <w:rsid w:val="4A093B03"/>
    <w:rsid w:val="4A56D0A7"/>
    <w:rsid w:val="4A79C091"/>
    <w:rsid w:val="4AE4F7DE"/>
    <w:rsid w:val="4B2E442C"/>
    <w:rsid w:val="4B97B49A"/>
    <w:rsid w:val="4C205AC8"/>
    <w:rsid w:val="4C537735"/>
    <w:rsid w:val="4CD82EEA"/>
    <w:rsid w:val="4CE4E590"/>
    <w:rsid w:val="4D11A3AB"/>
    <w:rsid w:val="4D4DEC53"/>
    <w:rsid w:val="4DF35FB9"/>
    <w:rsid w:val="4E04649D"/>
    <w:rsid w:val="4E076C39"/>
    <w:rsid w:val="4EA53C11"/>
    <w:rsid w:val="4EB532F3"/>
    <w:rsid w:val="4ECC0DF5"/>
    <w:rsid w:val="4ED7EC2B"/>
    <w:rsid w:val="4EDD1E47"/>
    <w:rsid w:val="4FA734B7"/>
    <w:rsid w:val="50ECA664"/>
    <w:rsid w:val="5109223C"/>
    <w:rsid w:val="514A02DD"/>
    <w:rsid w:val="5159B3E4"/>
    <w:rsid w:val="51717E4D"/>
    <w:rsid w:val="5198EB67"/>
    <w:rsid w:val="52513122"/>
    <w:rsid w:val="52803126"/>
    <w:rsid w:val="52C0DAB8"/>
    <w:rsid w:val="52F280F5"/>
    <w:rsid w:val="53756480"/>
    <w:rsid w:val="5459BDE1"/>
    <w:rsid w:val="54F97122"/>
    <w:rsid w:val="550FC639"/>
    <w:rsid w:val="5531797A"/>
    <w:rsid w:val="55378B6F"/>
    <w:rsid w:val="557066C8"/>
    <w:rsid w:val="5573E82B"/>
    <w:rsid w:val="55A551F6"/>
    <w:rsid w:val="55BA77C9"/>
    <w:rsid w:val="55FFD35F"/>
    <w:rsid w:val="5638887E"/>
    <w:rsid w:val="565A4419"/>
    <w:rsid w:val="569DF1AC"/>
    <w:rsid w:val="56D0DA52"/>
    <w:rsid w:val="56D75929"/>
    <w:rsid w:val="574B981D"/>
    <w:rsid w:val="57D250C4"/>
    <w:rsid w:val="57E9AA97"/>
    <w:rsid w:val="58042288"/>
    <w:rsid w:val="5813D8C6"/>
    <w:rsid w:val="587159A4"/>
    <w:rsid w:val="58C86E00"/>
    <w:rsid w:val="5990A0BF"/>
    <w:rsid w:val="599AFF10"/>
    <w:rsid w:val="5B311C21"/>
    <w:rsid w:val="5B5C628F"/>
    <w:rsid w:val="5C26EBBF"/>
    <w:rsid w:val="5C383B66"/>
    <w:rsid w:val="5C571911"/>
    <w:rsid w:val="5C85B132"/>
    <w:rsid w:val="5CB686AC"/>
    <w:rsid w:val="5CCC5E53"/>
    <w:rsid w:val="5D4E1206"/>
    <w:rsid w:val="5D8CC08C"/>
    <w:rsid w:val="5DD508AC"/>
    <w:rsid w:val="5DE9F654"/>
    <w:rsid w:val="5E01F7EB"/>
    <w:rsid w:val="5EC8D967"/>
    <w:rsid w:val="5F0CBBE0"/>
    <w:rsid w:val="5FD66F9E"/>
    <w:rsid w:val="60DC211B"/>
    <w:rsid w:val="613077EF"/>
    <w:rsid w:val="61A02DDF"/>
    <w:rsid w:val="6208D0F9"/>
    <w:rsid w:val="624D9925"/>
    <w:rsid w:val="63293DBC"/>
    <w:rsid w:val="63438319"/>
    <w:rsid w:val="636E6325"/>
    <w:rsid w:val="63AFCD84"/>
    <w:rsid w:val="643AFD7D"/>
    <w:rsid w:val="6521D1E2"/>
    <w:rsid w:val="6525FD74"/>
    <w:rsid w:val="6549F805"/>
    <w:rsid w:val="66201FBD"/>
    <w:rsid w:val="6623374E"/>
    <w:rsid w:val="66447717"/>
    <w:rsid w:val="664BC3D6"/>
    <w:rsid w:val="666D1032"/>
    <w:rsid w:val="66E279F9"/>
    <w:rsid w:val="671EC3EC"/>
    <w:rsid w:val="6794BCF4"/>
    <w:rsid w:val="67A8DD1B"/>
    <w:rsid w:val="67C8AD6A"/>
    <w:rsid w:val="67E79437"/>
    <w:rsid w:val="67E7D7A3"/>
    <w:rsid w:val="68129FCC"/>
    <w:rsid w:val="690393F2"/>
    <w:rsid w:val="691AE28A"/>
    <w:rsid w:val="69AFBEE5"/>
    <w:rsid w:val="69D4F989"/>
    <w:rsid w:val="6A64F3E0"/>
    <w:rsid w:val="6BAFE4CD"/>
    <w:rsid w:val="6C672A30"/>
    <w:rsid w:val="6C8217AF"/>
    <w:rsid w:val="6D1C9D34"/>
    <w:rsid w:val="6D3362EE"/>
    <w:rsid w:val="6D49D862"/>
    <w:rsid w:val="6D64091D"/>
    <w:rsid w:val="6D963768"/>
    <w:rsid w:val="6DC0222D"/>
    <w:rsid w:val="6E3F92E3"/>
    <w:rsid w:val="6EE84B7D"/>
    <w:rsid w:val="6F812539"/>
    <w:rsid w:val="6F99FE1F"/>
    <w:rsid w:val="6FA4270D"/>
    <w:rsid w:val="6FBA16E8"/>
    <w:rsid w:val="702869C6"/>
    <w:rsid w:val="7058C0DA"/>
    <w:rsid w:val="707D5490"/>
    <w:rsid w:val="707E91D6"/>
    <w:rsid w:val="70841BDE"/>
    <w:rsid w:val="70D9A7BC"/>
    <w:rsid w:val="70F743E2"/>
    <w:rsid w:val="71C3FDA0"/>
    <w:rsid w:val="72823970"/>
    <w:rsid w:val="728FB92C"/>
    <w:rsid w:val="72B8253A"/>
    <w:rsid w:val="739C2DB9"/>
    <w:rsid w:val="73B4CAF1"/>
    <w:rsid w:val="73C253EB"/>
    <w:rsid w:val="73DB942A"/>
    <w:rsid w:val="7447A2BC"/>
    <w:rsid w:val="745DF3B0"/>
    <w:rsid w:val="7482A2B6"/>
    <w:rsid w:val="750A1C2C"/>
    <w:rsid w:val="7548F0FF"/>
    <w:rsid w:val="7590BECF"/>
    <w:rsid w:val="759DFF43"/>
    <w:rsid w:val="75A34729"/>
    <w:rsid w:val="7606DE2C"/>
    <w:rsid w:val="768CD48D"/>
    <w:rsid w:val="769FC0F0"/>
    <w:rsid w:val="76ABED2E"/>
    <w:rsid w:val="773482A7"/>
    <w:rsid w:val="77371E1D"/>
    <w:rsid w:val="774EA2EC"/>
    <w:rsid w:val="77CD4CCC"/>
    <w:rsid w:val="77E67529"/>
    <w:rsid w:val="77F260D5"/>
    <w:rsid w:val="781C5392"/>
    <w:rsid w:val="78B42F2C"/>
    <w:rsid w:val="78B774CF"/>
    <w:rsid w:val="78CA77C3"/>
    <w:rsid w:val="78F14840"/>
    <w:rsid w:val="78F17AF4"/>
    <w:rsid w:val="7982458A"/>
    <w:rsid w:val="7990718A"/>
    <w:rsid w:val="79BC3DF6"/>
    <w:rsid w:val="7A1C61EA"/>
    <w:rsid w:val="7A495623"/>
    <w:rsid w:val="7A582138"/>
    <w:rsid w:val="7B1E15EB"/>
    <w:rsid w:val="7B208389"/>
    <w:rsid w:val="7BA2DEBF"/>
    <w:rsid w:val="7BBFBA69"/>
    <w:rsid w:val="7BECE03E"/>
    <w:rsid w:val="7C94C863"/>
    <w:rsid w:val="7CBBB2D3"/>
    <w:rsid w:val="7D39F459"/>
    <w:rsid w:val="7D601A93"/>
    <w:rsid w:val="7D949D63"/>
    <w:rsid w:val="7DC86BD1"/>
    <w:rsid w:val="7DE6B871"/>
    <w:rsid w:val="7E09F3D3"/>
    <w:rsid w:val="7EAA3B5D"/>
    <w:rsid w:val="7EAF8552"/>
    <w:rsid w:val="7FE7E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DD04E"/>
  <w15:chartTrackingRefBased/>
  <w15:docId w15:val="{A21575F7-3210-4C10-BC3B-22600949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A8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Heading2"/>
    <w:next w:val="Normal"/>
    <w:link w:val="Heading1Char"/>
    <w:qFormat/>
    <w:rsid w:val="001D133E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1D133E"/>
    <w:pPr>
      <w:keepNext/>
      <w:spacing w:before="120"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1D133E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1D133E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1D133E"/>
    <w:pPr>
      <w:spacing w:before="24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D133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133E"/>
    <w:rPr>
      <w:rFonts w:ascii="Times New Roman" w:eastAsia="Times New Roman" w:hAnsi="Times New Roman" w:cs="Times New Roman"/>
      <w:b/>
      <w:i/>
      <w:caps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1D133E"/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1D133E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1D133E"/>
    <w:rPr>
      <w:rFonts w:ascii="Times New Roman" w:eastAsia="Times New Roman" w:hAnsi="Times New Roman" w:cs="Times New Roman"/>
      <w:b/>
      <w:i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1D133E"/>
    <w:rPr>
      <w:rFonts w:ascii="Times New Roman" w:eastAsia="Times New Roman" w:hAnsi="Times New Roman" w:cs="Times New Roman"/>
      <w:bCs/>
      <w:i/>
      <w:iCs/>
      <w:sz w:val="24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1D133E"/>
    <w:rPr>
      <w:rFonts w:ascii="Times New Roman" w:eastAsia="Times New Roman" w:hAnsi="Times New Roman" w:cs="Times New Roman"/>
      <w:b/>
      <w:bCs/>
      <w:lang w:eastAsia="en-AU"/>
    </w:rPr>
  </w:style>
  <w:style w:type="paragraph" w:customStyle="1" w:styleId="SingleParagraph">
    <w:name w:val="Single Paragraph"/>
    <w:basedOn w:val="Normal"/>
    <w:rsid w:val="001D133E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1D133E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1D133E"/>
    <w:pPr>
      <w:jc w:val="center"/>
    </w:pPr>
    <w:rPr>
      <w:b/>
    </w:rPr>
  </w:style>
  <w:style w:type="paragraph" w:customStyle="1" w:styleId="TableMainHeading">
    <w:name w:val="Table Main Heading"/>
    <w:basedOn w:val="ChartMainHeading"/>
    <w:rsid w:val="001D133E"/>
  </w:style>
  <w:style w:type="paragraph" w:customStyle="1" w:styleId="Bullet">
    <w:name w:val="Bullet"/>
    <w:aliases w:val="Body,b,b + line,b1,level 1"/>
    <w:basedOn w:val="Normal"/>
    <w:link w:val="BulletChar"/>
    <w:qFormat/>
    <w:rsid w:val="001D133E"/>
    <w:pPr>
      <w:numPr>
        <w:numId w:val="1"/>
      </w:numPr>
    </w:pPr>
  </w:style>
  <w:style w:type="paragraph" w:customStyle="1" w:styleId="Dash">
    <w:name w:val="Dash"/>
    <w:basedOn w:val="Normal"/>
    <w:qFormat/>
    <w:rsid w:val="001D133E"/>
    <w:pPr>
      <w:numPr>
        <w:ilvl w:val="1"/>
        <w:numId w:val="1"/>
      </w:numPr>
    </w:pPr>
  </w:style>
  <w:style w:type="paragraph" w:customStyle="1" w:styleId="DoubleDot">
    <w:name w:val="Double Dot"/>
    <w:basedOn w:val="Normal"/>
    <w:qFormat/>
    <w:rsid w:val="001D133E"/>
    <w:pPr>
      <w:numPr>
        <w:ilvl w:val="2"/>
        <w:numId w:val="1"/>
      </w:numPr>
    </w:pPr>
  </w:style>
  <w:style w:type="character" w:styleId="Hyperlink">
    <w:name w:val="Hyperlink"/>
    <w:basedOn w:val="DefaultParagraphFont"/>
    <w:rsid w:val="001D133E"/>
    <w:rPr>
      <w:color w:val="0000FF"/>
      <w:u w:val="single"/>
    </w:rPr>
  </w:style>
  <w:style w:type="paragraph" w:styleId="Header">
    <w:name w:val="header"/>
    <w:basedOn w:val="Normal"/>
    <w:link w:val="HeaderChar"/>
    <w:rsid w:val="001D13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D133E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rsid w:val="001D13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D133E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FooterAddress">
    <w:name w:val="FooterAddress"/>
    <w:basedOn w:val="Normal"/>
    <w:next w:val="Normal"/>
    <w:rsid w:val="001D133E"/>
    <w:pPr>
      <w:tabs>
        <w:tab w:val="center" w:pos="4820"/>
      </w:tabs>
      <w:spacing w:after="0"/>
      <w:jc w:val="center"/>
    </w:pPr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semiHidden/>
    <w:rsid w:val="001D1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D133E"/>
    <w:rPr>
      <w:rFonts w:ascii="Tahoma" w:eastAsia="Times New Roman" w:hAnsi="Tahoma" w:cs="Tahoma"/>
      <w:sz w:val="16"/>
      <w:szCs w:val="16"/>
      <w:lang w:eastAsia="en-AU"/>
    </w:rPr>
  </w:style>
  <w:style w:type="character" w:styleId="FollowedHyperlink">
    <w:name w:val="FollowedHyperlink"/>
    <w:basedOn w:val="DefaultParagraphFont"/>
    <w:rsid w:val="001D133E"/>
    <w:rPr>
      <w:color w:val="954F72" w:themeColor="followedHyperlink"/>
      <w:u w:val="single"/>
    </w:rPr>
  </w:style>
  <w:style w:type="character" w:customStyle="1" w:styleId="BulletChar">
    <w:name w:val="Bullet Char"/>
    <w:aliases w:val="Body Char,Bulleted Para Char,Bullets Char,FooterText Char,L Char,List Paragraph Char,List Paragraph1 Char,List Paragraph11 Char,List Paragraph2 Char,Number Char,Recommendation Char,b + line Char,b + line Char Char,b Char,b Char Char,b1 Char"/>
    <w:basedOn w:val="DefaultParagraphFont"/>
    <w:link w:val="Bullet"/>
    <w:qFormat/>
    <w:rsid w:val="00D64859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normaltextrun">
    <w:name w:val="normaltextrun"/>
    <w:basedOn w:val="DefaultParagraphFont"/>
    <w:rsid w:val="002C6614"/>
  </w:style>
  <w:style w:type="paragraph" w:styleId="Revision">
    <w:name w:val="Revision"/>
    <w:hidden/>
    <w:uiPriority w:val="99"/>
    <w:semiHidden/>
    <w:rsid w:val="00371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70BD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72C9D"/>
  </w:style>
  <w:style w:type="paragraph" w:customStyle="1" w:styleId="paragraph">
    <w:name w:val="paragraph"/>
    <w:basedOn w:val="Normal"/>
    <w:rsid w:val="00A26364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efaultParagraphFont"/>
    <w:rsid w:val="00A26364"/>
  </w:style>
  <w:style w:type="paragraph" w:styleId="ListParagraph">
    <w:name w:val="List Paragraph"/>
    <w:basedOn w:val="Normal"/>
    <w:uiPriority w:val="34"/>
    <w:qFormat/>
    <w:rsid w:val="00EA31D3"/>
    <w:pPr>
      <w:ind w:left="720"/>
      <w:contextualSpacing/>
    </w:pPr>
  </w:style>
  <w:style w:type="character" w:customStyle="1" w:styleId="superscript">
    <w:name w:val="superscript"/>
    <w:basedOn w:val="DefaultParagraphFont"/>
    <w:rsid w:val="00F3444E"/>
  </w:style>
  <w:style w:type="character" w:styleId="CommentReference">
    <w:name w:val="annotation reference"/>
    <w:basedOn w:val="DefaultParagraphFont"/>
    <w:uiPriority w:val="99"/>
    <w:semiHidden/>
    <w:unhideWhenUsed/>
    <w:rsid w:val="00822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7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7D1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7D1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Pri-AD-CS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3BC148FEDF44B865C6EB379649C04" ma:contentTypeVersion="18" ma:contentTypeDescription="Create a new document." ma:contentTypeScope="" ma:versionID="03ad46570b62c4d44819faf5289096ef">
  <xsd:schema xmlns:xsd="http://www.w3.org/2001/XMLSchema" xmlns:xs="http://www.w3.org/2001/XMLSchema" xmlns:p="http://schemas.microsoft.com/office/2006/metadata/properties" xmlns:ns2="ef209f3f-5c93-47d0-a846-df4853a4fc2c" xmlns:ns3="fe39d773-a83d-4623-ae74-f25711a76616" xmlns:ns4="4751d8e7-f749-4fa9-8b09-8eed74d25fa1" targetNamespace="http://schemas.microsoft.com/office/2006/metadata/properties" ma:root="true" ma:fieldsID="9b90cf2ef97bdb9ccd79236b8c388151" ns2:_="" ns3:_="" ns4:_="">
    <xsd:import namespace="ef209f3f-5c93-47d0-a846-df4853a4fc2c"/>
    <xsd:import namespace="fe39d773-a83d-4623-ae74-f25711a76616"/>
    <xsd:import namespace="4751d8e7-f749-4fa9-8b09-8eed74d25fa1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 minOccurs="0"/>
                <xsd:element ref="ns2:TaxCatchAll" minOccurs="0"/>
                <xsd:element ref="ns2:TaxCatchAllLabel" minOccurs="0"/>
                <xsd:element ref="ns3:e4fe7dcdd1c0411bbf19a4de3665191f" minOccurs="0"/>
                <xsd:element ref="ns3:gfba5f33532c49208d2320ce38cc3c2b" minOccurs="0"/>
                <xsd:element ref="ns3:kfc39f3e4e2747ae990d3c8bb74a5a64" minOccurs="0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9f3f-5c93-47d0-a846-df4853a4fc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ea42c0-b8c8-4039-a9be-f4764a9ea5e6}" ma:internalName="TaxCatchAll" ma:showField="CatchAllData" ma:web="ef209f3f-5c93-47d0-a846-df4853a4f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3ea42c0-b8c8-4039-a9be-f4764a9ea5e6}" ma:internalName="TaxCatchAllLabel" ma:readOnly="true" ma:showField="CatchAllDataLabel" ma:web="ef209f3f-5c93-47d0-a846-df4853a4f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Taxation|e53aff8a-4a1a-4486-a4fc-f40489d68897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4e986ac2-663b-44d5-8edb-6250974b7d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d6a07df4-70d7-4f4e-a394-7d1e302159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8d6468dd-2ef0-4dcd-a956-9c05be3377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1d8e7-f749-4fa9-8b09-8eed74d25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25bdd0d6464e36b066695d9e81d63d xmlns="fe39d773-a83d-4623-ae74-f25711a76616">
      <Terms xmlns="http://schemas.microsoft.com/office/infopath/2007/PartnerControls"/>
    </ge25bdd0d6464e36b066695d9e81d63d>
    <_dlc_DocId xmlns="fe39d773-a83d-4623-ae74-f25711a76616">R6ZJM5SMDX5U-1782777819-159</_dlc_DocId>
    <_dlc_DocIdUrl xmlns="fe39d773-a83d-4623-ae74-f25711a76616">
      <Url>https://austreasury.sharepoint.com/sites/int-tax-eng-function/_layouts/15/DocIdRedir.aspx?ID=R6ZJM5SMDX5U-1782777819-159</Url>
      <Description>R6ZJM5SMDX5U-1782777819-159</Description>
    </_dlc_DocIdUrl>
    <_dlc_DocIdPersistId xmlns="fe39d773-a83d-4623-ae74-f25711a76616">false</_dlc_DocIdPersistId>
    <TaxCatchAll xmlns="ef209f3f-5c93-47d0-a846-df4853a4fc2c">
      <Value>279</Value>
      <Value>104</Value>
      <Value>100</Value>
      <Value>1</Value>
    </TaxCatchAll>
    <SharedWithUsers xmlns="ef209f3f-5c93-47d0-a846-df4853a4fc2c">
      <UserInfo>
        <DisplayName/>
        <AccountId xsi:nil="true"/>
        <AccountType/>
      </UserInfo>
    </SharedWithUsers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Consultation</TermName>
          <TermId xmlns="http://schemas.microsoft.com/office/infopath/2007/PartnerControls">dc375a31-9a38-4dbf-8c94-7aeffc3c2066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Consultation</TermName>
          <TermId xmlns="http://schemas.microsoft.com/office/infopath/2007/PartnerControls">82101bac-3c7e-43bb-adfe-0d5346e7ba02</TermId>
        </TermInfo>
      </Terms>
    </kfc39f3e4e2747ae990d3c8bb74a5a64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Taxation</TermName>
          <TermId xmlns="http://schemas.microsoft.com/office/infopath/2007/PartnerControls">e53aff8a-4a1a-4486-a4fc-f40489d68897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Royalties</TermName>
          <TermId xmlns="http://schemas.microsoft.com/office/infopath/2007/PartnerControls">f4d9e1e1-2ac1-406c-8ee1-f895628e8b41</TermId>
        </TermInfo>
      </Terms>
    </gfba5f33532c49208d2320ce38cc3c2b>
  </documentManagement>
</p:properties>
</file>

<file path=customXml/itemProps1.xml><?xml version="1.0" encoding="utf-8"?>
<ds:datastoreItem xmlns:ds="http://schemas.openxmlformats.org/officeDocument/2006/customXml" ds:itemID="{11A9DB89-C58E-4492-81C4-0F05A519C2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89578-9C56-4F3C-9B34-134111944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09f3f-5c93-47d0-a846-df4853a4fc2c"/>
    <ds:schemaRef ds:uri="fe39d773-a83d-4623-ae74-f25711a76616"/>
    <ds:schemaRef ds:uri="4751d8e7-f749-4fa9-8b09-8eed74d25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EA708-E888-4138-8FAF-536E25ED0A6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62F617-3D34-4A66-AC2A-74E50DD6DF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E21E47-DC95-4615-A8E0-8E957564419A}">
  <ds:schemaRefs>
    <ds:schemaRef ds:uri="http://purl.org/dc/terms/"/>
    <ds:schemaRef ds:uri="4751d8e7-f749-4fa9-8b09-8eed74d25fa1"/>
    <ds:schemaRef ds:uri="http://purl.org/dc/dcmitype/"/>
    <ds:schemaRef ds:uri="http://schemas.microsoft.com/office/2006/metadata/properties"/>
    <ds:schemaRef ds:uri="http://purl.org/dc/elements/1.1/"/>
    <ds:schemaRef ds:uri="ef209f3f-5c93-47d0-a846-df4853a4fc2c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Pri-AD-CSUM.dotx</Template>
  <TotalTime>9</TotalTime>
  <Pages>2</Pages>
  <Words>762</Words>
  <Characters>4663</Characters>
  <Application>Microsoft Office Word</Application>
  <DocSecurity>0</DocSecurity>
  <Lines>67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Consultation Process Outcomes</vt:lpstr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Consultation Process Outcomes</dc:title>
  <dc:subject/>
  <dc:creator>Treasury</dc:creator>
  <cp:keywords/>
  <dc:description/>
  <cp:lastModifiedBy>Hill, Christine</cp:lastModifiedBy>
  <cp:revision>27</cp:revision>
  <dcterms:created xsi:type="dcterms:W3CDTF">2023-06-23T19:39:00Z</dcterms:created>
  <dcterms:modified xsi:type="dcterms:W3CDTF">2023-06-23T04:52:00Z</dcterms:modified>
</cp:coreProperties>
</file>