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7057"/>
      </w:tblGrid>
      <w:tr w:rsidR="00121D08" w14:paraId="6674658A" w14:textId="77777777" w:rsidTr="00121D08">
        <w:tc>
          <w:tcPr>
            <w:tcW w:w="5000" w:type="pct"/>
            <w:shd w:val="clear" w:color="auto" w:fill="auto"/>
          </w:tcPr>
          <w:p w14:paraId="6E7FC020" w14:textId="77777777" w:rsidR="00121D08" w:rsidRDefault="00121D08" w:rsidP="00121D08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35FA82B0" w14:textId="77777777" w:rsidR="00121D08" w:rsidRPr="00121D08" w:rsidRDefault="00121D08" w:rsidP="00121D08">
            <w:pPr>
              <w:rPr>
                <w:b/>
                <w:sz w:val="20"/>
              </w:rPr>
            </w:pPr>
          </w:p>
        </w:tc>
      </w:tr>
    </w:tbl>
    <w:p w14:paraId="1A68438A" w14:textId="77777777" w:rsidR="00121D08" w:rsidRDefault="00121D08" w:rsidP="004B0FFC">
      <w:pPr>
        <w:rPr>
          <w:sz w:val="32"/>
          <w:szCs w:val="32"/>
        </w:rPr>
      </w:pPr>
    </w:p>
    <w:p w14:paraId="2CF3C7E5" w14:textId="77777777" w:rsidR="00664C63" w:rsidRPr="00932FA3" w:rsidRDefault="00664C63" w:rsidP="004B0FFC">
      <w:pPr>
        <w:rPr>
          <w:sz w:val="32"/>
          <w:szCs w:val="32"/>
        </w:rPr>
      </w:pPr>
      <w:r w:rsidRPr="00932FA3">
        <w:rPr>
          <w:sz w:val="32"/>
          <w:szCs w:val="32"/>
        </w:rPr>
        <w:t>Inserts for</w:t>
      </w:r>
    </w:p>
    <w:p w14:paraId="1F486FF7" w14:textId="77777777" w:rsidR="00664C63" w:rsidRDefault="00B1120B" w:rsidP="004B0FFC">
      <w:pPr>
        <w:pStyle w:val="ShortT"/>
      </w:pPr>
      <w:bookmarkStart w:id="0" w:name="_Hlk130393772"/>
      <w:r>
        <w:t>Treasury</w:t>
      </w:r>
      <w:bookmarkStart w:id="1" w:name="BK_S1P1L2C9"/>
      <w:bookmarkEnd w:id="1"/>
      <w:r>
        <w:t xml:space="preserve"> Laws Amendment (Measures for Future Bill</w:t>
      </w:r>
      <w:bookmarkStart w:id="2" w:name="BK_S1P1L3C16"/>
      <w:bookmarkEnd w:id="2"/>
      <w:r>
        <w:t>s) Bill</w:t>
      </w:r>
      <w:bookmarkStart w:id="3" w:name="BK_S1P1L3C23"/>
      <w:bookmarkEnd w:id="3"/>
      <w:r>
        <w:t xml:space="preserve"> 2023</w:t>
      </w:r>
      <w:r w:rsidR="00664C63">
        <w:t xml:space="preserve">: </w:t>
      </w:r>
      <w:r>
        <w:t>Recognising experience in the financial advice industry</w:t>
      </w:r>
    </w:p>
    <w:bookmarkEnd w:id="0"/>
    <w:p w14:paraId="38FC0D0E" w14:textId="77777777" w:rsidR="00664C63" w:rsidRDefault="00664C63" w:rsidP="004B0FFC">
      <w:pPr>
        <w:jc w:val="center"/>
      </w:pPr>
    </w:p>
    <w:p w14:paraId="388DA003" w14:textId="77777777" w:rsidR="00664C63" w:rsidRDefault="00664C63" w:rsidP="004B0FF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664C63" w:rsidRPr="00402376" w14:paraId="3E15BE57" w14:textId="77777777" w:rsidTr="002F08B3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2C406955" w14:textId="77777777" w:rsidR="00664C63" w:rsidRPr="00402376" w:rsidRDefault="00664C63" w:rsidP="004B0FFC">
            <w:pPr>
              <w:pStyle w:val="TableHeading"/>
            </w:pPr>
            <w:r w:rsidRPr="00402376">
              <w:t>Commencement information</w:t>
            </w:r>
          </w:p>
        </w:tc>
      </w:tr>
      <w:tr w:rsidR="00664C63" w:rsidRPr="00402376" w14:paraId="099709D6" w14:textId="77777777" w:rsidTr="002F08B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33EEFD" w14:textId="77777777" w:rsidR="00664C63" w:rsidRPr="00402376" w:rsidRDefault="00664C63" w:rsidP="004B0FFC">
            <w:pPr>
              <w:pStyle w:val="TableHeading"/>
            </w:pPr>
            <w:r w:rsidRPr="00402376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644284" w14:textId="77777777" w:rsidR="00664C63" w:rsidRPr="00402376" w:rsidRDefault="00664C63" w:rsidP="004B0FFC">
            <w:pPr>
              <w:pStyle w:val="TableHeading"/>
            </w:pPr>
            <w:r w:rsidRPr="00402376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589D4A" w14:textId="77777777" w:rsidR="00664C63" w:rsidRPr="00402376" w:rsidRDefault="00664C63" w:rsidP="004B0FFC">
            <w:pPr>
              <w:pStyle w:val="TableHeading"/>
            </w:pPr>
            <w:r w:rsidRPr="00402376">
              <w:t>Column 3</w:t>
            </w:r>
          </w:p>
        </w:tc>
      </w:tr>
      <w:tr w:rsidR="00664C63" w14:paraId="2FC49512" w14:textId="77777777" w:rsidTr="002F08B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2610414" w14:textId="77777777" w:rsidR="00664C63" w:rsidRPr="00402376" w:rsidRDefault="00664C63" w:rsidP="004B0FFC">
            <w:pPr>
              <w:pStyle w:val="TableHeading"/>
            </w:pPr>
            <w:r w:rsidRPr="00402376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EE6229E" w14:textId="77777777" w:rsidR="00664C63" w:rsidRPr="00402376" w:rsidRDefault="00664C63" w:rsidP="004B0FFC">
            <w:pPr>
              <w:pStyle w:val="TableHeading"/>
            </w:pPr>
            <w:r w:rsidRPr="00402376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DCAFFD0" w14:textId="77777777" w:rsidR="00664C63" w:rsidRPr="00402376" w:rsidRDefault="00664C63" w:rsidP="004B0FFC">
            <w:pPr>
              <w:pStyle w:val="TableHeading"/>
            </w:pPr>
            <w:r w:rsidRPr="00402376">
              <w:t>Date/Details</w:t>
            </w:r>
          </w:p>
        </w:tc>
      </w:tr>
      <w:tr w:rsidR="00664C63" w14:paraId="79EA2E95" w14:textId="77777777" w:rsidTr="002F08B3"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2397AA75" w14:textId="77777777" w:rsidR="00664C63" w:rsidRDefault="00664C63" w:rsidP="004B0FFC">
            <w:pPr>
              <w:pStyle w:val="Tabletext"/>
            </w:pPr>
            <w:r>
              <w:t xml:space="preserve">1.  </w:t>
            </w:r>
            <w:r w:rsidR="00B1120B">
              <w:t xml:space="preserve">Schedule </w:t>
            </w:r>
            <w:bookmarkStart w:id="4" w:name="BK_S1P1L24C14"/>
            <w:bookmarkEnd w:id="4"/>
            <w:r w:rsidR="00B1120B">
              <w:t>#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</w:tcPr>
          <w:p w14:paraId="0C7318F5" w14:textId="77777777" w:rsidR="00664C63" w:rsidRDefault="00B1120B" w:rsidP="004B0FFC">
            <w:pPr>
              <w:pStyle w:val="Tabletext"/>
            </w:pPr>
            <w:r>
              <w:t>The day after this Act receives the Royal Assent</w:t>
            </w:r>
            <w:bookmarkStart w:id="5" w:name="BK_S1P1L25C7"/>
            <w:bookmarkEnd w:id="5"/>
            <w:r>
              <w:t>.</w:t>
            </w: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14:paraId="3691294D" w14:textId="77777777" w:rsidR="00664C63" w:rsidRDefault="00664C63" w:rsidP="004B0FFC">
            <w:pPr>
              <w:pStyle w:val="Tabletext"/>
            </w:pPr>
          </w:p>
        </w:tc>
      </w:tr>
      <w:tr w:rsidR="00664C63" w14:paraId="5DFEFD5C" w14:textId="77777777" w:rsidTr="002F08B3"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280A1280" w14:textId="77777777" w:rsidR="00664C63" w:rsidRDefault="00664C63" w:rsidP="004B0FFC">
            <w:pPr>
              <w:pStyle w:val="Tabletext"/>
            </w:pPr>
            <w:r>
              <w:t xml:space="preserve">2.  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14:paraId="25748275" w14:textId="77777777" w:rsidR="00664C63" w:rsidRDefault="00664C63" w:rsidP="004B0FFC">
            <w:pPr>
              <w:pStyle w:val="Tabletext"/>
            </w:pP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auto"/>
          </w:tcPr>
          <w:p w14:paraId="01BD80B3" w14:textId="77777777" w:rsidR="00664C63" w:rsidRDefault="00664C63" w:rsidP="004B0FFC">
            <w:pPr>
              <w:pStyle w:val="Tabletext"/>
            </w:pPr>
          </w:p>
        </w:tc>
      </w:tr>
      <w:tr w:rsidR="00664C63" w14:paraId="3790DE6E" w14:textId="77777777" w:rsidTr="002F08B3"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14:paraId="1A4AA451" w14:textId="77777777" w:rsidR="00664C63" w:rsidRDefault="00664C63" w:rsidP="004B0FFC">
            <w:pPr>
              <w:pStyle w:val="Tabletext"/>
            </w:pPr>
            <w:r>
              <w:t xml:space="preserve">3.  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</w:tcPr>
          <w:p w14:paraId="3C8E8580" w14:textId="77777777" w:rsidR="00664C63" w:rsidRDefault="00664C63" w:rsidP="004B0FFC">
            <w:pPr>
              <w:pStyle w:val="Tabletext"/>
            </w:pPr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auto"/>
          </w:tcPr>
          <w:p w14:paraId="42A463AE" w14:textId="77777777" w:rsidR="00664C63" w:rsidRDefault="00664C63" w:rsidP="004B0FFC">
            <w:pPr>
              <w:pStyle w:val="Tabletext"/>
            </w:pPr>
          </w:p>
        </w:tc>
      </w:tr>
    </w:tbl>
    <w:p w14:paraId="4BB20218" w14:textId="77777777" w:rsidR="00B1120B" w:rsidRDefault="00B1120B" w:rsidP="004B0FFC">
      <w:pPr>
        <w:pStyle w:val="ActHead6"/>
        <w:pageBreakBefore/>
      </w:pPr>
      <w:bookmarkStart w:id="6" w:name="_Toc131671257"/>
      <w:bookmarkStart w:id="7" w:name="opcAmSched"/>
      <w:bookmarkStart w:id="8" w:name="opcCurrentFind"/>
      <w:bookmarkStart w:id="9" w:name="_Hlk130393806"/>
      <w:r w:rsidRPr="00121D08">
        <w:rPr>
          <w:rStyle w:val="CharAmSchNo"/>
        </w:rPr>
        <w:lastRenderedPageBreak/>
        <w:t>Schedule</w:t>
      </w:r>
      <w:bookmarkStart w:id="10" w:name="BK_S1P2L1C9"/>
      <w:bookmarkEnd w:id="10"/>
      <w:r w:rsidRPr="00121D08">
        <w:rPr>
          <w:rStyle w:val="CharAmSchNo"/>
        </w:rPr>
        <w:t xml:space="preserve"> </w:t>
      </w:r>
      <w:bookmarkStart w:id="11" w:name="BK_S1P2L1C10"/>
      <w:bookmarkEnd w:id="11"/>
      <w:r w:rsidRPr="00121D08">
        <w:rPr>
          <w:rStyle w:val="CharAmSchNo"/>
        </w:rPr>
        <w:t>#</w:t>
      </w:r>
      <w:r>
        <w:t>—</w:t>
      </w:r>
      <w:r w:rsidRPr="00121D08">
        <w:rPr>
          <w:rStyle w:val="CharAmSchText"/>
        </w:rPr>
        <w:t>Recognising experience in the financial advice industry</w:t>
      </w:r>
      <w:bookmarkEnd w:id="6"/>
    </w:p>
    <w:p w14:paraId="07072E49" w14:textId="77777777" w:rsidR="00FD2948" w:rsidRPr="005A5EA6" w:rsidRDefault="00BD1C91" w:rsidP="004B0FFC">
      <w:pPr>
        <w:pStyle w:val="ActHead7"/>
      </w:pPr>
      <w:bookmarkStart w:id="12" w:name="_Toc131671258"/>
      <w:bookmarkEnd w:id="7"/>
      <w:bookmarkEnd w:id="8"/>
      <w:r w:rsidRPr="00121D08">
        <w:rPr>
          <w:rStyle w:val="CharAmPartNo"/>
        </w:rPr>
        <w:t>Part 1</w:t>
      </w:r>
      <w:r w:rsidR="005A5EA6">
        <w:t>—</w:t>
      </w:r>
      <w:r w:rsidR="005A5EA6" w:rsidRPr="00121D08">
        <w:rPr>
          <w:rStyle w:val="CharAmPartText"/>
        </w:rPr>
        <w:t>Transitional</w:t>
      </w:r>
      <w:bookmarkStart w:id="13" w:name="BK_S1P2L3C20"/>
      <w:bookmarkEnd w:id="13"/>
      <w:r w:rsidR="005A5EA6" w:rsidRPr="00121D08">
        <w:rPr>
          <w:rStyle w:val="CharAmPartText"/>
        </w:rPr>
        <w:t xml:space="preserve"> arrangements for experienced providers</w:t>
      </w:r>
      <w:bookmarkEnd w:id="12"/>
    </w:p>
    <w:p w14:paraId="398758A6" w14:textId="77777777" w:rsidR="00B1120B" w:rsidRPr="004B0FFC" w:rsidRDefault="00B1120B" w:rsidP="004B0FFC">
      <w:pPr>
        <w:pStyle w:val="ActHead9"/>
        <w:rPr>
          <w:i w:val="0"/>
        </w:rPr>
      </w:pPr>
      <w:bookmarkStart w:id="14" w:name="_Toc131671259"/>
      <w:r>
        <w:t>Corporations</w:t>
      </w:r>
      <w:bookmarkStart w:id="15" w:name="BK_S1P2L5C13"/>
      <w:bookmarkEnd w:id="15"/>
      <w:r>
        <w:t xml:space="preserve"> Act 2001</w:t>
      </w:r>
      <w:bookmarkEnd w:id="14"/>
    </w:p>
    <w:p w14:paraId="18609FA4" w14:textId="77777777" w:rsidR="005A5EA6" w:rsidRDefault="00CC25B4" w:rsidP="004B0FFC">
      <w:pPr>
        <w:pStyle w:val="ItemHead"/>
      </w:pPr>
      <w:r>
        <w:t>1</w:t>
      </w:r>
      <w:r w:rsidR="005A5EA6">
        <w:t xml:space="preserve">  </w:t>
      </w:r>
      <w:r w:rsidR="00BD1C91">
        <w:t>Part 1</w:t>
      </w:r>
      <w:r w:rsidR="005A5EA6">
        <w:t>0.57 (at the end of the heading)</w:t>
      </w:r>
    </w:p>
    <w:p w14:paraId="4DD9070E" w14:textId="77777777" w:rsidR="005A5EA6" w:rsidRPr="00CB03AC" w:rsidRDefault="005A5EA6" w:rsidP="004B0FFC">
      <w:pPr>
        <w:pStyle w:val="Item"/>
      </w:pPr>
      <w:r>
        <w:t>Add “</w:t>
      </w:r>
      <w:r w:rsidRPr="00851A57">
        <w:rPr>
          <w:b/>
        </w:rPr>
        <w:t xml:space="preserve">and </w:t>
      </w:r>
      <w:r>
        <w:rPr>
          <w:b/>
        </w:rPr>
        <w:t>related</w:t>
      </w:r>
      <w:r w:rsidRPr="00851A57">
        <w:rPr>
          <w:b/>
        </w:rPr>
        <w:t xml:space="preserve"> measures</w:t>
      </w:r>
      <w:r>
        <w:t>”.</w:t>
      </w:r>
    </w:p>
    <w:p w14:paraId="19F091EF" w14:textId="77777777" w:rsidR="005A5EA6" w:rsidRDefault="00CC25B4" w:rsidP="004B0FFC">
      <w:pPr>
        <w:pStyle w:val="ItemHead"/>
      </w:pPr>
      <w:r>
        <w:t>2</w:t>
      </w:r>
      <w:r w:rsidR="005A5EA6">
        <w:t xml:space="preserve">  </w:t>
      </w:r>
      <w:r w:rsidR="004B0FFC">
        <w:t>Section 1</w:t>
      </w:r>
      <w:r w:rsidR="005A5EA6">
        <w:t>684</w:t>
      </w:r>
    </w:p>
    <w:p w14:paraId="3D1B3C3D" w14:textId="77777777" w:rsidR="005A5EA6" w:rsidRDefault="005A5EA6" w:rsidP="004B0FFC">
      <w:pPr>
        <w:pStyle w:val="Item"/>
      </w:pPr>
      <w:r>
        <w:t>Before “In this Part:”, insert “(1)”.</w:t>
      </w:r>
    </w:p>
    <w:p w14:paraId="58E2D5C3" w14:textId="77777777" w:rsidR="00951341" w:rsidRDefault="00CC25B4" w:rsidP="004B0FFC">
      <w:pPr>
        <w:pStyle w:val="ItemHead"/>
      </w:pPr>
      <w:r>
        <w:t>3</w:t>
      </w:r>
      <w:r w:rsidR="00951341">
        <w:t xml:space="preserve">  </w:t>
      </w:r>
      <w:r w:rsidR="004B0FFC">
        <w:t>Section 1</w:t>
      </w:r>
      <w:r w:rsidR="00951341">
        <w:t>684</w:t>
      </w:r>
    </w:p>
    <w:p w14:paraId="112F7F5F" w14:textId="77777777" w:rsidR="00951341" w:rsidRDefault="00951341" w:rsidP="004B0FFC">
      <w:pPr>
        <w:pStyle w:val="Item"/>
      </w:pPr>
      <w:r>
        <w:t>Insert:</w:t>
      </w:r>
    </w:p>
    <w:p w14:paraId="663617B5" w14:textId="77777777" w:rsidR="00951341" w:rsidRDefault="00951341" w:rsidP="004B0FFC">
      <w:pPr>
        <w:pStyle w:val="Definition"/>
      </w:pPr>
      <w:r>
        <w:rPr>
          <w:b/>
          <w:i/>
        </w:rPr>
        <w:t>experienced provider</w:t>
      </w:r>
      <w:r>
        <w:t xml:space="preserve">: a person is an </w:t>
      </w:r>
      <w:r w:rsidRPr="005A5EA6">
        <w:rPr>
          <w:b/>
          <w:i/>
        </w:rPr>
        <w:t>experienced provider</w:t>
      </w:r>
      <w:r>
        <w:t xml:space="preserve"> if:</w:t>
      </w:r>
    </w:p>
    <w:p w14:paraId="44385D6F" w14:textId="77777777" w:rsidR="00951341" w:rsidRDefault="00951341" w:rsidP="004B0FFC">
      <w:pPr>
        <w:pStyle w:val="paragraph"/>
      </w:pPr>
      <w:r>
        <w:tab/>
        <w:t>(a)</w:t>
      </w:r>
      <w:r>
        <w:tab/>
      </w:r>
      <w:r w:rsidR="00C86CBA">
        <w:t>the person is</w:t>
      </w:r>
      <w:r w:rsidR="002121B9">
        <w:t xml:space="preserve"> </w:t>
      </w:r>
      <w:r w:rsidR="00C86CBA">
        <w:t>an individual; and</w:t>
      </w:r>
    </w:p>
    <w:p w14:paraId="41654DA1" w14:textId="77777777" w:rsidR="00AE07D5" w:rsidRDefault="00951341" w:rsidP="004B0FFC">
      <w:pPr>
        <w:pStyle w:val="paragraph"/>
      </w:pPr>
      <w:r>
        <w:tab/>
        <w:t>(b)</w:t>
      </w:r>
      <w:r>
        <w:tab/>
        <w:t xml:space="preserve">on a day within the period (the </w:t>
      </w:r>
      <w:r w:rsidRPr="00951341">
        <w:rPr>
          <w:b/>
          <w:i/>
        </w:rPr>
        <w:t>qualifying period</w:t>
      </w:r>
      <w:r>
        <w:t xml:space="preserve">) beginning on </w:t>
      </w:r>
      <w:r w:rsidR="004B0FFC">
        <w:t>1 January</w:t>
      </w:r>
      <w:r>
        <w:t xml:space="preserve"> 2007 and ending on </w:t>
      </w:r>
      <w:r w:rsidR="00BD1C91">
        <w:t>31 December</w:t>
      </w:r>
      <w:r>
        <w:t xml:space="preserve"> 2021, the person was</w:t>
      </w:r>
      <w:r w:rsidR="004A6E2C">
        <w:t>, under this Act as in force on that day</w:t>
      </w:r>
      <w:r w:rsidR="00AE07D5">
        <w:t>:</w:t>
      </w:r>
    </w:p>
    <w:p w14:paraId="665FFF50" w14:textId="77777777" w:rsidR="00AE07D5" w:rsidRDefault="00AE07D5" w:rsidP="004B0FFC">
      <w:pPr>
        <w:pStyle w:val="paragraphsub"/>
      </w:pPr>
      <w:r>
        <w:tab/>
        <w:t>(i)</w:t>
      </w:r>
      <w:r>
        <w:tab/>
        <w:t>a financial services licensee;</w:t>
      </w:r>
      <w:r w:rsidR="004A6E2C">
        <w:t xml:space="preserve"> or</w:t>
      </w:r>
    </w:p>
    <w:p w14:paraId="0BD29A80" w14:textId="77777777" w:rsidR="00AE07D5" w:rsidRDefault="00AE07D5" w:rsidP="004B0FFC">
      <w:pPr>
        <w:pStyle w:val="paragraphsub"/>
      </w:pPr>
      <w:r>
        <w:tab/>
        <w:t>(ii)</w:t>
      </w:r>
      <w:r>
        <w:tab/>
        <w:t>an authorised representative of a financial services licensee;</w:t>
      </w:r>
      <w:r w:rsidR="004A6E2C">
        <w:t xml:space="preserve"> or</w:t>
      </w:r>
    </w:p>
    <w:p w14:paraId="297DCC56" w14:textId="77777777" w:rsidR="00AE07D5" w:rsidRDefault="00AE07D5" w:rsidP="004B0FFC">
      <w:pPr>
        <w:pStyle w:val="paragraphsub"/>
      </w:pPr>
      <w:r>
        <w:tab/>
        <w:t>(iii)</w:t>
      </w:r>
      <w:r>
        <w:tab/>
        <w:t>an employee or director of a financial services licensee;</w:t>
      </w:r>
      <w:r w:rsidR="004A6E2C">
        <w:t xml:space="preserve"> or</w:t>
      </w:r>
    </w:p>
    <w:p w14:paraId="5A14BCAF" w14:textId="77777777" w:rsidR="00AE07D5" w:rsidRDefault="00AE07D5" w:rsidP="004B0FFC">
      <w:pPr>
        <w:pStyle w:val="paragraphsub"/>
      </w:pPr>
      <w:r>
        <w:tab/>
        <w:t>(iv)</w:t>
      </w:r>
      <w:r>
        <w:tab/>
        <w:t>an employee or director of a related body corporate of a financial services licensee; and</w:t>
      </w:r>
    </w:p>
    <w:p w14:paraId="68975D50" w14:textId="77777777" w:rsidR="00951341" w:rsidRDefault="00AE07D5" w:rsidP="004B0FFC">
      <w:pPr>
        <w:pStyle w:val="paragraph"/>
      </w:pPr>
      <w:r>
        <w:tab/>
      </w:r>
      <w:r w:rsidR="004A6E2C">
        <w:t>(c)</w:t>
      </w:r>
      <w:r>
        <w:tab/>
      </w:r>
      <w:r w:rsidR="004A6E2C">
        <w:t xml:space="preserve">the person was, </w:t>
      </w:r>
      <w:r w:rsidR="00951341">
        <w:t>under this Act as in force on that day</w:t>
      </w:r>
      <w:r w:rsidR="002121B9">
        <w:t>, authorised to provide personal advice to retail clients in relation to a</w:t>
      </w:r>
      <w:r w:rsidR="000758E1">
        <w:t>ny</w:t>
      </w:r>
      <w:r w:rsidR="002121B9">
        <w:t xml:space="preserve"> financial product</w:t>
      </w:r>
      <w:r w:rsidR="000758E1">
        <w:t xml:space="preserve"> other than:</w:t>
      </w:r>
    </w:p>
    <w:p w14:paraId="11E3BACE" w14:textId="77777777" w:rsidR="000758E1" w:rsidRDefault="000758E1" w:rsidP="004B0FFC">
      <w:pPr>
        <w:pStyle w:val="paragraphsub"/>
      </w:pPr>
      <w:r>
        <w:tab/>
        <w:t>(</w:t>
      </w:r>
      <w:r w:rsidR="00052FE4">
        <w:t>i</w:t>
      </w:r>
      <w:r>
        <w:t>)</w:t>
      </w:r>
      <w:r>
        <w:tab/>
        <w:t>a general insurance product; or</w:t>
      </w:r>
    </w:p>
    <w:p w14:paraId="68822429" w14:textId="77777777" w:rsidR="000758E1" w:rsidRDefault="000758E1" w:rsidP="004B0FFC">
      <w:pPr>
        <w:pStyle w:val="paragraphsub"/>
      </w:pPr>
      <w:r>
        <w:tab/>
        <w:t>(</w:t>
      </w:r>
      <w:r w:rsidR="00052FE4">
        <w:t>ii</w:t>
      </w:r>
      <w:r>
        <w:t>)</w:t>
      </w:r>
      <w:r>
        <w:tab/>
        <w:t>a consumer credit insurance product; or</w:t>
      </w:r>
    </w:p>
    <w:p w14:paraId="63B222FE" w14:textId="77777777" w:rsidR="000758E1" w:rsidRPr="000758E1" w:rsidRDefault="000758E1" w:rsidP="004B0FFC">
      <w:pPr>
        <w:pStyle w:val="paragraphsub"/>
      </w:pPr>
      <w:r>
        <w:tab/>
        <w:t>(</w:t>
      </w:r>
      <w:r w:rsidR="00052FE4">
        <w:t>iii</w:t>
      </w:r>
      <w:r>
        <w:t>)</w:t>
      </w:r>
      <w:r>
        <w:tab/>
      </w:r>
      <w:r w:rsidR="00052FE4">
        <w:t xml:space="preserve">for a day within the qualifying period </w:t>
      </w:r>
      <w:r w:rsidR="00BC69FA">
        <w:t xml:space="preserve">that is </w:t>
      </w:r>
      <w:r w:rsidR="00052FE4">
        <w:t xml:space="preserve">on or after </w:t>
      </w:r>
      <w:r w:rsidR="004B0FFC">
        <w:t>1 July</w:t>
      </w:r>
      <w:r w:rsidR="00052FE4">
        <w:t xml:space="preserve"> 2012—a basic banking product; and</w:t>
      </w:r>
    </w:p>
    <w:p w14:paraId="43F54BE8" w14:textId="77777777" w:rsidR="00951341" w:rsidRDefault="00951341" w:rsidP="004B0FFC">
      <w:pPr>
        <w:pStyle w:val="paragraph"/>
      </w:pPr>
      <w:r>
        <w:tab/>
        <w:t>(</w:t>
      </w:r>
      <w:r w:rsidR="004A6E2C">
        <w:t>d</w:t>
      </w:r>
      <w:r>
        <w:t>)</w:t>
      </w:r>
      <w:r>
        <w:tab/>
        <w:t xml:space="preserve">the person satisfies </w:t>
      </w:r>
      <w:r w:rsidR="00BD1C91">
        <w:t>paragraph</w:t>
      </w:r>
      <w:r w:rsidR="004A6E2C">
        <w:t>s</w:t>
      </w:r>
      <w:r w:rsidR="00BD1C91">
        <w:t> (</w:t>
      </w:r>
      <w:r>
        <w:t>b)</w:t>
      </w:r>
      <w:r w:rsidR="004A6E2C">
        <w:t xml:space="preserve"> and (c)</w:t>
      </w:r>
      <w:r>
        <w:t xml:space="preserve"> in relation to a total of at least 3,650 days</w:t>
      </w:r>
      <w:r w:rsidR="00C90350">
        <w:t xml:space="preserve"> within the qualifying period</w:t>
      </w:r>
      <w:r>
        <w:t xml:space="preserve"> (whether consecutive or not); and</w:t>
      </w:r>
    </w:p>
    <w:p w14:paraId="346DD0C2" w14:textId="77777777" w:rsidR="004A6E2C" w:rsidRDefault="00951341" w:rsidP="004B0FFC">
      <w:pPr>
        <w:pStyle w:val="paragraph"/>
      </w:pPr>
      <w:r>
        <w:lastRenderedPageBreak/>
        <w:tab/>
        <w:t>(</w:t>
      </w:r>
      <w:r w:rsidR="004A6E2C">
        <w:t>e</w:t>
      </w:r>
      <w:r>
        <w:t>)</w:t>
      </w:r>
      <w:r>
        <w:tab/>
      </w:r>
      <w:r w:rsidR="004A6E2C">
        <w:t xml:space="preserve">before the end of the qualifying period, </w:t>
      </w:r>
      <w:r>
        <w:t>the person</w:t>
      </w:r>
      <w:r w:rsidR="004A6E2C">
        <w:t xml:space="preserve"> </w:t>
      </w:r>
      <w:r w:rsidR="00B979E4">
        <w:t>has never</w:t>
      </w:r>
      <w:r w:rsidR="004A6E2C">
        <w:t>:</w:t>
      </w:r>
    </w:p>
    <w:p w14:paraId="73EE7545" w14:textId="77777777" w:rsidR="00951341" w:rsidRDefault="004A6E2C" w:rsidP="004B0FFC">
      <w:pPr>
        <w:pStyle w:val="paragraphsub"/>
      </w:pPr>
      <w:r>
        <w:tab/>
        <w:t>(i)</w:t>
      </w:r>
      <w:r>
        <w:tab/>
      </w:r>
      <w:r w:rsidR="00951341">
        <w:t xml:space="preserve">been banned or disqualified under </w:t>
      </w:r>
      <w:r w:rsidR="00BD1C91">
        <w:t>Division 8</w:t>
      </w:r>
      <w:r w:rsidR="00951341">
        <w:t xml:space="preserve"> of </w:t>
      </w:r>
      <w:r w:rsidR="004B0FFC">
        <w:t>Part 7</w:t>
      </w:r>
      <w:r w:rsidR="00951341">
        <w:t>.6</w:t>
      </w:r>
      <w:r w:rsidR="00834AF8">
        <w:t xml:space="preserve"> as in force at that time</w:t>
      </w:r>
      <w:r w:rsidR="00951341">
        <w:t xml:space="preserve">; </w:t>
      </w:r>
      <w:r>
        <w:t>or</w:t>
      </w:r>
    </w:p>
    <w:p w14:paraId="1E15CD42" w14:textId="77777777" w:rsidR="00052FE4" w:rsidRPr="00052FE4" w:rsidRDefault="00951341" w:rsidP="004B0FFC">
      <w:pPr>
        <w:pStyle w:val="paragraphsub"/>
      </w:pPr>
      <w:r>
        <w:tab/>
        <w:t>(</w:t>
      </w:r>
      <w:r w:rsidR="004A6E2C">
        <w:t>ii</w:t>
      </w:r>
      <w:r>
        <w:t>)</w:t>
      </w:r>
      <w:r>
        <w:tab/>
      </w:r>
      <w:r w:rsidR="004A6E2C">
        <w:t>given</w:t>
      </w:r>
      <w:r w:rsidRPr="007C0B74">
        <w:t xml:space="preserve"> an undertaking under </w:t>
      </w:r>
      <w:r w:rsidR="004B0FFC">
        <w:t>section 9</w:t>
      </w:r>
      <w:r w:rsidRPr="007C0B74">
        <w:t>3AA or</w:t>
      </w:r>
      <w:r>
        <w:t xml:space="preserve"> </w:t>
      </w:r>
      <w:r w:rsidRPr="007C0B74">
        <w:t>171E of the ASIC Act</w:t>
      </w:r>
      <w:r w:rsidR="00834AF8">
        <w:t xml:space="preserve"> as in force at that time</w:t>
      </w:r>
      <w:r>
        <w:t>.</w:t>
      </w:r>
    </w:p>
    <w:p w14:paraId="457013C0" w14:textId="77777777" w:rsidR="005A5EA6" w:rsidRDefault="00CC25B4" w:rsidP="004B0FFC">
      <w:pPr>
        <w:pStyle w:val="ItemHead"/>
      </w:pPr>
      <w:r>
        <w:t>4</w:t>
      </w:r>
      <w:r w:rsidR="005A5EA6">
        <w:t xml:space="preserve">  </w:t>
      </w:r>
      <w:r w:rsidR="004B0FFC">
        <w:t>Section 1</w:t>
      </w:r>
      <w:r w:rsidR="005A5EA6">
        <w:t xml:space="preserve">684 (definition of </w:t>
      </w:r>
      <w:r w:rsidR="005A5EA6">
        <w:rPr>
          <w:i/>
        </w:rPr>
        <w:t>relevant provider</w:t>
      </w:r>
      <w:r w:rsidR="005A5EA6">
        <w:t>)</w:t>
      </w:r>
    </w:p>
    <w:p w14:paraId="77B27E1E" w14:textId="77777777" w:rsidR="005A5EA6" w:rsidRDefault="005A5EA6" w:rsidP="004B0FFC">
      <w:pPr>
        <w:pStyle w:val="Item"/>
      </w:pPr>
      <w:r>
        <w:t>Repeal the definition.</w:t>
      </w:r>
    </w:p>
    <w:p w14:paraId="159D4F25" w14:textId="77777777" w:rsidR="00B1529F" w:rsidRDefault="00CC25B4" w:rsidP="004B0FFC">
      <w:pPr>
        <w:pStyle w:val="ItemHead"/>
      </w:pPr>
      <w:r>
        <w:t>5</w:t>
      </w:r>
      <w:r w:rsidR="00B1529F">
        <w:t xml:space="preserve">  </w:t>
      </w:r>
      <w:r w:rsidR="004B0FFC">
        <w:t>Section 1</w:t>
      </w:r>
      <w:r w:rsidR="00B1529F">
        <w:t>684</w:t>
      </w:r>
    </w:p>
    <w:p w14:paraId="4EF1F6DD" w14:textId="77777777" w:rsidR="00B1529F" w:rsidRDefault="00B1529F" w:rsidP="004B0FFC">
      <w:pPr>
        <w:pStyle w:val="Item"/>
      </w:pPr>
      <w:r>
        <w:t>Insert:</w:t>
      </w:r>
    </w:p>
    <w:p w14:paraId="33984D82" w14:textId="77777777" w:rsidR="00B1529F" w:rsidRPr="00B1529F" w:rsidRDefault="00B1529F" w:rsidP="004B0FFC">
      <w:pPr>
        <w:pStyle w:val="Definition"/>
      </w:pPr>
      <w:r w:rsidRPr="00951341">
        <w:rPr>
          <w:b/>
          <w:i/>
        </w:rPr>
        <w:t>second amending Act</w:t>
      </w:r>
      <w:r>
        <w:t xml:space="preserve"> means the </w:t>
      </w:r>
      <w:r w:rsidRPr="00BD1C91">
        <w:rPr>
          <w:i/>
        </w:rPr>
        <w:t>Treasury</w:t>
      </w:r>
      <w:bookmarkStart w:id="16" w:name="BK_S1P3L10C39"/>
      <w:bookmarkEnd w:id="16"/>
      <w:r w:rsidRPr="00BD1C91">
        <w:rPr>
          <w:i/>
        </w:rPr>
        <w:t xml:space="preserve"> Laws Amendment (2023 Measures No. </w:t>
      </w:r>
      <w:bookmarkStart w:id="17" w:name="BK_S1P3L11C20"/>
      <w:bookmarkEnd w:id="17"/>
      <w:r w:rsidRPr="00BD1C91">
        <w:rPr>
          <w:i/>
        </w:rPr>
        <w:t>#) Act 2023</w:t>
      </w:r>
      <w:bookmarkStart w:id="18" w:name="BK_S1P4L11C31"/>
      <w:bookmarkEnd w:id="18"/>
      <w:r>
        <w:t>.</w:t>
      </w:r>
    </w:p>
    <w:p w14:paraId="74E24A2B" w14:textId="77777777" w:rsidR="005A5EA6" w:rsidRDefault="00CC25B4" w:rsidP="004B0FFC">
      <w:pPr>
        <w:pStyle w:val="ItemHead"/>
      </w:pPr>
      <w:r>
        <w:t>6</w:t>
      </w:r>
      <w:r w:rsidR="005A5EA6">
        <w:t xml:space="preserve">  At the end of </w:t>
      </w:r>
      <w:r w:rsidR="00BD1C91">
        <w:t>section 1</w:t>
      </w:r>
      <w:r w:rsidR="005A5EA6">
        <w:t>684</w:t>
      </w:r>
    </w:p>
    <w:p w14:paraId="28443A93" w14:textId="77777777" w:rsidR="005A5EA6" w:rsidRDefault="005A5EA6" w:rsidP="004B0FFC">
      <w:pPr>
        <w:pStyle w:val="Item"/>
      </w:pPr>
      <w:r>
        <w:t>Add:</w:t>
      </w:r>
    </w:p>
    <w:p w14:paraId="5C87E30E" w14:textId="77777777" w:rsidR="00951341" w:rsidRDefault="005A5EA6" w:rsidP="004B0FFC">
      <w:pPr>
        <w:pStyle w:val="subsection"/>
      </w:pPr>
      <w:r>
        <w:tab/>
        <w:t>(2)</w:t>
      </w:r>
      <w:r>
        <w:tab/>
        <w:t xml:space="preserve">An expression used in this Part that is also used in </w:t>
      </w:r>
      <w:r w:rsidR="004B0FFC">
        <w:t>Part 7</w:t>
      </w:r>
      <w:r>
        <w:t xml:space="preserve">.6 has the same meaning as in </w:t>
      </w:r>
      <w:r w:rsidR="004B0FFC">
        <w:t>Part 7</w:t>
      </w:r>
      <w:r w:rsidR="00B1529F">
        <w:t>.6</w:t>
      </w:r>
      <w:r>
        <w:t>.</w:t>
      </w:r>
    </w:p>
    <w:p w14:paraId="641E7F21" w14:textId="77777777" w:rsidR="00485002" w:rsidRDefault="00CC25B4" w:rsidP="004B0FFC">
      <w:pPr>
        <w:pStyle w:val="ItemHead"/>
      </w:pPr>
      <w:r>
        <w:t>7</w:t>
      </w:r>
      <w:r w:rsidR="00485002">
        <w:t xml:space="preserve">  </w:t>
      </w:r>
      <w:r w:rsidR="00CB1C79">
        <w:t xml:space="preserve">Before </w:t>
      </w:r>
      <w:r w:rsidR="00BD1C91">
        <w:t>section 1</w:t>
      </w:r>
      <w:r w:rsidR="00CB1C79">
        <w:t>684A</w:t>
      </w:r>
    </w:p>
    <w:p w14:paraId="00FFF62D" w14:textId="77777777" w:rsidR="00CB1C79" w:rsidRDefault="00CB1C79" w:rsidP="004B0FFC">
      <w:pPr>
        <w:pStyle w:val="Item"/>
      </w:pPr>
      <w:r>
        <w:t>Insert:</w:t>
      </w:r>
    </w:p>
    <w:p w14:paraId="7693C003" w14:textId="77777777" w:rsidR="00146F13" w:rsidRPr="00146F13" w:rsidRDefault="00CB1C79" w:rsidP="004B0FFC">
      <w:pPr>
        <w:pStyle w:val="ActHead5"/>
      </w:pPr>
      <w:bookmarkStart w:id="19" w:name="_Toc131671260"/>
      <w:r w:rsidRPr="00121D08">
        <w:rPr>
          <w:rStyle w:val="CharSectno"/>
        </w:rPr>
        <w:t>1684AA</w:t>
      </w:r>
      <w:r>
        <w:t xml:space="preserve">  </w:t>
      </w:r>
      <w:r w:rsidR="004A20E1">
        <w:t>E</w:t>
      </w:r>
      <w:r>
        <w:t>xperienced provider</w:t>
      </w:r>
      <w:r w:rsidR="004A20E1">
        <w:t xml:space="preserve"> pathway</w:t>
      </w:r>
      <w:bookmarkEnd w:id="19"/>
    </w:p>
    <w:p w14:paraId="1D3A1E9E" w14:textId="77777777" w:rsidR="00F40038" w:rsidRPr="00146F13" w:rsidRDefault="00F40038" w:rsidP="004B0FFC">
      <w:pPr>
        <w:pStyle w:val="SubsectionHead"/>
      </w:pPr>
      <w:bookmarkStart w:id="20" w:name="_Hlk131522652"/>
      <w:r>
        <w:t>Recognising experience of relevant providers</w:t>
      </w:r>
    </w:p>
    <w:bookmarkEnd w:id="20"/>
    <w:p w14:paraId="59B54539" w14:textId="77777777" w:rsidR="00776A83" w:rsidRDefault="00776A83" w:rsidP="004B0FFC">
      <w:pPr>
        <w:pStyle w:val="subsection"/>
      </w:pPr>
      <w:r>
        <w:tab/>
        <w:t>(1)</w:t>
      </w:r>
      <w:r>
        <w:tab/>
        <w:t>Despite anything else in this Part, a person who:</w:t>
      </w:r>
    </w:p>
    <w:p w14:paraId="1A2D93E5" w14:textId="77777777" w:rsidR="00776A83" w:rsidRDefault="00776A83" w:rsidP="004B0FFC">
      <w:pPr>
        <w:pStyle w:val="paragraph"/>
      </w:pPr>
      <w:r>
        <w:tab/>
        <w:t>(a)</w:t>
      </w:r>
      <w:r>
        <w:tab/>
        <w:t>is an experienced provider; and</w:t>
      </w:r>
    </w:p>
    <w:p w14:paraId="618F7927" w14:textId="77777777" w:rsidR="00776A83" w:rsidRDefault="00776A83" w:rsidP="004B0FFC">
      <w:pPr>
        <w:pStyle w:val="paragraph"/>
      </w:pPr>
      <w:r>
        <w:tab/>
        <w:t>(b)</w:t>
      </w:r>
      <w:r>
        <w:tab/>
        <w:t xml:space="preserve">does not (apart from this subsection) meet the education and training standard in </w:t>
      </w:r>
      <w:r w:rsidR="004B0FFC">
        <w:t>subsection 9</w:t>
      </w:r>
      <w:r>
        <w:t>21B(2) or (4);</w:t>
      </w:r>
    </w:p>
    <w:p w14:paraId="5827B983" w14:textId="77777777" w:rsidR="002D659B" w:rsidRDefault="00776A83" w:rsidP="004B0FFC">
      <w:pPr>
        <w:pStyle w:val="subsection2"/>
      </w:pPr>
      <w:r w:rsidRPr="00154E3E">
        <w:t xml:space="preserve">is taken to meet that standard if a declaration made by the person under </w:t>
      </w:r>
      <w:r w:rsidR="004B0FFC">
        <w:t>subsection (</w:t>
      </w:r>
      <w:r w:rsidRPr="00154E3E">
        <w:t>2) of this section is in force.</w:t>
      </w:r>
    </w:p>
    <w:p w14:paraId="0704C975" w14:textId="77777777" w:rsidR="001B67FE" w:rsidRDefault="00882064" w:rsidP="004B0FFC">
      <w:pPr>
        <w:pStyle w:val="subsection"/>
      </w:pPr>
      <w:r>
        <w:tab/>
        <w:t>(2)</w:t>
      </w:r>
      <w:r>
        <w:tab/>
        <w:t xml:space="preserve">For the purposes of </w:t>
      </w:r>
      <w:r w:rsidR="004B0FFC">
        <w:t>subsection (</w:t>
      </w:r>
      <w:r w:rsidR="00776A83">
        <w:t>1)</w:t>
      </w:r>
      <w:r>
        <w:t xml:space="preserve">, </w:t>
      </w:r>
      <w:r w:rsidR="00D7165C">
        <w:t>the</w:t>
      </w:r>
      <w:r>
        <w:t xml:space="preserve"> person may make a writt</w:t>
      </w:r>
      <w:bookmarkStart w:id="21" w:name="BK_S1P3L26C69"/>
      <w:bookmarkEnd w:id="21"/>
      <w:r>
        <w:t>en declaration confirming the person</w:t>
      </w:r>
      <w:r w:rsidR="001B67FE">
        <w:t>:</w:t>
      </w:r>
    </w:p>
    <w:p w14:paraId="5DB15270" w14:textId="77777777" w:rsidR="00CA565D" w:rsidRDefault="00CA565D" w:rsidP="004B0FFC">
      <w:pPr>
        <w:pStyle w:val="paragraph"/>
      </w:pPr>
      <w:r>
        <w:tab/>
        <w:t>(a)</w:t>
      </w:r>
      <w:r>
        <w:tab/>
        <w:t xml:space="preserve">has 10 years of experience </w:t>
      </w:r>
      <w:r w:rsidR="00776A83">
        <w:t xml:space="preserve">providing financial advice with a </w:t>
      </w:r>
      <w:r>
        <w:t>clean disci</w:t>
      </w:r>
      <w:r w:rsidR="00024267">
        <w:t>plinary record</w:t>
      </w:r>
      <w:r>
        <w:t>; and</w:t>
      </w:r>
    </w:p>
    <w:p w14:paraId="76B470B8" w14:textId="77777777" w:rsidR="00882064" w:rsidRDefault="00CA565D" w:rsidP="004B0FFC">
      <w:pPr>
        <w:pStyle w:val="paragraph"/>
      </w:pPr>
      <w:r>
        <w:tab/>
        <w:t>(b)</w:t>
      </w:r>
      <w:r>
        <w:tab/>
      </w:r>
      <w:r w:rsidR="00882064">
        <w:t>satisfies each paragraph</w:t>
      </w:r>
      <w:r w:rsidR="008D0785">
        <w:t xml:space="preserve"> of the definition of </w:t>
      </w:r>
      <w:r w:rsidR="008D0785" w:rsidRPr="008D0785">
        <w:rPr>
          <w:b/>
          <w:i/>
        </w:rPr>
        <w:t>experienced provider</w:t>
      </w:r>
      <w:r w:rsidR="008D0785">
        <w:t xml:space="preserve"> in </w:t>
      </w:r>
      <w:r w:rsidR="004B0FFC">
        <w:t>subsection 1</w:t>
      </w:r>
      <w:r w:rsidR="008D0785">
        <w:t>684(1).</w:t>
      </w:r>
    </w:p>
    <w:p w14:paraId="0355417A" w14:textId="77777777" w:rsidR="003F5019" w:rsidRPr="00882064" w:rsidRDefault="003F5019" w:rsidP="004B0FFC">
      <w:pPr>
        <w:pStyle w:val="notetext"/>
      </w:pPr>
      <w:r w:rsidRPr="00A765CF">
        <w:lastRenderedPageBreak/>
        <w:t>Note:</w:t>
      </w:r>
      <w:r w:rsidRPr="00A765CF">
        <w:tab/>
        <w:t>A person may commit an offence or contravene a civil penalty</w:t>
      </w:r>
      <w:bookmarkStart w:id="22" w:name="BK_S1P4L1C67"/>
      <w:bookmarkEnd w:id="22"/>
      <w:r w:rsidRPr="00A765CF">
        <w:t xml:space="preserve"> provision if the person gives false or misleading information (see </w:t>
      </w:r>
      <w:r>
        <w:t>section 1</w:t>
      </w:r>
      <w:r w:rsidRPr="00A765CF">
        <w:t xml:space="preserve">308 of this Act and </w:t>
      </w:r>
      <w:r>
        <w:t>section 1</w:t>
      </w:r>
      <w:r w:rsidRPr="00A765CF">
        <w:t xml:space="preserve">37.1 of the </w:t>
      </w:r>
      <w:r w:rsidRPr="00A765CF">
        <w:rPr>
          <w:i/>
        </w:rPr>
        <w:t>Criminal Code</w:t>
      </w:r>
      <w:r w:rsidRPr="00A765CF">
        <w:t>).</w:t>
      </w:r>
    </w:p>
    <w:p w14:paraId="78BD97E5" w14:textId="77777777" w:rsidR="00040B31" w:rsidRDefault="00B47518" w:rsidP="004B0FFC">
      <w:pPr>
        <w:pStyle w:val="SubsectionHead"/>
      </w:pPr>
      <w:bookmarkStart w:id="23" w:name="_Hlk131522709"/>
      <w:r>
        <w:t>Requirement to lodge notice</w:t>
      </w:r>
    </w:p>
    <w:p w14:paraId="1C791D57" w14:textId="77777777" w:rsidR="00776A83" w:rsidRDefault="00776A83" w:rsidP="004B0FFC">
      <w:pPr>
        <w:pStyle w:val="subsection"/>
      </w:pPr>
      <w:r>
        <w:tab/>
        <w:t>(3)</w:t>
      </w:r>
      <w:r>
        <w:tab/>
        <w:t>A notice in the prescribed form</w:t>
      </w:r>
      <w:bookmarkStart w:id="24" w:name="BK_S1P4L5C37"/>
      <w:bookmarkEnd w:id="24"/>
      <w:r>
        <w:t xml:space="preserve"> must be lodged with ASIC under this section if:</w:t>
      </w:r>
    </w:p>
    <w:p w14:paraId="6D67416F" w14:textId="77777777" w:rsidR="00776A83" w:rsidRDefault="00776A83" w:rsidP="004B0FFC">
      <w:pPr>
        <w:pStyle w:val="paragraph"/>
      </w:pPr>
      <w:r>
        <w:tab/>
        <w:t>(a)</w:t>
      </w:r>
      <w:r>
        <w:tab/>
        <w:t>either:</w:t>
      </w:r>
    </w:p>
    <w:p w14:paraId="2D462D52" w14:textId="77777777" w:rsidR="00776A83" w:rsidRDefault="00776A83" w:rsidP="004B0FFC">
      <w:pPr>
        <w:pStyle w:val="paragraphsub"/>
      </w:pPr>
      <w:r>
        <w:tab/>
        <w:t>(i)</w:t>
      </w:r>
      <w:r>
        <w:tab/>
      </w:r>
      <w:r w:rsidR="00D7165C">
        <w:t>the</w:t>
      </w:r>
      <w:r>
        <w:t xml:space="preserve"> person becomes a relevant provider; or</w:t>
      </w:r>
    </w:p>
    <w:p w14:paraId="78456F23" w14:textId="77777777" w:rsidR="00776A83" w:rsidRDefault="00776A83" w:rsidP="004B0FFC">
      <w:pPr>
        <w:pStyle w:val="paragraphsub"/>
      </w:pPr>
      <w:r>
        <w:tab/>
        <w:t>(ii)</w:t>
      </w:r>
      <w:r>
        <w:tab/>
        <w:t xml:space="preserve">at the start of </w:t>
      </w:r>
      <w:r w:rsidR="004B0FFC">
        <w:t>1 January</w:t>
      </w:r>
      <w:r>
        <w:t xml:space="preserve"> 2026 </w:t>
      </w:r>
      <w:r w:rsidR="00D7165C">
        <w:t>the</w:t>
      </w:r>
      <w:r>
        <w:t xml:space="preserve"> person is a relevant provider and an existing provider; and</w:t>
      </w:r>
    </w:p>
    <w:p w14:paraId="1AC59571" w14:textId="77777777" w:rsidR="00776A83" w:rsidRDefault="00776A83" w:rsidP="004B0FFC">
      <w:pPr>
        <w:pStyle w:val="paragraph"/>
      </w:pPr>
      <w:r>
        <w:tab/>
        <w:t>(b)</w:t>
      </w:r>
      <w:r>
        <w:tab/>
        <w:t xml:space="preserve">the person meets the education and training standard in </w:t>
      </w:r>
      <w:r w:rsidR="004B0FFC">
        <w:t>subsection 9</w:t>
      </w:r>
      <w:r>
        <w:t xml:space="preserve">21B(2) or (4) because of </w:t>
      </w:r>
      <w:r w:rsidR="004B0FFC">
        <w:t>subsection (</w:t>
      </w:r>
      <w:r>
        <w:t>1) of this section.</w:t>
      </w:r>
    </w:p>
    <w:p w14:paraId="2902D01E" w14:textId="77777777" w:rsidR="00E83CB5" w:rsidRDefault="00E83CB5" w:rsidP="004B0FFC">
      <w:pPr>
        <w:pStyle w:val="notetext"/>
      </w:pPr>
      <w:r>
        <w:t>Note 1:</w:t>
      </w:r>
      <w:r>
        <w:tab/>
        <w:t xml:space="preserve">For how to lodge a notice in the prescribed form, see </w:t>
      </w:r>
      <w:r w:rsidR="00BD1C91">
        <w:t>section 3</w:t>
      </w:r>
      <w:r>
        <w:t>50.</w:t>
      </w:r>
    </w:p>
    <w:p w14:paraId="6BF6CDFC" w14:textId="77777777" w:rsidR="00E83CB5" w:rsidRDefault="00E83CB5" w:rsidP="004B0FFC">
      <w:pPr>
        <w:pStyle w:val="notetext"/>
      </w:pPr>
      <w:r>
        <w:t>Note 2:</w:t>
      </w:r>
      <w:r>
        <w:tab/>
        <w:t xml:space="preserve">The prescribed form may deal with information required under various sections (for example, </w:t>
      </w:r>
      <w:r w:rsidR="00BD1C91">
        <w:t>sections 9</w:t>
      </w:r>
      <w:r>
        <w:t>22</w:t>
      </w:r>
      <w:r w:rsidR="0014106A">
        <w:t>D</w:t>
      </w:r>
      <w:r>
        <w:t xml:space="preserve"> to 922L) of this Act.</w:t>
      </w:r>
    </w:p>
    <w:p w14:paraId="76493A80" w14:textId="77777777" w:rsidR="00A63D28" w:rsidRPr="00E83CB5" w:rsidRDefault="00A63D28" w:rsidP="004B0FFC">
      <w:pPr>
        <w:pStyle w:val="notetext"/>
      </w:pPr>
      <w:r>
        <w:t>Note 3:</w:t>
      </w:r>
      <w:r>
        <w:tab/>
        <w:t xml:space="preserve">A notice under this section is required each time </w:t>
      </w:r>
      <w:r w:rsidR="003829F0">
        <w:t xml:space="preserve">the person </w:t>
      </w:r>
      <w:r>
        <w:t>becomes a relevant provider.</w:t>
      </w:r>
    </w:p>
    <w:bookmarkEnd w:id="23"/>
    <w:p w14:paraId="72562760" w14:textId="77777777" w:rsidR="00B47518" w:rsidRDefault="00B47518" w:rsidP="004B0FFC">
      <w:pPr>
        <w:pStyle w:val="SubsectionHead"/>
      </w:pPr>
      <w:r>
        <w:t>Content of notice</w:t>
      </w:r>
    </w:p>
    <w:p w14:paraId="6E3176D9" w14:textId="77777777" w:rsidR="00B47518" w:rsidRDefault="00E83CB5" w:rsidP="004B0FFC">
      <w:pPr>
        <w:pStyle w:val="subsection"/>
      </w:pPr>
      <w:r>
        <w:tab/>
        <w:t>(</w:t>
      </w:r>
      <w:r w:rsidR="008D0785">
        <w:t>4</w:t>
      </w:r>
      <w:r>
        <w:t>)</w:t>
      </w:r>
      <w:r>
        <w:tab/>
      </w:r>
      <w:r w:rsidR="003650D2">
        <w:t xml:space="preserve">The notice must </w:t>
      </w:r>
      <w:r w:rsidR="009E2FD5">
        <w:t>include</w:t>
      </w:r>
      <w:r w:rsidR="003650D2">
        <w:t>:</w:t>
      </w:r>
    </w:p>
    <w:p w14:paraId="7AA94F1A" w14:textId="77777777" w:rsidR="003650D2" w:rsidRDefault="003650D2" w:rsidP="004B0FFC">
      <w:pPr>
        <w:pStyle w:val="paragraph"/>
      </w:pPr>
      <w:r>
        <w:tab/>
        <w:t>(a)</w:t>
      </w:r>
      <w:r>
        <w:tab/>
      </w:r>
      <w:r w:rsidR="009E2FD5">
        <w:t xml:space="preserve">the </w:t>
      </w:r>
      <w:r w:rsidR="008D0785">
        <w:t>person</w:t>
      </w:r>
      <w:r w:rsidR="009E2FD5">
        <w:t>’s name; and</w:t>
      </w:r>
    </w:p>
    <w:p w14:paraId="4C4C846B" w14:textId="77777777" w:rsidR="00435010" w:rsidRDefault="009E2FD5" w:rsidP="004B0FFC">
      <w:pPr>
        <w:pStyle w:val="paragraph"/>
      </w:pPr>
      <w:r>
        <w:tab/>
        <w:t>(b)</w:t>
      </w:r>
      <w:r>
        <w:tab/>
        <w:t xml:space="preserve">the address of the </w:t>
      </w:r>
      <w:r w:rsidR="008D0785">
        <w:t>person</w:t>
      </w:r>
      <w:r>
        <w:t>’s principal place of business; and</w:t>
      </w:r>
    </w:p>
    <w:p w14:paraId="2E80CCF9" w14:textId="77777777" w:rsidR="00C90759" w:rsidRDefault="00435010" w:rsidP="004B0FFC">
      <w:pPr>
        <w:pStyle w:val="paragraph"/>
      </w:pPr>
      <w:r>
        <w:tab/>
        <w:t>(</w:t>
      </w:r>
      <w:r w:rsidR="007862A7">
        <w:t>c</w:t>
      </w:r>
      <w:r>
        <w:t>)</w:t>
      </w:r>
      <w:r>
        <w:tab/>
        <w:t xml:space="preserve">a </w:t>
      </w:r>
      <w:r w:rsidR="003A63C6">
        <w:t xml:space="preserve">written </w:t>
      </w:r>
      <w:r>
        <w:t>statement</w:t>
      </w:r>
      <w:r w:rsidR="003A63C6">
        <w:t xml:space="preserve"> </w:t>
      </w:r>
      <w:r w:rsidR="00C90759">
        <w:t>by:</w:t>
      </w:r>
    </w:p>
    <w:p w14:paraId="1E44269B" w14:textId="77777777" w:rsidR="00C90759" w:rsidRDefault="00C90759" w:rsidP="004B0FFC">
      <w:pPr>
        <w:pStyle w:val="paragraphsub"/>
      </w:pPr>
      <w:r>
        <w:tab/>
        <w:t>(i)</w:t>
      </w:r>
      <w:r>
        <w:tab/>
        <w:t xml:space="preserve">if the </w:t>
      </w:r>
      <w:r w:rsidR="00435010">
        <w:t>person</w:t>
      </w:r>
      <w:r>
        <w:t xml:space="preserve"> is a financial services licensee—the </w:t>
      </w:r>
      <w:r w:rsidR="00435010">
        <w:t>person</w:t>
      </w:r>
      <w:r>
        <w:t>; or</w:t>
      </w:r>
    </w:p>
    <w:p w14:paraId="3789B9FD" w14:textId="77777777" w:rsidR="00C90759" w:rsidRDefault="00C90759" w:rsidP="004B0FFC">
      <w:pPr>
        <w:pStyle w:val="paragraphsub"/>
      </w:pPr>
      <w:r>
        <w:tab/>
        <w:t>(ii)</w:t>
      </w:r>
      <w:r>
        <w:tab/>
      </w:r>
      <w:r w:rsidR="00664B49">
        <w:t>otherwise</w:t>
      </w:r>
      <w:r>
        <w:t xml:space="preserve">—the </w:t>
      </w:r>
      <w:r w:rsidR="00664B49">
        <w:t xml:space="preserve">financial services </w:t>
      </w:r>
      <w:r>
        <w:t>licensee</w:t>
      </w:r>
      <w:r w:rsidR="00664B49">
        <w:t xml:space="preserve"> on whose behalf the </w:t>
      </w:r>
      <w:r w:rsidR="00435010">
        <w:t>person</w:t>
      </w:r>
      <w:r w:rsidR="00664B49">
        <w:t xml:space="preserve"> is authorised to provide personal advice to retail clients in relation to relevant financial products</w:t>
      </w:r>
      <w:r>
        <w:t>;</w:t>
      </w:r>
    </w:p>
    <w:p w14:paraId="39B0E2CC" w14:textId="77777777" w:rsidR="009E2FD5" w:rsidRDefault="00C90759" w:rsidP="004B0FFC">
      <w:pPr>
        <w:pStyle w:val="paragraph"/>
      </w:pPr>
      <w:r>
        <w:tab/>
      </w:r>
      <w:r>
        <w:tab/>
        <w:t xml:space="preserve">to the effect that the </w:t>
      </w:r>
      <w:r w:rsidR="00435010">
        <w:t xml:space="preserve">person </w:t>
      </w:r>
      <w:r>
        <w:t xml:space="preserve">has </w:t>
      </w:r>
      <w:r w:rsidR="00DD2F1F">
        <w:t xml:space="preserve">met </w:t>
      </w:r>
      <w:r w:rsidR="001D6765">
        <w:t>th</w:t>
      </w:r>
      <w:r w:rsidR="00B979E4">
        <w:t>at standard</w:t>
      </w:r>
      <w:r w:rsidR="001D6765">
        <w:t xml:space="preserve"> because of </w:t>
      </w:r>
      <w:r w:rsidR="004B0FFC">
        <w:t>subsection (</w:t>
      </w:r>
      <w:r w:rsidR="001D6765">
        <w:t>1).</w:t>
      </w:r>
    </w:p>
    <w:p w14:paraId="51F97550" w14:textId="77777777" w:rsidR="00B47518" w:rsidRDefault="00B47518" w:rsidP="004B0FFC">
      <w:pPr>
        <w:pStyle w:val="SubsectionHead"/>
      </w:pPr>
      <w:bookmarkStart w:id="25" w:name="_Hlk131522725"/>
      <w:r>
        <w:t>When notice must be lodged</w:t>
      </w:r>
    </w:p>
    <w:p w14:paraId="6A1669A8" w14:textId="77777777" w:rsidR="00776A83" w:rsidRDefault="00776A83" w:rsidP="004B0FFC">
      <w:pPr>
        <w:pStyle w:val="subsection"/>
      </w:pPr>
      <w:r>
        <w:tab/>
        <w:t>(5)</w:t>
      </w:r>
      <w:r>
        <w:tab/>
        <w:t>The notice must be lodged with ASIC:</w:t>
      </w:r>
    </w:p>
    <w:p w14:paraId="78E04BF0" w14:textId="77777777" w:rsidR="00776A83" w:rsidRDefault="00776A83" w:rsidP="004B0FFC">
      <w:pPr>
        <w:pStyle w:val="paragraph"/>
      </w:pPr>
      <w:r>
        <w:tab/>
        <w:t>(a)</w:t>
      </w:r>
      <w:r>
        <w:tab/>
        <w:t xml:space="preserve">if </w:t>
      </w:r>
      <w:r w:rsidR="004B0FFC">
        <w:t>subparagraph (</w:t>
      </w:r>
      <w:r>
        <w:t>3)(a)(i) applies—within 30 business days after the day the person becomes a relevant provider; or</w:t>
      </w:r>
    </w:p>
    <w:p w14:paraId="4FCE2455" w14:textId="77777777" w:rsidR="00776A83" w:rsidRDefault="00776A83" w:rsidP="004B0FFC">
      <w:pPr>
        <w:pStyle w:val="paragraph"/>
      </w:pPr>
      <w:r>
        <w:tab/>
        <w:t>(b)</w:t>
      </w:r>
      <w:r>
        <w:tab/>
        <w:t xml:space="preserve">if </w:t>
      </w:r>
      <w:r w:rsidR="004B0FFC">
        <w:t>subparagraph (</w:t>
      </w:r>
      <w:r>
        <w:t xml:space="preserve">3)(a)(ii) applies—before the end of the 30th business day after </w:t>
      </w:r>
      <w:r w:rsidR="004B0FFC">
        <w:t>1 January</w:t>
      </w:r>
      <w:r>
        <w:t xml:space="preserve"> 2026.</w:t>
      </w:r>
    </w:p>
    <w:p w14:paraId="3254AB52" w14:textId="77777777" w:rsidR="006704C6" w:rsidRPr="006704C6" w:rsidRDefault="00BD6517" w:rsidP="004B0FFC">
      <w:pPr>
        <w:pStyle w:val="notetext"/>
      </w:pPr>
      <w:r>
        <w:lastRenderedPageBreak/>
        <w:t>Note:</w:t>
      </w:r>
      <w:r>
        <w:tab/>
        <w:t xml:space="preserve">A notice must also be lodged with ASIC under </w:t>
      </w:r>
      <w:r w:rsidR="004B0FFC">
        <w:t>section 9</w:t>
      </w:r>
      <w:r>
        <w:t xml:space="preserve">22D if </w:t>
      </w:r>
      <w:r w:rsidR="00383E48">
        <w:t>the</w:t>
      </w:r>
      <w:r w:rsidR="00F726E8">
        <w:t xml:space="preserve"> person</w:t>
      </w:r>
      <w:r>
        <w:t xml:space="preserve"> becomes a relevant provider.</w:t>
      </w:r>
      <w:bookmarkEnd w:id="25"/>
    </w:p>
    <w:p w14:paraId="753D257A" w14:textId="77777777" w:rsidR="00B47518" w:rsidRDefault="00B47518" w:rsidP="004B0FFC">
      <w:pPr>
        <w:pStyle w:val="SubsectionHead"/>
      </w:pPr>
      <w:r>
        <w:t>Who must lodge notice</w:t>
      </w:r>
    </w:p>
    <w:p w14:paraId="45D3BE78" w14:textId="77777777" w:rsidR="008722C7" w:rsidRDefault="008722C7" w:rsidP="004B0FFC">
      <w:pPr>
        <w:pStyle w:val="subsection"/>
      </w:pPr>
      <w:r>
        <w:tab/>
        <w:t>(</w:t>
      </w:r>
      <w:r w:rsidR="00665415">
        <w:t>6</w:t>
      </w:r>
      <w:r>
        <w:t>)</w:t>
      </w:r>
      <w:r>
        <w:tab/>
      </w:r>
      <w:r w:rsidR="00664B49">
        <w:t>The</w:t>
      </w:r>
      <w:r w:rsidR="003420B5">
        <w:t xml:space="preserve"> </w:t>
      </w:r>
      <w:r w:rsidR="00664B49">
        <w:t xml:space="preserve">notice </w:t>
      </w:r>
      <w:r w:rsidR="00640264">
        <w:t>must be</w:t>
      </w:r>
      <w:r w:rsidR="003420B5">
        <w:t xml:space="preserve"> lodged</w:t>
      </w:r>
      <w:r w:rsidR="00640264">
        <w:t xml:space="preserve"> by</w:t>
      </w:r>
      <w:r w:rsidR="00664B49">
        <w:t>:</w:t>
      </w:r>
    </w:p>
    <w:p w14:paraId="673ED2E4" w14:textId="77777777" w:rsidR="00664B49" w:rsidRDefault="00664B49" w:rsidP="004B0FFC">
      <w:pPr>
        <w:pStyle w:val="paragraph"/>
      </w:pPr>
      <w:r>
        <w:tab/>
        <w:t>(a)</w:t>
      </w:r>
      <w:r>
        <w:tab/>
        <w:t xml:space="preserve">if the </w:t>
      </w:r>
      <w:r w:rsidR="00435010">
        <w:t>person</w:t>
      </w:r>
      <w:r>
        <w:t xml:space="preserve"> is a financial services licensee—the </w:t>
      </w:r>
      <w:r w:rsidR="00435010">
        <w:t>person</w:t>
      </w:r>
      <w:r>
        <w:t>; or</w:t>
      </w:r>
    </w:p>
    <w:p w14:paraId="702D51BD" w14:textId="77777777" w:rsidR="00664B49" w:rsidRDefault="00664B49" w:rsidP="004B0FFC">
      <w:pPr>
        <w:pStyle w:val="paragraph"/>
      </w:pPr>
      <w:r>
        <w:tab/>
        <w:t>(b)</w:t>
      </w:r>
      <w:r>
        <w:tab/>
      </w:r>
      <w:r w:rsidR="0014106A" w:rsidRPr="0014106A">
        <w:t xml:space="preserve">otherwise—the financial services licensee on whose behalf the </w:t>
      </w:r>
      <w:r w:rsidR="00435010">
        <w:t>person</w:t>
      </w:r>
      <w:r w:rsidR="0014106A" w:rsidRPr="0014106A">
        <w:t xml:space="preserve"> is authorised to provide personal advice to retail clients in relation to relevant financial products</w:t>
      </w:r>
      <w:r w:rsidR="0014106A">
        <w:t>.</w:t>
      </w:r>
    </w:p>
    <w:p w14:paraId="15A5A27E" w14:textId="77777777" w:rsidR="008722C7" w:rsidRDefault="009446BC" w:rsidP="004B0FFC">
      <w:pPr>
        <w:pStyle w:val="SubsectionHead"/>
      </w:pPr>
      <w:r>
        <w:t xml:space="preserve">Requirement to </w:t>
      </w:r>
      <w:r w:rsidR="00BD6517">
        <w:t>give declaration to licensee</w:t>
      </w:r>
    </w:p>
    <w:p w14:paraId="0E5785BB" w14:textId="77777777" w:rsidR="0067429B" w:rsidRDefault="009446BC" w:rsidP="004B0FFC">
      <w:pPr>
        <w:pStyle w:val="subsection"/>
      </w:pPr>
      <w:r>
        <w:tab/>
        <w:t>(</w:t>
      </w:r>
      <w:r w:rsidR="00F726E8">
        <w:t>7</w:t>
      </w:r>
      <w:r>
        <w:t>)</w:t>
      </w:r>
      <w:r>
        <w:tab/>
      </w:r>
      <w:r w:rsidR="0067429B">
        <w:t xml:space="preserve">If </w:t>
      </w:r>
      <w:r w:rsidR="004B0FFC">
        <w:t>paragraph (</w:t>
      </w:r>
      <w:r w:rsidR="0067429B">
        <w:t>6)(b) applies, the person must:</w:t>
      </w:r>
    </w:p>
    <w:p w14:paraId="4EB21520" w14:textId="77777777" w:rsidR="0067429B" w:rsidRDefault="0067429B" w:rsidP="004B0FFC">
      <w:pPr>
        <w:pStyle w:val="paragraph"/>
      </w:pPr>
      <w:r>
        <w:tab/>
        <w:t>(a)</w:t>
      </w:r>
      <w:r>
        <w:tab/>
        <w:t xml:space="preserve">give the licensee mentioned in that paragraph a copy of the </w:t>
      </w:r>
      <w:r w:rsidR="00256BA0">
        <w:t>person’s</w:t>
      </w:r>
      <w:r>
        <w:t xml:space="preserve"> declaration </w:t>
      </w:r>
      <w:r w:rsidR="00D7165C">
        <w:t xml:space="preserve">in force </w:t>
      </w:r>
      <w:r>
        <w:t xml:space="preserve">under </w:t>
      </w:r>
      <w:r w:rsidR="004B0FFC">
        <w:t>subsection (</w:t>
      </w:r>
      <w:r>
        <w:t>2); and</w:t>
      </w:r>
    </w:p>
    <w:p w14:paraId="20E13D53" w14:textId="77777777" w:rsidR="00DF71A6" w:rsidRDefault="0067429B" w:rsidP="004B0FFC">
      <w:pPr>
        <w:pStyle w:val="paragraph"/>
      </w:pPr>
      <w:r>
        <w:tab/>
        <w:t>(b)</w:t>
      </w:r>
      <w:r>
        <w:tab/>
        <w:t xml:space="preserve">do so within a reasonable period that would allow the licensee to comply with its obligation </w:t>
      </w:r>
      <w:r w:rsidR="00D7165C">
        <w:t xml:space="preserve">to </w:t>
      </w:r>
      <w:r w:rsidR="00DF71A6">
        <w:t>lodge a notice under this section.</w:t>
      </w:r>
    </w:p>
    <w:p w14:paraId="7BFA64AD" w14:textId="77777777" w:rsidR="00A63D28" w:rsidRPr="00A63D28" w:rsidRDefault="00A63D28" w:rsidP="004B0FFC">
      <w:pPr>
        <w:pStyle w:val="SubsectionHead"/>
      </w:pPr>
      <w:r>
        <w:t>Register of Relevant Providers</w:t>
      </w:r>
    </w:p>
    <w:p w14:paraId="4FF544A5" w14:textId="77777777" w:rsidR="00A63D28" w:rsidRDefault="00A63D28" w:rsidP="004B0FFC">
      <w:pPr>
        <w:pStyle w:val="subsection"/>
      </w:pPr>
      <w:r>
        <w:tab/>
        <w:t>(8)</w:t>
      </w:r>
      <w:r>
        <w:tab/>
      </w:r>
      <w:r w:rsidR="004B0FFC">
        <w:t>Subsection 9</w:t>
      </w:r>
      <w:r>
        <w:t>22Q</w:t>
      </w:r>
      <w:r w:rsidR="00E7559E">
        <w:t>(2)</w:t>
      </w:r>
      <w:r>
        <w:t xml:space="preserve"> applies </w:t>
      </w:r>
      <w:r w:rsidR="00E7559E">
        <w:t xml:space="preserve">as if the details that must be entered on the Register of Relevant Providers </w:t>
      </w:r>
      <w:r w:rsidR="00256BA0">
        <w:t xml:space="preserve">in respect of a person who is or was a relevant provider </w:t>
      </w:r>
      <w:r w:rsidR="00E7559E">
        <w:t>include</w:t>
      </w:r>
      <w:r w:rsidR="00DF71A6">
        <w:t>d whether a notice has been lodged with ASIC under this section</w:t>
      </w:r>
      <w:r w:rsidR="00256BA0">
        <w:t xml:space="preserve"> in respect of the person</w:t>
      </w:r>
      <w:r w:rsidR="00E7559E">
        <w:t>.</w:t>
      </w:r>
    </w:p>
    <w:p w14:paraId="0F575B44" w14:textId="77777777" w:rsidR="001753D9" w:rsidRDefault="003251C8" w:rsidP="004B0FFC">
      <w:pPr>
        <w:pStyle w:val="SubsectionHead"/>
      </w:pPr>
      <w:r>
        <w:t xml:space="preserve">Failing to </w:t>
      </w:r>
      <w:r w:rsidR="00EC088F">
        <w:t>lodge notice</w:t>
      </w:r>
    </w:p>
    <w:p w14:paraId="2554F3B5" w14:textId="77777777" w:rsidR="00E7559E" w:rsidRDefault="003251C8" w:rsidP="004B0FFC">
      <w:pPr>
        <w:pStyle w:val="subsection"/>
      </w:pPr>
      <w:r>
        <w:tab/>
        <w:t>(</w:t>
      </w:r>
      <w:r w:rsidR="00A63D28">
        <w:t>9</w:t>
      </w:r>
      <w:r>
        <w:t>)</w:t>
      </w:r>
      <w:r>
        <w:tab/>
      </w:r>
      <w:r w:rsidR="004B0FFC">
        <w:t>Section 9</w:t>
      </w:r>
      <w:r>
        <w:t xml:space="preserve">22M </w:t>
      </w:r>
      <w:r w:rsidR="00E7559E">
        <w:t xml:space="preserve">applies in relation to a person required to </w:t>
      </w:r>
      <w:r w:rsidR="00386E8C">
        <w:t>lodge a notice</w:t>
      </w:r>
      <w:r w:rsidR="00E7559E">
        <w:t xml:space="preserve"> under this section in a corresponding way to the way that section applies in relation to a person required to cause a notice to be lodged under a notice provision.</w:t>
      </w:r>
    </w:p>
    <w:p w14:paraId="47161C7A" w14:textId="77777777" w:rsidR="00485002" w:rsidRPr="00CB1C79" w:rsidRDefault="003420B5" w:rsidP="004B0FFC">
      <w:pPr>
        <w:pStyle w:val="notetext"/>
      </w:pPr>
      <w:r>
        <w:t>Note:</w:t>
      </w:r>
      <w:r>
        <w:tab/>
      </w:r>
      <w:r w:rsidR="004B0FFC">
        <w:t>Section 9</w:t>
      </w:r>
      <w:r>
        <w:t>22M provides an offence and civil penalty for failing to lodge certain notices.</w:t>
      </w:r>
    </w:p>
    <w:p w14:paraId="364F573A" w14:textId="77777777" w:rsidR="001E3F1C" w:rsidRPr="005A5EA6" w:rsidRDefault="00BD1C91" w:rsidP="004B0FFC">
      <w:pPr>
        <w:pStyle w:val="ActHead7"/>
        <w:pageBreakBefore/>
      </w:pPr>
      <w:bookmarkStart w:id="26" w:name="_Toc131671261"/>
      <w:bookmarkStart w:id="27" w:name="_Hlk130463282"/>
      <w:bookmarkEnd w:id="9"/>
      <w:r w:rsidRPr="00121D08">
        <w:rPr>
          <w:rStyle w:val="CharAmPartNo"/>
        </w:rPr>
        <w:lastRenderedPageBreak/>
        <w:t>Part 2</w:t>
      </w:r>
      <w:r w:rsidR="001E3F1C">
        <w:t>—</w:t>
      </w:r>
      <w:r w:rsidR="001E3F1C" w:rsidRPr="00121D08">
        <w:rPr>
          <w:rStyle w:val="CharAmPartText"/>
        </w:rPr>
        <w:t>Addressing known issues for new entrants</w:t>
      </w:r>
      <w:bookmarkEnd w:id="26"/>
    </w:p>
    <w:p w14:paraId="1CD21CEC" w14:textId="77777777" w:rsidR="001E3F1C" w:rsidRPr="004B0FFC" w:rsidRDefault="001E3F1C" w:rsidP="004B0FFC">
      <w:pPr>
        <w:pStyle w:val="ActHead9"/>
        <w:rPr>
          <w:i w:val="0"/>
        </w:rPr>
      </w:pPr>
      <w:bookmarkStart w:id="28" w:name="_Toc131671262"/>
      <w:r>
        <w:t>Corporations</w:t>
      </w:r>
      <w:bookmarkStart w:id="29" w:name="BK_S1P7L2C13"/>
      <w:bookmarkEnd w:id="29"/>
      <w:r>
        <w:t xml:space="preserve"> Act 2001</w:t>
      </w:r>
      <w:bookmarkEnd w:id="28"/>
    </w:p>
    <w:p w14:paraId="43AC3CD6" w14:textId="77777777" w:rsidR="002C74FC" w:rsidRDefault="00CC25B4" w:rsidP="004B0FFC">
      <w:pPr>
        <w:pStyle w:val="ItemHead"/>
      </w:pPr>
      <w:r>
        <w:t>8</w:t>
      </w:r>
      <w:r w:rsidR="002C74FC">
        <w:t xml:space="preserve">  </w:t>
      </w:r>
      <w:r w:rsidR="004B0FFC">
        <w:t>Paragraph 9</w:t>
      </w:r>
      <w:r w:rsidR="00CB0972">
        <w:t>21B(2)(a)</w:t>
      </w:r>
    </w:p>
    <w:p w14:paraId="41A6B2F0" w14:textId="77777777" w:rsidR="00CB0972" w:rsidRDefault="00CB0972" w:rsidP="004B0FFC">
      <w:pPr>
        <w:pStyle w:val="Item"/>
      </w:pPr>
      <w:r>
        <w:t>Repeal the paragraph, substitute:</w:t>
      </w:r>
    </w:p>
    <w:p w14:paraId="332B68D2" w14:textId="77777777" w:rsidR="00CB0972" w:rsidRDefault="00CB0972" w:rsidP="004B0FFC">
      <w:pPr>
        <w:pStyle w:val="paragraph"/>
      </w:pPr>
      <w:r>
        <w:tab/>
        <w:t>(a)</w:t>
      </w:r>
      <w:r>
        <w:tab/>
        <w:t>the person:</w:t>
      </w:r>
    </w:p>
    <w:p w14:paraId="23610CA5" w14:textId="77777777" w:rsidR="00CB0972" w:rsidRDefault="00CB0972" w:rsidP="004B0FFC">
      <w:pPr>
        <w:pStyle w:val="paragraphsub"/>
      </w:pPr>
      <w:r>
        <w:tab/>
        <w:t>(i)</w:t>
      </w:r>
      <w:r>
        <w:tab/>
        <w:t xml:space="preserve">has </w:t>
      </w:r>
      <w:r w:rsidRPr="00CB0972">
        <w:t>completed a bachelor or higher degree, or equivalent qualification, approved by the Minister</w:t>
      </w:r>
      <w:r>
        <w:t>; and</w:t>
      </w:r>
    </w:p>
    <w:p w14:paraId="5D2ECCF0" w14:textId="77777777" w:rsidR="002C74FC" w:rsidRDefault="00CB0972" w:rsidP="004B0FFC">
      <w:pPr>
        <w:pStyle w:val="paragraphsub"/>
      </w:pPr>
      <w:r>
        <w:tab/>
        <w:t>(ii)</w:t>
      </w:r>
      <w:r>
        <w:tab/>
        <w:t>has done so by satisfying in a way</w:t>
      </w:r>
      <w:r w:rsidR="000E2D74">
        <w:t xml:space="preserve"> (if any)</w:t>
      </w:r>
      <w:r>
        <w:t xml:space="preserve"> approved by the Minister conditions </w:t>
      </w:r>
      <w:r w:rsidR="000E2D74">
        <w:t xml:space="preserve">(if any) </w:t>
      </w:r>
      <w:r>
        <w:t>approved by the Minister; or</w:t>
      </w:r>
    </w:p>
    <w:p w14:paraId="6778F976" w14:textId="77777777" w:rsidR="0027276E" w:rsidRDefault="00CC25B4" w:rsidP="004B0FFC">
      <w:pPr>
        <w:pStyle w:val="ItemHead"/>
      </w:pPr>
      <w:r>
        <w:t>9</w:t>
      </w:r>
      <w:r w:rsidR="0027276E">
        <w:t xml:space="preserve">  </w:t>
      </w:r>
      <w:r w:rsidR="003C71C6">
        <w:t xml:space="preserve">At the end of </w:t>
      </w:r>
      <w:r w:rsidR="004B0FFC">
        <w:t>subsection 9</w:t>
      </w:r>
      <w:r w:rsidR="003C71C6">
        <w:t>21B(2)</w:t>
      </w:r>
    </w:p>
    <w:p w14:paraId="270721C0" w14:textId="77777777" w:rsidR="003C71C6" w:rsidRDefault="003C71C6" w:rsidP="004B0FFC">
      <w:pPr>
        <w:pStyle w:val="Item"/>
      </w:pPr>
      <w:r>
        <w:t>Add:</w:t>
      </w:r>
    </w:p>
    <w:p w14:paraId="57A67C38" w14:textId="77777777" w:rsidR="003C71C6" w:rsidRPr="003C71C6" w:rsidRDefault="003C71C6" w:rsidP="004B0FFC">
      <w:pPr>
        <w:pStyle w:val="paragraph"/>
      </w:pPr>
      <w:r>
        <w:tab/>
        <w:t>; or (c)</w:t>
      </w:r>
      <w:r>
        <w:tab/>
        <w:t xml:space="preserve">the person holds an approval under </w:t>
      </w:r>
      <w:r w:rsidR="004B0FFC">
        <w:t>subsection 9</w:t>
      </w:r>
      <w:r>
        <w:t>21GA(4).</w:t>
      </w:r>
    </w:p>
    <w:p w14:paraId="28F85666" w14:textId="77777777" w:rsidR="00CB0972" w:rsidRDefault="00CC25B4" w:rsidP="004B0FFC">
      <w:pPr>
        <w:pStyle w:val="ItemHead"/>
      </w:pPr>
      <w:r>
        <w:t>10</w:t>
      </w:r>
      <w:r w:rsidR="00CB0972">
        <w:t xml:space="preserve">  </w:t>
      </w:r>
      <w:r w:rsidR="004B0FFC">
        <w:t>Paragraph 9</w:t>
      </w:r>
      <w:r w:rsidR="00CB0972">
        <w:t>21B(6)(a)</w:t>
      </w:r>
    </w:p>
    <w:p w14:paraId="5A1749AA" w14:textId="77777777" w:rsidR="00CB0972" w:rsidRPr="00CB0972" w:rsidRDefault="00CB0972" w:rsidP="004B0FFC">
      <w:pPr>
        <w:pStyle w:val="Item"/>
      </w:pPr>
      <w:r>
        <w:t>Omit “</w:t>
      </w:r>
      <w:r w:rsidR="004B0FFC">
        <w:t>paragraph (</w:t>
      </w:r>
      <w:r>
        <w:t>2)(a)”, substitute “</w:t>
      </w:r>
      <w:r w:rsidR="004B0FFC">
        <w:t>subparagraph (</w:t>
      </w:r>
      <w:r>
        <w:t>2)(a)(i)”.</w:t>
      </w:r>
    </w:p>
    <w:p w14:paraId="4A71EAF4" w14:textId="77777777" w:rsidR="00CA10C8" w:rsidRDefault="00CC25B4" w:rsidP="004B0FFC">
      <w:pPr>
        <w:pStyle w:val="ItemHead"/>
      </w:pPr>
      <w:r>
        <w:t>11</w:t>
      </w:r>
      <w:r w:rsidR="00CA10C8">
        <w:t xml:space="preserve">  </w:t>
      </w:r>
      <w:r w:rsidR="00CB0972">
        <w:t xml:space="preserve">After </w:t>
      </w:r>
      <w:r w:rsidR="004B0FFC">
        <w:t>paragraph 9</w:t>
      </w:r>
      <w:r w:rsidR="00CB0972">
        <w:t>21B(6)(a)</w:t>
      </w:r>
    </w:p>
    <w:p w14:paraId="0F4F7793" w14:textId="77777777" w:rsidR="00CB0972" w:rsidRDefault="00CB0972" w:rsidP="004B0FFC">
      <w:pPr>
        <w:pStyle w:val="Item"/>
      </w:pPr>
      <w:r>
        <w:t>Insert:</w:t>
      </w:r>
    </w:p>
    <w:p w14:paraId="76AAE936" w14:textId="77777777" w:rsidR="00CB0972" w:rsidRDefault="00CB0972" w:rsidP="004B0FFC">
      <w:pPr>
        <w:pStyle w:val="paragraph"/>
      </w:pPr>
      <w:r>
        <w:tab/>
        <w:t>(aa)</w:t>
      </w:r>
      <w:r>
        <w:tab/>
        <w:t xml:space="preserve">approve for the purposes of </w:t>
      </w:r>
      <w:r w:rsidR="004B0FFC">
        <w:t>subparagraph (</w:t>
      </w:r>
      <w:r>
        <w:t>2)(a)(ii):</w:t>
      </w:r>
    </w:p>
    <w:p w14:paraId="15C1C045" w14:textId="77777777" w:rsidR="00CB0972" w:rsidRDefault="00CB0972" w:rsidP="004B0FFC">
      <w:pPr>
        <w:pStyle w:val="paragraphsub"/>
      </w:pPr>
      <w:r>
        <w:tab/>
        <w:t>(i)</w:t>
      </w:r>
      <w:r>
        <w:tab/>
        <w:t>one or more conditions for completing an approved degree or qualification; and</w:t>
      </w:r>
    </w:p>
    <w:p w14:paraId="44F9D016" w14:textId="77777777" w:rsidR="00281C45" w:rsidRPr="00281C45" w:rsidRDefault="00CB0972" w:rsidP="004B0FFC">
      <w:pPr>
        <w:pStyle w:val="paragraphsub"/>
      </w:pPr>
      <w:r>
        <w:tab/>
        <w:t>(ii)</w:t>
      </w:r>
      <w:r>
        <w:tab/>
        <w:t>one or more ways for satisfying such conditions;</w:t>
      </w:r>
    </w:p>
    <w:p w14:paraId="3EB0BE99" w14:textId="77777777" w:rsidR="003C71C6" w:rsidRDefault="00CC25B4" w:rsidP="004B0FFC">
      <w:pPr>
        <w:pStyle w:val="ItemHead"/>
      </w:pPr>
      <w:r>
        <w:t>12</w:t>
      </w:r>
      <w:r w:rsidR="00637587">
        <w:t xml:space="preserve">  </w:t>
      </w:r>
      <w:r w:rsidR="004B0FFC">
        <w:t>Paragraph 9</w:t>
      </w:r>
      <w:r w:rsidR="00637587">
        <w:t>21G(3)(a)</w:t>
      </w:r>
    </w:p>
    <w:p w14:paraId="1D8CCEEC" w14:textId="77777777" w:rsidR="00637587" w:rsidRDefault="00637587" w:rsidP="004B0FFC">
      <w:pPr>
        <w:pStyle w:val="Item"/>
      </w:pPr>
      <w:r>
        <w:t>Omit “</w:t>
      </w:r>
      <w:r w:rsidR="004B0FFC">
        <w:t>paragraph 9</w:t>
      </w:r>
      <w:r w:rsidRPr="00637587">
        <w:t>21B(2)(a)</w:t>
      </w:r>
      <w:r>
        <w:t>”, substitute “sub</w:t>
      </w:r>
      <w:r w:rsidR="004B0FFC">
        <w:t>paragraph 9</w:t>
      </w:r>
      <w:r w:rsidRPr="00637587">
        <w:t>21B(2)(a)</w:t>
      </w:r>
      <w:r>
        <w:t>(i)”.</w:t>
      </w:r>
    </w:p>
    <w:p w14:paraId="3DEAF752" w14:textId="77777777" w:rsidR="00637587" w:rsidRDefault="00CC25B4" w:rsidP="004B0FFC">
      <w:pPr>
        <w:pStyle w:val="ItemHead"/>
      </w:pPr>
      <w:r>
        <w:t>13</w:t>
      </w:r>
      <w:r w:rsidR="00637587">
        <w:t xml:space="preserve">  </w:t>
      </w:r>
      <w:r w:rsidR="004B0FFC">
        <w:t>Subsection 9</w:t>
      </w:r>
      <w:r w:rsidR="00637587">
        <w:t>21G(4)</w:t>
      </w:r>
    </w:p>
    <w:p w14:paraId="7A1ED87B" w14:textId="77777777" w:rsidR="00637587" w:rsidRPr="00637587" w:rsidRDefault="00637587" w:rsidP="004B0FFC">
      <w:pPr>
        <w:pStyle w:val="Item"/>
      </w:pPr>
      <w:r>
        <w:t>Omit “</w:t>
      </w:r>
      <w:r w:rsidR="004B0FFC">
        <w:t>paragraph 9</w:t>
      </w:r>
      <w:r w:rsidRPr="00637587">
        <w:t>21B(2)(a)</w:t>
      </w:r>
      <w:r>
        <w:t>”, substitute “sub</w:t>
      </w:r>
      <w:r w:rsidR="004B0FFC">
        <w:t>paragraph 9</w:t>
      </w:r>
      <w:r w:rsidRPr="00637587">
        <w:t>21B(2)(a)</w:t>
      </w:r>
      <w:r>
        <w:t>(i)”.</w:t>
      </w:r>
    </w:p>
    <w:p w14:paraId="0C63E2C5" w14:textId="77777777" w:rsidR="007168A3" w:rsidRDefault="00CC25B4" w:rsidP="004B0FFC">
      <w:pPr>
        <w:pStyle w:val="ItemHead"/>
      </w:pPr>
      <w:r>
        <w:t>14</w:t>
      </w:r>
      <w:r w:rsidR="007168A3">
        <w:t xml:space="preserve">  After </w:t>
      </w:r>
      <w:r w:rsidR="004B0FFC">
        <w:t>section 9</w:t>
      </w:r>
      <w:r w:rsidR="007168A3">
        <w:t>21G</w:t>
      </w:r>
    </w:p>
    <w:p w14:paraId="6EFF4B3F" w14:textId="77777777" w:rsidR="007168A3" w:rsidRDefault="007168A3" w:rsidP="004B0FFC">
      <w:pPr>
        <w:pStyle w:val="Item"/>
      </w:pPr>
      <w:r>
        <w:t>Insert:</w:t>
      </w:r>
    </w:p>
    <w:p w14:paraId="52F6AC1E" w14:textId="77777777" w:rsidR="007168A3" w:rsidRDefault="007168A3" w:rsidP="004B0FFC">
      <w:pPr>
        <w:pStyle w:val="ActHead5"/>
      </w:pPr>
      <w:bookmarkStart w:id="30" w:name="_Toc131671263"/>
      <w:r w:rsidRPr="00121D08">
        <w:rPr>
          <w:rStyle w:val="CharSectno"/>
        </w:rPr>
        <w:lastRenderedPageBreak/>
        <w:t>921GA</w:t>
      </w:r>
      <w:r>
        <w:t xml:space="preserve">  Approval of </w:t>
      </w:r>
      <w:r w:rsidR="00A604E3">
        <w:t>domestic</w:t>
      </w:r>
      <w:r>
        <w:t xml:space="preserve"> qualifications</w:t>
      </w:r>
      <w:bookmarkEnd w:id="30"/>
    </w:p>
    <w:p w14:paraId="5C35DB08" w14:textId="77777777" w:rsidR="007168A3" w:rsidRDefault="007168A3" w:rsidP="004B0FFC">
      <w:pPr>
        <w:pStyle w:val="SubsectionHead"/>
      </w:pPr>
      <w:r>
        <w:t>Application for approval</w:t>
      </w:r>
    </w:p>
    <w:p w14:paraId="19209D79" w14:textId="77777777" w:rsidR="007168A3" w:rsidRDefault="007168A3" w:rsidP="004B0FFC">
      <w:pPr>
        <w:pStyle w:val="subsection"/>
      </w:pPr>
      <w:r>
        <w:tab/>
        <w:t>(1)</w:t>
      </w:r>
      <w:r>
        <w:tab/>
        <w:t>A person who:</w:t>
      </w:r>
    </w:p>
    <w:p w14:paraId="1345DD16" w14:textId="77777777" w:rsidR="00282D95" w:rsidRDefault="007168A3" w:rsidP="004B0FFC">
      <w:pPr>
        <w:pStyle w:val="paragraph"/>
      </w:pPr>
      <w:r>
        <w:tab/>
        <w:t>(a)</w:t>
      </w:r>
      <w:r>
        <w:tab/>
        <w:t xml:space="preserve">has completed </w:t>
      </w:r>
      <w:r w:rsidR="00282D95" w:rsidRPr="00282D95">
        <w:t>a bachelor or higher degree, or equivalent qualification, approved by a determination in force for the purposes of sub</w:t>
      </w:r>
      <w:r w:rsidR="004B0FFC">
        <w:t>paragraph 9</w:t>
      </w:r>
      <w:r w:rsidR="00282D95" w:rsidRPr="00282D95">
        <w:t>21B(2)(a)(i)</w:t>
      </w:r>
      <w:r w:rsidR="00282D95">
        <w:t xml:space="preserve"> (the </w:t>
      </w:r>
      <w:r w:rsidR="00282D95" w:rsidRPr="00282D95">
        <w:rPr>
          <w:b/>
          <w:i/>
        </w:rPr>
        <w:t>domestic qualification</w:t>
      </w:r>
      <w:r w:rsidR="00282D95">
        <w:t>); but</w:t>
      </w:r>
      <w:bookmarkStart w:id="31" w:name="BK_S1P8L7C20"/>
      <w:bookmarkEnd w:id="31"/>
    </w:p>
    <w:p w14:paraId="7A3F5C52" w14:textId="77777777" w:rsidR="007168A3" w:rsidRDefault="007168A3" w:rsidP="004B0FFC">
      <w:pPr>
        <w:pStyle w:val="paragraph"/>
      </w:pPr>
      <w:r>
        <w:tab/>
        <w:t>(b)</w:t>
      </w:r>
      <w:r>
        <w:tab/>
      </w:r>
      <w:r w:rsidR="00282D95" w:rsidRPr="00282D95">
        <w:t xml:space="preserve">has not completed the </w:t>
      </w:r>
      <w:r w:rsidR="00282D95">
        <w:t xml:space="preserve">domestic </w:t>
      </w:r>
      <w:r w:rsidR="00282D95" w:rsidRPr="00282D95">
        <w:t>qualification in accordance with sub</w:t>
      </w:r>
      <w:r w:rsidR="004B0FFC">
        <w:t>paragraph 9</w:t>
      </w:r>
      <w:r w:rsidR="00282D95" w:rsidRPr="00282D95">
        <w:t>21B(2)(a)(ii)</w:t>
      </w:r>
      <w:r w:rsidR="00282D95">
        <w:t>;</w:t>
      </w:r>
    </w:p>
    <w:p w14:paraId="6BC5B2FE" w14:textId="77777777" w:rsidR="007168A3" w:rsidRPr="007168A3" w:rsidRDefault="007168A3" w:rsidP="004B0FFC">
      <w:pPr>
        <w:pStyle w:val="subsection2"/>
      </w:pPr>
      <w:r>
        <w:t xml:space="preserve">may apply to </w:t>
      </w:r>
      <w:r w:rsidRPr="005D28CC">
        <w:t xml:space="preserve">the Minister for approval of the </w:t>
      </w:r>
      <w:r w:rsidR="00282D95">
        <w:t>domestic</w:t>
      </w:r>
      <w:r w:rsidRPr="005D28CC">
        <w:t xml:space="preserve"> qualification.</w:t>
      </w:r>
    </w:p>
    <w:p w14:paraId="1A70A832" w14:textId="77777777" w:rsidR="007168A3" w:rsidRDefault="00282D95" w:rsidP="004B0FFC">
      <w:pPr>
        <w:pStyle w:val="subsection"/>
      </w:pPr>
      <w:r>
        <w:tab/>
        <w:t>(2)</w:t>
      </w:r>
      <w:r>
        <w:tab/>
        <w:t>The application must be:</w:t>
      </w:r>
    </w:p>
    <w:p w14:paraId="6EF14B9F" w14:textId="77777777" w:rsidR="00282D95" w:rsidRDefault="00282D95" w:rsidP="004B0FFC">
      <w:pPr>
        <w:pStyle w:val="paragraph"/>
      </w:pPr>
      <w:r>
        <w:tab/>
        <w:t>(a)</w:t>
      </w:r>
      <w:r>
        <w:tab/>
        <w:t>in writing; and</w:t>
      </w:r>
    </w:p>
    <w:p w14:paraId="39EEFB36" w14:textId="77777777" w:rsidR="00282D95" w:rsidRDefault="00282D95" w:rsidP="004B0FFC">
      <w:pPr>
        <w:pStyle w:val="paragraph"/>
      </w:pPr>
      <w:r>
        <w:tab/>
        <w:t>(b)</w:t>
      </w:r>
      <w:r>
        <w:tab/>
        <w:t>in the form</w:t>
      </w:r>
      <w:bookmarkStart w:id="32" w:name="BK_S1P8L14C17"/>
      <w:bookmarkEnd w:id="32"/>
      <w:r>
        <w:t xml:space="preserve"> approved, in writing, by the Minister.</w:t>
      </w:r>
    </w:p>
    <w:p w14:paraId="2028288D" w14:textId="77777777" w:rsidR="00282D95" w:rsidRDefault="00282D95" w:rsidP="004B0FFC">
      <w:pPr>
        <w:pStyle w:val="SubsectionHead"/>
      </w:pPr>
      <w:r>
        <w:t>Approval or refusal</w:t>
      </w:r>
    </w:p>
    <w:p w14:paraId="3FA86C35" w14:textId="77777777" w:rsidR="00282D95" w:rsidRDefault="00282D95" w:rsidP="004B0FFC">
      <w:pPr>
        <w:pStyle w:val="subsection"/>
      </w:pPr>
      <w:r>
        <w:tab/>
        <w:t>(3)</w:t>
      </w:r>
      <w:r>
        <w:tab/>
        <w:t>The Minister must either:</w:t>
      </w:r>
    </w:p>
    <w:p w14:paraId="3B4C15EE" w14:textId="77777777" w:rsidR="00282D95" w:rsidRDefault="00282D95" w:rsidP="004B0FFC">
      <w:pPr>
        <w:pStyle w:val="paragraph"/>
      </w:pPr>
      <w:r>
        <w:tab/>
        <w:t>(a)</w:t>
      </w:r>
      <w:r>
        <w:tab/>
        <w:t xml:space="preserve">approve the domestic qualification </w:t>
      </w:r>
      <w:r w:rsidR="00256BA0">
        <w:t xml:space="preserve">if the Minister is satisfied of the matters in </w:t>
      </w:r>
      <w:r w:rsidR="004B0FFC">
        <w:t>subsection (</w:t>
      </w:r>
      <w:r w:rsidR="00F13C10">
        <w:t>4</w:t>
      </w:r>
      <w:r>
        <w:t>)</w:t>
      </w:r>
      <w:r w:rsidR="00F13C10">
        <w:t>; or</w:t>
      </w:r>
    </w:p>
    <w:p w14:paraId="70F21BC8" w14:textId="77777777" w:rsidR="00F13C10" w:rsidRDefault="00F13C10" w:rsidP="004B0FFC">
      <w:pPr>
        <w:pStyle w:val="paragraph"/>
      </w:pPr>
      <w:r>
        <w:tab/>
        <w:t>(b)</w:t>
      </w:r>
      <w:r>
        <w:tab/>
        <w:t>refuse to approve the domestic qualification.</w:t>
      </w:r>
    </w:p>
    <w:p w14:paraId="1320BD12" w14:textId="77777777" w:rsidR="002546D2" w:rsidRDefault="00F13C10" w:rsidP="004B0FFC">
      <w:pPr>
        <w:pStyle w:val="subsection"/>
      </w:pPr>
      <w:r>
        <w:tab/>
        <w:t>(4)</w:t>
      </w:r>
      <w:r>
        <w:tab/>
        <w:t xml:space="preserve">The </w:t>
      </w:r>
      <w:r w:rsidR="00256BA0">
        <w:t>matters are that:</w:t>
      </w:r>
    </w:p>
    <w:p w14:paraId="6A02274A" w14:textId="77777777" w:rsidR="002546D2" w:rsidRDefault="002546D2" w:rsidP="004B0FFC">
      <w:pPr>
        <w:pStyle w:val="paragraph"/>
      </w:pPr>
      <w:r>
        <w:tab/>
        <w:t>(a)</w:t>
      </w:r>
      <w:r>
        <w:tab/>
        <w:t xml:space="preserve">the person has completed the domestic qualification </w:t>
      </w:r>
      <w:r w:rsidR="00256BA0">
        <w:t xml:space="preserve">but not </w:t>
      </w:r>
      <w:r>
        <w:t>in accordance with sub</w:t>
      </w:r>
      <w:r w:rsidR="004B0FFC">
        <w:t>paragraph 9</w:t>
      </w:r>
      <w:r>
        <w:t>21B(2)(a)(ii); and</w:t>
      </w:r>
    </w:p>
    <w:p w14:paraId="6FAA3439" w14:textId="77777777" w:rsidR="002546D2" w:rsidRDefault="002546D2" w:rsidP="004B0FFC">
      <w:pPr>
        <w:pStyle w:val="paragraph"/>
      </w:pPr>
      <w:r>
        <w:tab/>
        <w:t>(b)</w:t>
      </w:r>
      <w:r>
        <w:tab/>
        <w:t>the person is nevertheless adequately qualified and competent to provide personal advice to retail clients in relation to relevant financial products.</w:t>
      </w:r>
    </w:p>
    <w:p w14:paraId="6FA24F96" w14:textId="77777777" w:rsidR="002546D2" w:rsidRDefault="002546D2" w:rsidP="004B0FFC">
      <w:pPr>
        <w:pStyle w:val="SubsectionHead"/>
      </w:pPr>
      <w:r>
        <w:t>When approval comes into force</w:t>
      </w:r>
    </w:p>
    <w:p w14:paraId="40D42873" w14:textId="77777777" w:rsidR="00415A61" w:rsidRDefault="002546D2" w:rsidP="004B0FFC">
      <w:pPr>
        <w:pStyle w:val="subsection"/>
      </w:pPr>
      <w:r>
        <w:tab/>
        <w:t>(5)</w:t>
      </w:r>
      <w:r>
        <w:tab/>
      </w:r>
      <w:r w:rsidR="0027276E">
        <w:t xml:space="preserve">An approval under </w:t>
      </w:r>
      <w:r w:rsidR="004B0FFC">
        <w:t>subsection (</w:t>
      </w:r>
      <w:r w:rsidR="00256BA0">
        <w:t>3</w:t>
      </w:r>
      <w:r w:rsidR="0027276E">
        <w:t>)</w:t>
      </w:r>
      <w:r w:rsidR="003C71C6">
        <w:t xml:space="preserve"> </w:t>
      </w:r>
      <w:r w:rsidR="0027276E">
        <w:t>comes into force when it is given.</w:t>
      </w:r>
      <w:bookmarkEnd w:id="27"/>
    </w:p>
    <w:p w14:paraId="2620A077" w14:textId="77777777" w:rsidR="004F5083" w:rsidRDefault="00CC25B4" w:rsidP="004B0FFC">
      <w:pPr>
        <w:pStyle w:val="ItemHead"/>
      </w:pPr>
      <w:r>
        <w:t>15</w:t>
      </w:r>
      <w:r w:rsidR="0021494E">
        <w:t xml:space="preserve">  </w:t>
      </w:r>
      <w:r w:rsidR="004B0FFC">
        <w:t>Subsection 1</w:t>
      </w:r>
      <w:r w:rsidR="0021494E">
        <w:t>684A(2)</w:t>
      </w:r>
    </w:p>
    <w:p w14:paraId="4CB8C328" w14:textId="77777777" w:rsidR="0021494E" w:rsidRDefault="0021494E" w:rsidP="004B0FFC">
      <w:pPr>
        <w:pStyle w:val="Item"/>
      </w:pPr>
      <w:r>
        <w:t>Omit “</w:t>
      </w:r>
      <w:r w:rsidR="004B0FFC">
        <w:t>subsection 9</w:t>
      </w:r>
      <w:r w:rsidRPr="0021494E">
        <w:t>21B(2), as amended by Schedule 1 to the amending Act</w:t>
      </w:r>
      <w:r>
        <w:t>” (wherever occurring), substitute “</w:t>
      </w:r>
      <w:r w:rsidR="004B0FFC">
        <w:t>subsection 9</w:t>
      </w:r>
      <w:r>
        <w:t>21B(2)</w:t>
      </w:r>
      <w:r w:rsidR="00DE3A84">
        <w:t>,</w:t>
      </w:r>
      <w:r w:rsidR="00256BA0">
        <w:t xml:space="preserve"> as amended by Schedule </w:t>
      </w:r>
      <w:bookmarkStart w:id="33" w:name="BK_S1P8L32C13"/>
      <w:bookmarkEnd w:id="33"/>
      <w:r w:rsidR="00256BA0">
        <w:t># to the second amending Act</w:t>
      </w:r>
      <w:r>
        <w:t>”.</w:t>
      </w:r>
    </w:p>
    <w:p w14:paraId="6723ABC6" w14:textId="77777777" w:rsidR="0021494E" w:rsidRDefault="00CC25B4" w:rsidP="004B0FFC">
      <w:pPr>
        <w:pStyle w:val="ItemHead"/>
      </w:pPr>
      <w:r>
        <w:lastRenderedPageBreak/>
        <w:t>16</w:t>
      </w:r>
      <w:r w:rsidR="0021494E">
        <w:t xml:space="preserve">  </w:t>
      </w:r>
      <w:r w:rsidR="004B0FFC">
        <w:t>Subparagraph 1</w:t>
      </w:r>
      <w:r w:rsidR="0021494E">
        <w:t>684C(3)(b)(i)</w:t>
      </w:r>
    </w:p>
    <w:p w14:paraId="5E81A764" w14:textId="77777777" w:rsidR="0021494E" w:rsidRDefault="0021494E" w:rsidP="004B0FFC">
      <w:pPr>
        <w:pStyle w:val="Item"/>
      </w:pPr>
      <w:r>
        <w:t>Omit “</w:t>
      </w:r>
      <w:r w:rsidR="004B0FFC">
        <w:t>subsection 9</w:t>
      </w:r>
      <w:r w:rsidRPr="0021494E">
        <w:t>21B(2), as amended by Schedule 1 to the amending Act</w:t>
      </w:r>
      <w:r>
        <w:t>”, substitute “</w:t>
      </w:r>
      <w:r w:rsidR="004B0FFC">
        <w:t>subsection 9</w:t>
      </w:r>
      <w:r>
        <w:t>21B(2)</w:t>
      </w:r>
      <w:r w:rsidR="00DE3A84">
        <w:t>,</w:t>
      </w:r>
      <w:r w:rsidR="00256BA0">
        <w:t xml:space="preserve"> as amended by Schedule </w:t>
      </w:r>
      <w:bookmarkStart w:id="34" w:name="BK_S1P9L3C62"/>
      <w:bookmarkEnd w:id="34"/>
      <w:r w:rsidR="00256BA0">
        <w:t># to the second amending Act</w:t>
      </w:r>
      <w:r>
        <w:t>”.</w:t>
      </w:r>
    </w:p>
    <w:p w14:paraId="2EFF86B7" w14:textId="77777777" w:rsidR="0021494E" w:rsidRDefault="00CC25B4" w:rsidP="004B0FFC">
      <w:pPr>
        <w:pStyle w:val="ItemHead"/>
      </w:pPr>
      <w:r>
        <w:t>17</w:t>
      </w:r>
      <w:r w:rsidR="0021494E">
        <w:t xml:space="preserve">  </w:t>
      </w:r>
      <w:r w:rsidR="004B0FFC">
        <w:t>Paragraph 1</w:t>
      </w:r>
      <w:r w:rsidR="0021494E">
        <w:t>684D(3)</w:t>
      </w:r>
      <w:r w:rsidR="00DE3A84">
        <w:t>(a)</w:t>
      </w:r>
    </w:p>
    <w:p w14:paraId="1BDFD6BA" w14:textId="77777777" w:rsidR="0021494E" w:rsidRDefault="0021494E" w:rsidP="004B0FFC">
      <w:pPr>
        <w:pStyle w:val="Item"/>
      </w:pPr>
      <w:r>
        <w:t>Omit “</w:t>
      </w:r>
      <w:r w:rsidR="004B0FFC">
        <w:t>subsection 9</w:t>
      </w:r>
      <w:r w:rsidRPr="0021494E">
        <w:t>21B(2), as amended by Schedule 1 to the amending Act</w:t>
      </w:r>
      <w:r>
        <w:t>”, substitute “</w:t>
      </w:r>
      <w:r w:rsidR="004B0FFC">
        <w:t>subsection 9</w:t>
      </w:r>
      <w:r>
        <w:t>21B(2)</w:t>
      </w:r>
      <w:r w:rsidR="00DE3A84">
        <w:t>,</w:t>
      </w:r>
      <w:r w:rsidR="00256BA0">
        <w:t xml:space="preserve"> as amended by Schedule </w:t>
      </w:r>
      <w:bookmarkStart w:id="35" w:name="BK_S1P9L7C62"/>
      <w:bookmarkEnd w:id="35"/>
      <w:r w:rsidR="00256BA0">
        <w:t># to the second amending Act</w:t>
      </w:r>
      <w:r>
        <w:t>”.</w:t>
      </w:r>
    </w:p>
    <w:p w14:paraId="753D528B" w14:textId="77777777" w:rsidR="00256BA0" w:rsidRDefault="00CC25B4" w:rsidP="004B0FFC">
      <w:pPr>
        <w:pStyle w:val="ItemHead"/>
      </w:pPr>
      <w:r>
        <w:t>18</w:t>
      </w:r>
      <w:r w:rsidR="00256BA0">
        <w:t xml:space="preserve">  </w:t>
      </w:r>
      <w:r w:rsidR="004B0FFC">
        <w:t>Paragraph 1</w:t>
      </w:r>
      <w:r w:rsidR="00C03424">
        <w:t>684D(4)(a)</w:t>
      </w:r>
    </w:p>
    <w:p w14:paraId="4C948872" w14:textId="77777777" w:rsidR="00C03424" w:rsidRDefault="00C03424" w:rsidP="004B0FFC">
      <w:pPr>
        <w:pStyle w:val="Item"/>
      </w:pPr>
      <w:r>
        <w:t>Omit “</w:t>
      </w:r>
      <w:r w:rsidR="004B0FFC">
        <w:t>subsection 9</w:t>
      </w:r>
      <w:r w:rsidRPr="0021494E">
        <w:t>21B(2), as amended by Schedule 1 to the amending Act</w:t>
      </w:r>
      <w:r>
        <w:t>”, substitute “</w:t>
      </w:r>
      <w:r w:rsidR="004B0FFC">
        <w:t>subsection 9</w:t>
      </w:r>
      <w:r>
        <w:t>21B(2)</w:t>
      </w:r>
      <w:r w:rsidR="00DE3A84">
        <w:t>,</w:t>
      </w:r>
      <w:r>
        <w:t xml:space="preserve"> as amended by Schedule </w:t>
      </w:r>
      <w:bookmarkStart w:id="36" w:name="BK_S1P9L11C62"/>
      <w:bookmarkEnd w:id="36"/>
      <w:r>
        <w:t># to the second amending Act”.</w:t>
      </w:r>
    </w:p>
    <w:p w14:paraId="79435141" w14:textId="77777777" w:rsidR="00C03424" w:rsidRDefault="00CC25B4" w:rsidP="004B0FFC">
      <w:pPr>
        <w:pStyle w:val="ItemHead"/>
      </w:pPr>
      <w:r>
        <w:t>19</w:t>
      </w:r>
      <w:r w:rsidR="00C03424">
        <w:t xml:space="preserve">  </w:t>
      </w:r>
      <w:r w:rsidR="004B0FFC">
        <w:t>Paragraph 1</w:t>
      </w:r>
      <w:r w:rsidR="00C03424">
        <w:t>684D(6)(a)</w:t>
      </w:r>
    </w:p>
    <w:p w14:paraId="269134A2" w14:textId="77777777" w:rsidR="00097994" w:rsidRPr="00097994" w:rsidRDefault="00C03424" w:rsidP="004B0FFC">
      <w:pPr>
        <w:pStyle w:val="Item"/>
      </w:pPr>
      <w:r>
        <w:t>Omit “</w:t>
      </w:r>
      <w:r w:rsidR="004B0FFC">
        <w:t>subsection 9</w:t>
      </w:r>
      <w:r w:rsidRPr="0021494E">
        <w:t>21B(2), as amended by Schedule 1 to the amending Act</w:t>
      </w:r>
      <w:r>
        <w:t>”, substitute “</w:t>
      </w:r>
      <w:r w:rsidR="004B0FFC">
        <w:t>subsection 9</w:t>
      </w:r>
      <w:r>
        <w:t>21B(2)</w:t>
      </w:r>
      <w:r w:rsidR="00DE3A84">
        <w:t>,</w:t>
      </w:r>
      <w:r>
        <w:t xml:space="preserve"> as amended by Schedule </w:t>
      </w:r>
      <w:bookmarkStart w:id="37" w:name="BK_S1P9L15C62"/>
      <w:bookmarkEnd w:id="37"/>
      <w:r>
        <w:t># to the second amending Act”.</w:t>
      </w:r>
    </w:p>
    <w:p w14:paraId="2B9CF4CF" w14:textId="77777777" w:rsidR="00B7325B" w:rsidRPr="00B7325B" w:rsidRDefault="00BD1C91" w:rsidP="004B0FFC">
      <w:pPr>
        <w:pStyle w:val="ActHead7"/>
        <w:pageBreakBefore/>
      </w:pPr>
      <w:bookmarkStart w:id="38" w:name="_Toc131671264"/>
      <w:r w:rsidRPr="00121D08">
        <w:rPr>
          <w:rStyle w:val="CharAmPartNo"/>
        </w:rPr>
        <w:lastRenderedPageBreak/>
        <w:t>Part 3</w:t>
      </w:r>
      <w:r w:rsidR="00B7325B" w:rsidRPr="00B7325B">
        <w:t>—</w:t>
      </w:r>
      <w:r w:rsidR="00B7325B" w:rsidRPr="00121D08">
        <w:rPr>
          <w:rStyle w:val="CharAmPartText"/>
        </w:rPr>
        <w:t xml:space="preserve">Addressing known issues for </w:t>
      </w:r>
      <w:r w:rsidR="00D37776" w:rsidRPr="00121D08">
        <w:rPr>
          <w:rStyle w:val="CharAmPartText"/>
        </w:rPr>
        <w:t>qualified tax relevant providers</w:t>
      </w:r>
      <w:bookmarkEnd w:id="38"/>
    </w:p>
    <w:p w14:paraId="3F686764" w14:textId="77777777" w:rsidR="00B7325B" w:rsidRPr="004B0FFC" w:rsidRDefault="00B7325B" w:rsidP="004B0FFC">
      <w:pPr>
        <w:pStyle w:val="ActHead9"/>
        <w:rPr>
          <w:i w:val="0"/>
        </w:rPr>
      </w:pPr>
      <w:bookmarkStart w:id="39" w:name="_Toc131671265"/>
      <w:r w:rsidRPr="00B7325B">
        <w:t>Corporations</w:t>
      </w:r>
      <w:bookmarkStart w:id="40" w:name="BK_S1P10L3C13"/>
      <w:bookmarkEnd w:id="40"/>
      <w:r w:rsidRPr="00B7325B">
        <w:t xml:space="preserve"> Act 2001</w:t>
      </w:r>
      <w:bookmarkEnd w:id="39"/>
    </w:p>
    <w:p w14:paraId="23533807" w14:textId="77777777" w:rsidR="00415A61" w:rsidRDefault="00CC25B4" w:rsidP="004B0FFC">
      <w:pPr>
        <w:pStyle w:val="ItemHead"/>
      </w:pPr>
      <w:r>
        <w:t>20</w:t>
      </w:r>
      <w:r w:rsidR="00D37776">
        <w:t xml:space="preserve">  </w:t>
      </w:r>
      <w:r w:rsidR="004B0FFC">
        <w:t>Section 9</w:t>
      </w:r>
      <w:r w:rsidR="00F16BCB">
        <w:t>10A (</w:t>
      </w:r>
      <w:r w:rsidR="004B0FFC">
        <w:t>paragraph (</w:t>
      </w:r>
      <w:r w:rsidR="00F16BCB">
        <w:t xml:space="preserve">b) of the definition of </w:t>
      </w:r>
      <w:r w:rsidR="00F16BCB" w:rsidRPr="00F16BCB">
        <w:rPr>
          <w:i/>
        </w:rPr>
        <w:t>qualified tax relevant provider</w:t>
      </w:r>
      <w:r w:rsidR="00F16BCB">
        <w:t>)</w:t>
      </w:r>
    </w:p>
    <w:p w14:paraId="4A993012" w14:textId="77777777" w:rsidR="00F16BCB" w:rsidRDefault="00F16BCB" w:rsidP="004B0FFC">
      <w:pPr>
        <w:pStyle w:val="Item"/>
      </w:pPr>
      <w:r>
        <w:t>Repeal the paragraph, substitute:</w:t>
      </w:r>
    </w:p>
    <w:p w14:paraId="71D5FFF9" w14:textId="77777777" w:rsidR="00F16BCB" w:rsidRDefault="00F16BCB" w:rsidP="004B0FFC">
      <w:pPr>
        <w:pStyle w:val="paragraph"/>
      </w:pPr>
      <w:r>
        <w:tab/>
        <w:t>(b)</w:t>
      </w:r>
      <w:r>
        <w:tab/>
        <w:t>one or more of the following applies:</w:t>
      </w:r>
    </w:p>
    <w:p w14:paraId="39C9E0B4" w14:textId="77777777" w:rsidR="00F16BCB" w:rsidRDefault="00F16BCB" w:rsidP="004B0FFC">
      <w:pPr>
        <w:pStyle w:val="paragraphsub"/>
      </w:pPr>
      <w:r>
        <w:tab/>
        <w:t>(i)</w:t>
      </w:r>
      <w:r>
        <w:tab/>
        <w:t>the person is a registered tax agent;</w:t>
      </w:r>
    </w:p>
    <w:p w14:paraId="10BE2CF0" w14:textId="77777777" w:rsidR="00BB6443" w:rsidRPr="00BB6443" w:rsidRDefault="00F16BCB" w:rsidP="004B0FFC">
      <w:pPr>
        <w:pStyle w:val="paragraphsub"/>
      </w:pPr>
      <w:r>
        <w:tab/>
        <w:t>(ii)</w:t>
      </w:r>
      <w:r>
        <w:tab/>
      </w:r>
      <w:r w:rsidRPr="00F16BCB">
        <w:t xml:space="preserve">if a determination is in force under </w:t>
      </w:r>
      <w:r w:rsidR="004B0FFC">
        <w:t>subsection 9</w:t>
      </w:r>
      <w:r w:rsidRPr="00F16BCB">
        <w:t>21BB(1)—the person meets each requirement set out in the determination that is of a kind mentioned in any of paragraphs (a) to (d) of that subsection.</w:t>
      </w:r>
    </w:p>
    <w:p w14:paraId="6ACEBAF7" w14:textId="77777777" w:rsidR="00BB6443" w:rsidRDefault="00CC25B4" w:rsidP="004B0FFC">
      <w:pPr>
        <w:pStyle w:val="ItemHead"/>
      </w:pPr>
      <w:r>
        <w:t>21</w:t>
      </w:r>
      <w:r w:rsidR="00BB6443">
        <w:t xml:space="preserve">  After </w:t>
      </w:r>
      <w:r w:rsidR="00BD1C91">
        <w:t>subparagraph</w:t>
      </w:r>
      <w:r w:rsidR="00DE3A84">
        <w:t>s</w:t>
      </w:r>
      <w:r w:rsidR="00BD1C91">
        <w:t> 9</w:t>
      </w:r>
      <w:r w:rsidR="00BB6443">
        <w:t>21C(1)(b)(i)</w:t>
      </w:r>
      <w:r w:rsidR="00DE3A84">
        <w:t xml:space="preserve"> and (c)(i)</w:t>
      </w:r>
    </w:p>
    <w:p w14:paraId="17E79663" w14:textId="77777777" w:rsidR="00BB6443" w:rsidRDefault="00BB6443" w:rsidP="004B0FFC">
      <w:pPr>
        <w:pStyle w:val="Item"/>
      </w:pPr>
      <w:r>
        <w:t>Insert:</w:t>
      </w:r>
    </w:p>
    <w:p w14:paraId="2A8102CC" w14:textId="77777777" w:rsidR="00BB6443" w:rsidRDefault="00BB6443" w:rsidP="004B0FFC">
      <w:pPr>
        <w:pStyle w:val="paragraphsub"/>
      </w:pPr>
      <w:r>
        <w:tab/>
        <w:t>(ia)</w:t>
      </w:r>
      <w:r>
        <w:tab/>
        <w:t>the applicant is not a registered tax agent; and</w:t>
      </w:r>
    </w:p>
    <w:p w14:paraId="325513BE" w14:textId="77777777" w:rsidR="00BB6443" w:rsidRDefault="00CC25B4" w:rsidP="004B0FFC">
      <w:pPr>
        <w:pStyle w:val="ItemHead"/>
      </w:pPr>
      <w:r>
        <w:t>22</w:t>
      </w:r>
      <w:r w:rsidR="00BB6443">
        <w:t xml:space="preserve">  After </w:t>
      </w:r>
      <w:r w:rsidR="00BD1C91">
        <w:t>sub</w:t>
      </w:r>
      <w:r w:rsidR="004B0FFC">
        <w:t>paragraph 9</w:t>
      </w:r>
      <w:r w:rsidR="00BB6443">
        <w:t>21C(2)(c)(i)</w:t>
      </w:r>
    </w:p>
    <w:p w14:paraId="04E32C61" w14:textId="77777777" w:rsidR="00BB6443" w:rsidRDefault="00BB6443" w:rsidP="004B0FFC">
      <w:pPr>
        <w:pStyle w:val="Item"/>
      </w:pPr>
      <w:r>
        <w:t>Insert:</w:t>
      </w:r>
    </w:p>
    <w:p w14:paraId="1A2A3C3D" w14:textId="77777777" w:rsidR="00BB6443" w:rsidRDefault="00E76907" w:rsidP="004B0FFC">
      <w:pPr>
        <w:pStyle w:val="paragraphsub"/>
      </w:pPr>
      <w:r>
        <w:tab/>
        <w:t>(ia)</w:t>
      </w:r>
      <w:r>
        <w:tab/>
        <w:t xml:space="preserve">the </w:t>
      </w:r>
      <w:r w:rsidR="00C42955">
        <w:t>person</w:t>
      </w:r>
      <w:r>
        <w:t xml:space="preserve"> is not a registered tax agent; and</w:t>
      </w:r>
    </w:p>
    <w:p w14:paraId="6155B013" w14:textId="77777777" w:rsidR="00E76907" w:rsidRDefault="00CC25B4" w:rsidP="004B0FFC">
      <w:pPr>
        <w:pStyle w:val="ItemHead"/>
      </w:pPr>
      <w:r>
        <w:t>23</w:t>
      </w:r>
      <w:r w:rsidR="00E76907">
        <w:t xml:space="preserve">  After </w:t>
      </w:r>
      <w:r w:rsidR="00BD1C91">
        <w:t>sub</w:t>
      </w:r>
      <w:r w:rsidR="004B0FFC">
        <w:t>paragraph 9</w:t>
      </w:r>
      <w:r w:rsidR="00E76907">
        <w:t>21C(3)(c)(i)</w:t>
      </w:r>
    </w:p>
    <w:p w14:paraId="2F50A06C" w14:textId="77777777" w:rsidR="00E76907" w:rsidRDefault="00E76907" w:rsidP="004B0FFC">
      <w:pPr>
        <w:pStyle w:val="Item"/>
      </w:pPr>
      <w:r>
        <w:t>Insert:</w:t>
      </w:r>
    </w:p>
    <w:p w14:paraId="432708B4" w14:textId="77777777" w:rsidR="00E76907" w:rsidRDefault="00E76907" w:rsidP="004B0FFC">
      <w:pPr>
        <w:pStyle w:val="paragraphsub"/>
      </w:pPr>
      <w:r>
        <w:tab/>
        <w:t>(ia)</w:t>
      </w:r>
      <w:r>
        <w:tab/>
        <w:t xml:space="preserve">the </w:t>
      </w:r>
      <w:r w:rsidR="00C42955">
        <w:t>individual</w:t>
      </w:r>
      <w:r>
        <w:t xml:space="preserve"> is not a registered tax agent; and</w:t>
      </w:r>
    </w:p>
    <w:p w14:paraId="4B85C771" w14:textId="77777777" w:rsidR="00E76907" w:rsidRDefault="00CC25B4" w:rsidP="004B0FFC">
      <w:pPr>
        <w:pStyle w:val="ItemHead"/>
      </w:pPr>
      <w:r>
        <w:t>24</w:t>
      </w:r>
      <w:r w:rsidR="00E76907">
        <w:t xml:space="preserve">  After </w:t>
      </w:r>
      <w:r w:rsidR="00BD1C91">
        <w:t>sub</w:t>
      </w:r>
      <w:r w:rsidR="004B0FFC">
        <w:t>paragraph 9</w:t>
      </w:r>
      <w:r w:rsidR="00E76907">
        <w:t>21C(4)(c)(i)</w:t>
      </w:r>
    </w:p>
    <w:p w14:paraId="66412306" w14:textId="77777777" w:rsidR="00E76907" w:rsidRDefault="00E76907" w:rsidP="004B0FFC">
      <w:pPr>
        <w:pStyle w:val="Item"/>
      </w:pPr>
      <w:r>
        <w:t>Insert:</w:t>
      </w:r>
    </w:p>
    <w:p w14:paraId="6BE98960" w14:textId="77777777" w:rsidR="00FA3DFF" w:rsidRDefault="00E76907" w:rsidP="004B0FFC">
      <w:pPr>
        <w:pStyle w:val="paragraphsub"/>
      </w:pPr>
      <w:r>
        <w:tab/>
        <w:t>(ia)</w:t>
      </w:r>
      <w:r>
        <w:tab/>
        <w:t xml:space="preserve">the </w:t>
      </w:r>
      <w:r w:rsidR="00C42955">
        <w:t>employee or director</w:t>
      </w:r>
      <w:r>
        <w:t xml:space="preserve"> is not a registered tax agent; and</w:t>
      </w:r>
    </w:p>
    <w:p w14:paraId="79480CCD" w14:textId="77777777" w:rsidR="00D5255B" w:rsidRPr="00B7325B" w:rsidRDefault="00BD1C91" w:rsidP="004B0FFC">
      <w:pPr>
        <w:pStyle w:val="ActHead7"/>
        <w:pageBreakBefore/>
      </w:pPr>
      <w:bookmarkStart w:id="41" w:name="_Toc131671266"/>
      <w:r w:rsidRPr="00121D08">
        <w:rPr>
          <w:rStyle w:val="CharAmPartNo"/>
        </w:rPr>
        <w:lastRenderedPageBreak/>
        <w:t>Part 4</w:t>
      </w:r>
      <w:r w:rsidR="00D5255B" w:rsidRPr="00B7325B">
        <w:t>—</w:t>
      </w:r>
      <w:r w:rsidR="00D5255B" w:rsidRPr="00121D08">
        <w:rPr>
          <w:rStyle w:val="CharAmPartText"/>
        </w:rPr>
        <w:t>Transitional</w:t>
      </w:r>
      <w:bookmarkStart w:id="42" w:name="BK_S1P11L1C20"/>
      <w:bookmarkEnd w:id="42"/>
      <w:r w:rsidR="00D5255B" w:rsidRPr="00121D08">
        <w:rPr>
          <w:rStyle w:val="CharAmPartText"/>
        </w:rPr>
        <w:t xml:space="preserve"> provisions</w:t>
      </w:r>
      <w:bookmarkEnd w:id="41"/>
    </w:p>
    <w:p w14:paraId="5C200816" w14:textId="77777777" w:rsidR="00D5255B" w:rsidRPr="004B0FFC" w:rsidRDefault="00D5255B" w:rsidP="004B0FFC">
      <w:pPr>
        <w:pStyle w:val="ActHead9"/>
        <w:rPr>
          <w:i w:val="0"/>
        </w:rPr>
      </w:pPr>
      <w:bookmarkStart w:id="43" w:name="_Toc131671267"/>
      <w:r w:rsidRPr="00B7325B">
        <w:t>Corporations</w:t>
      </w:r>
      <w:bookmarkStart w:id="44" w:name="BK_S1P11L2C13"/>
      <w:bookmarkEnd w:id="44"/>
      <w:r w:rsidRPr="00B7325B">
        <w:t xml:space="preserve"> Act 2001</w:t>
      </w:r>
      <w:bookmarkEnd w:id="43"/>
    </w:p>
    <w:p w14:paraId="53E31852" w14:textId="77777777" w:rsidR="00BA3FFC" w:rsidRDefault="00CC25B4" w:rsidP="004B0FFC">
      <w:pPr>
        <w:pStyle w:val="ItemHead"/>
      </w:pPr>
      <w:r>
        <w:t>25</w:t>
      </w:r>
      <w:r w:rsidR="00BA3FFC">
        <w:t xml:space="preserve">  </w:t>
      </w:r>
      <w:r w:rsidR="00BD1C91">
        <w:t>Division 3</w:t>
      </w:r>
      <w:r w:rsidR="00BA3FFC">
        <w:t xml:space="preserve"> of </w:t>
      </w:r>
      <w:r w:rsidR="00BD1C91">
        <w:t>Part 1</w:t>
      </w:r>
      <w:r w:rsidR="00BA3FFC">
        <w:t xml:space="preserve">0.57 of </w:t>
      </w:r>
      <w:r w:rsidR="00BD1C91">
        <w:t>Chapter 1</w:t>
      </w:r>
      <w:r w:rsidR="00BA3FFC">
        <w:t>0 (at the end of the heading)</w:t>
      </w:r>
    </w:p>
    <w:p w14:paraId="4A28E3F2" w14:textId="77777777" w:rsidR="00BA3FFC" w:rsidRDefault="00BA3FFC" w:rsidP="004B0FFC">
      <w:pPr>
        <w:pStyle w:val="Item"/>
      </w:pPr>
      <w:r>
        <w:t>Add “</w:t>
      </w:r>
      <w:r w:rsidRPr="00BA3FFC">
        <w:rPr>
          <w:b/>
        </w:rPr>
        <w:t>relating to the amending Act</w:t>
      </w:r>
      <w:r>
        <w:t>”.</w:t>
      </w:r>
    </w:p>
    <w:p w14:paraId="1DBD92CF" w14:textId="77777777" w:rsidR="00BA3FFC" w:rsidRDefault="00CC25B4" w:rsidP="004B0FFC">
      <w:pPr>
        <w:pStyle w:val="ItemHead"/>
      </w:pPr>
      <w:r>
        <w:t>26</w:t>
      </w:r>
      <w:r w:rsidR="00BA3FFC">
        <w:t xml:space="preserve">  At the end of </w:t>
      </w:r>
      <w:r w:rsidR="00BD1C91">
        <w:t>Part 1</w:t>
      </w:r>
      <w:r w:rsidR="00BA3FFC">
        <w:t xml:space="preserve">0.57 of </w:t>
      </w:r>
      <w:r w:rsidR="00BD1C91">
        <w:t>Chapter 1</w:t>
      </w:r>
      <w:r w:rsidR="00BA3FFC">
        <w:t>0</w:t>
      </w:r>
    </w:p>
    <w:p w14:paraId="0CB5C527" w14:textId="77777777" w:rsidR="00BA3FFC" w:rsidRDefault="00BA3FFC" w:rsidP="004B0FFC">
      <w:pPr>
        <w:pStyle w:val="Item"/>
      </w:pPr>
      <w:r>
        <w:t>Add:</w:t>
      </w:r>
    </w:p>
    <w:p w14:paraId="34591441" w14:textId="77777777" w:rsidR="00E15E6E" w:rsidRDefault="00BD1C91" w:rsidP="004B0FFC">
      <w:pPr>
        <w:pStyle w:val="ActHead3"/>
      </w:pPr>
      <w:bookmarkStart w:id="45" w:name="_Toc131671268"/>
      <w:r w:rsidRPr="00121D08">
        <w:rPr>
          <w:rStyle w:val="CharDivNo"/>
        </w:rPr>
        <w:t>Division 4</w:t>
      </w:r>
      <w:r w:rsidR="00874241">
        <w:t>—</w:t>
      </w:r>
      <w:r w:rsidR="00874241" w:rsidRPr="00121D08">
        <w:rPr>
          <w:rStyle w:val="CharDivText"/>
        </w:rPr>
        <w:t>Transitional provisions relating to the second amending Act</w:t>
      </w:r>
      <w:bookmarkEnd w:id="45"/>
    </w:p>
    <w:p w14:paraId="586AC619" w14:textId="77777777" w:rsidR="000D4C71" w:rsidRDefault="000D4C71" w:rsidP="004B0FFC">
      <w:pPr>
        <w:pStyle w:val="ActHead5"/>
      </w:pPr>
      <w:bookmarkStart w:id="46" w:name="_Toc131671269"/>
      <w:r w:rsidRPr="00121D08">
        <w:rPr>
          <w:rStyle w:val="CharSectno"/>
        </w:rPr>
        <w:t>1684</w:t>
      </w:r>
      <w:r w:rsidR="00E15E6E" w:rsidRPr="00121D08">
        <w:rPr>
          <w:rStyle w:val="CharSectno"/>
        </w:rPr>
        <w:t>W</w:t>
      </w:r>
      <w:r>
        <w:t xml:space="preserve">  Application of amendment—approval of domestic qualifications</w:t>
      </w:r>
      <w:bookmarkEnd w:id="46"/>
    </w:p>
    <w:p w14:paraId="133E87AC" w14:textId="77777777" w:rsidR="00C03424" w:rsidRPr="00C03424" w:rsidRDefault="000D4C71" w:rsidP="004B0FFC">
      <w:pPr>
        <w:pStyle w:val="subsection"/>
      </w:pPr>
      <w:r>
        <w:tab/>
      </w:r>
      <w:r>
        <w:tab/>
      </w:r>
      <w:r w:rsidR="004B0FFC">
        <w:t>Section 9</w:t>
      </w:r>
      <w:r>
        <w:t xml:space="preserve">21GA, as inserted by Schedule </w:t>
      </w:r>
      <w:bookmarkStart w:id="47" w:name="BK_S1P11L12C42"/>
      <w:bookmarkEnd w:id="47"/>
      <w:r>
        <w:t xml:space="preserve"># to the second amending Act, applies in relation to </w:t>
      </w:r>
      <w:r w:rsidR="004D5168">
        <w:t xml:space="preserve">an </w:t>
      </w:r>
      <w:r>
        <w:t>application</w:t>
      </w:r>
      <w:r w:rsidR="004D5168">
        <w:t xml:space="preserve"> made under that section on or after the commencement of that Schedule, whether the </w:t>
      </w:r>
      <w:r w:rsidR="004D5168" w:rsidRPr="004D5168">
        <w:t>degree or qualification</w:t>
      </w:r>
      <w:r>
        <w:t xml:space="preserve"> </w:t>
      </w:r>
      <w:r w:rsidR="004D5168">
        <w:t>to which the application relates was completed before, on or after that commencement.</w:t>
      </w:r>
    </w:p>
    <w:p w14:paraId="60E79C1C" w14:textId="77777777" w:rsidR="00750C75" w:rsidRDefault="00750C75" w:rsidP="004B0FFC">
      <w:pPr>
        <w:pStyle w:val="ActHead5"/>
      </w:pPr>
      <w:bookmarkStart w:id="48" w:name="_Toc131671270"/>
      <w:r w:rsidRPr="00121D08">
        <w:rPr>
          <w:rStyle w:val="CharSectno"/>
        </w:rPr>
        <w:t>1684</w:t>
      </w:r>
      <w:r w:rsidR="00E15E6E" w:rsidRPr="00121D08">
        <w:rPr>
          <w:rStyle w:val="CharSectno"/>
        </w:rPr>
        <w:t>X</w:t>
      </w:r>
      <w:r>
        <w:t xml:space="preserve">  </w:t>
      </w:r>
      <w:r w:rsidR="00D565FD">
        <w:t>Transitional</w:t>
      </w:r>
      <w:r>
        <w:t>—</w:t>
      </w:r>
      <w:r w:rsidR="00FC3980">
        <w:t xml:space="preserve">determination approving </w:t>
      </w:r>
      <w:r w:rsidR="00D565FD">
        <w:t xml:space="preserve">degrees and </w:t>
      </w:r>
      <w:r w:rsidR="00FC3980">
        <w:t>qualifications</w:t>
      </w:r>
      <w:bookmarkEnd w:id="48"/>
    </w:p>
    <w:p w14:paraId="305CDB14" w14:textId="77777777" w:rsidR="00D565FD" w:rsidRDefault="00FC3980" w:rsidP="004B0FFC">
      <w:pPr>
        <w:pStyle w:val="subsection"/>
      </w:pPr>
      <w:r>
        <w:tab/>
      </w:r>
      <w:r w:rsidR="00D565FD">
        <w:t>(1)</w:t>
      </w:r>
      <w:r w:rsidR="00D565FD">
        <w:tab/>
        <w:t>This section applies to a determination that</w:t>
      </w:r>
      <w:r w:rsidR="004911C1">
        <w:t xml:space="preserve"> is in force immediately before the commencement of Schedule </w:t>
      </w:r>
      <w:bookmarkStart w:id="49" w:name="BK_S1P11L20C37"/>
      <w:bookmarkEnd w:id="49"/>
      <w:r w:rsidR="004911C1">
        <w:t># to the second amending Act</w:t>
      </w:r>
      <w:r w:rsidR="00D565FD">
        <w:t>:</w:t>
      </w:r>
    </w:p>
    <w:p w14:paraId="754D603C" w14:textId="77777777" w:rsidR="00D565FD" w:rsidRDefault="00D565FD" w:rsidP="004B0FFC">
      <w:pPr>
        <w:pStyle w:val="paragraph"/>
      </w:pPr>
      <w:r>
        <w:tab/>
        <w:t>(a)</w:t>
      </w:r>
      <w:r>
        <w:tab/>
        <w:t xml:space="preserve">under </w:t>
      </w:r>
      <w:r w:rsidR="004B0FFC">
        <w:t>subsection 9</w:t>
      </w:r>
      <w:r>
        <w:t>21B(6); and</w:t>
      </w:r>
    </w:p>
    <w:p w14:paraId="3471D310" w14:textId="77777777" w:rsidR="00D565FD" w:rsidRDefault="00D565FD" w:rsidP="004B0FFC">
      <w:pPr>
        <w:pStyle w:val="paragraph"/>
      </w:pPr>
      <w:r>
        <w:tab/>
        <w:t>(b)</w:t>
      </w:r>
      <w:r>
        <w:tab/>
        <w:t xml:space="preserve">for the purposes of </w:t>
      </w:r>
      <w:r w:rsidR="004B0FFC">
        <w:t>paragraph 9</w:t>
      </w:r>
      <w:r>
        <w:t>21B(2)(a).</w:t>
      </w:r>
    </w:p>
    <w:p w14:paraId="0DBACAA2" w14:textId="77777777" w:rsidR="00D565FD" w:rsidRDefault="00D565FD" w:rsidP="004B0FFC">
      <w:pPr>
        <w:pStyle w:val="subsection"/>
      </w:pPr>
      <w:r>
        <w:tab/>
        <w:t>(2)</w:t>
      </w:r>
      <w:r>
        <w:tab/>
        <w:t xml:space="preserve">The determination continues in force (and may be dealt with) on and after that commencement </w:t>
      </w:r>
      <w:r w:rsidR="003278D1">
        <w:t>as if</w:t>
      </w:r>
      <w:r w:rsidR="004911C1">
        <w:t xml:space="preserve"> the determination had been made</w:t>
      </w:r>
      <w:r w:rsidR="003278D1">
        <w:t>:</w:t>
      </w:r>
    </w:p>
    <w:p w14:paraId="51FC56B5" w14:textId="77777777" w:rsidR="0007690E" w:rsidRDefault="003278D1" w:rsidP="004B0FFC">
      <w:pPr>
        <w:pStyle w:val="paragraph"/>
      </w:pPr>
      <w:r>
        <w:tab/>
        <w:t>(a)</w:t>
      </w:r>
      <w:r>
        <w:tab/>
        <w:t>u</w:t>
      </w:r>
      <w:r w:rsidRPr="003278D1">
        <w:t xml:space="preserve">nder </w:t>
      </w:r>
      <w:r w:rsidR="004B0FFC">
        <w:t>subsection 9</w:t>
      </w:r>
      <w:r w:rsidRPr="003278D1">
        <w:t xml:space="preserve">21B(6) as </w:t>
      </w:r>
      <w:r w:rsidR="00C03424">
        <w:t>amended</w:t>
      </w:r>
      <w:r w:rsidRPr="003278D1">
        <w:t xml:space="preserve"> by that Schedule</w:t>
      </w:r>
      <w:r w:rsidR="0007690E">
        <w:t>; and</w:t>
      </w:r>
    </w:p>
    <w:p w14:paraId="58973DE3" w14:textId="77777777" w:rsidR="001021A5" w:rsidRPr="00C42955" w:rsidRDefault="0007690E" w:rsidP="004B0FFC">
      <w:pPr>
        <w:pStyle w:val="paragraph"/>
      </w:pPr>
      <w:r>
        <w:tab/>
        <w:t>(b)</w:t>
      </w:r>
      <w:r>
        <w:tab/>
      </w:r>
      <w:r w:rsidR="004911C1">
        <w:t xml:space="preserve">for the purposes of </w:t>
      </w:r>
      <w:r w:rsidR="004B0FFC">
        <w:t>paragraph 9</w:t>
      </w:r>
      <w:r w:rsidR="004911C1">
        <w:t>21B(2)(a) as substituted by that Schedule.</w:t>
      </w:r>
    </w:p>
    <w:sectPr w:rsidR="001021A5" w:rsidRPr="00C42955" w:rsidSect="004B0F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794" w:right="2410" w:bottom="4395" w:left="2410" w:header="720" w:footer="3165" w:gutter="0"/>
      <w:lnNumType w:countBy="1" w:distance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6A368" w14:textId="77777777" w:rsidR="009A2EF2" w:rsidRDefault="009A2EF2" w:rsidP="00664C63">
      <w:pPr>
        <w:spacing w:line="240" w:lineRule="auto"/>
      </w:pPr>
      <w:r>
        <w:separator/>
      </w:r>
    </w:p>
  </w:endnote>
  <w:endnote w:type="continuationSeparator" w:id="0">
    <w:p w14:paraId="07EDA080" w14:textId="77777777" w:rsidR="009A2EF2" w:rsidRDefault="009A2EF2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28A08" w14:textId="77777777" w:rsidR="004911C1" w:rsidRPr="00BB4623" w:rsidRDefault="004911C1" w:rsidP="004B0FFC">
    <w:pPr>
      <w:pBdr>
        <w:top w:val="single" w:sz="6" w:space="1" w:color="auto"/>
      </w:pBdr>
      <w:spacing w:before="120"/>
      <w:jc w:val="right"/>
      <w:rPr>
        <w:sz w:val="18"/>
      </w:rPr>
    </w:pPr>
  </w:p>
  <w:p w14:paraId="64D627DA" w14:textId="77777777" w:rsidR="004911C1" w:rsidRPr="00BB4623" w:rsidRDefault="004911C1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Pr="00BB4623">
      <w:rPr>
        <w:i/>
        <w:noProof/>
        <w:sz w:val="18"/>
      </w:rPr>
      <w:t>1</w:t>
    </w:r>
    <w:r w:rsidRPr="00BB4623">
      <w:rPr>
        <w:i/>
        <w:sz w:val="18"/>
      </w:rPr>
      <w:fldChar w:fldCharType="end"/>
    </w:r>
  </w:p>
  <w:p w14:paraId="06C3B2F6" w14:textId="77777777" w:rsidR="004911C1" w:rsidRPr="00BB4623" w:rsidRDefault="004911C1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18AAC" w14:textId="77777777" w:rsidR="004911C1" w:rsidRDefault="004911C1" w:rsidP="004B0FFC">
    <w:pPr>
      <w:pBdr>
        <w:top w:val="single" w:sz="6" w:space="1" w:color="auto"/>
      </w:pBdr>
      <w:spacing w:before="120"/>
      <w:rPr>
        <w:sz w:val="18"/>
      </w:rPr>
    </w:pP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7087"/>
    </w:tblGrid>
    <w:tr w:rsidR="004911C1" w:rsidRPr="00B3608C" w14:paraId="420B7483" w14:textId="77777777" w:rsidTr="00573321">
      <w:trPr>
        <w:trHeight w:val="280"/>
      </w:trPr>
      <w:tc>
        <w:tcPr>
          <w:tcW w:w="7087" w:type="dxa"/>
        </w:tcPr>
        <w:p w14:paraId="5D91EBAF" w14:textId="77777777" w:rsidR="004911C1" w:rsidRPr="00B3608C" w:rsidRDefault="004911C1" w:rsidP="00573321">
          <w:pPr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4911C1" w:rsidRPr="00B3608C" w14:paraId="2313390B" w14:textId="77777777" w:rsidTr="00573321">
      <w:tc>
        <w:tcPr>
          <w:tcW w:w="7087" w:type="dxa"/>
        </w:tcPr>
        <w:p w14:paraId="4C819A8F" w14:textId="77777777" w:rsidR="004911C1" w:rsidRPr="00B3608C" w:rsidRDefault="004911C1" w:rsidP="00573321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14:paraId="33800D59" w14:textId="77777777" w:rsidR="004911C1" w:rsidRPr="00BB4623" w:rsidRDefault="004911C1" w:rsidP="00B3608C">
    <w:pPr>
      <w:pStyle w:val="Tabletext"/>
      <w:spacing w:before="0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203188E9" wp14:editId="275E1AA7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7" name="Text Box 7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0669C4" w14:textId="77777777" w:rsidR="004911C1" w:rsidRPr="00324EB0" w:rsidRDefault="004911C1" w:rsidP="0057332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D309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B0FF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B0FF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D309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D309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D309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D309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3188E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Sec-Footerprimary" style="position:absolute;margin-left:0;margin-top:120.75pt;width:454.55pt;height:31.15pt;z-index:-25165516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Vsfg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" stroked="f" strokeweight=".5pt">
              <v:textbox>
                <w:txbxContent>
                  <w:p w14:paraId="170669C4" w14:textId="77777777" w:rsidR="004911C1" w:rsidRPr="00324EB0" w:rsidRDefault="004911C1" w:rsidP="0057332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D3096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B0FFC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B0FFC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D309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D309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D309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D309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62FF4" w14:textId="77777777" w:rsidR="004911C1" w:rsidRPr="00BB4623" w:rsidRDefault="004911C1" w:rsidP="004B0FF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906F7" w14:textId="77777777" w:rsidR="009A2EF2" w:rsidRDefault="009A2EF2" w:rsidP="00664C63">
      <w:pPr>
        <w:spacing w:line="240" w:lineRule="auto"/>
      </w:pPr>
      <w:r>
        <w:separator/>
      </w:r>
    </w:p>
  </w:footnote>
  <w:footnote w:type="continuationSeparator" w:id="0">
    <w:p w14:paraId="53D1DD38" w14:textId="77777777" w:rsidR="009A2EF2" w:rsidRDefault="009A2EF2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6723B" w14:textId="77777777" w:rsidR="004911C1" w:rsidRPr="00BB4623" w:rsidRDefault="004911C1" w:rsidP="00664C63">
    <w:pPr>
      <w:rPr>
        <w:sz w:val="24"/>
      </w:rPr>
    </w:pPr>
  </w:p>
  <w:p w14:paraId="50C9436F" w14:textId="77777777" w:rsidR="004911C1" w:rsidRPr="00BB4623" w:rsidRDefault="004911C1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83A1A" w14:textId="77777777" w:rsidR="004911C1" w:rsidRPr="00BB4623" w:rsidRDefault="004911C1" w:rsidP="00664C63">
    <w:pPr>
      <w:jc w:val="right"/>
      <w:rPr>
        <w:sz w:val="24"/>
      </w:rPr>
    </w:pPr>
    <w:r w:rsidRPr="00931D06">
      <w:rPr>
        <w:b/>
        <w:noProof/>
        <w:sz w:val="24"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0DEE8EEC" wp14:editId="13EDADCF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7" name="Text Box 10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31417F" w14:textId="50655DAF" w:rsidR="004911C1" w:rsidRPr="00324EB0" w:rsidRDefault="004911C1" w:rsidP="0057332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D309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B0FF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B0FF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D309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D309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D309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237B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EE8EEC"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26" type="#_x0000_t202" alt="Sec-Headerprimary" style="position:absolute;left:0;text-align:left;margin-left:0;margin-top:-25pt;width:454.55pt;height:31.15pt;z-index:-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" stroked="f" strokeweight=".5pt">
              <v:textbox>
                <w:txbxContent>
                  <w:p w14:paraId="6031417F" w14:textId="50655DAF" w:rsidR="004911C1" w:rsidRPr="00324EB0" w:rsidRDefault="004911C1" w:rsidP="0057332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D3096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B0FFC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B0FFC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D309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D309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D309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237B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  <w:p w14:paraId="2029CA8B" w14:textId="77777777" w:rsidR="004911C1" w:rsidRPr="00BB4623" w:rsidRDefault="004911C1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60A86" w14:textId="77777777" w:rsidR="004911C1" w:rsidRPr="00BB4623" w:rsidRDefault="004911C1" w:rsidP="00664C63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B1A80"/>
    <w:multiLevelType w:val="hybridMultilevel"/>
    <w:tmpl w:val="C9E041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1E4FD3"/>
    <w:multiLevelType w:val="hybridMultilevel"/>
    <w:tmpl w:val="53D0DE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666B10"/>
    <w:multiLevelType w:val="hybridMultilevel"/>
    <w:tmpl w:val="0D2A6B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E74814"/>
    <w:multiLevelType w:val="hybridMultilevel"/>
    <w:tmpl w:val="E098A24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B17535"/>
    <w:multiLevelType w:val="hybridMultilevel"/>
    <w:tmpl w:val="7BEEC8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45B32F18"/>
    <w:multiLevelType w:val="hybridMultilevel"/>
    <w:tmpl w:val="D99842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52685"/>
    <w:multiLevelType w:val="hybridMultilevel"/>
    <w:tmpl w:val="E72406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085CC0"/>
    <w:multiLevelType w:val="hybridMultilevel"/>
    <w:tmpl w:val="197892A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286D81"/>
    <w:multiLevelType w:val="hybridMultilevel"/>
    <w:tmpl w:val="6E08837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9753C"/>
    <w:multiLevelType w:val="hybridMultilevel"/>
    <w:tmpl w:val="3B42E5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0E4304"/>
    <w:multiLevelType w:val="hybridMultilevel"/>
    <w:tmpl w:val="6DB29F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036BCF"/>
    <w:multiLevelType w:val="hybridMultilevel"/>
    <w:tmpl w:val="85B4BE1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9B2DC3"/>
    <w:multiLevelType w:val="hybridMultilevel"/>
    <w:tmpl w:val="7FE036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2567B5"/>
    <w:multiLevelType w:val="hybridMultilevel"/>
    <w:tmpl w:val="85E2968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82499996">
    <w:abstractNumId w:val="9"/>
  </w:num>
  <w:num w:numId="2" w16cid:durableId="2083406139">
    <w:abstractNumId w:val="7"/>
  </w:num>
  <w:num w:numId="3" w16cid:durableId="2007902643">
    <w:abstractNumId w:val="6"/>
  </w:num>
  <w:num w:numId="4" w16cid:durableId="1869635360">
    <w:abstractNumId w:val="5"/>
  </w:num>
  <w:num w:numId="5" w16cid:durableId="22638221">
    <w:abstractNumId w:val="4"/>
  </w:num>
  <w:num w:numId="6" w16cid:durableId="1029380614">
    <w:abstractNumId w:val="8"/>
  </w:num>
  <w:num w:numId="7" w16cid:durableId="314065344">
    <w:abstractNumId w:val="3"/>
  </w:num>
  <w:num w:numId="8" w16cid:durableId="2084837519">
    <w:abstractNumId w:val="2"/>
  </w:num>
  <w:num w:numId="9" w16cid:durableId="638875907">
    <w:abstractNumId w:val="1"/>
  </w:num>
  <w:num w:numId="10" w16cid:durableId="824705618">
    <w:abstractNumId w:val="0"/>
  </w:num>
  <w:num w:numId="11" w16cid:durableId="809980059">
    <w:abstractNumId w:val="16"/>
  </w:num>
  <w:num w:numId="12" w16cid:durableId="158497668">
    <w:abstractNumId w:val="11"/>
  </w:num>
  <w:num w:numId="13" w16cid:durableId="64492572">
    <w:abstractNumId w:val="24"/>
  </w:num>
  <w:num w:numId="14" w16cid:durableId="2058360552">
    <w:abstractNumId w:val="10"/>
  </w:num>
  <w:num w:numId="15" w16cid:durableId="570695476">
    <w:abstractNumId w:val="17"/>
  </w:num>
  <w:num w:numId="16" w16cid:durableId="725643456">
    <w:abstractNumId w:val="25"/>
  </w:num>
  <w:num w:numId="17" w16cid:durableId="2089499153">
    <w:abstractNumId w:val="18"/>
  </w:num>
  <w:num w:numId="18" w16cid:durableId="1533691435">
    <w:abstractNumId w:val="13"/>
  </w:num>
  <w:num w:numId="19" w16cid:durableId="2129272102">
    <w:abstractNumId w:val="22"/>
  </w:num>
  <w:num w:numId="20" w16cid:durableId="1255700838">
    <w:abstractNumId w:val="21"/>
  </w:num>
  <w:num w:numId="21" w16cid:durableId="577517016">
    <w:abstractNumId w:val="15"/>
  </w:num>
  <w:num w:numId="22" w16cid:durableId="1083987948">
    <w:abstractNumId w:val="20"/>
  </w:num>
  <w:num w:numId="23" w16cid:durableId="454569959">
    <w:abstractNumId w:val="12"/>
  </w:num>
  <w:num w:numId="24" w16cid:durableId="639841642">
    <w:abstractNumId w:val="19"/>
  </w:num>
  <w:num w:numId="25" w16cid:durableId="875235385">
    <w:abstractNumId w:val="23"/>
  </w:num>
  <w:num w:numId="26" w16cid:durableId="4610708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20B"/>
    <w:rsid w:val="00000530"/>
    <w:rsid w:val="000136AF"/>
    <w:rsid w:val="00014B9A"/>
    <w:rsid w:val="00024267"/>
    <w:rsid w:val="00040B31"/>
    <w:rsid w:val="00043D6A"/>
    <w:rsid w:val="00043FFA"/>
    <w:rsid w:val="00052FE4"/>
    <w:rsid w:val="00055D20"/>
    <w:rsid w:val="000614BF"/>
    <w:rsid w:val="00073485"/>
    <w:rsid w:val="0007372F"/>
    <w:rsid w:val="00073C5A"/>
    <w:rsid w:val="000758E1"/>
    <w:rsid w:val="0007690E"/>
    <w:rsid w:val="00087033"/>
    <w:rsid w:val="00097994"/>
    <w:rsid w:val="000A70E0"/>
    <w:rsid w:val="000B294C"/>
    <w:rsid w:val="000B6F19"/>
    <w:rsid w:val="000C74F9"/>
    <w:rsid w:val="000D05EF"/>
    <w:rsid w:val="000D3899"/>
    <w:rsid w:val="000D3F3F"/>
    <w:rsid w:val="000D4C71"/>
    <w:rsid w:val="000E2D74"/>
    <w:rsid w:val="000F21C1"/>
    <w:rsid w:val="000F4126"/>
    <w:rsid w:val="001016D1"/>
    <w:rsid w:val="00101EB8"/>
    <w:rsid w:val="001021A5"/>
    <w:rsid w:val="0010240E"/>
    <w:rsid w:val="00103676"/>
    <w:rsid w:val="0010745C"/>
    <w:rsid w:val="0011206D"/>
    <w:rsid w:val="00112930"/>
    <w:rsid w:val="00121D08"/>
    <w:rsid w:val="0012565F"/>
    <w:rsid w:val="001374DA"/>
    <w:rsid w:val="001377DD"/>
    <w:rsid w:val="0014106A"/>
    <w:rsid w:val="0014239F"/>
    <w:rsid w:val="00146F13"/>
    <w:rsid w:val="00146F82"/>
    <w:rsid w:val="00155F9A"/>
    <w:rsid w:val="0016200C"/>
    <w:rsid w:val="00164766"/>
    <w:rsid w:val="00165DE7"/>
    <w:rsid w:val="00166C2F"/>
    <w:rsid w:val="00173C43"/>
    <w:rsid w:val="001753D9"/>
    <w:rsid w:val="00182C9A"/>
    <w:rsid w:val="0018435F"/>
    <w:rsid w:val="001939E1"/>
    <w:rsid w:val="00193A4C"/>
    <w:rsid w:val="00195382"/>
    <w:rsid w:val="00196A3F"/>
    <w:rsid w:val="001A260C"/>
    <w:rsid w:val="001A4F72"/>
    <w:rsid w:val="001A785D"/>
    <w:rsid w:val="001B0F61"/>
    <w:rsid w:val="001B5C4A"/>
    <w:rsid w:val="001B67FE"/>
    <w:rsid w:val="001B79C5"/>
    <w:rsid w:val="001C69C4"/>
    <w:rsid w:val="001D14B5"/>
    <w:rsid w:val="001D6765"/>
    <w:rsid w:val="001E3590"/>
    <w:rsid w:val="001E3F1C"/>
    <w:rsid w:val="001E7407"/>
    <w:rsid w:val="001F30B9"/>
    <w:rsid w:val="001F4238"/>
    <w:rsid w:val="002121B9"/>
    <w:rsid w:val="0021250A"/>
    <w:rsid w:val="002125EF"/>
    <w:rsid w:val="0021494E"/>
    <w:rsid w:val="002237BE"/>
    <w:rsid w:val="002277A0"/>
    <w:rsid w:val="00236B9A"/>
    <w:rsid w:val="00240749"/>
    <w:rsid w:val="002546D2"/>
    <w:rsid w:val="00256BA0"/>
    <w:rsid w:val="00263FFF"/>
    <w:rsid w:val="0027276E"/>
    <w:rsid w:val="00281C45"/>
    <w:rsid w:val="00282D95"/>
    <w:rsid w:val="00296415"/>
    <w:rsid w:val="00297ECB"/>
    <w:rsid w:val="002A499D"/>
    <w:rsid w:val="002B1D6F"/>
    <w:rsid w:val="002B2DDF"/>
    <w:rsid w:val="002B3D8D"/>
    <w:rsid w:val="002B5E79"/>
    <w:rsid w:val="002C085A"/>
    <w:rsid w:val="002C74FC"/>
    <w:rsid w:val="002D043A"/>
    <w:rsid w:val="002D659B"/>
    <w:rsid w:val="002D681F"/>
    <w:rsid w:val="002D7505"/>
    <w:rsid w:val="002E45F9"/>
    <w:rsid w:val="002E5B68"/>
    <w:rsid w:val="002F08B3"/>
    <w:rsid w:val="002F3B06"/>
    <w:rsid w:val="00307B1D"/>
    <w:rsid w:val="00307B9B"/>
    <w:rsid w:val="00310872"/>
    <w:rsid w:val="00311FC7"/>
    <w:rsid w:val="00313C6F"/>
    <w:rsid w:val="003166BC"/>
    <w:rsid w:val="00317C13"/>
    <w:rsid w:val="00317F45"/>
    <w:rsid w:val="003251C8"/>
    <w:rsid w:val="003254EC"/>
    <w:rsid w:val="003278D1"/>
    <w:rsid w:val="0033411C"/>
    <w:rsid w:val="00334771"/>
    <w:rsid w:val="003351CF"/>
    <w:rsid w:val="003415D3"/>
    <w:rsid w:val="003420B5"/>
    <w:rsid w:val="003453F2"/>
    <w:rsid w:val="00346186"/>
    <w:rsid w:val="003515DD"/>
    <w:rsid w:val="00352B0F"/>
    <w:rsid w:val="0035492E"/>
    <w:rsid w:val="00355BB6"/>
    <w:rsid w:val="003650D2"/>
    <w:rsid w:val="003658A7"/>
    <w:rsid w:val="00372F2F"/>
    <w:rsid w:val="003829F0"/>
    <w:rsid w:val="00383E48"/>
    <w:rsid w:val="00386372"/>
    <w:rsid w:val="003864D0"/>
    <w:rsid w:val="00386C9E"/>
    <w:rsid w:val="00386E8C"/>
    <w:rsid w:val="003929C8"/>
    <w:rsid w:val="003A450C"/>
    <w:rsid w:val="003A63C6"/>
    <w:rsid w:val="003B0F1E"/>
    <w:rsid w:val="003B2C24"/>
    <w:rsid w:val="003C4FC0"/>
    <w:rsid w:val="003C71C6"/>
    <w:rsid w:val="003D0317"/>
    <w:rsid w:val="003D0BFE"/>
    <w:rsid w:val="003D1D81"/>
    <w:rsid w:val="003D2D96"/>
    <w:rsid w:val="003D5700"/>
    <w:rsid w:val="003E1B16"/>
    <w:rsid w:val="003E4EC8"/>
    <w:rsid w:val="003F5019"/>
    <w:rsid w:val="003F60D2"/>
    <w:rsid w:val="00402376"/>
    <w:rsid w:val="00403DF9"/>
    <w:rsid w:val="004043EE"/>
    <w:rsid w:val="0040616D"/>
    <w:rsid w:val="004116CD"/>
    <w:rsid w:val="00415A61"/>
    <w:rsid w:val="004168B4"/>
    <w:rsid w:val="00424CA9"/>
    <w:rsid w:val="00427D10"/>
    <w:rsid w:val="00435010"/>
    <w:rsid w:val="0044291A"/>
    <w:rsid w:val="00451365"/>
    <w:rsid w:val="00485002"/>
    <w:rsid w:val="004857C8"/>
    <w:rsid w:val="004911C1"/>
    <w:rsid w:val="00494235"/>
    <w:rsid w:val="00496F97"/>
    <w:rsid w:val="004A20E1"/>
    <w:rsid w:val="004A5F8D"/>
    <w:rsid w:val="004A6E2C"/>
    <w:rsid w:val="004B0FFC"/>
    <w:rsid w:val="004B5463"/>
    <w:rsid w:val="004C33DE"/>
    <w:rsid w:val="004C70A5"/>
    <w:rsid w:val="004D5168"/>
    <w:rsid w:val="004E3680"/>
    <w:rsid w:val="004F22BD"/>
    <w:rsid w:val="004F5083"/>
    <w:rsid w:val="004F6843"/>
    <w:rsid w:val="00502CE7"/>
    <w:rsid w:val="005042A0"/>
    <w:rsid w:val="005104CE"/>
    <w:rsid w:val="00516B8D"/>
    <w:rsid w:val="00521070"/>
    <w:rsid w:val="00525272"/>
    <w:rsid w:val="00537FBC"/>
    <w:rsid w:val="00543850"/>
    <w:rsid w:val="00544A19"/>
    <w:rsid w:val="0055360C"/>
    <w:rsid w:val="005569DB"/>
    <w:rsid w:val="00573321"/>
    <w:rsid w:val="005768F3"/>
    <w:rsid w:val="00580203"/>
    <w:rsid w:val="00584052"/>
    <w:rsid w:val="00584811"/>
    <w:rsid w:val="00593AA6"/>
    <w:rsid w:val="00594161"/>
    <w:rsid w:val="00594749"/>
    <w:rsid w:val="00594A73"/>
    <w:rsid w:val="00595F86"/>
    <w:rsid w:val="0059686C"/>
    <w:rsid w:val="005A01DD"/>
    <w:rsid w:val="005A5EA6"/>
    <w:rsid w:val="005A6F34"/>
    <w:rsid w:val="005B0876"/>
    <w:rsid w:val="005B4067"/>
    <w:rsid w:val="005B50FC"/>
    <w:rsid w:val="005B5D0A"/>
    <w:rsid w:val="005C3F41"/>
    <w:rsid w:val="005C5800"/>
    <w:rsid w:val="005D28CC"/>
    <w:rsid w:val="005D4DEA"/>
    <w:rsid w:val="005D67DD"/>
    <w:rsid w:val="005E4009"/>
    <w:rsid w:val="005F62E7"/>
    <w:rsid w:val="00600219"/>
    <w:rsid w:val="0060328D"/>
    <w:rsid w:val="00611C2E"/>
    <w:rsid w:val="00614523"/>
    <w:rsid w:val="006217E8"/>
    <w:rsid w:val="00627D48"/>
    <w:rsid w:val="0063149C"/>
    <w:rsid w:val="0063292B"/>
    <w:rsid w:val="00637587"/>
    <w:rsid w:val="00640264"/>
    <w:rsid w:val="00641296"/>
    <w:rsid w:val="006444FB"/>
    <w:rsid w:val="0065106B"/>
    <w:rsid w:val="006527A6"/>
    <w:rsid w:val="006550CC"/>
    <w:rsid w:val="006609CE"/>
    <w:rsid w:val="006620EF"/>
    <w:rsid w:val="00664AC4"/>
    <w:rsid w:val="00664B49"/>
    <w:rsid w:val="00664C63"/>
    <w:rsid w:val="00665415"/>
    <w:rsid w:val="006704C6"/>
    <w:rsid w:val="0067429B"/>
    <w:rsid w:val="006779BF"/>
    <w:rsid w:val="00677CC2"/>
    <w:rsid w:val="00681A4A"/>
    <w:rsid w:val="0069207B"/>
    <w:rsid w:val="006B51F1"/>
    <w:rsid w:val="006B612A"/>
    <w:rsid w:val="006C3438"/>
    <w:rsid w:val="006C5CF1"/>
    <w:rsid w:val="006C6483"/>
    <w:rsid w:val="006C6A9B"/>
    <w:rsid w:val="006C7F8C"/>
    <w:rsid w:val="006D3764"/>
    <w:rsid w:val="006E0B2E"/>
    <w:rsid w:val="006E443C"/>
    <w:rsid w:val="006E4AB2"/>
    <w:rsid w:val="006F5FE0"/>
    <w:rsid w:val="00700B2C"/>
    <w:rsid w:val="00701722"/>
    <w:rsid w:val="007026F9"/>
    <w:rsid w:val="00703A3F"/>
    <w:rsid w:val="00706E37"/>
    <w:rsid w:val="00713084"/>
    <w:rsid w:val="007168A3"/>
    <w:rsid w:val="007169A0"/>
    <w:rsid w:val="007173B8"/>
    <w:rsid w:val="00731E00"/>
    <w:rsid w:val="00732A85"/>
    <w:rsid w:val="00732B0D"/>
    <w:rsid w:val="007440B7"/>
    <w:rsid w:val="00750C75"/>
    <w:rsid w:val="0075226A"/>
    <w:rsid w:val="00752309"/>
    <w:rsid w:val="007627F4"/>
    <w:rsid w:val="007715C9"/>
    <w:rsid w:val="00774EDD"/>
    <w:rsid w:val="007757EC"/>
    <w:rsid w:val="00776A83"/>
    <w:rsid w:val="007845BF"/>
    <w:rsid w:val="007862A7"/>
    <w:rsid w:val="00792F2B"/>
    <w:rsid w:val="00794403"/>
    <w:rsid w:val="00795FCE"/>
    <w:rsid w:val="007A1666"/>
    <w:rsid w:val="007A659A"/>
    <w:rsid w:val="007B0799"/>
    <w:rsid w:val="007B081F"/>
    <w:rsid w:val="007C0B74"/>
    <w:rsid w:val="007C20A5"/>
    <w:rsid w:val="007C75E2"/>
    <w:rsid w:val="007D103A"/>
    <w:rsid w:val="007E4CC8"/>
    <w:rsid w:val="007F6719"/>
    <w:rsid w:val="00813EB9"/>
    <w:rsid w:val="008141C8"/>
    <w:rsid w:val="008224FD"/>
    <w:rsid w:val="008257AD"/>
    <w:rsid w:val="00830815"/>
    <w:rsid w:val="00834AF8"/>
    <w:rsid w:val="008363AA"/>
    <w:rsid w:val="00844CC4"/>
    <w:rsid w:val="00851A57"/>
    <w:rsid w:val="00856A31"/>
    <w:rsid w:val="008607B6"/>
    <w:rsid w:val="008722C7"/>
    <w:rsid w:val="00872CB6"/>
    <w:rsid w:val="00874241"/>
    <w:rsid w:val="008754D0"/>
    <w:rsid w:val="00876057"/>
    <w:rsid w:val="00876638"/>
    <w:rsid w:val="008807BD"/>
    <w:rsid w:val="008818CB"/>
    <w:rsid w:val="00882064"/>
    <w:rsid w:val="0088296F"/>
    <w:rsid w:val="00883892"/>
    <w:rsid w:val="0089006C"/>
    <w:rsid w:val="00894D6E"/>
    <w:rsid w:val="0089524F"/>
    <w:rsid w:val="008A6470"/>
    <w:rsid w:val="008C06D5"/>
    <w:rsid w:val="008C4C46"/>
    <w:rsid w:val="008C7824"/>
    <w:rsid w:val="008D0785"/>
    <w:rsid w:val="008D0EE0"/>
    <w:rsid w:val="008D127A"/>
    <w:rsid w:val="008D34CA"/>
    <w:rsid w:val="008D4E9C"/>
    <w:rsid w:val="008E05CA"/>
    <w:rsid w:val="008E0AAF"/>
    <w:rsid w:val="008E146B"/>
    <w:rsid w:val="008E3773"/>
    <w:rsid w:val="008F39A6"/>
    <w:rsid w:val="008F5AEE"/>
    <w:rsid w:val="008F6229"/>
    <w:rsid w:val="00900F99"/>
    <w:rsid w:val="009070E9"/>
    <w:rsid w:val="00914D68"/>
    <w:rsid w:val="009155FF"/>
    <w:rsid w:val="00916A5F"/>
    <w:rsid w:val="00922D2F"/>
    <w:rsid w:val="00931A3F"/>
    <w:rsid w:val="00931D06"/>
    <w:rsid w:val="00932377"/>
    <w:rsid w:val="00932FA3"/>
    <w:rsid w:val="009446BC"/>
    <w:rsid w:val="0094585F"/>
    <w:rsid w:val="00951341"/>
    <w:rsid w:val="0095602D"/>
    <w:rsid w:val="0095778F"/>
    <w:rsid w:val="009620C2"/>
    <w:rsid w:val="00970A68"/>
    <w:rsid w:val="00981A81"/>
    <w:rsid w:val="00983B4A"/>
    <w:rsid w:val="00985767"/>
    <w:rsid w:val="00990D6C"/>
    <w:rsid w:val="00993B77"/>
    <w:rsid w:val="0099640D"/>
    <w:rsid w:val="009A276E"/>
    <w:rsid w:val="009A2EF2"/>
    <w:rsid w:val="009B5E8E"/>
    <w:rsid w:val="009B60EF"/>
    <w:rsid w:val="009C0687"/>
    <w:rsid w:val="009C50C2"/>
    <w:rsid w:val="009C612B"/>
    <w:rsid w:val="009E204D"/>
    <w:rsid w:val="009E2FD5"/>
    <w:rsid w:val="009F721C"/>
    <w:rsid w:val="00A120DD"/>
    <w:rsid w:val="00A147F9"/>
    <w:rsid w:val="00A231E2"/>
    <w:rsid w:val="00A25627"/>
    <w:rsid w:val="00A2769E"/>
    <w:rsid w:val="00A316FE"/>
    <w:rsid w:val="00A415B9"/>
    <w:rsid w:val="00A478B3"/>
    <w:rsid w:val="00A523E1"/>
    <w:rsid w:val="00A539A4"/>
    <w:rsid w:val="00A567CC"/>
    <w:rsid w:val="00A604E3"/>
    <w:rsid w:val="00A63D28"/>
    <w:rsid w:val="00A64912"/>
    <w:rsid w:val="00A70A74"/>
    <w:rsid w:val="00A75C4A"/>
    <w:rsid w:val="00A765CF"/>
    <w:rsid w:val="00A81770"/>
    <w:rsid w:val="00A824F1"/>
    <w:rsid w:val="00AA4A1B"/>
    <w:rsid w:val="00AA5445"/>
    <w:rsid w:val="00AB5A90"/>
    <w:rsid w:val="00AC69B9"/>
    <w:rsid w:val="00AC7C08"/>
    <w:rsid w:val="00AD1A83"/>
    <w:rsid w:val="00AD27B3"/>
    <w:rsid w:val="00AD5641"/>
    <w:rsid w:val="00AE07D5"/>
    <w:rsid w:val="00AE59F7"/>
    <w:rsid w:val="00AE7BD7"/>
    <w:rsid w:val="00AE7CE8"/>
    <w:rsid w:val="00AF559A"/>
    <w:rsid w:val="00AF7A8F"/>
    <w:rsid w:val="00B05DED"/>
    <w:rsid w:val="00B0722C"/>
    <w:rsid w:val="00B1120B"/>
    <w:rsid w:val="00B12127"/>
    <w:rsid w:val="00B1529F"/>
    <w:rsid w:val="00B16C37"/>
    <w:rsid w:val="00B21BE3"/>
    <w:rsid w:val="00B26413"/>
    <w:rsid w:val="00B2746B"/>
    <w:rsid w:val="00B301E1"/>
    <w:rsid w:val="00B30BBF"/>
    <w:rsid w:val="00B33B3C"/>
    <w:rsid w:val="00B340B6"/>
    <w:rsid w:val="00B3473A"/>
    <w:rsid w:val="00B3608C"/>
    <w:rsid w:val="00B372A6"/>
    <w:rsid w:val="00B429C2"/>
    <w:rsid w:val="00B47518"/>
    <w:rsid w:val="00B54616"/>
    <w:rsid w:val="00B61AC2"/>
    <w:rsid w:val="00B61C25"/>
    <w:rsid w:val="00B70E56"/>
    <w:rsid w:val="00B7325B"/>
    <w:rsid w:val="00B86184"/>
    <w:rsid w:val="00B87F25"/>
    <w:rsid w:val="00B979E4"/>
    <w:rsid w:val="00BA152B"/>
    <w:rsid w:val="00BA3FFC"/>
    <w:rsid w:val="00BA4899"/>
    <w:rsid w:val="00BB6443"/>
    <w:rsid w:val="00BC30F2"/>
    <w:rsid w:val="00BC69FA"/>
    <w:rsid w:val="00BD1655"/>
    <w:rsid w:val="00BD1B06"/>
    <w:rsid w:val="00BD1C91"/>
    <w:rsid w:val="00BD6517"/>
    <w:rsid w:val="00BE5D91"/>
    <w:rsid w:val="00BE719A"/>
    <w:rsid w:val="00BE720A"/>
    <w:rsid w:val="00BF4F5E"/>
    <w:rsid w:val="00C03424"/>
    <w:rsid w:val="00C1072F"/>
    <w:rsid w:val="00C11250"/>
    <w:rsid w:val="00C1208D"/>
    <w:rsid w:val="00C14346"/>
    <w:rsid w:val="00C17936"/>
    <w:rsid w:val="00C248B4"/>
    <w:rsid w:val="00C300A1"/>
    <w:rsid w:val="00C426F6"/>
    <w:rsid w:val="00C4282A"/>
    <w:rsid w:val="00C42955"/>
    <w:rsid w:val="00C42BF8"/>
    <w:rsid w:val="00C50043"/>
    <w:rsid w:val="00C53114"/>
    <w:rsid w:val="00C53EF1"/>
    <w:rsid w:val="00C56BB4"/>
    <w:rsid w:val="00C56E5D"/>
    <w:rsid w:val="00C60903"/>
    <w:rsid w:val="00C723B9"/>
    <w:rsid w:val="00C72FE9"/>
    <w:rsid w:val="00C7573B"/>
    <w:rsid w:val="00C77D10"/>
    <w:rsid w:val="00C84510"/>
    <w:rsid w:val="00C86CBA"/>
    <w:rsid w:val="00C90350"/>
    <w:rsid w:val="00C90759"/>
    <w:rsid w:val="00CA10C8"/>
    <w:rsid w:val="00CA3C1E"/>
    <w:rsid w:val="00CA565D"/>
    <w:rsid w:val="00CB03AC"/>
    <w:rsid w:val="00CB0972"/>
    <w:rsid w:val="00CB0EA8"/>
    <w:rsid w:val="00CB1C79"/>
    <w:rsid w:val="00CC25B4"/>
    <w:rsid w:val="00CC7A09"/>
    <w:rsid w:val="00CC7D38"/>
    <w:rsid w:val="00CD6B44"/>
    <w:rsid w:val="00CE364B"/>
    <w:rsid w:val="00CF0BB2"/>
    <w:rsid w:val="00CF4975"/>
    <w:rsid w:val="00D00DF6"/>
    <w:rsid w:val="00D052B8"/>
    <w:rsid w:val="00D13441"/>
    <w:rsid w:val="00D145CD"/>
    <w:rsid w:val="00D14B21"/>
    <w:rsid w:val="00D3213F"/>
    <w:rsid w:val="00D339BA"/>
    <w:rsid w:val="00D374CE"/>
    <w:rsid w:val="00D37776"/>
    <w:rsid w:val="00D40252"/>
    <w:rsid w:val="00D467B9"/>
    <w:rsid w:val="00D50E59"/>
    <w:rsid w:val="00D5255B"/>
    <w:rsid w:val="00D562FB"/>
    <w:rsid w:val="00D565FD"/>
    <w:rsid w:val="00D67311"/>
    <w:rsid w:val="00D70DFB"/>
    <w:rsid w:val="00D7165C"/>
    <w:rsid w:val="00D7186F"/>
    <w:rsid w:val="00D71EF1"/>
    <w:rsid w:val="00D766DF"/>
    <w:rsid w:val="00D9284D"/>
    <w:rsid w:val="00DC6200"/>
    <w:rsid w:val="00DD14CE"/>
    <w:rsid w:val="00DD2F1F"/>
    <w:rsid w:val="00DD314D"/>
    <w:rsid w:val="00DE3A84"/>
    <w:rsid w:val="00DE55ED"/>
    <w:rsid w:val="00DF1088"/>
    <w:rsid w:val="00DF71A6"/>
    <w:rsid w:val="00E00314"/>
    <w:rsid w:val="00E007D6"/>
    <w:rsid w:val="00E05704"/>
    <w:rsid w:val="00E06A00"/>
    <w:rsid w:val="00E10969"/>
    <w:rsid w:val="00E10CEF"/>
    <w:rsid w:val="00E1363F"/>
    <w:rsid w:val="00E15AC1"/>
    <w:rsid w:val="00E15E6E"/>
    <w:rsid w:val="00E2441D"/>
    <w:rsid w:val="00E4775C"/>
    <w:rsid w:val="00E54CAB"/>
    <w:rsid w:val="00E64895"/>
    <w:rsid w:val="00E7116F"/>
    <w:rsid w:val="00E74DC7"/>
    <w:rsid w:val="00E7559E"/>
    <w:rsid w:val="00E75E08"/>
    <w:rsid w:val="00E76907"/>
    <w:rsid w:val="00E77221"/>
    <w:rsid w:val="00E773AC"/>
    <w:rsid w:val="00E83CB5"/>
    <w:rsid w:val="00E85584"/>
    <w:rsid w:val="00E85C61"/>
    <w:rsid w:val="00E85CB9"/>
    <w:rsid w:val="00E923B8"/>
    <w:rsid w:val="00E94998"/>
    <w:rsid w:val="00E960E6"/>
    <w:rsid w:val="00EB42CA"/>
    <w:rsid w:val="00EC088F"/>
    <w:rsid w:val="00EC186B"/>
    <w:rsid w:val="00EC226B"/>
    <w:rsid w:val="00EC6AE2"/>
    <w:rsid w:val="00ED0C44"/>
    <w:rsid w:val="00ED1A6C"/>
    <w:rsid w:val="00ED28EF"/>
    <w:rsid w:val="00EE0D3C"/>
    <w:rsid w:val="00EE0D45"/>
    <w:rsid w:val="00EE25A8"/>
    <w:rsid w:val="00EE41B3"/>
    <w:rsid w:val="00EE6DCC"/>
    <w:rsid w:val="00EF2E3A"/>
    <w:rsid w:val="00EF5C33"/>
    <w:rsid w:val="00F0132A"/>
    <w:rsid w:val="00F04532"/>
    <w:rsid w:val="00F04ED5"/>
    <w:rsid w:val="00F078DC"/>
    <w:rsid w:val="00F12E02"/>
    <w:rsid w:val="00F13C10"/>
    <w:rsid w:val="00F1672E"/>
    <w:rsid w:val="00F16BCB"/>
    <w:rsid w:val="00F24F1A"/>
    <w:rsid w:val="00F40038"/>
    <w:rsid w:val="00F44187"/>
    <w:rsid w:val="00F45A16"/>
    <w:rsid w:val="00F5076A"/>
    <w:rsid w:val="00F5452F"/>
    <w:rsid w:val="00F65447"/>
    <w:rsid w:val="00F71234"/>
    <w:rsid w:val="00F726E8"/>
    <w:rsid w:val="00F8103A"/>
    <w:rsid w:val="00F8240D"/>
    <w:rsid w:val="00F83910"/>
    <w:rsid w:val="00FA3991"/>
    <w:rsid w:val="00FA3DFF"/>
    <w:rsid w:val="00FC104F"/>
    <w:rsid w:val="00FC3980"/>
    <w:rsid w:val="00FC4336"/>
    <w:rsid w:val="00FD2948"/>
    <w:rsid w:val="00FD3096"/>
    <w:rsid w:val="00FD4EAD"/>
    <w:rsid w:val="00FE4FE4"/>
    <w:rsid w:val="00FF0CED"/>
    <w:rsid w:val="00FF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D153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B0FF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12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120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12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12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120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120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120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120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120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B0FFC"/>
  </w:style>
  <w:style w:type="paragraph" w:customStyle="1" w:styleId="OPCParaBase">
    <w:name w:val="OPCParaBase"/>
    <w:qFormat/>
    <w:rsid w:val="004B0FF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B0FF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B0FF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B0FF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B0FF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B0FF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4B0FF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B0FF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B0FF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B0FF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B0FF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B0FFC"/>
  </w:style>
  <w:style w:type="paragraph" w:customStyle="1" w:styleId="Blocks">
    <w:name w:val="Blocks"/>
    <w:aliases w:val="bb"/>
    <w:basedOn w:val="OPCParaBase"/>
    <w:qFormat/>
    <w:rsid w:val="004B0FF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B0FF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B0FF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B0FFC"/>
    <w:rPr>
      <w:i/>
    </w:rPr>
  </w:style>
  <w:style w:type="paragraph" w:customStyle="1" w:styleId="BoxList">
    <w:name w:val="BoxList"/>
    <w:aliases w:val="bl"/>
    <w:basedOn w:val="BoxText"/>
    <w:qFormat/>
    <w:rsid w:val="004B0FF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B0FF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B0FF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B0FFC"/>
    <w:pPr>
      <w:ind w:left="1985" w:hanging="851"/>
    </w:pPr>
  </w:style>
  <w:style w:type="character" w:customStyle="1" w:styleId="CharAmPartNo">
    <w:name w:val="CharAmPartNo"/>
    <w:basedOn w:val="OPCCharBase"/>
    <w:qFormat/>
    <w:rsid w:val="004B0FFC"/>
  </w:style>
  <w:style w:type="character" w:customStyle="1" w:styleId="CharAmPartText">
    <w:name w:val="CharAmPartText"/>
    <w:basedOn w:val="OPCCharBase"/>
    <w:qFormat/>
    <w:rsid w:val="004B0FFC"/>
  </w:style>
  <w:style w:type="character" w:customStyle="1" w:styleId="CharAmSchNo">
    <w:name w:val="CharAmSchNo"/>
    <w:basedOn w:val="OPCCharBase"/>
    <w:qFormat/>
    <w:rsid w:val="004B0FFC"/>
  </w:style>
  <w:style w:type="character" w:customStyle="1" w:styleId="CharAmSchText">
    <w:name w:val="CharAmSchText"/>
    <w:basedOn w:val="OPCCharBase"/>
    <w:qFormat/>
    <w:rsid w:val="004B0FFC"/>
  </w:style>
  <w:style w:type="character" w:customStyle="1" w:styleId="CharBoldItalic">
    <w:name w:val="CharBoldItalic"/>
    <w:basedOn w:val="OPCCharBase"/>
    <w:uiPriority w:val="1"/>
    <w:qFormat/>
    <w:rsid w:val="004B0FFC"/>
    <w:rPr>
      <w:b/>
      <w:i/>
    </w:rPr>
  </w:style>
  <w:style w:type="character" w:customStyle="1" w:styleId="CharChapNo">
    <w:name w:val="CharChapNo"/>
    <w:basedOn w:val="OPCCharBase"/>
    <w:uiPriority w:val="1"/>
    <w:qFormat/>
    <w:rsid w:val="004B0FFC"/>
  </w:style>
  <w:style w:type="character" w:customStyle="1" w:styleId="CharChapText">
    <w:name w:val="CharChapText"/>
    <w:basedOn w:val="OPCCharBase"/>
    <w:uiPriority w:val="1"/>
    <w:qFormat/>
    <w:rsid w:val="004B0FFC"/>
  </w:style>
  <w:style w:type="character" w:customStyle="1" w:styleId="CharDivNo">
    <w:name w:val="CharDivNo"/>
    <w:basedOn w:val="OPCCharBase"/>
    <w:uiPriority w:val="1"/>
    <w:qFormat/>
    <w:rsid w:val="004B0FFC"/>
  </w:style>
  <w:style w:type="character" w:customStyle="1" w:styleId="CharDivText">
    <w:name w:val="CharDivText"/>
    <w:basedOn w:val="OPCCharBase"/>
    <w:uiPriority w:val="1"/>
    <w:qFormat/>
    <w:rsid w:val="004B0FFC"/>
  </w:style>
  <w:style w:type="character" w:customStyle="1" w:styleId="CharItalic">
    <w:name w:val="CharItalic"/>
    <w:basedOn w:val="OPCCharBase"/>
    <w:uiPriority w:val="1"/>
    <w:qFormat/>
    <w:rsid w:val="004B0FFC"/>
    <w:rPr>
      <w:i/>
    </w:rPr>
  </w:style>
  <w:style w:type="character" w:customStyle="1" w:styleId="CharPartNo">
    <w:name w:val="CharPartNo"/>
    <w:basedOn w:val="OPCCharBase"/>
    <w:uiPriority w:val="1"/>
    <w:qFormat/>
    <w:rsid w:val="004B0FFC"/>
  </w:style>
  <w:style w:type="character" w:customStyle="1" w:styleId="CharPartText">
    <w:name w:val="CharPartText"/>
    <w:basedOn w:val="OPCCharBase"/>
    <w:uiPriority w:val="1"/>
    <w:qFormat/>
    <w:rsid w:val="004B0FFC"/>
  </w:style>
  <w:style w:type="character" w:customStyle="1" w:styleId="CharSectno">
    <w:name w:val="CharSectno"/>
    <w:basedOn w:val="OPCCharBase"/>
    <w:qFormat/>
    <w:rsid w:val="004B0FFC"/>
  </w:style>
  <w:style w:type="character" w:customStyle="1" w:styleId="CharSubdNo">
    <w:name w:val="CharSubdNo"/>
    <w:basedOn w:val="OPCCharBase"/>
    <w:uiPriority w:val="1"/>
    <w:qFormat/>
    <w:rsid w:val="004B0FFC"/>
  </w:style>
  <w:style w:type="character" w:customStyle="1" w:styleId="CharSubdText">
    <w:name w:val="CharSubdText"/>
    <w:basedOn w:val="OPCCharBase"/>
    <w:uiPriority w:val="1"/>
    <w:qFormat/>
    <w:rsid w:val="004B0FFC"/>
  </w:style>
  <w:style w:type="paragraph" w:customStyle="1" w:styleId="CTA--">
    <w:name w:val="CTA --"/>
    <w:basedOn w:val="OPCParaBase"/>
    <w:next w:val="Normal"/>
    <w:rsid w:val="004B0FF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B0FF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B0FF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B0FF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B0FF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B0FF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B0FF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B0FF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B0FF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B0FF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B0FF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B0FF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B0FF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B0FF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4B0FF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B0FF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B0FF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B0FF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B0FF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B0FF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B0FF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B0FF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B0FF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B0FF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B0FF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B0FF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B0FF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B0FF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B0FF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B0FF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B0FF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B0FF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B0FF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B0FF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B0FF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B0FF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B0FF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B0FF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B0FF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B0FF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B0FF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B0FF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B0FF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B0FF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B0FF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B0FF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B0FF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B0FF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B0FF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B0FF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B0FF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B0FF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B0FF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B0FF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B0FF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4B0FFC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4B0FFC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4B0FFC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4B0FFC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B0FFC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4B0FFC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4B0FFC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4B0FFC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4B0FFC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4B0FF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B0FF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B0FF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B0FF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B0FF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B0FF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B0FF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B0FF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4B0FFC"/>
    <w:rPr>
      <w:sz w:val="16"/>
    </w:rPr>
  </w:style>
  <w:style w:type="table" w:customStyle="1" w:styleId="CFlag">
    <w:name w:val="CFlag"/>
    <w:basedOn w:val="TableNormal"/>
    <w:uiPriority w:val="99"/>
    <w:rsid w:val="004B0FFC"/>
    <w:rPr>
      <w:rFonts w:eastAsia="Times New Roman" w:cs="Times New Roman"/>
      <w:lang w:eastAsia="en-AU"/>
    </w:rPr>
    <w:tblPr/>
  </w:style>
  <w:style w:type="paragraph" w:customStyle="1" w:styleId="CompiledActNo">
    <w:name w:val="CompiledActNo"/>
    <w:basedOn w:val="OPCParaBase"/>
    <w:next w:val="Normal"/>
    <w:rsid w:val="004B0FF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4B0FFC"/>
    <w:rPr>
      <w:i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4B0FFC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4B0FF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4B0FF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B0FF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B0FF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B0FF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B0FF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B0FF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B0FF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4B0FF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B0FF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B0FFC"/>
  </w:style>
  <w:style w:type="character" w:customStyle="1" w:styleId="CharSubPartNoCASA">
    <w:name w:val="CharSubPartNo(CASA)"/>
    <w:basedOn w:val="OPCCharBase"/>
    <w:uiPriority w:val="1"/>
    <w:rsid w:val="004B0FFC"/>
  </w:style>
  <w:style w:type="paragraph" w:customStyle="1" w:styleId="ENoteTTIndentHeadingSub">
    <w:name w:val="ENoteTTIndentHeadingSub"/>
    <w:aliases w:val="enTTHis"/>
    <w:basedOn w:val="OPCParaBase"/>
    <w:rsid w:val="004B0FF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B0FF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B0FF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B0FF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4B0FF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4B0FF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B0FF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B0FFC"/>
    <w:rPr>
      <w:sz w:val="22"/>
    </w:rPr>
  </w:style>
  <w:style w:type="paragraph" w:customStyle="1" w:styleId="SOTextNote">
    <w:name w:val="SO TextNote"/>
    <w:aliases w:val="sont"/>
    <w:basedOn w:val="SOText"/>
    <w:qFormat/>
    <w:rsid w:val="004B0FF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B0FF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B0FFC"/>
    <w:rPr>
      <w:sz w:val="22"/>
    </w:rPr>
  </w:style>
  <w:style w:type="paragraph" w:customStyle="1" w:styleId="FileName">
    <w:name w:val="FileName"/>
    <w:basedOn w:val="Normal"/>
    <w:rsid w:val="004B0FFC"/>
  </w:style>
  <w:style w:type="paragraph" w:customStyle="1" w:styleId="TableHeading">
    <w:name w:val="TableHeading"/>
    <w:aliases w:val="th"/>
    <w:basedOn w:val="OPCParaBase"/>
    <w:next w:val="Tabletext"/>
    <w:rsid w:val="004B0FF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B0FF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B0FF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B0FF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B0FF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B0FF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B0FF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B0FF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B0FF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B0FF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B0FF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B0FF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NotesHeading1">
    <w:name w:val="NotesHeading 1"/>
    <w:basedOn w:val="OPCParaBase"/>
    <w:next w:val="Normal"/>
    <w:rsid w:val="004B0FF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B0FFC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4B0FF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B0FF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dNotespara">
    <w:name w:val="EndNotes(para)"/>
    <w:aliases w:val="eta"/>
    <w:basedOn w:val="OPCParaBase"/>
    <w:next w:val="EndNotessubpara"/>
    <w:rsid w:val="004B0FF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B0FF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B0FF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B0FF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4B0FFC"/>
    <w:pPr>
      <w:spacing w:before="60" w:line="240" w:lineRule="auto"/>
    </w:pPr>
    <w:rPr>
      <w:rFonts w:cs="Arial"/>
      <w:sz w:val="20"/>
      <w:szCs w:val="22"/>
    </w:rPr>
  </w:style>
  <w:style w:type="table" w:styleId="TableGrid">
    <w:name w:val="Table Grid"/>
    <w:basedOn w:val="TableNormal"/>
    <w:uiPriority w:val="59"/>
    <w:rsid w:val="004B0F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sitional">
    <w:name w:val="Transitional"/>
    <w:aliases w:val="tr"/>
    <w:basedOn w:val="ItemHead"/>
    <w:next w:val="Item"/>
    <w:rsid w:val="004B0FFC"/>
  </w:style>
  <w:style w:type="character" w:customStyle="1" w:styleId="Heading1Char">
    <w:name w:val="Heading 1 Char"/>
    <w:basedOn w:val="DefaultParagraphFont"/>
    <w:link w:val="Heading1"/>
    <w:uiPriority w:val="9"/>
    <w:rsid w:val="00B1120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120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120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120B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120B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120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120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120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120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595F8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5F8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8500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81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8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Bills\bill_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bill_ins.dotx</Template>
  <TotalTime>0</TotalTime>
  <Pages>10</Pages>
  <Words>1701</Words>
  <Characters>9698</Characters>
  <Application>Microsoft Office Word</Application>
  <DocSecurity>2</DocSecurity>
  <PresentationFormat/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draft: Treasury Laws Amendment (Measures for Future Bills) Bill 2023: Recognising experience in the financial advice industry</vt:lpstr>
    </vt:vector>
  </TitlesOfParts>
  <Manager/>
  <Company/>
  <LinksUpToDate>false</LinksUpToDate>
  <CharactersWithSpaces>11377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draft: Treasury Laws Amendment (Measures for Future Bills) Bill 2023: Recognising experience in the financial advice industry</dc:title>
  <dc:subject/>
  <dc:creator/>
  <cp:keywords/>
  <dc:description/>
  <cp:lastModifiedBy/>
  <cp:revision>1</cp:revision>
  <cp:lastPrinted>2023-03-23T08:46:00Z</cp:lastPrinted>
  <dcterms:created xsi:type="dcterms:W3CDTF">2023-04-06T04:41:00Z</dcterms:created>
  <dcterms:modified xsi:type="dcterms:W3CDTF">2023-04-11T00:25:00Z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INS</vt:lpwstr>
  </property>
  <property fmtid="{D5CDD505-2E9C-101B-9397-08002B2CF9AE}" pid="3" name="DLM">
    <vt:lpwstr> </vt:lpwstr>
  </property>
  <property fmtid="{D5CDD505-2E9C-101B-9397-08002B2CF9AE}" pid="4" name="Classification">
    <vt:lpwstr>EXPOSURE DRAFT</vt:lpwstr>
  </property>
  <property fmtid="{D5CDD505-2E9C-101B-9397-08002B2CF9AE}" pid="5" name="ShortT">
    <vt:lpwstr>Treasury Laws Amendment (Measures for Future Bills) Bill 2023: Recognising experience in the financial advice industry</vt:lpwstr>
  </property>
  <property fmtid="{D5CDD505-2E9C-101B-9397-08002B2CF9AE}" pid="6" name="Actno">
    <vt:lpwstr/>
  </property>
  <property fmtid="{D5CDD505-2E9C-101B-9397-08002B2CF9AE}" pid="7" name="ID">
    <vt:lpwstr>OPC8217</vt:lpwstr>
  </property>
  <property fmtid="{D5CDD505-2E9C-101B-9397-08002B2CF9AE}" pid="8" name="DoNotAsk">
    <vt:lpwstr>0</vt:lpwstr>
  </property>
  <property fmtid="{D5CDD505-2E9C-101B-9397-08002B2CF9AE}" pid="9" name="ChangedTitle">
    <vt:lpwstr/>
  </property>
  <property fmtid="{D5CDD505-2E9C-101B-9397-08002B2CF9AE}" pid="10" name="TrimID">
    <vt:lpwstr>PC:D23/4986</vt:lpwstr>
  </property>
</Properties>
</file>