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Content>
        <w:p w14:paraId="105F7536"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7D0ABA11" wp14:editId="6D49AFE2">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39204F51" w14:textId="77777777" w:rsidR="00A652B8" w:rsidRPr="006D0240" w:rsidRDefault="00A652B8" w:rsidP="001D4EAA">
          <w:pPr>
            <w:pStyle w:val="Header"/>
            <w:spacing w:after="1320"/>
            <w:jc w:val="left"/>
          </w:pPr>
        </w:p>
        <w:p w14:paraId="278FAC55" w14:textId="03894130" w:rsidR="00A652B8" w:rsidRPr="001D4EAA" w:rsidRDefault="0041423D" w:rsidP="001D4EAA">
          <w:pPr>
            <w:pStyle w:val="Title"/>
          </w:pPr>
          <w:r>
            <w:t>Review</w:t>
          </w:r>
          <w:r w:rsidR="005664A2">
            <w:t xml:space="preserve"> of sunsetting insurance regulations </w:t>
          </w:r>
        </w:p>
        <w:p w14:paraId="4DD30934" w14:textId="77777777" w:rsidR="00A652B8" w:rsidRPr="001D4EAA" w:rsidRDefault="00A652B8" w:rsidP="00082FC2">
          <w:pPr>
            <w:pStyle w:val="Subtitle"/>
            <w:spacing w:after="240"/>
          </w:pPr>
          <w:r>
            <w:t>Consultation paper</w:t>
          </w:r>
        </w:p>
        <w:p w14:paraId="3414DEF1" w14:textId="6664F5D6" w:rsidR="00A652B8" w:rsidRDefault="003B13C7" w:rsidP="001D4EAA">
          <w:pPr>
            <w:pStyle w:val="ReportDate"/>
            <w:rPr>
              <w:rFonts w:ascii="Rockwell" w:hAnsi="Rockwell"/>
              <w:sz w:val="24"/>
            </w:rPr>
          </w:pPr>
          <w:r>
            <w:rPr>
              <w:rStyle w:val="ReportDateChar"/>
            </w:rPr>
            <w:t>1</w:t>
          </w:r>
          <w:r w:rsidR="001D028E">
            <w:rPr>
              <w:rStyle w:val="ReportDateChar"/>
            </w:rPr>
            <w:t>1</w:t>
          </w:r>
          <w:r>
            <w:rPr>
              <w:rStyle w:val="ReportDateChar"/>
            </w:rPr>
            <w:t xml:space="preserve"> April 2023</w:t>
          </w:r>
        </w:p>
        <w:p w14:paraId="1FB98F3B" w14:textId="60F3167A" w:rsidR="00A652B8" w:rsidRPr="00DC345F" w:rsidRDefault="00C52304" w:rsidP="0024039F">
          <w:pPr>
            <w:pStyle w:val="Instructions"/>
            <w:shd w:val="clear" w:color="auto" w:fill="auto"/>
            <w:tabs>
              <w:tab w:val="left" w:pos="1924"/>
              <w:tab w:val="left" w:pos="2949"/>
            </w:tabs>
            <w:ind w:left="0" w:firstLine="0"/>
          </w:pPr>
          <w:r>
            <w:tab/>
          </w:r>
        </w:p>
        <w:p w14:paraId="0EF2089A" w14:textId="77777777" w:rsidR="00A652B8" w:rsidRDefault="00A652B8" w:rsidP="00775702">
          <w:pPr>
            <w:spacing w:after="1640"/>
          </w:pPr>
        </w:p>
        <w:p w14:paraId="7640B56A" w14:textId="77777777" w:rsidR="00A652B8" w:rsidRDefault="00A652B8" w:rsidP="00775702">
          <w:pPr>
            <w:spacing w:after="1640"/>
          </w:pPr>
        </w:p>
        <w:p w14:paraId="2B7C8990" w14:textId="77777777" w:rsidR="00A652B8" w:rsidRDefault="00A652B8">
          <w:pPr>
            <w:spacing w:before="0" w:after="160" w:line="259" w:lineRule="auto"/>
          </w:pPr>
          <w:r>
            <w:br w:type="page"/>
          </w:r>
        </w:p>
      </w:sdtContent>
    </w:sdt>
    <w:p w14:paraId="63B61C12"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3BB089E6" w14:textId="66DB0FE7" w:rsidR="000E0B74" w:rsidRDefault="000E0B74" w:rsidP="000E0B74">
      <w:pPr>
        <w:spacing w:before="240"/>
      </w:pPr>
      <w:r w:rsidRPr="00661BF0">
        <w:lastRenderedPageBreak/>
        <w:t xml:space="preserve">© Commonwealth of Australia </w:t>
      </w:r>
      <w:r w:rsidRPr="009F53B4">
        <w:t>20</w:t>
      </w:r>
      <w:r w:rsidR="00EF2FBF" w:rsidRPr="009F53B4">
        <w:t>2</w:t>
      </w:r>
      <w:r w:rsidR="009F53B4" w:rsidRPr="009F53B4">
        <w:t>3</w:t>
      </w:r>
    </w:p>
    <w:p w14:paraId="7EA71411" w14:textId="268934EE"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6AB9D65F" w14:textId="77777777" w:rsidR="000E0B74" w:rsidRDefault="000E0B74" w:rsidP="000E0B74">
      <w:pPr>
        <w:pStyle w:val="ChartGraphic"/>
        <w:jc w:val="left"/>
      </w:pPr>
      <w:r w:rsidRPr="00E56DFB">
        <w:rPr>
          <w:noProof/>
          <w:lang w:eastAsia="zh-CN"/>
        </w:rPr>
        <w:drawing>
          <wp:inline distT="0" distB="0" distL="0" distR="0" wp14:anchorId="0355FE3C" wp14:editId="1506E4C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661E0A3"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23F3BD29" w14:textId="77777777" w:rsidR="000E0B74" w:rsidRPr="0031276E" w:rsidRDefault="000E0B74" w:rsidP="0031276E">
      <w:pPr>
        <w:spacing w:before="240"/>
        <w:rPr>
          <w:b/>
        </w:rPr>
      </w:pPr>
      <w:r w:rsidRPr="0031276E">
        <w:rPr>
          <w:b/>
        </w:rPr>
        <w:t>Treasury material used ‘as supplied’</w:t>
      </w:r>
    </w:p>
    <w:p w14:paraId="58AC8FC1"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F13D25A" w14:textId="0CF174CB" w:rsidR="000E0B74" w:rsidRPr="00A13A11" w:rsidRDefault="000E0B74" w:rsidP="000E0B74">
      <w:pPr>
        <w:ind w:firstLine="720"/>
      </w:pPr>
      <w:r w:rsidRPr="002F1BC2">
        <w:rPr>
          <w:i/>
        </w:rPr>
        <w:t xml:space="preserve">Source: The </w:t>
      </w:r>
      <w:r w:rsidRPr="002F1BC2">
        <w:rPr>
          <w:i/>
          <w:iCs/>
        </w:rPr>
        <w:t>Australian Government the Treasury</w:t>
      </w:r>
      <w:r>
        <w:t>.</w:t>
      </w:r>
    </w:p>
    <w:p w14:paraId="6679AE78"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5272176"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93B8CFA" w14:textId="6F700553" w:rsidR="000E0B74" w:rsidRPr="006627B4" w:rsidRDefault="000E0B74" w:rsidP="000E0B74">
      <w:pPr>
        <w:ind w:firstLine="720"/>
      </w:pPr>
      <w:r w:rsidRPr="002F1BC2">
        <w:rPr>
          <w:i/>
        </w:rPr>
        <w:t>Based on The Australian Government the Treasury data</w:t>
      </w:r>
      <w:r>
        <w:t>.</w:t>
      </w:r>
    </w:p>
    <w:p w14:paraId="6C9C15E1" w14:textId="77777777" w:rsidR="000E0B74" w:rsidRPr="006627B4" w:rsidRDefault="000E0B74" w:rsidP="000E0B74">
      <w:pPr>
        <w:spacing w:before="240"/>
        <w:rPr>
          <w:b/>
        </w:rPr>
      </w:pPr>
      <w:r w:rsidRPr="006627B4">
        <w:rPr>
          <w:b/>
        </w:rPr>
        <w:t>Use of the Coat of Arms</w:t>
      </w:r>
    </w:p>
    <w:p w14:paraId="3B004862"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00474693" w:rsidRPr="00770ED6">
          <w:rPr>
            <w:rStyle w:val="Hyperlink"/>
          </w:rPr>
          <w:t>www.pmc.gov.au/government/commonwealth-coat-arms</w:t>
        </w:r>
      </w:hyperlink>
      <w:r w:rsidRPr="004A7BC2">
        <w:t>).</w:t>
      </w:r>
    </w:p>
    <w:p w14:paraId="14E5A3F5" w14:textId="77777777" w:rsidR="000E0B74" w:rsidRPr="006627B4" w:rsidRDefault="000E0B74" w:rsidP="000E0B74">
      <w:pPr>
        <w:spacing w:before="240"/>
        <w:rPr>
          <w:b/>
        </w:rPr>
      </w:pPr>
      <w:r>
        <w:rPr>
          <w:b/>
        </w:rPr>
        <w:t>Other u</w:t>
      </w:r>
      <w:r w:rsidRPr="006627B4">
        <w:rPr>
          <w:b/>
        </w:rPr>
        <w:t>ses</w:t>
      </w:r>
    </w:p>
    <w:p w14:paraId="48CFA500" w14:textId="77777777" w:rsidR="000E0B74" w:rsidRPr="006627B4" w:rsidRDefault="000E0B74" w:rsidP="000E0B74">
      <w:r>
        <w:t>E</w:t>
      </w:r>
      <w:r w:rsidRPr="006627B4">
        <w:t>nquiries regarding this licence and any other use of this document are welcome at:</w:t>
      </w:r>
    </w:p>
    <w:p w14:paraId="60F9D747" w14:textId="77777777" w:rsidR="000E0B74" w:rsidRPr="002F1BC2" w:rsidRDefault="000E0B74" w:rsidP="000E0B74">
      <w:pPr>
        <w:ind w:left="720"/>
        <w:rPr>
          <w:rStyle w:val="Hyperlink"/>
        </w:rPr>
      </w:pPr>
      <w:r w:rsidRPr="006627B4">
        <w:t>Manager</w:t>
      </w:r>
      <w:r w:rsidR="009A668A">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6BC4964F" w14:textId="77777777" w:rsidR="000E0B74" w:rsidRDefault="000E0B74" w:rsidP="000E0B74">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p w14:paraId="6FC73488" w14:textId="77777777" w:rsidR="000E0B74" w:rsidRPr="00354FBB" w:rsidRDefault="000E0B74" w:rsidP="00354FBB">
      <w:pPr>
        <w:pStyle w:val="Heading1"/>
      </w:pPr>
      <w:bookmarkStart w:id="0" w:name="_Toc132114424"/>
      <w:r w:rsidRPr="00354FBB">
        <w:lastRenderedPageBreak/>
        <w:t>Contents</w:t>
      </w:r>
      <w:bookmarkEnd w:id="0"/>
    </w:p>
    <w:p w14:paraId="3BECE549" w14:textId="7EEC6306" w:rsidR="009B49CD"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32114424" w:history="1">
        <w:r w:rsidR="009B49CD" w:rsidRPr="00D86947">
          <w:rPr>
            <w:rStyle w:val="Hyperlink"/>
          </w:rPr>
          <w:t>Contents</w:t>
        </w:r>
        <w:r w:rsidR="009B49CD">
          <w:rPr>
            <w:webHidden/>
          </w:rPr>
          <w:tab/>
        </w:r>
        <w:r w:rsidR="009B49CD">
          <w:rPr>
            <w:webHidden/>
          </w:rPr>
          <w:fldChar w:fldCharType="begin"/>
        </w:r>
        <w:r w:rsidR="009B49CD">
          <w:rPr>
            <w:webHidden/>
          </w:rPr>
          <w:instrText xml:space="preserve"> PAGEREF _Toc132114424 \h </w:instrText>
        </w:r>
        <w:r w:rsidR="009B49CD">
          <w:rPr>
            <w:webHidden/>
          </w:rPr>
        </w:r>
        <w:r w:rsidR="009B49CD">
          <w:rPr>
            <w:webHidden/>
          </w:rPr>
          <w:fldChar w:fldCharType="separate"/>
        </w:r>
        <w:r w:rsidR="009B49CD">
          <w:rPr>
            <w:webHidden/>
          </w:rPr>
          <w:t>ii</w:t>
        </w:r>
        <w:r w:rsidR="009B49CD">
          <w:rPr>
            <w:webHidden/>
          </w:rPr>
          <w:fldChar w:fldCharType="end"/>
        </w:r>
      </w:hyperlink>
    </w:p>
    <w:p w14:paraId="0A250481" w14:textId="037709D0" w:rsidR="009B49CD" w:rsidRDefault="00000000">
      <w:pPr>
        <w:pStyle w:val="TOC1"/>
        <w:rPr>
          <w:rFonts w:asciiTheme="minorHAnsi" w:eastAsiaTheme="minorEastAsia" w:hAnsiTheme="minorHAnsi" w:cstheme="minorBidi"/>
          <w:b w:val="0"/>
          <w:color w:val="auto"/>
        </w:rPr>
      </w:pPr>
      <w:hyperlink w:anchor="_Toc132114425" w:history="1">
        <w:r w:rsidR="009B49CD" w:rsidRPr="00D86947">
          <w:rPr>
            <w:rStyle w:val="Hyperlink"/>
          </w:rPr>
          <w:t>Consultation Process</w:t>
        </w:r>
        <w:r w:rsidR="009B49CD">
          <w:rPr>
            <w:webHidden/>
          </w:rPr>
          <w:tab/>
        </w:r>
        <w:r w:rsidR="009B49CD">
          <w:rPr>
            <w:webHidden/>
          </w:rPr>
          <w:fldChar w:fldCharType="begin"/>
        </w:r>
        <w:r w:rsidR="009B49CD">
          <w:rPr>
            <w:webHidden/>
          </w:rPr>
          <w:instrText xml:space="preserve"> PAGEREF _Toc132114425 \h </w:instrText>
        </w:r>
        <w:r w:rsidR="009B49CD">
          <w:rPr>
            <w:webHidden/>
          </w:rPr>
        </w:r>
        <w:r w:rsidR="009B49CD">
          <w:rPr>
            <w:webHidden/>
          </w:rPr>
          <w:fldChar w:fldCharType="separate"/>
        </w:r>
        <w:r w:rsidR="009B49CD">
          <w:rPr>
            <w:webHidden/>
          </w:rPr>
          <w:t>3</w:t>
        </w:r>
        <w:r w:rsidR="009B49CD">
          <w:rPr>
            <w:webHidden/>
          </w:rPr>
          <w:fldChar w:fldCharType="end"/>
        </w:r>
      </w:hyperlink>
    </w:p>
    <w:p w14:paraId="492A7A51" w14:textId="2B15F5B5" w:rsidR="009B49CD" w:rsidRDefault="00000000">
      <w:pPr>
        <w:pStyle w:val="TOC2"/>
        <w:rPr>
          <w:rFonts w:asciiTheme="minorHAnsi" w:eastAsiaTheme="minorEastAsia" w:hAnsiTheme="minorHAnsi" w:cstheme="minorBidi"/>
          <w:color w:val="auto"/>
          <w:szCs w:val="22"/>
        </w:rPr>
      </w:pPr>
      <w:hyperlink w:anchor="_Toc132114426" w:history="1">
        <w:r w:rsidR="009B49CD" w:rsidRPr="00D86947">
          <w:rPr>
            <w:rStyle w:val="Hyperlink"/>
          </w:rPr>
          <w:t>Request for feedback and comments</w:t>
        </w:r>
        <w:r w:rsidR="009B49CD">
          <w:rPr>
            <w:webHidden/>
          </w:rPr>
          <w:tab/>
        </w:r>
        <w:r w:rsidR="009B49CD">
          <w:rPr>
            <w:webHidden/>
          </w:rPr>
          <w:fldChar w:fldCharType="begin"/>
        </w:r>
        <w:r w:rsidR="009B49CD">
          <w:rPr>
            <w:webHidden/>
          </w:rPr>
          <w:instrText xml:space="preserve"> PAGEREF _Toc132114426 \h </w:instrText>
        </w:r>
        <w:r w:rsidR="009B49CD">
          <w:rPr>
            <w:webHidden/>
          </w:rPr>
        </w:r>
        <w:r w:rsidR="009B49CD">
          <w:rPr>
            <w:webHidden/>
          </w:rPr>
          <w:fldChar w:fldCharType="separate"/>
        </w:r>
        <w:r w:rsidR="009B49CD">
          <w:rPr>
            <w:webHidden/>
          </w:rPr>
          <w:t>3</w:t>
        </w:r>
        <w:r w:rsidR="009B49CD">
          <w:rPr>
            <w:webHidden/>
          </w:rPr>
          <w:fldChar w:fldCharType="end"/>
        </w:r>
      </w:hyperlink>
    </w:p>
    <w:p w14:paraId="7DA34AC4" w14:textId="0A8EDBF0" w:rsidR="009B49CD" w:rsidRDefault="00000000">
      <w:pPr>
        <w:pStyle w:val="TOC1"/>
        <w:rPr>
          <w:rFonts w:asciiTheme="minorHAnsi" w:eastAsiaTheme="minorEastAsia" w:hAnsiTheme="minorHAnsi" w:cstheme="minorBidi"/>
          <w:b w:val="0"/>
          <w:color w:val="auto"/>
        </w:rPr>
      </w:pPr>
      <w:hyperlink w:anchor="_Toc132114427" w:history="1">
        <w:r w:rsidR="009B49CD" w:rsidRPr="00D86947">
          <w:rPr>
            <w:rStyle w:val="Hyperlink"/>
          </w:rPr>
          <w:t>Review of sunsetting insurance regulations</w:t>
        </w:r>
        <w:r w:rsidR="009B49CD">
          <w:rPr>
            <w:webHidden/>
          </w:rPr>
          <w:tab/>
        </w:r>
        <w:r w:rsidR="009B49CD">
          <w:rPr>
            <w:webHidden/>
          </w:rPr>
          <w:fldChar w:fldCharType="begin"/>
        </w:r>
        <w:r w:rsidR="009B49CD">
          <w:rPr>
            <w:webHidden/>
          </w:rPr>
          <w:instrText xml:space="preserve"> PAGEREF _Toc132114427 \h </w:instrText>
        </w:r>
        <w:r w:rsidR="009B49CD">
          <w:rPr>
            <w:webHidden/>
          </w:rPr>
        </w:r>
        <w:r w:rsidR="009B49CD">
          <w:rPr>
            <w:webHidden/>
          </w:rPr>
          <w:fldChar w:fldCharType="separate"/>
        </w:r>
        <w:r w:rsidR="009B49CD">
          <w:rPr>
            <w:webHidden/>
          </w:rPr>
          <w:t>4</w:t>
        </w:r>
        <w:r w:rsidR="009B49CD">
          <w:rPr>
            <w:webHidden/>
          </w:rPr>
          <w:fldChar w:fldCharType="end"/>
        </w:r>
      </w:hyperlink>
    </w:p>
    <w:p w14:paraId="7C783D22" w14:textId="0F52C57D" w:rsidR="009B49CD" w:rsidRDefault="00000000">
      <w:pPr>
        <w:pStyle w:val="TOC2"/>
        <w:rPr>
          <w:rFonts w:asciiTheme="minorHAnsi" w:eastAsiaTheme="minorEastAsia" w:hAnsiTheme="minorHAnsi" w:cstheme="minorBidi"/>
          <w:color w:val="auto"/>
          <w:szCs w:val="22"/>
        </w:rPr>
      </w:pPr>
      <w:hyperlink w:anchor="_Toc132114428" w:history="1">
        <w:r w:rsidR="009B49CD" w:rsidRPr="00D86947">
          <w:rPr>
            <w:rStyle w:val="Hyperlink"/>
          </w:rPr>
          <w:t>Introduction</w:t>
        </w:r>
        <w:r w:rsidR="009B49CD">
          <w:rPr>
            <w:webHidden/>
          </w:rPr>
          <w:tab/>
        </w:r>
        <w:r w:rsidR="009B49CD">
          <w:rPr>
            <w:webHidden/>
          </w:rPr>
          <w:fldChar w:fldCharType="begin"/>
        </w:r>
        <w:r w:rsidR="009B49CD">
          <w:rPr>
            <w:webHidden/>
          </w:rPr>
          <w:instrText xml:space="preserve"> PAGEREF _Toc132114428 \h </w:instrText>
        </w:r>
        <w:r w:rsidR="009B49CD">
          <w:rPr>
            <w:webHidden/>
          </w:rPr>
        </w:r>
        <w:r w:rsidR="009B49CD">
          <w:rPr>
            <w:webHidden/>
          </w:rPr>
          <w:fldChar w:fldCharType="separate"/>
        </w:r>
        <w:r w:rsidR="009B49CD">
          <w:rPr>
            <w:webHidden/>
          </w:rPr>
          <w:t>4</w:t>
        </w:r>
        <w:r w:rsidR="009B49CD">
          <w:rPr>
            <w:webHidden/>
          </w:rPr>
          <w:fldChar w:fldCharType="end"/>
        </w:r>
      </w:hyperlink>
    </w:p>
    <w:p w14:paraId="2BCE2BFA" w14:textId="5EF9640A" w:rsidR="009B49CD" w:rsidRDefault="00000000">
      <w:pPr>
        <w:pStyle w:val="TOC2"/>
        <w:rPr>
          <w:rFonts w:asciiTheme="minorHAnsi" w:eastAsiaTheme="minorEastAsia" w:hAnsiTheme="minorHAnsi" w:cstheme="minorBidi"/>
          <w:color w:val="auto"/>
          <w:szCs w:val="22"/>
        </w:rPr>
      </w:pPr>
      <w:hyperlink w:anchor="_Toc132114429" w:history="1">
        <w:r w:rsidR="009B49CD" w:rsidRPr="00D86947">
          <w:rPr>
            <w:rStyle w:val="Hyperlink"/>
          </w:rPr>
          <w:t>Purpose</w:t>
        </w:r>
        <w:r w:rsidR="009B49CD">
          <w:rPr>
            <w:webHidden/>
          </w:rPr>
          <w:tab/>
        </w:r>
        <w:r w:rsidR="009B49CD">
          <w:rPr>
            <w:webHidden/>
          </w:rPr>
          <w:fldChar w:fldCharType="begin"/>
        </w:r>
        <w:r w:rsidR="009B49CD">
          <w:rPr>
            <w:webHidden/>
          </w:rPr>
          <w:instrText xml:space="preserve"> PAGEREF _Toc132114429 \h </w:instrText>
        </w:r>
        <w:r w:rsidR="009B49CD">
          <w:rPr>
            <w:webHidden/>
          </w:rPr>
        </w:r>
        <w:r w:rsidR="009B49CD">
          <w:rPr>
            <w:webHidden/>
          </w:rPr>
          <w:fldChar w:fldCharType="separate"/>
        </w:r>
        <w:r w:rsidR="009B49CD">
          <w:rPr>
            <w:webHidden/>
          </w:rPr>
          <w:t>4</w:t>
        </w:r>
        <w:r w:rsidR="009B49CD">
          <w:rPr>
            <w:webHidden/>
          </w:rPr>
          <w:fldChar w:fldCharType="end"/>
        </w:r>
      </w:hyperlink>
    </w:p>
    <w:p w14:paraId="1F79DB95" w14:textId="27C864CD" w:rsidR="009B49CD" w:rsidRDefault="00000000">
      <w:pPr>
        <w:pStyle w:val="TOC2"/>
        <w:rPr>
          <w:rFonts w:asciiTheme="minorHAnsi" w:eastAsiaTheme="minorEastAsia" w:hAnsiTheme="minorHAnsi" w:cstheme="minorBidi"/>
          <w:color w:val="auto"/>
          <w:szCs w:val="22"/>
        </w:rPr>
      </w:pPr>
      <w:hyperlink w:anchor="_Toc132114430" w:history="1">
        <w:r w:rsidR="009B49CD" w:rsidRPr="00D86947">
          <w:rPr>
            <w:rStyle w:val="Hyperlink"/>
          </w:rPr>
          <w:t>Issues for discussion</w:t>
        </w:r>
        <w:r w:rsidR="009B49CD">
          <w:rPr>
            <w:webHidden/>
          </w:rPr>
          <w:tab/>
        </w:r>
        <w:r w:rsidR="009B49CD">
          <w:rPr>
            <w:webHidden/>
          </w:rPr>
          <w:fldChar w:fldCharType="begin"/>
        </w:r>
        <w:r w:rsidR="009B49CD">
          <w:rPr>
            <w:webHidden/>
          </w:rPr>
          <w:instrText xml:space="preserve"> PAGEREF _Toc132114430 \h </w:instrText>
        </w:r>
        <w:r w:rsidR="009B49CD">
          <w:rPr>
            <w:webHidden/>
          </w:rPr>
        </w:r>
        <w:r w:rsidR="009B49CD">
          <w:rPr>
            <w:webHidden/>
          </w:rPr>
          <w:fldChar w:fldCharType="separate"/>
        </w:r>
        <w:r w:rsidR="009B49CD">
          <w:rPr>
            <w:webHidden/>
          </w:rPr>
          <w:t>5</w:t>
        </w:r>
        <w:r w:rsidR="009B49CD">
          <w:rPr>
            <w:webHidden/>
          </w:rPr>
          <w:fldChar w:fldCharType="end"/>
        </w:r>
      </w:hyperlink>
    </w:p>
    <w:p w14:paraId="20E99ABA" w14:textId="623A953A" w:rsidR="009B49CD" w:rsidRDefault="00000000">
      <w:pPr>
        <w:pStyle w:val="TOC2"/>
        <w:rPr>
          <w:rFonts w:asciiTheme="minorHAnsi" w:eastAsiaTheme="minorEastAsia" w:hAnsiTheme="minorHAnsi" w:cstheme="minorBidi"/>
          <w:color w:val="auto"/>
          <w:szCs w:val="22"/>
        </w:rPr>
      </w:pPr>
      <w:hyperlink w:anchor="_Toc132114431" w:history="1">
        <w:r w:rsidR="009B49CD" w:rsidRPr="00D86947">
          <w:rPr>
            <w:rStyle w:val="Hyperlink"/>
          </w:rPr>
          <w:t>Consultation Questions</w:t>
        </w:r>
        <w:r w:rsidR="009B49CD">
          <w:rPr>
            <w:webHidden/>
          </w:rPr>
          <w:tab/>
        </w:r>
        <w:r w:rsidR="009B49CD">
          <w:rPr>
            <w:webHidden/>
          </w:rPr>
          <w:fldChar w:fldCharType="begin"/>
        </w:r>
        <w:r w:rsidR="009B49CD">
          <w:rPr>
            <w:webHidden/>
          </w:rPr>
          <w:instrText xml:space="preserve"> PAGEREF _Toc132114431 \h </w:instrText>
        </w:r>
        <w:r w:rsidR="009B49CD">
          <w:rPr>
            <w:webHidden/>
          </w:rPr>
        </w:r>
        <w:r w:rsidR="009B49CD">
          <w:rPr>
            <w:webHidden/>
          </w:rPr>
          <w:fldChar w:fldCharType="separate"/>
        </w:r>
        <w:r w:rsidR="009B49CD">
          <w:rPr>
            <w:webHidden/>
          </w:rPr>
          <w:t>11</w:t>
        </w:r>
        <w:r w:rsidR="009B49CD">
          <w:rPr>
            <w:webHidden/>
          </w:rPr>
          <w:fldChar w:fldCharType="end"/>
        </w:r>
      </w:hyperlink>
    </w:p>
    <w:p w14:paraId="14060653" w14:textId="3CE1A2DE" w:rsidR="000E0B74" w:rsidRDefault="00257AEE" w:rsidP="00656356">
      <w:pPr>
        <w:pStyle w:val="SingleParagraph"/>
        <w:tabs>
          <w:tab w:val="right" w:leader="dot" w:pos="9072"/>
        </w:tabs>
        <w:ind w:right="-2"/>
        <w:sectPr w:rsidR="000E0B74" w:rsidSect="008043EA">
          <w:footerReference w:type="default" r:id="rId18"/>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462D4E2F" w14:textId="77777777" w:rsidR="000E0B74" w:rsidRDefault="000E0B74" w:rsidP="00354FBB">
      <w:pPr>
        <w:pStyle w:val="Heading1"/>
      </w:pPr>
      <w:bookmarkStart w:id="1" w:name="_Toc132114425"/>
      <w:bookmarkStart w:id="2" w:name="_Toc432067103"/>
      <w:r>
        <w:lastRenderedPageBreak/>
        <w:t>Consultation Process</w:t>
      </w:r>
      <w:bookmarkEnd w:id="1"/>
    </w:p>
    <w:p w14:paraId="531D3C1C" w14:textId="77777777" w:rsidR="000E0B74" w:rsidRDefault="000E0B74" w:rsidP="000E0B74">
      <w:pPr>
        <w:pStyle w:val="Heading2"/>
      </w:pPr>
      <w:bookmarkStart w:id="3" w:name="_Toc132114426"/>
      <w:r>
        <w:t>Request for feedback and comments</w:t>
      </w:r>
      <w:bookmarkEnd w:id="3"/>
    </w:p>
    <w:p w14:paraId="44096B47" w14:textId="12421D8E" w:rsidR="000228D4" w:rsidRDefault="00D34DA3" w:rsidP="000E0B74">
      <w:r>
        <w:t xml:space="preserve">Interested stakeholders are invited to comment on the issues raised in this paper by </w:t>
      </w:r>
      <w:r w:rsidR="00486753">
        <w:t>26</w:t>
      </w:r>
      <w:r w:rsidR="000E782C">
        <w:t xml:space="preserve"> April 2023</w:t>
      </w:r>
      <w:r>
        <w:t>.</w:t>
      </w:r>
      <w:r w:rsidR="00D26EF2">
        <w:t xml:space="preserve"> Where your submission relates only to proposed amendments </w:t>
      </w:r>
      <w:r w:rsidR="00B240F0">
        <w:t xml:space="preserve">set out </w:t>
      </w:r>
      <w:r w:rsidR="00E4637E">
        <w:t xml:space="preserve">in the draft regulations and has no implications for the changes proposed by </w:t>
      </w:r>
      <w:r w:rsidR="00E4637E" w:rsidRPr="00B03796">
        <w:t xml:space="preserve">the </w:t>
      </w:r>
      <w:r w:rsidR="00C4063A">
        <w:t>Exposure Draft Primary Legislation,</w:t>
      </w:r>
      <w:r w:rsidR="005F60C6">
        <w:t xml:space="preserve"> </w:t>
      </w:r>
      <w:r w:rsidR="003B0167" w:rsidRPr="00B03796">
        <w:t>we will consider submissions provided</w:t>
      </w:r>
      <w:r w:rsidR="00A47851" w:rsidRPr="00B03796">
        <w:t xml:space="preserve"> by</w:t>
      </w:r>
      <w:r w:rsidR="00D02F13" w:rsidRPr="00B03796">
        <w:t xml:space="preserve"> </w:t>
      </w:r>
      <w:r w:rsidR="00F813C1">
        <w:t>10</w:t>
      </w:r>
      <w:r w:rsidR="00EE422A">
        <w:t xml:space="preserve"> May</w:t>
      </w:r>
      <w:r w:rsidR="00F015C9" w:rsidRPr="00B03796">
        <w:t xml:space="preserve"> 2023.</w:t>
      </w:r>
      <w:r w:rsidR="00B240F0" w:rsidRPr="00B03796">
        <w:t xml:space="preserve"> </w:t>
      </w:r>
      <w:r w:rsidR="00F015C9" w:rsidRPr="00B03796">
        <w:t>T</w:t>
      </w:r>
      <w:r w:rsidR="00B240F0" w:rsidRPr="00B03796">
        <w:t xml:space="preserve">he </w:t>
      </w:r>
      <w:r w:rsidRPr="00B03796">
        <w:t>Submissions</w:t>
      </w:r>
      <w:r>
        <w:t xml:space="preserve"> may be lodged electronically or by post; however, electronic lodgement is preferred via email to: </w:t>
      </w:r>
      <w:r w:rsidR="004277C6" w:rsidRPr="003C310E">
        <w:rPr>
          <w:rFonts w:cs="Arial"/>
          <w:szCs w:val="22"/>
        </w:rPr>
        <w:t>InsuranceSunsetting@treasury.gov.au</w:t>
      </w:r>
      <w:r>
        <w:t xml:space="preserve">. </w:t>
      </w:r>
    </w:p>
    <w:p w14:paraId="2397F29D" w14:textId="2316FD8A" w:rsidR="000E0B74" w:rsidRDefault="00D34DA3" w:rsidP="000E0B74">
      <w:r>
        <w:t xml:space="preserve">For accessibility reasons, please submit responses via email in a Word, RTF, or PDF format. Submissions will be shared with other Commonwealth agencies where necessary for the purposes of this review. All information (including name and address details) 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 Legal requirements, such as those imposed by the </w:t>
      </w:r>
      <w:r w:rsidRPr="003224AE">
        <w:rPr>
          <w:i/>
          <w:iCs/>
        </w:rPr>
        <w:t>Freedom of Information Act 1982</w:t>
      </w:r>
      <w:r>
        <w:t>, may affect the confidentiality of your submission</w:t>
      </w:r>
    </w:p>
    <w:p w14:paraId="17432EDB" w14:textId="44DBDA94" w:rsidR="000E0B74" w:rsidRDefault="000E0B74" w:rsidP="00257AEE">
      <w:pPr>
        <w:pStyle w:val="Heading3noTOC"/>
      </w:pPr>
      <w:r w:rsidRPr="007F2263">
        <w:t xml:space="preserve">Closing date for submissions: </w:t>
      </w:r>
      <w:sdt>
        <w:sdtPr>
          <w:rPr>
            <w:rStyle w:val="Heading3Char"/>
          </w:rPr>
          <w:id w:val="1454836312"/>
          <w:placeholder>
            <w:docPart w:val="F4F031D71725453381A4B7ED2BC40D18"/>
          </w:placeholder>
          <w:date w:fullDate="2023-04-26T00:00:00Z">
            <w:dateFormat w:val="dd MMMM yyyy"/>
            <w:lid w:val="en-AU"/>
            <w:storeMappedDataAs w:val="dateTime"/>
            <w:calendar w:val="gregorian"/>
          </w:date>
        </w:sdtPr>
        <w:sdtEndPr>
          <w:rPr>
            <w:rStyle w:val="DefaultParagraphFont"/>
            <w:rFonts w:cs="Calibri"/>
            <w:b/>
          </w:rPr>
        </w:sdtEndPr>
        <w:sdtContent>
          <w:r w:rsidR="00786A72">
            <w:rPr>
              <w:rStyle w:val="Heading3Char"/>
            </w:rPr>
            <w:t>26</w:t>
          </w:r>
          <w:r w:rsidR="007F2263" w:rsidRPr="007F2263">
            <w:rPr>
              <w:rStyle w:val="Heading3Char"/>
            </w:rPr>
            <w:t xml:space="preserve"> April 2023</w:t>
          </w:r>
        </w:sdtContent>
      </w:sdt>
    </w:p>
    <w:tbl>
      <w:tblPr>
        <w:tblStyle w:val="TableGrid"/>
        <w:tblW w:w="9214" w:type="dxa"/>
        <w:tblLook w:val="04A0" w:firstRow="1" w:lastRow="0" w:firstColumn="1" w:lastColumn="0" w:noHBand="0" w:noVBand="1"/>
      </w:tblPr>
      <w:tblGrid>
        <w:gridCol w:w="1512"/>
        <w:gridCol w:w="7702"/>
      </w:tblGrid>
      <w:tr w:rsidR="000E0B74" w:rsidRPr="00B85F47" w14:paraId="421F8624" w14:textId="77777777" w:rsidTr="00E4637E">
        <w:trPr>
          <w:cnfStyle w:val="100000000000" w:firstRow="1" w:lastRow="0" w:firstColumn="0" w:lastColumn="0" w:oddVBand="0" w:evenVBand="0" w:oddHBand="0" w:evenHBand="0" w:firstRowFirstColumn="0" w:firstRowLastColumn="0" w:lastRowFirstColumn="0" w:lastRowLastColumn="0"/>
        </w:trPr>
        <w:tc>
          <w:tcPr>
            <w:tcW w:w="1512" w:type="dxa"/>
            <w:shd w:val="clear" w:color="auto" w:fill="auto"/>
          </w:tcPr>
          <w:p w14:paraId="0769356B" w14:textId="77777777" w:rsidR="000E0B74" w:rsidRPr="00B85F47" w:rsidRDefault="000E0B74" w:rsidP="0017089D">
            <w:pPr>
              <w:spacing w:before="96" w:after="96"/>
              <w:rPr>
                <w:sz w:val="22"/>
                <w:szCs w:val="22"/>
              </w:rPr>
            </w:pPr>
            <w:r w:rsidRPr="00B85F47">
              <w:rPr>
                <w:sz w:val="22"/>
                <w:szCs w:val="22"/>
              </w:rPr>
              <w:t>Email</w:t>
            </w:r>
          </w:p>
        </w:tc>
        <w:tc>
          <w:tcPr>
            <w:tcW w:w="7702" w:type="dxa"/>
            <w:shd w:val="clear" w:color="auto" w:fill="auto"/>
          </w:tcPr>
          <w:p w14:paraId="6A3303A3" w14:textId="11B057F1" w:rsidR="000E0B74" w:rsidRPr="005E5C95" w:rsidRDefault="003C310E" w:rsidP="00516785">
            <w:pPr>
              <w:spacing w:before="96" w:after="96"/>
              <w:rPr>
                <w:sz w:val="22"/>
                <w:szCs w:val="22"/>
              </w:rPr>
            </w:pPr>
            <w:r w:rsidRPr="003C310E">
              <w:rPr>
                <w:sz w:val="22"/>
                <w:szCs w:val="22"/>
              </w:rPr>
              <w:t>InsuranceSunsetting@treasury.gov.au</w:t>
            </w:r>
          </w:p>
        </w:tc>
      </w:tr>
      <w:tr w:rsidR="000E0B74" w:rsidRPr="00B85F47" w14:paraId="3AB9E3DB" w14:textId="77777777" w:rsidTr="00E4637E">
        <w:tc>
          <w:tcPr>
            <w:tcW w:w="1512" w:type="dxa"/>
          </w:tcPr>
          <w:p w14:paraId="4E69EB91" w14:textId="77777777" w:rsidR="000E0B74" w:rsidRPr="00B85F47" w:rsidRDefault="000E0B74" w:rsidP="0017089D">
            <w:pPr>
              <w:rPr>
                <w:sz w:val="22"/>
                <w:szCs w:val="22"/>
              </w:rPr>
            </w:pPr>
            <w:r w:rsidRPr="00B85F47">
              <w:rPr>
                <w:sz w:val="22"/>
                <w:szCs w:val="22"/>
              </w:rPr>
              <w:t>Mail</w:t>
            </w:r>
          </w:p>
          <w:p w14:paraId="507F075F" w14:textId="77777777" w:rsidR="008D7F38" w:rsidRPr="00B85F47" w:rsidRDefault="008D7F38" w:rsidP="0017089D">
            <w:pPr>
              <w:rPr>
                <w:sz w:val="22"/>
                <w:szCs w:val="22"/>
              </w:rPr>
            </w:pPr>
          </w:p>
          <w:p w14:paraId="344A9E5B" w14:textId="77777777" w:rsidR="008D7F38" w:rsidRPr="00B85F47" w:rsidRDefault="008D7F38" w:rsidP="0017089D">
            <w:pPr>
              <w:rPr>
                <w:sz w:val="22"/>
                <w:szCs w:val="22"/>
              </w:rPr>
            </w:pPr>
          </w:p>
        </w:tc>
        <w:tc>
          <w:tcPr>
            <w:tcW w:w="7702" w:type="dxa"/>
          </w:tcPr>
          <w:p w14:paraId="66B222E9" w14:textId="0422CD76" w:rsidR="000E0B74" w:rsidRPr="000F3B42" w:rsidRDefault="004F0A3C" w:rsidP="0017089D">
            <w:pPr>
              <w:pStyle w:val="SingleParagraph"/>
              <w:rPr>
                <w:rFonts w:cs="Arial"/>
                <w:sz w:val="22"/>
                <w:szCs w:val="22"/>
              </w:rPr>
            </w:pPr>
            <w:r w:rsidRPr="000F3B42">
              <w:rPr>
                <w:rFonts w:cs="Arial"/>
                <w:sz w:val="22"/>
                <w:szCs w:val="22"/>
              </w:rPr>
              <w:t>Insurance Unit</w:t>
            </w:r>
          </w:p>
          <w:p w14:paraId="495B3AC5" w14:textId="65FF9D12" w:rsidR="008A3A8D" w:rsidRPr="000F3B42" w:rsidRDefault="008A3A8D" w:rsidP="0017089D">
            <w:pPr>
              <w:pStyle w:val="SingleParagraph"/>
              <w:rPr>
                <w:rFonts w:cs="Arial"/>
                <w:sz w:val="22"/>
                <w:szCs w:val="22"/>
              </w:rPr>
            </w:pPr>
            <w:r w:rsidRPr="000F3B42">
              <w:rPr>
                <w:rFonts w:cs="Arial"/>
                <w:sz w:val="22"/>
                <w:szCs w:val="22"/>
              </w:rPr>
              <w:t>Banking, Credit and Insurance Branch</w:t>
            </w:r>
          </w:p>
          <w:p w14:paraId="60397FC0" w14:textId="61AD9CFF" w:rsidR="00C573BF" w:rsidRPr="00B85F47" w:rsidRDefault="00C573BF" w:rsidP="0017089D">
            <w:pPr>
              <w:pStyle w:val="SingleParagraph"/>
              <w:rPr>
                <w:rFonts w:cs="Arial"/>
                <w:sz w:val="22"/>
                <w:szCs w:val="22"/>
              </w:rPr>
            </w:pPr>
            <w:r w:rsidRPr="000F3B42">
              <w:rPr>
                <w:rFonts w:cs="Arial"/>
                <w:sz w:val="22"/>
                <w:szCs w:val="22"/>
              </w:rPr>
              <w:t xml:space="preserve">Financial System Division </w:t>
            </w:r>
          </w:p>
          <w:p w14:paraId="5AF22A3F"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174B986B"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4A22F911" w14:textId="77777777" w:rsidR="000E0B74" w:rsidRPr="00B85F47" w:rsidRDefault="000E0B74" w:rsidP="0017089D">
            <w:pPr>
              <w:pStyle w:val="SingleParagraph"/>
              <w:rPr>
                <w:sz w:val="22"/>
                <w:szCs w:val="22"/>
              </w:rPr>
            </w:pPr>
            <w:r w:rsidRPr="000F3B42">
              <w:rPr>
                <w:rFonts w:cs="Arial"/>
                <w:sz w:val="22"/>
                <w:szCs w:val="22"/>
              </w:rPr>
              <w:t>PARKES ACT 2600</w:t>
            </w:r>
          </w:p>
        </w:tc>
      </w:tr>
      <w:tr w:rsidR="000E0B74" w:rsidRPr="00B85F47" w14:paraId="68629A9A" w14:textId="77777777" w:rsidTr="00E4637E">
        <w:tc>
          <w:tcPr>
            <w:tcW w:w="1512" w:type="dxa"/>
          </w:tcPr>
          <w:p w14:paraId="08672ADE" w14:textId="77777777" w:rsidR="000E0B74" w:rsidRPr="00B85F47" w:rsidRDefault="000E0B74" w:rsidP="0017089D">
            <w:pPr>
              <w:rPr>
                <w:sz w:val="22"/>
                <w:szCs w:val="22"/>
              </w:rPr>
            </w:pPr>
            <w:r w:rsidRPr="00B85F47">
              <w:rPr>
                <w:sz w:val="22"/>
                <w:szCs w:val="22"/>
              </w:rPr>
              <w:t>Enquiries</w:t>
            </w:r>
          </w:p>
        </w:tc>
        <w:tc>
          <w:tcPr>
            <w:tcW w:w="7702" w:type="dxa"/>
          </w:tcPr>
          <w:p w14:paraId="78E4461C" w14:textId="6791E421" w:rsidR="000E0B74" w:rsidRPr="00B85F47" w:rsidRDefault="000E0B74" w:rsidP="0017089D">
            <w:pPr>
              <w:rPr>
                <w:sz w:val="22"/>
                <w:szCs w:val="22"/>
              </w:rPr>
            </w:pPr>
            <w:r w:rsidRPr="00B85F47">
              <w:rPr>
                <w:rFonts w:cs="Arial"/>
                <w:sz w:val="22"/>
                <w:szCs w:val="22"/>
              </w:rPr>
              <w:t xml:space="preserve">Enquiries can be initially directed to </w:t>
            </w:r>
            <w:r w:rsidR="003C310E" w:rsidRPr="003C310E">
              <w:rPr>
                <w:rFonts w:cs="Arial"/>
                <w:sz w:val="22"/>
                <w:szCs w:val="22"/>
              </w:rPr>
              <w:t>InsuranceSunsetting@treasury.gov.au</w:t>
            </w:r>
          </w:p>
        </w:tc>
      </w:tr>
      <w:bookmarkEnd w:id="2"/>
    </w:tbl>
    <w:p w14:paraId="4B97B624" w14:textId="77777777" w:rsidR="00E10D39" w:rsidRDefault="00E10D39" w:rsidP="0007102C"/>
    <w:p w14:paraId="16335CC5" w14:textId="77777777" w:rsidR="00A16E03" w:rsidRDefault="00A16E03" w:rsidP="00A16E03">
      <w:r>
        <w:t>The principles outlined in this paper have not received Government approval and are not yet law. As a consequence, this paper is merely a guide as to how the principles might operate.</w:t>
      </w:r>
    </w:p>
    <w:p w14:paraId="4B7AB54D" w14:textId="77777777" w:rsidR="008D7F38" w:rsidRPr="008D7F38" w:rsidRDefault="008D7F38" w:rsidP="008D7F38"/>
    <w:p w14:paraId="3D8A2C9B" w14:textId="77777777" w:rsidR="00E10D39" w:rsidRDefault="00E10D39">
      <w:pPr>
        <w:spacing w:before="0" w:after="160" w:line="259" w:lineRule="auto"/>
        <w:rPr>
          <w:rFonts w:cs="Arial"/>
          <w:color w:val="004A7F"/>
          <w:kern w:val="32"/>
          <w:sz w:val="48"/>
          <w:szCs w:val="36"/>
        </w:rPr>
      </w:pPr>
      <w:r>
        <w:br w:type="page"/>
      </w:r>
    </w:p>
    <w:p w14:paraId="78DE03C8" w14:textId="0BDEF706" w:rsidR="000E0B74" w:rsidRDefault="00504886" w:rsidP="00354FBB">
      <w:pPr>
        <w:pStyle w:val="Heading1"/>
      </w:pPr>
      <w:bookmarkStart w:id="4" w:name="_Toc132114427"/>
      <w:r w:rsidRPr="00504886">
        <w:lastRenderedPageBreak/>
        <w:t>Review of sunsetting insurance regulations</w:t>
      </w:r>
      <w:bookmarkEnd w:id="4"/>
    </w:p>
    <w:p w14:paraId="784408D0" w14:textId="1F2E1DAE" w:rsidR="000E0B74" w:rsidRDefault="000E0B74" w:rsidP="008043EA">
      <w:pPr>
        <w:pStyle w:val="Heading2"/>
      </w:pPr>
      <w:bookmarkStart w:id="5" w:name="_Toc306887371"/>
      <w:bookmarkStart w:id="6" w:name="_Toc432064635"/>
      <w:bookmarkStart w:id="7" w:name="_Toc132114428"/>
      <w:r>
        <w:t>Introduction</w:t>
      </w:r>
      <w:bookmarkEnd w:id="5"/>
      <w:bookmarkEnd w:id="6"/>
      <w:bookmarkEnd w:id="7"/>
    </w:p>
    <w:p w14:paraId="5B8FD4F4" w14:textId="7786AF84" w:rsidR="00931753" w:rsidRDefault="00647DCF" w:rsidP="00E10D39">
      <w:r>
        <w:t>Treasury has been undertaking a thematic review (review) of the following regulations</w:t>
      </w:r>
      <w:r w:rsidR="0076353B">
        <w:t xml:space="preserve"> (together, the </w:t>
      </w:r>
      <w:r w:rsidR="00BE7986">
        <w:t>Insurance Instruments</w:t>
      </w:r>
      <w:r w:rsidR="0076353B">
        <w:t>)</w:t>
      </w:r>
      <w:r>
        <w:t xml:space="preserve"> that are due to sunset </w:t>
      </w:r>
      <w:r w:rsidR="001C24DE">
        <w:t xml:space="preserve">on </w:t>
      </w:r>
      <w:r>
        <w:t>1 October 2023</w:t>
      </w:r>
      <w:r w:rsidR="005F649D">
        <w:t xml:space="preserve"> to determine </w:t>
      </w:r>
      <w:r w:rsidR="00395DA5">
        <w:t xml:space="preserve">whether </w:t>
      </w:r>
      <w:r w:rsidR="00395DA5" w:rsidRPr="00395DA5">
        <w:t xml:space="preserve">they are still necessary and fit for purpose. </w:t>
      </w:r>
    </w:p>
    <w:p w14:paraId="59146AD0" w14:textId="790269A8" w:rsidR="00BE4D98" w:rsidRPr="00BE4D98" w:rsidRDefault="00BE4D98" w:rsidP="00BE4D98">
      <w:pPr>
        <w:pStyle w:val="Bullet"/>
        <w:spacing w:before="240" w:after="240"/>
      </w:pPr>
      <w:r w:rsidRPr="00BE4D98">
        <w:rPr>
          <w:i/>
          <w:iCs/>
        </w:rPr>
        <w:t xml:space="preserve">Insurance Acquisitions and Takeovers (Notices) Regulations 1992 </w:t>
      </w:r>
      <w:r w:rsidRPr="00BE4D98">
        <w:t>made under the</w:t>
      </w:r>
      <w:r w:rsidR="0027043B">
        <w:t xml:space="preserve"> </w:t>
      </w:r>
      <w:r w:rsidR="0027043B" w:rsidRPr="00A12DB9">
        <w:rPr>
          <w:i/>
          <w:iCs/>
        </w:rPr>
        <w:t xml:space="preserve">Insurance Acquisitions and Takeovers Act </w:t>
      </w:r>
      <w:r w:rsidR="0027043B" w:rsidRPr="00DF43F0">
        <w:rPr>
          <w:i/>
          <w:iCs/>
        </w:rPr>
        <w:t>1991</w:t>
      </w:r>
      <w:r w:rsidR="00BA311C">
        <w:t xml:space="preserve">. </w:t>
      </w:r>
    </w:p>
    <w:p w14:paraId="7F5286E0" w14:textId="15061746" w:rsidR="00BE4D98" w:rsidRPr="00BE4D98" w:rsidRDefault="08DA67C9" w:rsidP="33F93BBD">
      <w:pPr>
        <w:pStyle w:val="Bullet"/>
        <w:spacing w:before="240" w:after="240"/>
        <w:rPr>
          <w:i/>
          <w:iCs/>
        </w:rPr>
      </w:pPr>
      <w:r w:rsidRPr="33F93BBD">
        <w:rPr>
          <w:i/>
          <w:iCs/>
        </w:rPr>
        <w:t xml:space="preserve">Insurance Acquisitions and Takeovers Act 1991 – Decision-Making Principles IDM 1/1992 </w:t>
      </w:r>
      <w:r w:rsidRPr="000F522E">
        <w:t xml:space="preserve">(Decision Making </w:t>
      </w:r>
      <w:r w:rsidR="00423268" w:rsidRPr="000F522E">
        <w:t>Principles</w:t>
      </w:r>
      <w:r w:rsidRPr="000F522E">
        <w:t>)</w:t>
      </w:r>
      <w:r>
        <w:t xml:space="preserve"> made under the </w:t>
      </w:r>
      <w:r w:rsidR="6063402B" w:rsidRPr="33F93BBD">
        <w:rPr>
          <w:i/>
          <w:iCs/>
        </w:rPr>
        <w:t>Insurance Acquisitions and Takeovers Act 1991</w:t>
      </w:r>
      <w:r>
        <w:t>.</w:t>
      </w:r>
    </w:p>
    <w:p w14:paraId="1C0D2CFF" w14:textId="1754E16C" w:rsidR="00BE4D98" w:rsidRPr="00BE4D98" w:rsidRDefault="00BE4D98" w:rsidP="00BE4D98">
      <w:pPr>
        <w:pStyle w:val="Bullet"/>
        <w:spacing w:before="240" w:after="240"/>
        <w:rPr>
          <w:i/>
          <w:iCs/>
        </w:rPr>
      </w:pPr>
      <w:r w:rsidRPr="00BE4D98">
        <w:rPr>
          <w:i/>
          <w:iCs/>
        </w:rPr>
        <w:t xml:space="preserve">Life Insurance Regulations 1995 </w:t>
      </w:r>
      <w:r w:rsidRPr="00BE4D98">
        <w:t xml:space="preserve">made under the </w:t>
      </w:r>
      <w:r w:rsidR="00170A61" w:rsidRPr="00170A61">
        <w:rPr>
          <w:i/>
          <w:iCs/>
        </w:rPr>
        <w:t>Life Insurance Act 199</w:t>
      </w:r>
      <w:r w:rsidR="00170A61">
        <w:rPr>
          <w:i/>
          <w:iCs/>
        </w:rPr>
        <w:t>5.</w:t>
      </w:r>
    </w:p>
    <w:p w14:paraId="40840296" w14:textId="292B4717" w:rsidR="00BE4D98" w:rsidRPr="00BE4D98" w:rsidRDefault="00BE4D98" w:rsidP="00BE4D98">
      <w:pPr>
        <w:pStyle w:val="Bullet"/>
        <w:spacing w:before="240" w:after="240"/>
        <w:rPr>
          <w:i/>
          <w:iCs/>
        </w:rPr>
      </w:pPr>
      <w:r w:rsidRPr="00BE4D98">
        <w:rPr>
          <w:i/>
          <w:iCs/>
        </w:rPr>
        <w:t xml:space="preserve">Insurance Regulations 2002 </w:t>
      </w:r>
      <w:r w:rsidRPr="00BE4D98">
        <w:t xml:space="preserve">made under the </w:t>
      </w:r>
      <w:r w:rsidRPr="00170A61">
        <w:rPr>
          <w:i/>
          <w:iCs/>
        </w:rPr>
        <w:t>Insurance Act 1973</w:t>
      </w:r>
      <w:r w:rsidRPr="00BE4D98">
        <w:t>.</w:t>
      </w:r>
      <w:r w:rsidRPr="00BE4D98">
        <w:rPr>
          <w:i/>
          <w:iCs/>
        </w:rPr>
        <w:t xml:space="preserve"> </w:t>
      </w:r>
    </w:p>
    <w:p w14:paraId="55E6ED7F" w14:textId="5D6B5250" w:rsidR="008A2ADC" w:rsidRDefault="008A2ADC" w:rsidP="008A2ADC">
      <w:pPr>
        <w:pStyle w:val="Bullet"/>
        <w:numPr>
          <w:ilvl w:val="0"/>
          <w:numId w:val="0"/>
        </w:numPr>
        <w:tabs>
          <w:tab w:val="clear" w:pos="720"/>
        </w:tabs>
        <w:spacing w:before="240" w:after="240" w:line="240" w:lineRule="auto"/>
      </w:pPr>
      <w:r>
        <w:t xml:space="preserve">The purpose of the </w:t>
      </w:r>
      <w:r w:rsidR="00A741DD">
        <w:t xml:space="preserve">Acts under which the above regulations are made </w:t>
      </w:r>
      <w:r w:rsidRPr="00A44F47">
        <w:t>is to protect policyholders by regulating the types of persons that may carry on insurance businesses</w:t>
      </w:r>
      <w:r>
        <w:t xml:space="preserve"> and prescrib</w:t>
      </w:r>
      <w:r w:rsidR="008813A0">
        <w:t>e</w:t>
      </w:r>
      <w:r>
        <w:t xml:space="preserve"> standards to ensure the prudent management of the insurance industry. </w:t>
      </w:r>
    </w:p>
    <w:p w14:paraId="59BA1F5D" w14:textId="309C4F2B" w:rsidR="005A6C86" w:rsidRPr="008E40DB" w:rsidRDefault="008A2ADC" w:rsidP="002D259D">
      <w:pPr>
        <w:pStyle w:val="Bullet"/>
        <w:numPr>
          <w:ilvl w:val="0"/>
          <w:numId w:val="0"/>
        </w:numPr>
      </w:pPr>
      <w:r w:rsidRPr="002C125F">
        <w:t xml:space="preserve">The </w:t>
      </w:r>
      <w:r w:rsidR="00BE7986">
        <w:t>Insurance Instruments</w:t>
      </w:r>
      <w:r w:rsidRPr="002C125F">
        <w:t xml:space="preserve"> prescribe, at a more detailed level, matters relating to the regulation of the insurance industry, including the information required from insurers to ensure that prudential supervisory activities can be conducted.</w:t>
      </w:r>
    </w:p>
    <w:p w14:paraId="26466AD5" w14:textId="77777777" w:rsidR="000E0B74" w:rsidRDefault="000E0B74" w:rsidP="000E0B74">
      <w:pPr>
        <w:pStyle w:val="Heading2"/>
      </w:pPr>
      <w:bookmarkStart w:id="8" w:name="_Toc306887372"/>
      <w:bookmarkStart w:id="9" w:name="_Toc432064636"/>
      <w:bookmarkStart w:id="10" w:name="_Toc132114429"/>
      <w:r>
        <w:t>Purpose</w:t>
      </w:r>
      <w:bookmarkEnd w:id="8"/>
      <w:bookmarkEnd w:id="9"/>
      <w:bookmarkEnd w:id="10"/>
    </w:p>
    <w:p w14:paraId="7F41DCF9" w14:textId="6CC97C83" w:rsidR="005C2D24" w:rsidRDefault="008E40DB" w:rsidP="00AF5515">
      <w:pPr>
        <w:pStyle w:val="Bullet"/>
        <w:numPr>
          <w:ilvl w:val="0"/>
          <w:numId w:val="0"/>
        </w:numPr>
      </w:pPr>
      <w:r>
        <w:t xml:space="preserve">Under the </w:t>
      </w:r>
      <w:r w:rsidRPr="005A6C86">
        <w:rPr>
          <w:i/>
          <w:iCs/>
        </w:rPr>
        <w:t>Legislation Act 2003</w:t>
      </w:r>
      <w:r>
        <w:t xml:space="preserve">, legislative instruments such as the </w:t>
      </w:r>
      <w:r w:rsidR="00BE7986">
        <w:t>Insurance Instruments</w:t>
      </w:r>
      <w:r>
        <w:t xml:space="preserve">, automatically cease to apply after a period of time, unless an active decision has been made to retain them. The aim </w:t>
      </w:r>
      <w:r w:rsidR="00A73A8E">
        <w:t>of</w:t>
      </w:r>
      <w:r>
        <w:t xml:space="preserve"> sunsetting is to ensure that legislative instruments are kept up to date and only remain in force so long as they are needed.</w:t>
      </w:r>
      <w:r w:rsidR="00AD68B4" w:rsidRPr="00AD68B4">
        <w:t xml:space="preserve"> Sunsetting is also an opportunity for agencies to review their legislative instruments and ensure that legislative instruments are clear and fit for purpose.</w:t>
      </w:r>
    </w:p>
    <w:p w14:paraId="0EFE0E45" w14:textId="77777777" w:rsidR="003B7DBD" w:rsidRDefault="003B7DBD" w:rsidP="00AF5515">
      <w:pPr>
        <w:pStyle w:val="Bullet"/>
        <w:numPr>
          <w:ilvl w:val="0"/>
          <w:numId w:val="0"/>
        </w:numPr>
        <w:sectPr w:rsidR="003B7DBD" w:rsidSect="009927E5">
          <w:headerReference w:type="even" r:id="rId19"/>
          <w:headerReference w:type="default" r:id="rId20"/>
          <w:footerReference w:type="even" r:id="rId21"/>
          <w:footerReference w:type="default" r:id="rId22"/>
          <w:headerReference w:type="first" r:id="rId23"/>
          <w:footerReference w:type="first" r:id="rId24"/>
          <w:pgSz w:w="11906" w:h="16838" w:code="9"/>
          <w:pgMar w:top="1843" w:right="1418" w:bottom="1418" w:left="1418" w:header="709" w:footer="709" w:gutter="0"/>
          <w:cols w:space="708"/>
          <w:docGrid w:linePitch="360"/>
        </w:sectPr>
      </w:pPr>
    </w:p>
    <w:p w14:paraId="3E4A6AB7" w14:textId="2CA7D0B1" w:rsidR="000E0B74" w:rsidRDefault="000E0B74" w:rsidP="003B7DBD">
      <w:pPr>
        <w:pStyle w:val="Heading2"/>
      </w:pPr>
      <w:bookmarkStart w:id="11" w:name="_Toc306887373"/>
      <w:bookmarkStart w:id="12" w:name="_Toc432064637"/>
      <w:bookmarkStart w:id="13" w:name="_Toc132114430"/>
      <w:r>
        <w:lastRenderedPageBreak/>
        <w:t>Issues for discussion</w:t>
      </w:r>
      <w:bookmarkEnd w:id="11"/>
      <w:bookmarkEnd w:id="12"/>
      <w:bookmarkEnd w:id="13"/>
    </w:p>
    <w:p w14:paraId="4572864C" w14:textId="037EEE9A" w:rsidR="00414C85" w:rsidRDefault="293D0095" w:rsidP="00BF766C">
      <w:pPr>
        <w:pStyle w:val="Bullet"/>
        <w:numPr>
          <w:ilvl w:val="0"/>
          <w:numId w:val="0"/>
        </w:numPr>
      </w:pPr>
      <w:r>
        <w:t>Through the review</w:t>
      </w:r>
      <w:r w:rsidR="001C24DE">
        <w:t>,</w:t>
      </w:r>
      <w:r>
        <w:t xml:space="preserve"> </w:t>
      </w:r>
      <w:r w:rsidR="44BEEFBC">
        <w:t>Treasury</w:t>
      </w:r>
      <w:r>
        <w:t xml:space="preserve"> found that most provisions in the </w:t>
      </w:r>
      <w:r w:rsidR="6C7F2F55">
        <w:t>Insurance Instruments</w:t>
      </w:r>
      <w:r>
        <w:t xml:space="preserve"> should be remade to allow continuity of the law, however, some should be redrafted to improve clarity and </w:t>
      </w:r>
      <w:r w:rsidR="5FD0FCD2">
        <w:t>to align</w:t>
      </w:r>
      <w:r>
        <w:t xml:space="preserve"> with modern drafting techniques. </w:t>
      </w:r>
    </w:p>
    <w:p w14:paraId="6F38E479" w14:textId="07CF45C2" w:rsidR="00BF766C" w:rsidRDefault="00BF766C" w:rsidP="00BF766C">
      <w:pPr>
        <w:pStyle w:val="Bullet"/>
        <w:numPr>
          <w:ilvl w:val="0"/>
          <w:numId w:val="0"/>
        </w:numPr>
      </w:pPr>
      <w:r>
        <w:t xml:space="preserve">The review also found that </w:t>
      </w:r>
      <w:r w:rsidRPr="0045217E">
        <w:t xml:space="preserve">other minor changes </w:t>
      </w:r>
      <w:r>
        <w:t xml:space="preserve">should be made to the </w:t>
      </w:r>
      <w:r w:rsidR="00BE7986">
        <w:t>Insurance Instruments</w:t>
      </w:r>
      <w:r>
        <w:t xml:space="preserve"> and the</w:t>
      </w:r>
      <w:r w:rsidR="00C16AED">
        <w:t xml:space="preserve"> relevant</w:t>
      </w:r>
      <w:r>
        <w:t xml:space="preserve"> primary legislation authorising the </w:t>
      </w:r>
      <w:r w:rsidR="00BE7986">
        <w:t>Insurance Instruments</w:t>
      </w:r>
      <w:r>
        <w:t xml:space="preserve"> </w:t>
      </w:r>
      <w:r w:rsidRPr="0045217E">
        <w:t xml:space="preserve">which are </w:t>
      </w:r>
      <w:r w:rsidR="00872EDF">
        <w:t>summarised</w:t>
      </w:r>
      <w:r w:rsidRPr="0045217E">
        <w:t xml:space="preserve"> in </w:t>
      </w:r>
      <w:r>
        <w:t>Table 1</w:t>
      </w:r>
      <w:r w:rsidR="00872EDF">
        <w:t xml:space="preserve"> below</w:t>
      </w:r>
      <w:r w:rsidRPr="0045217E">
        <w:t>.</w:t>
      </w:r>
    </w:p>
    <w:p w14:paraId="54D7205E" w14:textId="38A505D5" w:rsidR="008E5AB8" w:rsidRDefault="00DC1FDE" w:rsidP="00BF766C">
      <w:pPr>
        <w:pStyle w:val="Bullet"/>
        <w:numPr>
          <w:ilvl w:val="0"/>
          <w:numId w:val="0"/>
        </w:numPr>
      </w:pPr>
      <w:r w:rsidRPr="00DC1FDE">
        <w:t xml:space="preserve">The </w:t>
      </w:r>
      <w:r w:rsidR="00BE2E6F">
        <w:t>G</w:t>
      </w:r>
      <w:r w:rsidRPr="00DC1FDE">
        <w:t>overnment has released exposure draft legislation</w:t>
      </w:r>
      <w:r w:rsidR="000C0AD7">
        <w:t xml:space="preserve"> and explanatory materials</w:t>
      </w:r>
      <w:r w:rsidR="00075810">
        <w:t xml:space="preserve"> to:</w:t>
      </w:r>
    </w:p>
    <w:p w14:paraId="43CDC870" w14:textId="3E6FD463" w:rsidR="00075810" w:rsidRDefault="00075810" w:rsidP="00820FEC">
      <w:pPr>
        <w:pStyle w:val="Bullet"/>
      </w:pPr>
      <w:r>
        <w:t>R</w:t>
      </w:r>
      <w:r w:rsidR="00C42AF1" w:rsidRPr="008E5AB8">
        <w:t xml:space="preserve">epeal the </w:t>
      </w:r>
      <w:r w:rsidR="00BE7986">
        <w:t>Insurance Instruments</w:t>
      </w:r>
      <w:r w:rsidR="00F24F61">
        <w:t>.</w:t>
      </w:r>
    </w:p>
    <w:p w14:paraId="71F05E48" w14:textId="29669193" w:rsidR="00DC1FDE" w:rsidRDefault="00075810" w:rsidP="00820FEC">
      <w:pPr>
        <w:pStyle w:val="Bullet"/>
      </w:pPr>
      <w:r>
        <w:t>R</w:t>
      </w:r>
      <w:r w:rsidR="00C42AF1" w:rsidRPr="008E5AB8">
        <w:t>emak</w:t>
      </w:r>
      <w:r>
        <w:t>e</w:t>
      </w:r>
      <w:r w:rsidR="008E5AB8" w:rsidRPr="008E5AB8">
        <w:t xml:space="preserve"> most of the provisions of the </w:t>
      </w:r>
      <w:r w:rsidR="00BE7986">
        <w:t>Insurance Instruments</w:t>
      </w:r>
      <w:r w:rsidR="008E5AB8" w:rsidRPr="008E5AB8">
        <w:t xml:space="preserve">. </w:t>
      </w:r>
    </w:p>
    <w:p w14:paraId="7A445C7D" w14:textId="4B339C9C" w:rsidR="00075810" w:rsidRDefault="00075810" w:rsidP="00820FEC">
      <w:pPr>
        <w:pStyle w:val="Bullet"/>
      </w:pPr>
      <w:r>
        <w:t xml:space="preserve">Make the proposed changes </w:t>
      </w:r>
      <w:r w:rsidR="006E6CC9">
        <w:t xml:space="preserve">set out in Table 1. </w:t>
      </w:r>
    </w:p>
    <w:p w14:paraId="656E03F5" w14:textId="1272C1A8" w:rsidR="00E9369B" w:rsidRDefault="00E9369B" w:rsidP="00E9369B">
      <w:pPr>
        <w:pStyle w:val="Bullet"/>
        <w:numPr>
          <w:ilvl w:val="0"/>
          <w:numId w:val="0"/>
        </w:numPr>
      </w:pPr>
      <w:r>
        <w:t xml:space="preserve">The </w:t>
      </w:r>
      <w:hyperlink r:id="rId25" w:history="1">
        <w:r w:rsidR="00ED7627">
          <w:rPr>
            <w:rStyle w:val="Hyperlink"/>
          </w:rPr>
          <w:t>draft exposure legislation and draft exposure explanatory materials</w:t>
        </w:r>
      </w:hyperlink>
      <w:r w:rsidR="00ED7627">
        <w:rPr>
          <w:rStyle w:val="Hyperlink"/>
        </w:rPr>
        <w:t xml:space="preserve"> </w:t>
      </w:r>
      <w:r>
        <w:t>are available on the Treasury website</w:t>
      </w:r>
      <w:r w:rsidR="00ED7627">
        <w:t>.</w:t>
      </w:r>
      <w:r>
        <w:t xml:space="preserve"> </w:t>
      </w:r>
    </w:p>
    <w:p w14:paraId="185A5A74" w14:textId="4D1591A1" w:rsidR="0016489F" w:rsidRPr="008E5AB8" w:rsidRDefault="0016489F" w:rsidP="0016489F">
      <w:pPr>
        <w:pStyle w:val="Bullet"/>
        <w:numPr>
          <w:ilvl w:val="0"/>
          <w:numId w:val="0"/>
        </w:numPr>
      </w:pPr>
      <w:r w:rsidRPr="0016489F">
        <w:t>The Government welcomes comments or feedback from stakeholders on the draft legislation and explanatory materials</w:t>
      </w:r>
      <w:r w:rsidR="00EE5155">
        <w:t xml:space="preserve">, including in response to the consultation questions set out in this </w:t>
      </w:r>
      <w:r w:rsidR="001F2163">
        <w:t xml:space="preserve">consultation paper. </w:t>
      </w:r>
    </w:p>
    <w:p w14:paraId="2AF4AFBD" w14:textId="41711D49" w:rsidR="00EF2D30" w:rsidRPr="00443BE8" w:rsidRDefault="00872EDF" w:rsidP="00BF766C">
      <w:pPr>
        <w:pStyle w:val="Bullet"/>
        <w:numPr>
          <w:ilvl w:val="0"/>
          <w:numId w:val="0"/>
        </w:numPr>
        <w:rPr>
          <w:rFonts w:cs="Calibri Light"/>
          <w:bCs/>
          <w:color w:val="4D7861" w:themeColor="accent2"/>
          <w:kern w:val="32"/>
          <w:szCs w:val="22"/>
        </w:rPr>
      </w:pPr>
      <w:r w:rsidRPr="00443BE8">
        <w:rPr>
          <w:rFonts w:cs="Calibri Light"/>
          <w:bCs/>
          <w:color w:val="4D7861" w:themeColor="accent2"/>
          <w:kern w:val="32"/>
          <w:szCs w:val="22"/>
        </w:rPr>
        <w:t xml:space="preserve">Table </w:t>
      </w:r>
      <w:r w:rsidR="003719D0" w:rsidRPr="00443BE8">
        <w:rPr>
          <w:rFonts w:cs="Calibri Light"/>
          <w:bCs/>
          <w:color w:val="4D7861" w:themeColor="accent2"/>
          <w:kern w:val="32"/>
          <w:szCs w:val="22"/>
        </w:rPr>
        <w:t xml:space="preserve">1: </w:t>
      </w:r>
      <w:r w:rsidR="00241C76" w:rsidRPr="00443BE8">
        <w:rPr>
          <w:rFonts w:cs="Calibri Light"/>
          <w:bCs/>
          <w:color w:val="4D7861" w:themeColor="accent2"/>
          <w:kern w:val="32"/>
          <w:szCs w:val="22"/>
        </w:rPr>
        <w:t>Summary of proposed changes</w:t>
      </w:r>
    </w:p>
    <w:tbl>
      <w:tblPr>
        <w:tblStyle w:val="TableGrid"/>
        <w:tblW w:w="9214" w:type="dxa"/>
        <w:tblBorders>
          <w:insideH w:val="single" w:sz="4" w:space="0" w:color="auto"/>
          <w:insideV w:val="single" w:sz="4" w:space="0" w:color="auto"/>
        </w:tblBorders>
        <w:tblLook w:val="04A0" w:firstRow="1" w:lastRow="0" w:firstColumn="1" w:lastColumn="0" w:noHBand="0" w:noVBand="1"/>
      </w:tblPr>
      <w:tblGrid>
        <w:gridCol w:w="426"/>
        <w:gridCol w:w="4536"/>
        <w:gridCol w:w="2268"/>
        <w:gridCol w:w="1984"/>
      </w:tblGrid>
      <w:tr w:rsidR="00B3215A" w:rsidRPr="00033557" w14:paraId="451C628B" w14:textId="77777777" w:rsidTr="1BB4F023">
        <w:trPr>
          <w:cnfStyle w:val="100000000000" w:firstRow="1" w:lastRow="0" w:firstColumn="0" w:lastColumn="0" w:oddVBand="0" w:evenVBand="0" w:oddHBand="0" w:evenHBand="0" w:firstRowFirstColumn="0" w:firstRowLastColumn="0" w:lastRowFirstColumn="0" w:lastRowLastColumn="0"/>
        </w:trPr>
        <w:tc>
          <w:tcPr>
            <w:tcW w:w="426" w:type="dxa"/>
            <w:shd w:val="clear" w:color="auto" w:fill="D9D9D9" w:themeFill="background1" w:themeFillShade="D9"/>
          </w:tcPr>
          <w:p w14:paraId="6730620A" w14:textId="77777777" w:rsidR="00EF2D30" w:rsidRPr="00033557" w:rsidRDefault="00EF2D30" w:rsidP="00D446B3">
            <w:pPr>
              <w:tabs>
                <w:tab w:val="left" w:pos="2317"/>
              </w:tabs>
              <w:spacing w:before="96" w:after="96"/>
              <w:rPr>
                <w:rFonts w:cs="Calibri Light"/>
                <w:b w:val="0"/>
                <w:bCs/>
                <w:sz w:val="22"/>
                <w:szCs w:val="22"/>
              </w:rPr>
            </w:pPr>
          </w:p>
        </w:tc>
        <w:tc>
          <w:tcPr>
            <w:tcW w:w="4536" w:type="dxa"/>
            <w:shd w:val="clear" w:color="auto" w:fill="D9D9D9" w:themeFill="background1" w:themeFillShade="D9"/>
          </w:tcPr>
          <w:p w14:paraId="462DF75E" w14:textId="1A21FFCF" w:rsidR="00EF2D30" w:rsidRPr="00033557" w:rsidRDefault="00087234" w:rsidP="00D446B3">
            <w:pPr>
              <w:tabs>
                <w:tab w:val="left" w:pos="2317"/>
              </w:tabs>
              <w:spacing w:before="96" w:after="96"/>
              <w:rPr>
                <w:rFonts w:cs="Calibri Light"/>
                <w:bCs/>
                <w:sz w:val="22"/>
                <w:szCs w:val="22"/>
              </w:rPr>
            </w:pPr>
            <w:r w:rsidRPr="00033557">
              <w:rPr>
                <w:rFonts w:cs="Calibri Light"/>
                <w:bCs/>
                <w:sz w:val="22"/>
                <w:szCs w:val="22"/>
              </w:rPr>
              <w:t>Proposed c</w:t>
            </w:r>
            <w:r w:rsidR="00EF2D30" w:rsidRPr="00033557">
              <w:rPr>
                <w:rFonts w:cs="Calibri Light"/>
                <w:bCs/>
                <w:sz w:val="22"/>
                <w:szCs w:val="22"/>
              </w:rPr>
              <w:t>hange</w:t>
            </w:r>
          </w:p>
        </w:tc>
        <w:tc>
          <w:tcPr>
            <w:tcW w:w="2268" w:type="dxa"/>
            <w:shd w:val="clear" w:color="auto" w:fill="D9D9D9" w:themeFill="background1" w:themeFillShade="D9"/>
          </w:tcPr>
          <w:p w14:paraId="6C77B3E7" w14:textId="77777777" w:rsidR="00EF2D30" w:rsidRPr="00033557" w:rsidRDefault="00EF2D30" w:rsidP="00D446B3">
            <w:pPr>
              <w:tabs>
                <w:tab w:val="left" w:pos="2317"/>
              </w:tabs>
              <w:spacing w:before="96" w:after="96"/>
              <w:rPr>
                <w:rFonts w:cs="Calibri Light"/>
                <w:bCs/>
                <w:sz w:val="22"/>
                <w:szCs w:val="22"/>
              </w:rPr>
            </w:pPr>
            <w:r w:rsidRPr="00033557">
              <w:rPr>
                <w:rFonts w:cs="Calibri Light"/>
                <w:bCs/>
                <w:sz w:val="22"/>
                <w:szCs w:val="22"/>
              </w:rPr>
              <w:t xml:space="preserve">Relevant Act or Sunsetting Regulation </w:t>
            </w:r>
          </w:p>
        </w:tc>
        <w:tc>
          <w:tcPr>
            <w:tcW w:w="1984" w:type="dxa"/>
            <w:shd w:val="clear" w:color="auto" w:fill="D9D9D9" w:themeFill="background1" w:themeFillShade="D9"/>
          </w:tcPr>
          <w:p w14:paraId="473D8E31" w14:textId="5ED5E278" w:rsidR="00EF2D30" w:rsidRPr="00033557" w:rsidRDefault="00DD66BD" w:rsidP="00D446B3">
            <w:pPr>
              <w:tabs>
                <w:tab w:val="left" w:pos="2317"/>
              </w:tabs>
              <w:spacing w:before="96" w:after="96"/>
              <w:rPr>
                <w:rFonts w:cs="Calibri Light"/>
                <w:bCs/>
                <w:sz w:val="22"/>
                <w:szCs w:val="22"/>
              </w:rPr>
            </w:pPr>
            <w:r w:rsidRPr="00033557">
              <w:rPr>
                <w:rFonts w:cs="Calibri Light"/>
                <w:bCs/>
                <w:sz w:val="22"/>
                <w:szCs w:val="22"/>
              </w:rPr>
              <w:t>Relevant exposure legislation and explanatory materials</w:t>
            </w:r>
          </w:p>
        </w:tc>
      </w:tr>
      <w:tr w:rsidR="00B3215A" w:rsidRPr="00033557" w14:paraId="1A86641E" w14:textId="77777777" w:rsidTr="1BB4F023">
        <w:tc>
          <w:tcPr>
            <w:tcW w:w="426" w:type="dxa"/>
            <w:shd w:val="clear" w:color="auto" w:fill="F2F2F2" w:themeFill="background1" w:themeFillShade="F2"/>
          </w:tcPr>
          <w:p w14:paraId="6CFD390C" w14:textId="77777777" w:rsidR="00111918" w:rsidRPr="00033557" w:rsidRDefault="00111918" w:rsidP="00111918">
            <w:pPr>
              <w:pStyle w:val="OutlineNumbered1"/>
              <w:numPr>
                <w:ilvl w:val="0"/>
                <w:numId w:val="0"/>
              </w:numPr>
              <w:ind w:left="520"/>
              <w:rPr>
                <w:rFonts w:cs="Calibri Light"/>
                <w:b/>
                <w:bCs/>
                <w:i/>
                <w:iCs/>
                <w:sz w:val="22"/>
                <w:szCs w:val="22"/>
              </w:rPr>
            </w:pPr>
          </w:p>
        </w:tc>
        <w:tc>
          <w:tcPr>
            <w:tcW w:w="4536" w:type="dxa"/>
            <w:shd w:val="clear" w:color="auto" w:fill="F2F2F2" w:themeFill="background1" w:themeFillShade="F2"/>
          </w:tcPr>
          <w:p w14:paraId="4982774C" w14:textId="627F0F78" w:rsidR="00111918" w:rsidRPr="00033557" w:rsidRDefault="00111918" w:rsidP="00111918">
            <w:pPr>
              <w:tabs>
                <w:tab w:val="left" w:pos="2317"/>
              </w:tabs>
              <w:rPr>
                <w:rFonts w:cs="Calibri Light"/>
                <w:b/>
                <w:bCs/>
                <w:i/>
                <w:iCs/>
                <w:sz w:val="22"/>
                <w:szCs w:val="22"/>
              </w:rPr>
            </w:pPr>
            <w:r w:rsidRPr="00033557">
              <w:rPr>
                <w:rFonts w:cs="Calibri Light"/>
                <w:b/>
                <w:bCs/>
                <w:sz w:val="22"/>
                <w:szCs w:val="22"/>
              </w:rPr>
              <w:t>Reflect modern communication methods</w:t>
            </w:r>
          </w:p>
        </w:tc>
        <w:tc>
          <w:tcPr>
            <w:tcW w:w="2268" w:type="dxa"/>
            <w:shd w:val="clear" w:color="auto" w:fill="F2F2F2" w:themeFill="background1" w:themeFillShade="F2"/>
          </w:tcPr>
          <w:p w14:paraId="2D2774DA" w14:textId="77777777" w:rsidR="00111918" w:rsidRPr="00033557" w:rsidRDefault="00111918" w:rsidP="00111918">
            <w:pPr>
              <w:tabs>
                <w:tab w:val="left" w:pos="2317"/>
              </w:tabs>
              <w:rPr>
                <w:rFonts w:cs="Calibri Light"/>
                <w:sz w:val="22"/>
                <w:szCs w:val="22"/>
              </w:rPr>
            </w:pPr>
          </w:p>
        </w:tc>
        <w:tc>
          <w:tcPr>
            <w:tcW w:w="1984" w:type="dxa"/>
            <w:shd w:val="clear" w:color="auto" w:fill="F2F2F2" w:themeFill="background1" w:themeFillShade="F2"/>
          </w:tcPr>
          <w:p w14:paraId="5DBAABA8" w14:textId="77777777" w:rsidR="00111918" w:rsidRPr="00033557" w:rsidRDefault="00111918" w:rsidP="00111918">
            <w:pPr>
              <w:tabs>
                <w:tab w:val="left" w:pos="2317"/>
              </w:tabs>
              <w:rPr>
                <w:rFonts w:cs="Calibri Light"/>
                <w:sz w:val="22"/>
                <w:szCs w:val="22"/>
              </w:rPr>
            </w:pPr>
          </w:p>
        </w:tc>
      </w:tr>
      <w:tr w:rsidR="00083F4F" w:rsidRPr="00033557" w14:paraId="0EE31603" w14:textId="77777777" w:rsidTr="1BB4F023">
        <w:tc>
          <w:tcPr>
            <w:tcW w:w="426" w:type="dxa"/>
          </w:tcPr>
          <w:p w14:paraId="30BB87E0" w14:textId="77777777" w:rsidR="00111918" w:rsidRPr="00033557" w:rsidRDefault="00111918" w:rsidP="00111918">
            <w:pPr>
              <w:pStyle w:val="OutlineNumbered1"/>
              <w:numPr>
                <w:ilvl w:val="0"/>
                <w:numId w:val="14"/>
              </w:numPr>
              <w:tabs>
                <w:tab w:val="left" w:pos="2317"/>
              </w:tabs>
              <w:spacing w:before="120" w:after="200"/>
              <w:ind w:left="522" w:hanging="522"/>
              <w:rPr>
                <w:rFonts w:cs="Calibri Light"/>
                <w:b/>
                <w:bCs/>
                <w:i/>
                <w:iCs/>
                <w:sz w:val="22"/>
                <w:szCs w:val="22"/>
              </w:rPr>
            </w:pPr>
          </w:p>
        </w:tc>
        <w:tc>
          <w:tcPr>
            <w:tcW w:w="4536" w:type="dxa"/>
          </w:tcPr>
          <w:p w14:paraId="25585FF6" w14:textId="550AD7D7" w:rsidR="00111918" w:rsidRPr="00033557" w:rsidRDefault="00111918" w:rsidP="00111918">
            <w:pPr>
              <w:tabs>
                <w:tab w:val="left" w:pos="2317"/>
              </w:tabs>
              <w:rPr>
                <w:rFonts w:cs="Calibri Light"/>
                <w:sz w:val="22"/>
                <w:szCs w:val="22"/>
              </w:rPr>
            </w:pPr>
            <w:r w:rsidRPr="00033557">
              <w:rPr>
                <w:rFonts w:cs="Calibri Light"/>
                <w:sz w:val="22"/>
                <w:szCs w:val="22"/>
              </w:rPr>
              <w:t xml:space="preserve">Remove provisions that allowed </w:t>
            </w:r>
            <w:r w:rsidR="00226A53" w:rsidRPr="00654572">
              <w:rPr>
                <w:rFonts w:cs="Calibri Light"/>
                <w:sz w:val="22"/>
                <w:szCs w:val="22"/>
              </w:rPr>
              <w:t>Australian Prudential Regulation Authority</w:t>
            </w:r>
            <w:r w:rsidR="00226A53" w:rsidRPr="00033557">
              <w:rPr>
                <w:rFonts w:cs="Calibri Light"/>
                <w:sz w:val="22"/>
                <w:szCs w:val="22"/>
              </w:rPr>
              <w:t xml:space="preserve"> </w:t>
            </w:r>
            <w:r w:rsidR="00226A53">
              <w:rPr>
                <w:rFonts w:cs="Calibri Light"/>
                <w:sz w:val="22"/>
                <w:szCs w:val="22"/>
              </w:rPr>
              <w:t>(</w:t>
            </w:r>
            <w:r w:rsidRPr="00033557">
              <w:rPr>
                <w:rFonts w:cs="Calibri Light"/>
                <w:sz w:val="22"/>
                <w:szCs w:val="22"/>
              </w:rPr>
              <w:t>APRA</w:t>
            </w:r>
            <w:r w:rsidR="00226A53">
              <w:rPr>
                <w:rFonts w:cs="Calibri Light"/>
                <w:sz w:val="22"/>
                <w:szCs w:val="22"/>
              </w:rPr>
              <w:t>)</w:t>
            </w:r>
            <w:r w:rsidRPr="00033557">
              <w:rPr>
                <w:rFonts w:cs="Calibri Light"/>
                <w:sz w:val="22"/>
                <w:szCs w:val="22"/>
              </w:rPr>
              <w:t xml:space="preserve"> to charge for paper copies of documents, as they do not charge such fees. </w:t>
            </w:r>
          </w:p>
        </w:tc>
        <w:tc>
          <w:tcPr>
            <w:tcW w:w="2268" w:type="dxa"/>
          </w:tcPr>
          <w:p w14:paraId="4A663410" w14:textId="29C887F2" w:rsidR="00111918" w:rsidRPr="00033557" w:rsidRDefault="00111918" w:rsidP="00111918">
            <w:pPr>
              <w:tabs>
                <w:tab w:val="left" w:pos="2317"/>
              </w:tabs>
              <w:rPr>
                <w:rFonts w:cs="Calibri Light"/>
                <w:i/>
                <w:iCs/>
                <w:sz w:val="22"/>
                <w:szCs w:val="22"/>
              </w:rPr>
            </w:pPr>
            <w:r w:rsidRPr="00033557">
              <w:rPr>
                <w:rFonts w:cs="Calibri Light"/>
                <w:i/>
                <w:iCs/>
                <w:sz w:val="22"/>
                <w:szCs w:val="22"/>
              </w:rPr>
              <w:t>Life Insurance Regulations 1995</w:t>
            </w:r>
          </w:p>
        </w:tc>
        <w:tc>
          <w:tcPr>
            <w:tcW w:w="1984" w:type="dxa"/>
          </w:tcPr>
          <w:p w14:paraId="4DE81F88" w14:textId="47D8032F" w:rsidR="00111918" w:rsidRPr="00033557" w:rsidRDefault="005B5F23" w:rsidP="00111918">
            <w:pPr>
              <w:tabs>
                <w:tab w:val="left" w:pos="2317"/>
              </w:tabs>
              <w:rPr>
                <w:rFonts w:cs="Calibri Light"/>
                <w:sz w:val="22"/>
                <w:szCs w:val="22"/>
              </w:rPr>
            </w:pPr>
            <w:r>
              <w:rPr>
                <w:rFonts w:cs="Calibri Light"/>
                <w:sz w:val="22"/>
                <w:szCs w:val="22"/>
              </w:rPr>
              <w:t xml:space="preserve">Exposure Draft </w:t>
            </w:r>
            <w:r w:rsidR="00111918" w:rsidRPr="00033557">
              <w:rPr>
                <w:rFonts w:cs="Calibri Light"/>
                <w:sz w:val="22"/>
                <w:szCs w:val="22"/>
              </w:rPr>
              <w:t>Explanatory Statement to Life Insurance Regulations 2023</w:t>
            </w:r>
          </w:p>
        </w:tc>
      </w:tr>
      <w:tr w:rsidR="00083F4F" w:rsidRPr="00033557" w14:paraId="4AD14FFF" w14:textId="77777777" w:rsidTr="1BB4F023">
        <w:tc>
          <w:tcPr>
            <w:tcW w:w="426" w:type="dxa"/>
          </w:tcPr>
          <w:p w14:paraId="38D02AB6" w14:textId="77777777" w:rsidR="00111918" w:rsidRPr="00033557" w:rsidRDefault="00111918" w:rsidP="00111918">
            <w:pPr>
              <w:pStyle w:val="OutlineNumbered1"/>
              <w:numPr>
                <w:ilvl w:val="0"/>
                <w:numId w:val="14"/>
              </w:numPr>
              <w:tabs>
                <w:tab w:val="left" w:pos="2317"/>
              </w:tabs>
              <w:spacing w:before="120" w:after="200"/>
              <w:ind w:left="522" w:hanging="522"/>
              <w:rPr>
                <w:rFonts w:cs="Calibri Light"/>
                <w:b/>
                <w:bCs/>
                <w:i/>
                <w:iCs/>
                <w:sz w:val="22"/>
                <w:szCs w:val="22"/>
              </w:rPr>
            </w:pPr>
          </w:p>
        </w:tc>
        <w:tc>
          <w:tcPr>
            <w:tcW w:w="4536" w:type="dxa"/>
          </w:tcPr>
          <w:p w14:paraId="7021DF84" w14:textId="77777777" w:rsidR="00111918" w:rsidRPr="00033557" w:rsidRDefault="00111918" w:rsidP="00111918">
            <w:pPr>
              <w:tabs>
                <w:tab w:val="left" w:pos="2317"/>
              </w:tabs>
              <w:rPr>
                <w:rFonts w:cs="Calibri Light"/>
                <w:sz w:val="22"/>
                <w:szCs w:val="22"/>
              </w:rPr>
            </w:pPr>
            <w:r w:rsidRPr="00033557">
              <w:rPr>
                <w:rFonts w:cs="Calibri Light"/>
                <w:sz w:val="22"/>
                <w:szCs w:val="22"/>
              </w:rPr>
              <w:t xml:space="preserve">Introduce technology neutrality into mechanisms to make documents available to policy holders, so that modern electronic methods may be used. </w:t>
            </w:r>
          </w:p>
          <w:p w14:paraId="250355BF" w14:textId="00D46B37" w:rsidR="00111918" w:rsidRPr="00033557" w:rsidRDefault="00111918" w:rsidP="00111918">
            <w:pPr>
              <w:tabs>
                <w:tab w:val="left" w:pos="2317"/>
              </w:tabs>
              <w:rPr>
                <w:rFonts w:cs="Calibri Light"/>
                <w:sz w:val="22"/>
                <w:szCs w:val="22"/>
              </w:rPr>
            </w:pPr>
          </w:p>
        </w:tc>
        <w:tc>
          <w:tcPr>
            <w:tcW w:w="2268" w:type="dxa"/>
          </w:tcPr>
          <w:p w14:paraId="00D9C771" w14:textId="135B9151" w:rsidR="00111918" w:rsidRPr="00033557" w:rsidRDefault="00111918" w:rsidP="00111918">
            <w:pPr>
              <w:tabs>
                <w:tab w:val="left" w:pos="2317"/>
              </w:tabs>
              <w:rPr>
                <w:rFonts w:cs="Calibri Light"/>
                <w:i/>
                <w:iCs/>
                <w:sz w:val="22"/>
                <w:szCs w:val="22"/>
              </w:rPr>
            </w:pPr>
            <w:r w:rsidRPr="00033557">
              <w:rPr>
                <w:rFonts w:cs="Calibri Light"/>
                <w:i/>
                <w:iCs/>
                <w:sz w:val="22"/>
                <w:szCs w:val="22"/>
              </w:rPr>
              <w:t>Life Insurance Regulations 1995</w:t>
            </w:r>
          </w:p>
          <w:p w14:paraId="286A8CEF" w14:textId="77777777" w:rsidR="00111918" w:rsidRDefault="00111918" w:rsidP="00111918">
            <w:pPr>
              <w:tabs>
                <w:tab w:val="left" w:pos="2317"/>
              </w:tabs>
              <w:rPr>
                <w:rFonts w:cs="Calibri Light"/>
                <w:i/>
                <w:iCs/>
                <w:sz w:val="22"/>
                <w:szCs w:val="22"/>
              </w:rPr>
            </w:pPr>
            <w:r w:rsidRPr="00033557">
              <w:rPr>
                <w:rFonts w:cs="Calibri Light"/>
                <w:i/>
                <w:iCs/>
                <w:sz w:val="22"/>
                <w:szCs w:val="22"/>
              </w:rPr>
              <w:t>Insurance Regulations 2002</w:t>
            </w:r>
          </w:p>
          <w:p w14:paraId="2FA4AC3C" w14:textId="77777777" w:rsidR="00CE1159" w:rsidRPr="00033557" w:rsidRDefault="00CE1159" w:rsidP="00CE1159">
            <w:pPr>
              <w:tabs>
                <w:tab w:val="left" w:pos="2317"/>
              </w:tabs>
              <w:rPr>
                <w:rFonts w:cs="Calibri Light"/>
                <w:sz w:val="22"/>
                <w:szCs w:val="22"/>
              </w:rPr>
            </w:pPr>
            <w:r w:rsidRPr="00170A61">
              <w:rPr>
                <w:rFonts w:cs="Calibri Light"/>
                <w:i/>
                <w:iCs/>
                <w:sz w:val="22"/>
                <w:szCs w:val="22"/>
              </w:rPr>
              <w:t>Life Insurance Act 1995</w:t>
            </w:r>
            <w:r w:rsidRPr="00033557">
              <w:rPr>
                <w:rFonts w:cs="Calibri Light"/>
                <w:sz w:val="22"/>
                <w:szCs w:val="22"/>
              </w:rPr>
              <w:t xml:space="preserve"> </w:t>
            </w:r>
          </w:p>
          <w:p w14:paraId="5B70366A" w14:textId="77777777" w:rsidR="00CE1159" w:rsidRPr="00453746" w:rsidRDefault="00CE1159" w:rsidP="00CE1159">
            <w:pPr>
              <w:tabs>
                <w:tab w:val="left" w:pos="2317"/>
              </w:tabs>
              <w:rPr>
                <w:rFonts w:cs="Calibri Light"/>
                <w:i/>
                <w:iCs/>
                <w:sz w:val="22"/>
                <w:szCs w:val="22"/>
              </w:rPr>
            </w:pPr>
            <w:r w:rsidRPr="00453746">
              <w:rPr>
                <w:rFonts w:cs="Calibri Light"/>
                <w:i/>
                <w:iCs/>
                <w:sz w:val="22"/>
                <w:szCs w:val="22"/>
              </w:rPr>
              <w:t>Insurance Act 1973</w:t>
            </w:r>
          </w:p>
          <w:p w14:paraId="0CC3EB10" w14:textId="5A667A31" w:rsidR="00CE1159" w:rsidRPr="00033557" w:rsidRDefault="00CE1159" w:rsidP="00111918">
            <w:pPr>
              <w:tabs>
                <w:tab w:val="left" w:pos="2317"/>
              </w:tabs>
              <w:rPr>
                <w:rFonts w:cs="Calibri Light"/>
                <w:i/>
                <w:iCs/>
                <w:sz w:val="22"/>
                <w:szCs w:val="22"/>
              </w:rPr>
            </w:pPr>
          </w:p>
        </w:tc>
        <w:tc>
          <w:tcPr>
            <w:tcW w:w="1984" w:type="dxa"/>
          </w:tcPr>
          <w:p w14:paraId="38C3B583" w14:textId="12FA50A5" w:rsidR="00111918" w:rsidRPr="00033557" w:rsidRDefault="005B5F23" w:rsidP="00111918">
            <w:pPr>
              <w:tabs>
                <w:tab w:val="left" w:pos="2317"/>
              </w:tabs>
              <w:rPr>
                <w:rFonts w:cs="Calibri Light"/>
                <w:sz w:val="22"/>
                <w:szCs w:val="22"/>
              </w:rPr>
            </w:pPr>
            <w:r>
              <w:rPr>
                <w:rFonts w:cs="Calibri Light"/>
                <w:sz w:val="22"/>
                <w:szCs w:val="22"/>
              </w:rPr>
              <w:t xml:space="preserve">Exposure Draft </w:t>
            </w:r>
            <w:r w:rsidR="00111918" w:rsidRPr="00033557">
              <w:rPr>
                <w:rFonts w:cs="Calibri Light"/>
                <w:sz w:val="22"/>
                <w:szCs w:val="22"/>
              </w:rPr>
              <w:t>Life Insurance Regulations 2023</w:t>
            </w:r>
            <w:r w:rsidR="00111918" w:rsidRPr="00033557">
              <w:rPr>
                <w:rFonts w:cs="Calibri Light"/>
                <w:i/>
                <w:iCs/>
                <w:sz w:val="22"/>
                <w:szCs w:val="22"/>
              </w:rPr>
              <w:t xml:space="preserve"> </w:t>
            </w:r>
          </w:p>
          <w:p w14:paraId="47172786" w14:textId="5D84CEDD" w:rsidR="00111918" w:rsidRPr="00033557" w:rsidRDefault="005B5F23" w:rsidP="00111918">
            <w:pPr>
              <w:tabs>
                <w:tab w:val="left" w:pos="2317"/>
              </w:tabs>
              <w:rPr>
                <w:rFonts w:cs="Calibri Light"/>
                <w:sz w:val="22"/>
                <w:szCs w:val="22"/>
              </w:rPr>
            </w:pPr>
            <w:r>
              <w:rPr>
                <w:rFonts w:cs="Calibri Light"/>
                <w:sz w:val="22"/>
                <w:szCs w:val="22"/>
              </w:rPr>
              <w:t xml:space="preserve">Exposure Draft </w:t>
            </w:r>
            <w:r w:rsidR="00111918" w:rsidRPr="00033557">
              <w:rPr>
                <w:rFonts w:cs="Calibri Light"/>
                <w:sz w:val="22"/>
                <w:szCs w:val="22"/>
              </w:rPr>
              <w:t>Explanatory Statement to Life Insurance Regulations 2023</w:t>
            </w:r>
          </w:p>
          <w:p w14:paraId="5E541DB7" w14:textId="47B7D836" w:rsidR="00111918" w:rsidRPr="00033557" w:rsidRDefault="005B5F23" w:rsidP="00111918">
            <w:pPr>
              <w:tabs>
                <w:tab w:val="left" w:pos="2317"/>
              </w:tabs>
              <w:rPr>
                <w:rFonts w:cs="Calibri Light"/>
                <w:sz w:val="22"/>
                <w:szCs w:val="22"/>
              </w:rPr>
            </w:pPr>
            <w:r>
              <w:rPr>
                <w:rFonts w:cs="Calibri Light"/>
                <w:sz w:val="22"/>
                <w:szCs w:val="22"/>
              </w:rPr>
              <w:lastRenderedPageBreak/>
              <w:t xml:space="preserve">Exposure Draft </w:t>
            </w:r>
            <w:r w:rsidR="00111918" w:rsidRPr="00033557">
              <w:rPr>
                <w:rFonts w:cs="Calibri Light"/>
                <w:sz w:val="22"/>
                <w:szCs w:val="22"/>
              </w:rPr>
              <w:t xml:space="preserve">Insurance Regulations 2023 </w:t>
            </w:r>
          </w:p>
          <w:p w14:paraId="5C04CDBF" w14:textId="5538967A" w:rsidR="00111918" w:rsidRPr="00033557" w:rsidRDefault="00B3215A" w:rsidP="00111918">
            <w:pPr>
              <w:tabs>
                <w:tab w:val="left" w:pos="2317"/>
              </w:tabs>
              <w:rPr>
                <w:rFonts w:cs="Calibri Light"/>
                <w:sz w:val="22"/>
                <w:szCs w:val="22"/>
              </w:rPr>
            </w:pPr>
            <w:r>
              <w:rPr>
                <w:rFonts w:cs="Calibri Light"/>
                <w:sz w:val="22"/>
                <w:szCs w:val="22"/>
              </w:rPr>
              <w:t xml:space="preserve">Exposure Draft </w:t>
            </w:r>
            <w:r w:rsidR="00111918" w:rsidRPr="00033557">
              <w:rPr>
                <w:rFonts w:cs="Calibri Light"/>
                <w:sz w:val="22"/>
                <w:szCs w:val="22"/>
              </w:rPr>
              <w:t xml:space="preserve">Explanatory Statement to the Insurance Regulations 2023 </w:t>
            </w:r>
          </w:p>
          <w:p w14:paraId="3A85E4DE" w14:textId="77777777" w:rsidR="00A0712F" w:rsidRDefault="00A0712F" w:rsidP="00111918">
            <w:pPr>
              <w:tabs>
                <w:tab w:val="left" w:pos="2317"/>
              </w:tabs>
              <w:rPr>
                <w:rFonts w:cs="Calibri Light"/>
                <w:sz w:val="22"/>
                <w:szCs w:val="22"/>
              </w:rPr>
            </w:pPr>
            <w:r w:rsidRPr="00A0712F">
              <w:rPr>
                <w:rFonts w:cs="Calibri Light"/>
                <w:sz w:val="22"/>
                <w:szCs w:val="22"/>
              </w:rPr>
              <w:t>Exposure Draft Primary Legislation</w:t>
            </w:r>
            <w:r w:rsidRPr="00A0712F" w:rsidDel="00A0712F">
              <w:rPr>
                <w:rFonts w:cs="Calibri Light"/>
                <w:sz w:val="22"/>
                <w:szCs w:val="22"/>
              </w:rPr>
              <w:t xml:space="preserve"> </w:t>
            </w:r>
          </w:p>
          <w:p w14:paraId="2D37B993" w14:textId="75528A20" w:rsidR="00111918" w:rsidRPr="00033557" w:rsidRDefault="00B3215A" w:rsidP="00111918">
            <w:pPr>
              <w:tabs>
                <w:tab w:val="left" w:pos="2317"/>
              </w:tabs>
              <w:rPr>
                <w:rFonts w:cs="Calibri Light"/>
                <w:sz w:val="22"/>
                <w:szCs w:val="22"/>
              </w:rPr>
            </w:pPr>
            <w:r>
              <w:rPr>
                <w:rFonts w:cs="Calibri Light"/>
                <w:sz w:val="22"/>
                <w:szCs w:val="22"/>
              </w:rPr>
              <w:t xml:space="preserve">Exposure Draft </w:t>
            </w:r>
            <w:r w:rsidR="00111918" w:rsidRPr="00033557">
              <w:rPr>
                <w:rFonts w:cs="Calibri Light"/>
                <w:sz w:val="22"/>
                <w:szCs w:val="22"/>
              </w:rPr>
              <w:t xml:space="preserve">Explanatory </w:t>
            </w:r>
            <w:r w:rsidR="00D952D3">
              <w:rPr>
                <w:rFonts w:cs="Calibri Light"/>
                <w:sz w:val="22"/>
                <w:szCs w:val="22"/>
              </w:rPr>
              <w:t>Memorandum</w:t>
            </w:r>
            <w:r w:rsidR="00111918" w:rsidRPr="00033557">
              <w:rPr>
                <w:rFonts w:cs="Calibri Light"/>
                <w:sz w:val="22"/>
                <w:szCs w:val="22"/>
              </w:rPr>
              <w:t xml:space="preserve"> to the </w:t>
            </w:r>
            <w:r w:rsidR="00A0712F" w:rsidRPr="00A0712F">
              <w:rPr>
                <w:rFonts w:cs="Calibri Light"/>
                <w:sz w:val="22"/>
                <w:szCs w:val="22"/>
              </w:rPr>
              <w:t>Primary Legislation</w:t>
            </w:r>
          </w:p>
        </w:tc>
      </w:tr>
      <w:tr w:rsidR="00B3215A" w:rsidRPr="00033557" w14:paraId="2FF9227B" w14:textId="77777777" w:rsidTr="1BB4F023">
        <w:tc>
          <w:tcPr>
            <w:tcW w:w="426" w:type="dxa"/>
            <w:shd w:val="clear" w:color="auto" w:fill="F2F2F2" w:themeFill="background1" w:themeFillShade="F2"/>
          </w:tcPr>
          <w:p w14:paraId="5AF6B709" w14:textId="77777777" w:rsidR="00111918" w:rsidRPr="00033557" w:rsidRDefault="00111918" w:rsidP="003D28EC">
            <w:pPr>
              <w:pStyle w:val="OutlineNumbered1"/>
              <w:numPr>
                <w:ilvl w:val="0"/>
                <w:numId w:val="0"/>
              </w:numPr>
              <w:tabs>
                <w:tab w:val="left" w:pos="2317"/>
              </w:tabs>
              <w:spacing w:before="120" w:after="200"/>
              <w:rPr>
                <w:rFonts w:cs="Calibri Light"/>
                <w:b/>
                <w:bCs/>
                <w:i/>
                <w:iCs/>
                <w:sz w:val="22"/>
                <w:szCs w:val="22"/>
              </w:rPr>
            </w:pPr>
          </w:p>
        </w:tc>
        <w:tc>
          <w:tcPr>
            <w:tcW w:w="4536" w:type="dxa"/>
            <w:shd w:val="clear" w:color="auto" w:fill="F2F2F2" w:themeFill="background1" w:themeFillShade="F2"/>
          </w:tcPr>
          <w:p w14:paraId="45D8C676" w14:textId="6A38C037" w:rsidR="00111918" w:rsidRPr="00033557" w:rsidRDefault="00111918" w:rsidP="00111918">
            <w:pPr>
              <w:tabs>
                <w:tab w:val="left" w:pos="2317"/>
              </w:tabs>
              <w:rPr>
                <w:rFonts w:cs="Calibri Light"/>
                <w:sz w:val="22"/>
                <w:szCs w:val="22"/>
              </w:rPr>
            </w:pPr>
            <w:r w:rsidRPr="00033557">
              <w:rPr>
                <w:rFonts w:cs="Calibri Light"/>
                <w:b/>
                <w:bCs/>
                <w:sz w:val="22"/>
                <w:szCs w:val="22"/>
              </w:rPr>
              <w:t>Move some regulations into primary law</w:t>
            </w:r>
          </w:p>
        </w:tc>
        <w:tc>
          <w:tcPr>
            <w:tcW w:w="2268" w:type="dxa"/>
            <w:shd w:val="clear" w:color="auto" w:fill="F2F2F2" w:themeFill="background1" w:themeFillShade="F2"/>
          </w:tcPr>
          <w:p w14:paraId="28426FD1" w14:textId="61689EE2" w:rsidR="00111918" w:rsidRPr="00033557" w:rsidRDefault="00111918" w:rsidP="00111918">
            <w:pPr>
              <w:tabs>
                <w:tab w:val="left" w:pos="2317"/>
              </w:tabs>
              <w:rPr>
                <w:rFonts w:cs="Calibri Light"/>
                <w:i/>
                <w:iCs/>
                <w:sz w:val="22"/>
                <w:szCs w:val="22"/>
              </w:rPr>
            </w:pPr>
          </w:p>
        </w:tc>
        <w:tc>
          <w:tcPr>
            <w:tcW w:w="1984" w:type="dxa"/>
            <w:shd w:val="clear" w:color="auto" w:fill="F2F2F2" w:themeFill="background1" w:themeFillShade="F2"/>
          </w:tcPr>
          <w:p w14:paraId="17C85B54" w14:textId="05A42403" w:rsidR="00111918" w:rsidRPr="00033557" w:rsidRDefault="00111918" w:rsidP="00111918">
            <w:pPr>
              <w:tabs>
                <w:tab w:val="left" w:pos="2317"/>
              </w:tabs>
              <w:rPr>
                <w:rFonts w:cs="Calibri Light"/>
                <w:sz w:val="22"/>
                <w:szCs w:val="22"/>
              </w:rPr>
            </w:pPr>
          </w:p>
        </w:tc>
      </w:tr>
      <w:tr w:rsidR="00083F4F" w:rsidRPr="00033557" w14:paraId="58974751" w14:textId="77777777" w:rsidTr="1BB4F023">
        <w:tc>
          <w:tcPr>
            <w:tcW w:w="426" w:type="dxa"/>
          </w:tcPr>
          <w:p w14:paraId="03ACA586" w14:textId="77777777" w:rsidR="00111918" w:rsidRPr="00033557" w:rsidRDefault="00111918" w:rsidP="003D28EC">
            <w:pPr>
              <w:pStyle w:val="OutlineNumbered1"/>
              <w:numPr>
                <w:ilvl w:val="0"/>
                <w:numId w:val="14"/>
              </w:numPr>
              <w:tabs>
                <w:tab w:val="left" w:pos="2317"/>
              </w:tabs>
              <w:spacing w:before="120" w:after="200"/>
              <w:ind w:left="522" w:hanging="522"/>
              <w:rPr>
                <w:rFonts w:cs="Calibri Light"/>
                <w:b/>
                <w:bCs/>
                <w:i/>
                <w:iCs/>
                <w:sz w:val="22"/>
                <w:szCs w:val="22"/>
              </w:rPr>
            </w:pPr>
          </w:p>
        </w:tc>
        <w:tc>
          <w:tcPr>
            <w:tcW w:w="4536" w:type="dxa"/>
          </w:tcPr>
          <w:p w14:paraId="5DE17D3D" w14:textId="77777777" w:rsidR="00111918" w:rsidRPr="00033557" w:rsidRDefault="00111918" w:rsidP="00111918">
            <w:pPr>
              <w:tabs>
                <w:tab w:val="left" w:pos="2317"/>
              </w:tabs>
              <w:rPr>
                <w:rFonts w:cs="Calibri Light"/>
                <w:sz w:val="22"/>
                <w:szCs w:val="22"/>
                <w:u w:val="single"/>
              </w:rPr>
            </w:pPr>
            <w:r w:rsidRPr="00033557">
              <w:rPr>
                <w:rFonts w:cs="Calibri Light"/>
                <w:sz w:val="22"/>
                <w:szCs w:val="22"/>
                <w:u w:val="single"/>
              </w:rPr>
              <w:t>Derivative provisions</w:t>
            </w:r>
          </w:p>
          <w:p w14:paraId="2E8E79BC" w14:textId="433E6B0F" w:rsidR="00111918" w:rsidRPr="00033557" w:rsidRDefault="00111918" w:rsidP="00111918">
            <w:pPr>
              <w:tabs>
                <w:tab w:val="left" w:pos="2317"/>
              </w:tabs>
              <w:rPr>
                <w:rFonts w:cs="Calibri Light"/>
                <w:sz w:val="22"/>
                <w:szCs w:val="22"/>
              </w:rPr>
            </w:pPr>
            <w:r w:rsidRPr="00033557">
              <w:rPr>
                <w:rFonts w:cs="Calibri Light"/>
                <w:sz w:val="22"/>
                <w:szCs w:val="22"/>
              </w:rPr>
              <w:t>Move provisions related to when a life insurance compan</w:t>
            </w:r>
            <w:r w:rsidR="00C35318">
              <w:rPr>
                <w:rFonts w:cs="Calibri Light"/>
                <w:sz w:val="22"/>
                <w:szCs w:val="22"/>
              </w:rPr>
              <w:t>y</w:t>
            </w:r>
            <w:r w:rsidRPr="00033557">
              <w:rPr>
                <w:rFonts w:cs="Calibri Light"/>
                <w:sz w:val="22"/>
                <w:szCs w:val="22"/>
              </w:rPr>
              <w:t xml:space="preserve"> can charge the assets of a statutory fund from the </w:t>
            </w:r>
            <w:r w:rsidRPr="0041673F">
              <w:rPr>
                <w:rFonts w:cs="Calibri Light"/>
                <w:i/>
                <w:iCs/>
                <w:sz w:val="22"/>
                <w:szCs w:val="22"/>
              </w:rPr>
              <w:t>Life Insurance Regulations</w:t>
            </w:r>
            <w:r w:rsidR="0041673F">
              <w:rPr>
                <w:rFonts w:cs="Calibri Light"/>
                <w:i/>
                <w:iCs/>
                <w:sz w:val="22"/>
                <w:szCs w:val="22"/>
              </w:rPr>
              <w:t xml:space="preserve"> 1995</w:t>
            </w:r>
            <w:r w:rsidRPr="00033557">
              <w:rPr>
                <w:rFonts w:cs="Calibri Light"/>
                <w:sz w:val="22"/>
                <w:szCs w:val="22"/>
              </w:rPr>
              <w:t xml:space="preserve"> to the </w:t>
            </w:r>
            <w:r w:rsidR="00170A61" w:rsidRPr="00170A61">
              <w:rPr>
                <w:rFonts w:cs="Calibri Light"/>
                <w:i/>
                <w:iCs/>
                <w:sz w:val="22"/>
                <w:szCs w:val="22"/>
              </w:rPr>
              <w:t>Life Insurance Act 1995</w:t>
            </w:r>
            <w:r w:rsidRPr="00033557">
              <w:rPr>
                <w:rFonts w:cs="Calibri Light"/>
                <w:sz w:val="22"/>
                <w:szCs w:val="22"/>
              </w:rPr>
              <w:t xml:space="preserve">.  </w:t>
            </w:r>
          </w:p>
          <w:p w14:paraId="2AE0DC58" w14:textId="2A696CD6" w:rsidR="00111918" w:rsidRPr="00033557" w:rsidRDefault="00111918" w:rsidP="00111918">
            <w:pPr>
              <w:tabs>
                <w:tab w:val="left" w:pos="2317"/>
              </w:tabs>
              <w:rPr>
                <w:rFonts w:cs="Calibri Light"/>
                <w:sz w:val="22"/>
                <w:szCs w:val="22"/>
              </w:rPr>
            </w:pPr>
            <w:r w:rsidRPr="00033557">
              <w:rPr>
                <w:rFonts w:cs="Calibri Light"/>
                <w:sz w:val="22"/>
                <w:szCs w:val="22"/>
              </w:rPr>
              <w:t>There is no intention to change the effect of these provisions, although drafting has been updated for clarity. The provisions allow life insurance companies to participa</w:t>
            </w:r>
            <w:r w:rsidR="00C84FDA">
              <w:rPr>
                <w:rFonts w:cs="Calibri Light"/>
                <w:sz w:val="22"/>
                <w:szCs w:val="22"/>
              </w:rPr>
              <w:t>te</w:t>
            </w:r>
            <w:r w:rsidRPr="00033557">
              <w:rPr>
                <w:rFonts w:cs="Calibri Light"/>
                <w:sz w:val="22"/>
                <w:szCs w:val="22"/>
              </w:rPr>
              <w:t xml:space="preserve"> in global derivative markets. </w:t>
            </w:r>
          </w:p>
          <w:p w14:paraId="1156BB2F" w14:textId="50A0F848" w:rsidR="00111918" w:rsidRPr="00033557" w:rsidRDefault="001D2E37" w:rsidP="00111918">
            <w:pPr>
              <w:tabs>
                <w:tab w:val="left" w:pos="2317"/>
              </w:tabs>
              <w:rPr>
                <w:rFonts w:cs="Calibri Light"/>
                <w:sz w:val="22"/>
                <w:szCs w:val="22"/>
              </w:rPr>
            </w:pPr>
            <w:r w:rsidRPr="00033557">
              <w:rPr>
                <w:rFonts w:cs="Calibri Light"/>
                <w:sz w:val="22"/>
                <w:szCs w:val="22"/>
              </w:rPr>
              <w:t xml:space="preserve">The list </w:t>
            </w:r>
            <w:r w:rsidR="00111918" w:rsidRPr="00033557">
              <w:rPr>
                <w:rFonts w:cs="Calibri Light"/>
                <w:sz w:val="22"/>
                <w:szCs w:val="22"/>
              </w:rPr>
              <w:t>of ‘approved bodies’ in the</w:t>
            </w:r>
            <w:r w:rsidR="00A364A1">
              <w:rPr>
                <w:rFonts w:cs="Calibri Light"/>
                <w:sz w:val="22"/>
                <w:szCs w:val="22"/>
              </w:rPr>
              <w:t xml:space="preserve"> Exposure Draft</w:t>
            </w:r>
            <w:r w:rsidR="00111918" w:rsidRPr="00033557">
              <w:rPr>
                <w:rFonts w:cs="Calibri Light"/>
                <w:sz w:val="22"/>
                <w:szCs w:val="22"/>
              </w:rPr>
              <w:t xml:space="preserve"> Life Insurance Regulations 2023 </w:t>
            </w:r>
            <w:r w:rsidRPr="00033557">
              <w:rPr>
                <w:rFonts w:cs="Calibri Light"/>
                <w:sz w:val="22"/>
                <w:szCs w:val="22"/>
              </w:rPr>
              <w:t>has been updated</w:t>
            </w:r>
            <w:r w:rsidR="00111918" w:rsidRPr="00033557">
              <w:rPr>
                <w:rFonts w:cs="Calibri Light"/>
                <w:sz w:val="22"/>
                <w:szCs w:val="22"/>
              </w:rPr>
              <w:t xml:space="preserve"> to reflect that some bodies have ceased operation or been renamed.</w:t>
            </w:r>
          </w:p>
        </w:tc>
        <w:tc>
          <w:tcPr>
            <w:tcW w:w="2268" w:type="dxa"/>
          </w:tcPr>
          <w:p w14:paraId="259C6F48" w14:textId="77777777" w:rsidR="00111918" w:rsidRDefault="00111918" w:rsidP="00111918">
            <w:pPr>
              <w:tabs>
                <w:tab w:val="left" w:pos="2317"/>
              </w:tabs>
              <w:rPr>
                <w:rFonts w:cs="Calibri Light"/>
                <w:sz w:val="22"/>
                <w:szCs w:val="22"/>
              </w:rPr>
            </w:pPr>
            <w:r w:rsidRPr="00033557">
              <w:rPr>
                <w:rFonts w:cs="Calibri Light"/>
                <w:i/>
                <w:iCs/>
                <w:sz w:val="22"/>
                <w:szCs w:val="22"/>
              </w:rPr>
              <w:t>Life Insurance Regulations 1995</w:t>
            </w:r>
            <w:r w:rsidRPr="00033557">
              <w:rPr>
                <w:rFonts w:cs="Calibri Light"/>
                <w:sz w:val="22"/>
                <w:szCs w:val="22"/>
              </w:rPr>
              <w:t xml:space="preserve"> </w:t>
            </w:r>
          </w:p>
          <w:p w14:paraId="04DCB1BE" w14:textId="77777777" w:rsidR="006A30C6" w:rsidRPr="00033557" w:rsidRDefault="006A30C6" w:rsidP="006A30C6">
            <w:pPr>
              <w:tabs>
                <w:tab w:val="left" w:pos="2317"/>
              </w:tabs>
              <w:rPr>
                <w:rFonts w:cs="Calibri Light"/>
                <w:sz w:val="22"/>
                <w:szCs w:val="22"/>
              </w:rPr>
            </w:pPr>
            <w:r w:rsidRPr="00170A61">
              <w:rPr>
                <w:rFonts w:cs="Calibri Light"/>
                <w:i/>
                <w:iCs/>
                <w:sz w:val="22"/>
                <w:szCs w:val="22"/>
              </w:rPr>
              <w:t>Life Insurance Act 1995</w:t>
            </w:r>
            <w:r w:rsidRPr="00033557">
              <w:rPr>
                <w:rFonts w:cs="Calibri Light"/>
                <w:sz w:val="22"/>
                <w:szCs w:val="22"/>
              </w:rPr>
              <w:t xml:space="preserve"> </w:t>
            </w:r>
          </w:p>
          <w:p w14:paraId="4757A1B6" w14:textId="4184FAF5" w:rsidR="006A30C6" w:rsidRPr="00033557" w:rsidRDefault="006A30C6" w:rsidP="00111918">
            <w:pPr>
              <w:tabs>
                <w:tab w:val="left" w:pos="2317"/>
              </w:tabs>
              <w:rPr>
                <w:rFonts w:cs="Calibri Light"/>
                <w:sz w:val="22"/>
                <w:szCs w:val="22"/>
              </w:rPr>
            </w:pPr>
          </w:p>
        </w:tc>
        <w:tc>
          <w:tcPr>
            <w:tcW w:w="1984" w:type="dxa"/>
          </w:tcPr>
          <w:p w14:paraId="20AEBDDD" w14:textId="4987A41D" w:rsidR="00111918" w:rsidRPr="00033557" w:rsidRDefault="00111918" w:rsidP="00111918">
            <w:pPr>
              <w:tabs>
                <w:tab w:val="left" w:pos="2317"/>
              </w:tabs>
              <w:rPr>
                <w:rFonts w:cs="Calibri Light"/>
                <w:sz w:val="22"/>
                <w:szCs w:val="22"/>
              </w:rPr>
            </w:pPr>
            <w:r w:rsidRPr="00033557">
              <w:rPr>
                <w:rFonts w:cs="Calibri Light"/>
                <w:sz w:val="22"/>
                <w:szCs w:val="22"/>
              </w:rPr>
              <w:t xml:space="preserve">Part 4, </w:t>
            </w:r>
            <w:r w:rsidR="00A0712F" w:rsidRPr="00A0712F">
              <w:rPr>
                <w:rFonts w:cs="Calibri Light"/>
                <w:sz w:val="22"/>
                <w:szCs w:val="22"/>
              </w:rPr>
              <w:t>Exposure Draft Primary Legislation</w:t>
            </w:r>
          </w:p>
          <w:p w14:paraId="6AB67F2E" w14:textId="3279CEC4" w:rsidR="00111918" w:rsidRPr="00033557" w:rsidRDefault="00111918" w:rsidP="00111918">
            <w:pPr>
              <w:tabs>
                <w:tab w:val="left" w:pos="2317"/>
              </w:tabs>
              <w:rPr>
                <w:rFonts w:cs="Calibri Light"/>
                <w:sz w:val="22"/>
                <w:szCs w:val="22"/>
              </w:rPr>
            </w:pPr>
            <w:r w:rsidRPr="00033557">
              <w:rPr>
                <w:rFonts w:cs="Calibri Light"/>
                <w:sz w:val="22"/>
                <w:szCs w:val="22"/>
              </w:rPr>
              <w:t xml:space="preserve">Part 4, </w:t>
            </w:r>
            <w:r w:rsidR="00B3215A">
              <w:rPr>
                <w:rFonts w:cs="Calibri Light"/>
                <w:sz w:val="22"/>
                <w:szCs w:val="22"/>
              </w:rPr>
              <w:t xml:space="preserve">Exposure Draft </w:t>
            </w:r>
            <w:r w:rsidRPr="00033557">
              <w:rPr>
                <w:rFonts w:cs="Calibri Light"/>
                <w:sz w:val="22"/>
                <w:szCs w:val="22"/>
              </w:rPr>
              <w:t xml:space="preserve">Explanatory </w:t>
            </w:r>
            <w:r w:rsidR="00D952D3">
              <w:rPr>
                <w:rFonts w:cs="Calibri Light"/>
                <w:sz w:val="22"/>
                <w:szCs w:val="22"/>
              </w:rPr>
              <w:t>Memorandum</w:t>
            </w:r>
            <w:r w:rsidRPr="00033557">
              <w:rPr>
                <w:rFonts w:cs="Calibri Light"/>
                <w:sz w:val="22"/>
                <w:szCs w:val="22"/>
              </w:rPr>
              <w:t xml:space="preserve"> to the </w:t>
            </w:r>
            <w:r w:rsidR="00A0712F" w:rsidRPr="00A0712F">
              <w:rPr>
                <w:rFonts w:cs="Calibri Light"/>
                <w:sz w:val="22"/>
                <w:szCs w:val="22"/>
              </w:rPr>
              <w:t>Primary Legislation</w:t>
            </w:r>
          </w:p>
          <w:p w14:paraId="07E3A055" w14:textId="6B00C750" w:rsidR="00111918" w:rsidRPr="00033557" w:rsidRDefault="00111918" w:rsidP="00111918">
            <w:pPr>
              <w:tabs>
                <w:tab w:val="left" w:pos="2317"/>
              </w:tabs>
              <w:rPr>
                <w:rFonts w:cs="Calibri Light"/>
                <w:sz w:val="22"/>
                <w:szCs w:val="22"/>
              </w:rPr>
            </w:pPr>
            <w:r w:rsidRPr="00033557">
              <w:rPr>
                <w:rFonts w:cs="Calibri Light"/>
                <w:sz w:val="22"/>
                <w:szCs w:val="22"/>
              </w:rPr>
              <w:t>Section 16,</w:t>
            </w:r>
            <w:r w:rsidR="00B3215A">
              <w:rPr>
                <w:rFonts w:cs="Calibri Light"/>
                <w:sz w:val="22"/>
                <w:szCs w:val="22"/>
              </w:rPr>
              <w:t xml:space="preserve"> Exposure Draft</w:t>
            </w:r>
            <w:r w:rsidRPr="00033557">
              <w:rPr>
                <w:rFonts w:cs="Calibri Light"/>
                <w:sz w:val="22"/>
                <w:szCs w:val="22"/>
              </w:rPr>
              <w:t xml:space="preserve"> Life Insurance Regulations 2023</w:t>
            </w:r>
            <w:r w:rsidRPr="00033557">
              <w:rPr>
                <w:rFonts w:cs="Calibri Light"/>
                <w:i/>
                <w:iCs/>
                <w:sz w:val="22"/>
                <w:szCs w:val="22"/>
              </w:rPr>
              <w:t xml:space="preserve"> </w:t>
            </w:r>
          </w:p>
        </w:tc>
      </w:tr>
      <w:tr w:rsidR="00083F4F" w:rsidRPr="00033557" w14:paraId="75265726" w14:textId="77777777" w:rsidTr="1BB4F023">
        <w:tc>
          <w:tcPr>
            <w:tcW w:w="426" w:type="dxa"/>
          </w:tcPr>
          <w:p w14:paraId="3E97CD83" w14:textId="77777777" w:rsidR="00111918" w:rsidRPr="00033557" w:rsidRDefault="00111918" w:rsidP="00111918">
            <w:pPr>
              <w:pStyle w:val="OutlineNumbered1"/>
              <w:numPr>
                <w:ilvl w:val="0"/>
                <w:numId w:val="14"/>
              </w:numPr>
              <w:tabs>
                <w:tab w:val="left" w:pos="2317"/>
              </w:tabs>
              <w:spacing w:before="120" w:after="200"/>
              <w:ind w:left="522" w:hanging="522"/>
              <w:rPr>
                <w:rFonts w:cs="Calibri Light"/>
                <w:b/>
                <w:bCs/>
                <w:i/>
                <w:iCs/>
                <w:sz w:val="22"/>
                <w:szCs w:val="22"/>
              </w:rPr>
            </w:pPr>
          </w:p>
        </w:tc>
        <w:tc>
          <w:tcPr>
            <w:tcW w:w="4536" w:type="dxa"/>
          </w:tcPr>
          <w:p w14:paraId="10F57560" w14:textId="77777777" w:rsidR="00111918" w:rsidRPr="00033557" w:rsidRDefault="00111918" w:rsidP="00111918">
            <w:pPr>
              <w:tabs>
                <w:tab w:val="left" w:pos="2317"/>
              </w:tabs>
              <w:rPr>
                <w:rFonts w:cs="Calibri Light"/>
                <w:sz w:val="22"/>
                <w:szCs w:val="22"/>
                <w:u w:val="single"/>
              </w:rPr>
            </w:pPr>
            <w:r w:rsidRPr="00033557">
              <w:rPr>
                <w:rFonts w:cs="Calibri Light"/>
                <w:sz w:val="22"/>
                <w:szCs w:val="22"/>
                <w:u w:val="single"/>
              </w:rPr>
              <w:t xml:space="preserve">Various other provisions </w:t>
            </w:r>
          </w:p>
          <w:p w14:paraId="33A49FAB" w14:textId="6C625C42" w:rsidR="00111918" w:rsidRPr="00033557" w:rsidRDefault="00111918" w:rsidP="00111918">
            <w:pPr>
              <w:pStyle w:val="Bullet"/>
              <w:numPr>
                <w:ilvl w:val="0"/>
                <w:numId w:val="13"/>
              </w:numPr>
              <w:tabs>
                <w:tab w:val="clear" w:pos="720"/>
              </w:tabs>
              <w:spacing w:after="120" w:line="240" w:lineRule="auto"/>
              <w:rPr>
                <w:rFonts w:cs="Calibri Light"/>
                <w:sz w:val="22"/>
                <w:szCs w:val="22"/>
              </w:rPr>
            </w:pPr>
            <w:r w:rsidRPr="00033557">
              <w:rPr>
                <w:rFonts w:cs="Calibri Light"/>
                <w:sz w:val="22"/>
                <w:szCs w:val="22"/>
              </w:rPr>
              <w:t xml:space="preserve">Move from the </w:t>
            </w:r>
            <w:r w:rsidRPr="00033557">
              <w:rPr>
                <w:rFonts w:cs="Calibri Light"/>
                <w:i/>
                <w:iCs/>
                <w:sz w:val="22"/>
                <w:szCs w:val="22"/>
              </w:rPr>
              <w:t xml:space="preserve">Life Insurance Regulations 1995 </w:t>
            </w:r>
            <w:r w:rsidRPr="00033557">
              <w:rPr>
                <w:rFonts w:cs="Calibri Light"/>
                <w:sz w:val="22"/>
                <w:szCs w:val="22"/>
              </w:rPr>
              <w:t xml:space="preserve">to the </w:t>
            </w:r>
            <w:r w:rsidR="00170A61" w:rsidRPr="00170A61">
              <w:rPr>
                <w:rFonts w:cs="Calibri Light"/>
                <w:i/>
                <w:iCs/>
                <w:sz w:val="22"/>
                <w:szCs w:val="22"/>
              </w:rPr>
              <w:t>Life Insurance Act 1995</w:t>
            </w:r>
            <w:r w:rsidRPr="00033557">
              <w:rPr>
                <w:rFonts w:cs="Calibri Light"/>
                <w:sz w:val="22"/>
                <w:szCs w:val="22"/>
              </w:rPr>
              <w:t xml:space="preserve">: </w:t>
            </w:r>
          </w:p>
          <w:p w14:paraId="4D8E3B03" w14:textId="33A7C35B" w:rsidR="00111918" w:rsidRPr="00033557" w:rsidRDefault="00111918" w:rsidP="00111918">
            <w:pPr>
              <w:pStyle w:val="Dash"/>
              <w:numPr>
                <w:ilvl w:val="1"/>
                <w:numId w:val="13"/>
              </w:numPr>
              <w:spacing w:before="120"/>
              <w:rPr>
                <w:rFonts w:cs="Calibri Light"/>
                <w:sz w:val="22"/>
                <w:szCs w:val="22"/>
              </w:rPr>
            </w:pPr>
            <w:r w:rsidRPr="00033557">
              <w:rPr>
                <w:rFonts w:cs="Calibri Light"/>
                <w:sz w:val="22"/>
                <w:szCs w:val="22"/>
              </w:rPr>
              <w:t xml:space="preserve">Modifications to the application of the </w:t>
            </w:r>
            <w:r w:rsidR="00170A61" w:rsidRPr="00170A61">
              <w:rPr>
                <w:rFonts w:cs="Calibri Light"/>
                <w:i/>
                <w:iCs/>
                <w:sz w:val="22"/>
                <w:szCs w:val="22"/>
              </w:rPr>
              <w:t>Life Insurance Act 1995</w:t>
            </w:r>
            <w:r w:rsidRPr="00033557">
              <w:rPr>
                <w:rFonts w:cs="Calibri Light"/>
                <w:sz w:val="22"/>
                <w:szCs w:val="22"/>
              </w:rPr>
              <w:t xml:space="preserve"> to friendly societies. </w:t>
            </w:r>
          </w:p>
          <w:p w14:paraId="647ABE66" w14:textId="650FAA3B" w:rsidR="00111918" w:rsidRPr="00033557" w:rsidRDefault="00111918" w:rsidP="00111918">
            <w:pPr>
              <w:pStyle w:val="Dash"/>
              <w:numPr>
                <w:ilvl w:val="1"/>
                <w:numId w:val="13"/>
              </w:numPr>
              <w:spacing w:before="120"/>
              <w:rPr>
                <w:rFonts w:cs="Calibri Light"/>
                <w:sz w:val="22"/>
                <w:szCs w:val="22"/>
              </w:rPr>
            </w:pPr>
            <w:r w:rsidRPr="00033557">
              <w:rPr>
                <w:rFonts w:cs="Calibri Light"/>
                <w:sz w:val="22"/>
                <w:szCs w:val="22"/>
              </w:rPr>
              <w:t>The requirement to provide actuarial reports to</w:t>
            </w:r>
            <w:r w:rsidR="00654572">
              <w:rPr>
                <w:rFonts w:cs="Calibri Light"/>
                <w:sz w:val="22"/>
                <w:szCs w:val="22"/>
              </w:rPr>
              <w:t xml:space="preserve"> </w:t>
            </w:r>
            <w:r w:rsidRPr="00033557">
              <w:rPr>
                <w:rFonts w:cs="Calibri Light"/>
                <w:sz w:val="22"/>
                <w:szCs w:val="22"/>
              </w:rPr>
              <w:t xml:space="preserve">APRA in the event of a transfer of a life insurance business. </w:t>
            </w:r>
          </w:p>
          <w:p w14:paraId="53E746DD" w14:textId="57208132" w:rsidR="00111918" w:rsidRPr="00EE44F4" w:rsidRDefault="00111918" w:rsidP="00111918">
            <w:pPr>
              <w:pStyle w:val="Dash"/>
              <w:numPr>
                <w:ilvl w:val="1"/>
                <w:numId w:val="13"/>
              </w:numPr>
              <w:spacing w:before="120"/>
              <w:rPr>
                <w:rFonts w:cs="Calibri Light"/>
                <w:sz w:val="22"/>
                <w:szCs w:val="22"/>
              </w:rPr>
            </w:pPr>
            <w:r w:rsidRPr="00033557">
              <w:rPr>
                <w:rFonts w:cs="Calibri Light"/>
                <w:sz w:val="22"/>
                <w:szCs w:val="22"/>
              </w:rPr>
              <w:t>Modifications to the application of provisions dealing with non-</w:t>
            </w:r>
            <w:r w:rsidRPr="00033557">
              <w:rPr>
                <w:rFonts w:cs="Calibri Light"/>
                <w:sz w:val="22"/>
                <w:szCs w:val="22"/>
              </w:rPr>
              <w:lastRenderedPageBreak/>
              <w:t xml:space="preserve">forfeiture of policies in certain </w:t>
            </w:r>
            <w:r w:rsidRPr="00EE44F4">
              <w:rPr>
                <w:rFonts w:cs="Calibri Light"/>
                <w:sz w:val="22"/>
                <w:szCs w:val="22"/>
              </w:rPr>
              <w:t>cases of non-payment of premiums to polic</w:t>
            </w:r>
            <w:r w:rsidR="002B75AA" w:rsidRPr="00EE44F4">
              <w:rPr>
                <w:rFonts w:cs="Calibri Light"/>
                <w:sz w:val="22"/>
                <w:szCs w:val="22"/>
              </w:rPr>
              <w:t>ies</w:t>
            </w:r>
            <w:r w:rsidRPr="00EE44F4">
              <w:rPr>
                <w:rFonts w:cs="Calibri Light"/>
                <w:sz w:val="22"/>
                <w:szCs w:val="22"/>
              </w:rPr>
              <w:t xml:space="preserve"> where the sum insured and premium have been increased. </w:t>
            </w:r>
          </w:p>
          <w:p w14:paraId="6A967721" w14:textId="4A2FBE70" w:rsidR="00111918" w:rsidRPr="00033557" w:rsidRDefault="00EE44F4" w:rsidP="00111918">
            <w:pPr>
              <w:pStyle w:val="Dash"/>
              <w:numPr>
                <w:ilvl w:val="1"/>
                <w:numId w:val="13"/>
              </w:numPr>
              <w:spacing w:before="120"/>
              <w:rPr>
                <w:rFonts w:cs="Calibri Light"/>
                <w:sz w:val="22"/>
                <w:szCs w:val="22"/>
              </w:rPr>
            </w:pPr>
            <w:r w:rsidRPr="00EE44F4">
              <w:rPr>
                <w:rFonts w:cs="Calibri Light"/>
                <w:sz w:val="22"/>
                <w:szCs w:val="22"/>
              </w:rPr>
              <w:t>Australian Securities and Investments Commission’s (</w:t>
            </w:r>
            <w:r w:rsidR="00111918" w:rsidRPr="00EE44F4">
              <w:rPr>
                <w:rFonts w:cs="Calibri Light"/>
                <w:sz w:val="22"/>
                <w:szCs w:val="22"/>
              </w:rPr>
              <w:t>ASIC</w:t>
            </w:r>
            <w:r w:rsidRPr="00EE44F4">
              <w:rPr>
                <w:rFonts w:cs="Calibri Light"/>
                <w:sz w:val="22"/>
                <w:szCs w:val="22"/>
              </w:rPr>
              <w:t>)</w:t>
            </w:r>
            <w:r w:rsidR="00111918" w:rsidRPr="00EE44F4">
              <w:rPr>
                <w:rFonts w:cs="Calibri Light"/>
                <w:sz w:val="22"/>
                <w:szCs w:val="22"/>
              </w:rPr>
              <w:t xml:space="preserve"> authority to publish information on unclaimed money</w:t>
            </w:r>
            <w:r w:rsidR="00111918" w:rsidRPr="00033557">
              <w:rPr>
                <w:rFonts w:cs="Calibri Light"/>
                <w:sz w:val="22"/>
                <w:szCs w:val="22"/>
              </w:rPr>
              <w:t xml:space="preserve">. </w:t>
            </w:r>
          </w:p>
          <w:p w14:paraId="29652DF1" w14:textId="13A770A8" w:rsidR="00111918" w:rsidRPr="00033557" w:rsidRDefault="001C24DE" w:rsidP="00111918">
            <w:pPr>
              <w:pStyle w:val="Dash"/>
              <w:numPr>
                <w:ilvl w:val="1"/>
                <w:numId w:val="13"/>
              </w:numPr>
              <w:spacing w:before="120"/>
              <w:rPr>
                <w:rFonts w:cs="Calibri Light"/>
                <w:sz w:val="22"/>
                <w:szCs w:val="22"/>
              </w:rPr>
            </w:pPr>
            <w:r>
              <w:rPr>
                <w:rFonts w:cs="Calibri Light"/>
                <w:sz w:val="22"/>
                <w:szCs w:val="22"/>
              </w:rPr>
              <w:t>The l</w:t>
            </w:r>
            <w:r w:rsidR="00111918" w:rsidRPr="00033557">
              <w:rPr>
                <w:rFonts w:cs="Calibri Light"/>
                <w:sz w:val="22"/>
                <w:szCs w:val="22"/>
              </w:rPr>
              <w:t xml:space="preserve">ist of life policies to be declared to be superannuation policies for the purposes of the </w:t>
            </w:r>
            <w:r w:rsidR="00170A61" w:rsidRPr="00170A61">
              <w:rPr>
                <w:rFonts w:cs="Calibri Light"/>
                <w:i/>
                <w:iCs/>
                <w:sz w:val="22"/>
                <w:szCs w:val="22"/>
              </w:rPr>
              <w:t>Life Insurance Act 1995</w:t>
            </w:r>
            <w:r w:rsidR="00111918" w:rsidRPr="00033557">
              <w:rPr>
                <w:rFonts w:cs="Calibri Light"/>
                <w:sz w:val="22"/>
                <w:szCs w:val="22"/>
              </w:rPr>
              <w:t xml:space="preserve">. </w:t>
            </w:r>
          </w:p>
          <w:p w14:paraId="29A0412E" w14:textId="5817B25B" w:rsidR="00111918" w:rsidRPr="00033557" w:rsidRDefault="00111918" w:rsidP="00111918">
            <w:pPr>
              <w:pStyle w:val="Bullet"/>
              <w:numPr>
                <w:ilvl w:val="0"/>
                <w:numId w:val="13"/>
              </w:numPr>
              <w:tabs>
                <w:tab w:val="clear" w:pos="720"/>
              </w:tabs>
              <w:spacing w:after="120" w:line="240" w:lineRule="auto"/>
              <w:rPr>
                <w:rFonts w:cs="Calibri Light"/>
                <w:sz w:val="22"/>
                <w:szCs w:val="22"/>
              </w:rPr>
            </w:pPr>
            <w:r w:rsidRPr="00033557">
              <w:rPr>
                <w:rFonts w:cs="Calibri Light"/>
                <w:sz w:val="22"/>
                <w:szCs w:val="22"/>
              </w:rPr>
              <w:t xml:space="preserve">Move from the </w:t>
            </w:r>
            <w:r w:rsidRPr="00033557">
              <w:rPr>
                <w:rFonts w:cs="Calibri Light"/>
                <w:i/>
                <w:iCs/>
                <w:sz w:val="22"/>
                <w:szCs w:val="22"/>
              </w:rPr>
              <w:t>Insurance Regulations 2002</w:t>
            </w:r>
            <w:r w:rsidRPr="00033557">
              <w:rPr>
                <w:rFonts w:cs="Calibri Light"/>
                <w:sz w:val="22"/>
                <w:szCs w:val="22"/>
              </w:rPr>
              <w:t xml:space="preserve"> to the </w:t>
            </w:r>
            <w:r w:rsidRPr="004E473D">
              <w:rPr>
                <w:rFonts w:cs="Calibri Light"/>
                <w:i/>
                <w:iCs/>
                <w:sz w:val="22"/>
                <w:szCs w:val="22"/>
              </w:rPr>
              <w:t>Insurance Act</w:t>
            </w:r>
            <w:r w:rsidR="004E473D">
              <w:rPr>
                <w:rFonts w:cs="Calibri Light"/>
                <w:i/>
                <w:iCs/>
                <w:sz w:val="22"/>
                <w:szCs w:val="22"/>
              </w:rPr>
              <w:t xml:space="preserve"> 1973</w:t>
            </w:r>
            <w:r w:rsidRPr="00033557">
              <w:rPr>
                <w:rFonts w:cs="Calibri Light"/>
                <w:sz w:val="22"/>
                <w:szCs w:val="22"/>
              </w:rPr>
              <w:t>:</w:t>
            </w:r>
          </w:p>
          <w:p w14:paraId="03F15842" w14:textId="7B765CC0" w:rsidR="00111918" w:rsidRPr="00033557" w:rsidRDefault="00111918" w:rsidP="00111918">
            <w:pPr>
              <w:pStyle w:val="Dash"/>
              <w:numPr>
                <w:ilvl w:val="1"/>
                <w:numId w:val="13"/>
              </w:numPr>
              <w:spacing w:before="120"/>
              <w:rPr>
                <w:rFonts w:cs="Calibri Light"/>
                <w:sz w:val="22"/>
                <w:szCs w:val="22"/>
              </w:rPr>
            </w:pPr>
            <w:r w:rsidRPr="1BB4F023">
              <w:rPr>
                <w:rFonts w:cs="Calibri Light"/>
                <w:sz w:val="22"/>
                <w:szCs w:val="22"/>
              </w:rPr>
              <w:t xml:space="preserve">The offence for failure to give APRA notice if a general insurer starts or stops carrying on insurance business (and </w:t>
            </w:r>
            <w:r w:rsidR="00C1093A">
              <w:rPr>
                <w:rFonts w:cs="Calibri Light"/>
                <w:sz w:val="22"/>
                <w:szCs w:val="22"/>
              </w:rPr>
              <w:t xml:space="preserve">increase the </w:t>
            </w:r>
            <w:r w:rsidR="001C24DE">
              <w:rPr>
                <w:rFonts w:cs="Calibri Light"/>
                <w:sz w:val="22"/>
                <w:szCs w:val="22"/>
              </w:rPr>
              <w:t xml:space="preserve">applicable penalty </w:t>
            </w:r>
            <w:r w:rsidRPr="1BB4F023">
              <w:rPr>
                <w:rFonts w:cs="Calibri Light"/>
                <w:sz w:val="22"/>
                <w:szCs w:val="22"/>
              </w:rPr>
              <w:t xml:space="preserve">to 50 </w:t>
            </w:r>
            <w:r w:rsidR="001C24DE">
              <w:rPr>
                <w:rFonts w:cs="Calibri Light"/>
                <w:sz w:val="22"/>
                <w:szCs w:val="22"/>
              </w:rPr>
              <w:t xml:space="preserve">penalty units </w:t>
            </w:r>
            <w:r w:rsidRPr="1BB4F023">
              <w:rPr>
                <w:rFonts w:cs="Calibri Light"/>
                <w:sz w:val="22"/>
                <w:szCs w:val="22"/>
              </w:rPr>
              <w:t xml:space="preserve">to bring the penalty in line with similar penalties in the </w:t>
            </w:r>
            <w:r w:rsidRPr="00167376">
              <w:rPr>
                <w:rFonts w:cs="Calibri Light"/>
                <w:i/>
                <w:iCs/>
                <w:sz w:val="22"/>
                <w:szCs w:val="22"/>
              </w:rPr>
              <w:t>Insurance Act</w:t>
            </w:r>
            <w:r w:rsidR="00167376" w:rsidRPr="00167376">
              <w:rPr>
                <w:rFonts w:cs="Calibri Light"/>
                <w:i/>
                <w:iCs/>
                <w:sz w:val="22"/>
                <w:szCs w:val="22"/>
              </w:rPr>
              <w:t xml:space="preserve"> 1973</w:t>
            </w:r>
            <w:r w:rsidR="3A9C7A99" w:rsidRPr="1BB4F023">
              <w:rPr>
                <w:rFonts w:cs="Calibri Light"/>
                <w:sz w:val="22"/>
                <w:szCs w:val="22"/>
              </w:rPr>
              <w:t>)</w:t>
            </w:r>
            <w:r w:rsidRPr="1BB4F023">
              <w:rPr>
                <w:rFonts w:cs="Calibri Light"/>
                <w:sz w:val="22"/>
                <w:szCs w:val="22"/>
              </w:rPr>
              <w:t xml:space="preserve">. </w:t>
            </w:r>
          </w:p>
          <w:p w14:paraId="60B3E152" w14:textId="5CD38795" w:rsidR="00111918" w:rsidRPr="00033557" w:rsidRDefault="00111918" w:rsidP="00131B1D">
            <w:pPr>
              <w:pStyle w:val="Bullet"/>
              <w:numPr>
                <w:ilvl w:val="0"/>
                <w:numId w:val="13"/>
              </w:numPr>
              <w:tabs>
                <w:tab w:val="clear" w:pos="720"/>
              </w:tabs>
              <w:spacing w:after="120" w:line="240" w:lineRule="auto"/>
              <w:rPr>
                <w:rFonts w:cs="Calibri Light"/>
                <w:sz w:val="22"/>
                <w:szCs w:val="22"/>
              </w:rPr>
            </w:pPr>
            <w:r w:rsidRPr="00033557">
              <w:rPr>
                <w:rFonts w:cs="Calibri Light"/>
                <w:sz w:val="22"/>
                <w:szCs w:val="22"/>
              </w:rPr>
              <w:t xml:space="preserve">Where required as part of changes to forms and notices set out in rows 5-6 below. </w:t>
            </w:r>
          </w:p>
        </w:tc>
        <w:tc>
          <w:tcPr>
            <w:tcW w:w="2268" w:type="dxa"/>
          </w:tcPr>
          <w:p w14:paraId="584BC2BB" w14:textId="77777777" w:rsidR="00111918" w:rsidRPr="00033557" w:rsidRDefault="00111918" w:rsidP="00111918">
            <w:pPr>
              <w:tabs>
                <w:tab w:val="left" w:pos="2317"/>
              </w:tabs>
              <w:rPr>
                <w:rFonts w:cs="Calibri Light"/>
                <w:i/>
                <w:iCs/>
                <w:sz w:val="22"/>
                <w:szCs w:val="22"/>
              </w:rPr>
            </w:pPr>
            <w:r w:rsidRPr="00033557">
              <w:rPr>
                <w:rFonts w:cs="Calibri Light"/>
                <w:i/>
                <w:iCs/>
                <w:sz w:val="22"/>
                <w:szCs w:val="22"/>
              </w:rPr>
              <w:lastRenderedPageBreak/>
              <w:t>Life Insurance Regulations 1995</w:t>
            </w:r>
          </w:p>
          <w:p w14:paraId="33855A77" w14:textId="77777777" w:rsidR="00111918" w:rsidRDefault="00111918" w:rsidP="00111918">
            <w:pPr>
              <w:tabs>
                <w:tab w:val="left" w:pos="2317"/>
              </w:tabs>
              <w:rPr>
                <w:rFonts w:cs="Calibri Light"/>
                <w:i/>
                <w:iCs/>
                <w:sz w:val="22"/>
                <w:szCs w:val="22"/>
              </w:rPr>
            </w:pPr>
            <w:r w:rsidRPr="00033557">
              <w:rPr>
                <w:rFonts w:cs="Calibri Light"/>
                <w:i/>
                <w:iCs/>
                <w:sz w:val="22"/>
                <w:szCs w:val="22"/>
              </w:rPr>
              <w:t>Insurance Regulations 2002</w:t>
            </w:r>
          </w:p>
          <w:p w14:paraId="09DC39D1" w14:textId="77777777" w:rsidR="00083323" w:rsidRPr="00033557" w:rsidRDefault="00083323" w:rsidP="00083323">
            <w:pPr>
              <w:tabs>
                <w:tab w:val="left" w:pos="2317"/>
              </w:tabs>
              <w:rPr>
                <w:rFonts w:cs="Calibri Light"/>
                <w:sz w:val="22"/>
                <w:szCs w:val="22"/>
              </w:rPr>
            </w:pPr>
            <w:r w:rsidRPr="00170A61">
              <w:rPr>
                <w:rFonts w:cs="Calibri Light"/>
                <w:i/>
                <w:iCs/>
                <w:sz w:val="22"/>
                <w:szCs w:val="22"/>
              </w:rPr>
              <w:t>Life Insurance Act 1995</w:t>
            </w:r>
            <w:r w:rsidRPr="00033557">
              <w:rPr>
                <w:rFonts w:cs="Calibri Light"/>
                <w:sz w:val="22"/>
                <w:szCs w:val="22"/>
              </w:rPr>
              <w:t xml:space="preserve"> </w:t>
            </w:r>
          </w:p>
          <w:p w14:paraId="60A2AF89" w14:textId="77777777" w:rsidR="00083323" w:rsidRPr="00453746" w:rsidRDefault="00083323" w:rsidP="00083323">
            <w:pPr>
              <w:tabs>
                <w:tab w:val="left" w:pos="2317"/>
              </w:tabs>
              <w:rPr>
                <w:rFonts w:cs="Calibri Light"/>
                <w:i/>
                <w:iCs/>
                <w:sz w:val="22"/>
                <w:szCs w:val="22"/>
              </w:rPr>
            </w:pPr>
            <w:r w:rsidRPr="00453746">
              <w:rPr>
                <w:rFonts w:cs="Calibri Light"/>
                <w:i/>
                <w:iCs/>
                <w:sz w:val="22"/>
                <w:szCs w:val="22"/>
              </w:rPr>
              <w:t>Insurance Act 1973</w:t>
            </w:r>
          </w:p>
          <w:p w14:paraId="6FD7F29C" w14:textId="3BA49217" w:rsidR="00083323" w:rsidRPr="00033557" w:rsidRDefault="00083323" w:rsidP="00111918">
            <w:pPr>
              <w:tabs>
                <w:tab w:val="left" w:pos="2317"/>
              </w:tabs>
              <w:rPr>
                <w:rFonts w:cs="Calibri Light"/>
                <w:i/>
                <w:iCs/>
                <w:sz w:val="22"/>
                <w:szCs w:val="22"/>
              </w:rPr>
            </w:pPr>
          </w:p>
        </w:tc>
        <w:tc>
          <w:tcPr>
            <w:tcW w:w="1984" w:type="dxa"/>
          </w:tcPr>
          <w:p w14:paraId="486E2146" w14:textId="593D13B8" w:rsidR="00111918" w:rsidRPr="00033557" w:rsidRDefault="00B3215A" w:rsidP="00111918">
            <w:pPr>
              <w:tabs>
                <w:tab w:val="left" w:pos="2317"/>
              </w:tabs>
              <w:rPr>
                <w:rFonts w:cs="Calibri Light"/>
                <w:sz w:val="22"/>
                <w:szCs w:val="22"/>
              </w:rPr>
            </w:pPr>
            <w:r>
              <w:rPr>
                <w:rFonts w:cs="Calibri Light"/>
                <w:sz w:val="22"/>
                <w:szCs w:val="22"/>
              </w:rPr>
              <w:t xml:space="preserve">Exposure Draft </w:t>
            </w:r>
            <w:r w:rsidR="00111918" w:rsidRPr="00033557">
              <w:rPr>
                <w:rFonts w:cs="Calibri Light"/>
                <w:sz w:val="22"/>
                <w:szCs w:val="22"/>
              </w:rPr>
              <w:t>Life Insurance Regulations 2023</w:t>
            </w:r>
            <w:r w:rsidR="00111918" w:rsidRPr="00033557">
              <w:rPr>
                <w:rFonts w:cs="Calibri Light"/>
                <w:i/>
                <w:iCs/>
                <w:sz w:val="22"/>
                <w:szCs w:val="22"/>
              </w:rPr>
              <w:t xml:space="preserve"> </w:t>
            </w:r>
          </w:p>
          <w:p w14:paraId="43FF52D8" w14:textId="653ACE46" w:rsidR="00111918" w:rsidRPr="00033557" w:rsidRDefault="00B3215A" w:rsidP="00111918">
            <w:pPr>
              <w:tabs>
                <w:tab w:val="left" w:pos="2317"/>
              </w:tabs>
              <w:rPr>
                <w:rFonts w:cs="Calibri Light"/>
                <w:sz w:val="22"/>
                <w:szCs w:val="22"/>
              </w:rPr>
            </w:pPr>
            <w:r>
              <w:rPr>
                <w:rFonts w:cs="Calibri Light"/>
                <w:sz w:val="22"/>
                <w:szCs w:val="22"/>
              </w:rPr>
              <w:t xml:space="preserve">Exposure Draft </w:t>
            </w:r>
            <w:r w:rsidR="00111918" w:rsidRPr="00033557">
              <w:rPr>
                <w:rFonts w:cs="Calibri Light"/>
                <w:sz w:val="22"/>
                <w:szCs w:val="22"/>
              </w:rPr>
              <w:t xml:space="preserve">Explanatory Statement to Life Insurance Regulations 2023  </w:t>
            </w:r>
          </w:p>
          <w:p w14:paraId="351A0F32" w14:textId="741B9933" w:rsidR="00111918" w:rsidRPr="00033557" w:rsidRDefault="00B3215A" w:rsidP="00111918">
            <w:pPr>
              <w:tabs>
                <w:tab w:val="left" w:pos="2317"/>
              </w:tabs>
              <w:rPr>
                <w:rFonts w:cs="Calibri Light"/>
                <w:sz w:val="22"/>
                <w:szCs w:val="22"/>
              </w:rPr>
            </w:pPr>
            <w:r>
              <w:rPr>
                <w:rFonts w:cs="Calibri Light"/>
                <w:sz w:val="22"/>
                <w:szCs w:val="22"/>
              </w:rPr>
              <w:t xml:space="preserve">Exposure Draft </w:t>
            </w:r>
            <w:r w:rsidR="00111918" w:rsidRPr="00033557">
              <w:rPr>
                <w:rFonts w:cs="Calibri Light"/>
                <w:sz w:val="22"/>
                <w:szCs w:val="22"/>
              </w:rPr>
              <w:t xml:space="preserve">Insurance Regulations 2023 </w:t>
            </w:r>
          </w:p>
          <w:p w14:paraId="43C5CC21" w14:textId="12292D14" w:rsidR="00111918" w:rsidRPr="00033557" w:rsidRDefault="00B3215A" w:rsidP="00111918">
            <w:pPr>
              <w:tabs>
                <w:tab w:val="left" w:pos="2317"/>
              </w:tabs>
              <w:rPr>
                <w:rFonts w:cs="Calibri Light"/>
                <w:sz w:val="22"/>
                <w:szCs w:val="22"/>
              </w:rPr>
            </w:pPr>
            <w:r>
              <w:rPr>
                <w:rFonts w:cs="Calibri Light"/>
                <w:sz w:val="22"/>
                <w:szCs w:val="22"/>
              </w:rPr>
              <w:t xml:space="preserve">Exposure Draft </w:t>
            </w:r>
            <w:r w:rsidR="00111918" w:rsidRPr="00033557">
              <w:rPr>
                <w:rFonts w:cs="Calibri Light"/>
                <w:sz w:val="22"/>
                <w:szCs w:val="22"/>
              </w:rPr>
              <w:t xml:space="preserve">Explanatory </w:t>
            </w:r>
            <w:r w:rsidR="00111918" w:rsidRPr="00033557">
              <w:rPr>
                <w:rFonts w:cs="Calibri Light"/>
                <w:sz w:val="22"/>
                <w:szCs w:val="22"/>
              </w:rPr>
              <w:lastRenderedPageBreak/>
              <w:t xml:space="preserve">Statement to the Insurance Regulations 2023 </w:t>
            </w:r>
          </w:p>
          <w:p w14:paraId="77B7D494" w14:textId="77777777" w:rsidR="00A0712F" w:rsidRDefault="00A0712F" w:rsidP="00111918">
            <w:pPr>
              <w:tabs>
                <w:tab w:val="left" w:pos="2317"/>
              </w:tabs>
              <w:rPr>
                <w:rFonts w:cs="Calibri Light"/>
                <w:sz w:val="22"/>
                <w:szCs w:val="22"/>
              </w:rPr>
            </w:pPr>
            <w:r w:rsidRPr="00A0712F">
              <w:rPr>
                <w:rFonts w:cs="Calibri Light"/>
                <w:sz w:val="22"/>
                <w:szCs w:val="22"/>
              </w:rPr>
              <w:t>Exposure Draft Primary Legislation</w:t>
            </w:r>
            <w:r w:rsidRPr="00A0712F" w:rsidDel="00A0712F">
              <w:rPr>
                <w:rFonts w:cs="Calibri Light"/>
                <w:sz w:val="22"/>
                <w:szCs w:val="22"/>
              </w:rPr>
              <w:t xml:space="preserve"> </w:t>
            </w:r>
          </w:p>
          <w:p w14:paraId="4A83331F" w14:textId="73201ED6" w:rsidR="00111918" w:rsidRPr="00033557" w:rsidRDefault="00083F4F" w:rsidP="00111918">
            <w:pPr>
              <w:tabs>
                <w:tab w:val="left" w:pos="2317"/>
              </w:tabs>
              <w:rPr>
                <w:rFonts w:cs="Calibri Light"/>
                <w:sz w:val="22"/>
                <w:szCs w:val="22"/>
              </w:rPr>
            </w:pPr>
            <w:r>
              <w:rPr>
                <w:rFonts w:cs="Calibri Light"/>
                <w:sz w:val="22"/>
                <w:szCs w:val="22"/>
              </w:rPr>
              <w:t xml:space="preserve">Exposure Draft </w:t>
            </w:r>
            <w:r w:rsidR="00111918" w:rsidRPr="00033557">
              <w:rPr>
                <w:rFonts w:cs="Calibri Light"/>
                <w:sz w:val="22"/>
                <w:szCs w:val="22"/>
              </w:rPr>
              <w:t xml:space="preserve">Explanatory </w:t>
            </w:r>
            <w:r w:rsidR="008767ED">
              <w:rPr>
                <w:rFonts w:cs="Calibri Light"/>
                <w:sz w:val="22"/>
                <w:szCs w:val="22"/>
              </w:rPr>
              <w:t>Memorandum</w:t>
            </w:r>
            <w:r w:rsidR="00111918" w:rsidRPr="00033557">
              <w:rPr>
                <w:rFonts w:cs="Calibri Light"/>
                <w:sz w:val="22"/>
                <w:szCs w:val="22"/>
              </w:rPr>
              <w:t xml:space="preserve"> to the </w:t>
            </w:r>
            <w:r w:rsidR="00A0712F" w:rsidRPr="00A0712F">
              <w:rPr>
                <w:rFonts w:cs="Calibri Light"/>
                <w:sz w:val="22"/>
                <w:szCs w:val="22"/>
              </w:rPr>
              <w:t>Primary Legislation</w:t>
            </w:r>
          </w:p>
        </w:tc>
      </w:tr>
      <w:tr w:rsidR="00B3215A" w:rsidRPr="00033557" w14:paraId="2B645E7A" w14:textId="77777777" w:rsidTr="1BB4F023">
        <w:tc>
          <w:tcPr>
            <w:tcW w:w="426" w:type="dxa"/>
            <w:shd w:val="clear" w:color="auto" w:fill="F2F2F2" w:themeFill="background1" w:themeFillShade="F2"/>
          </w:tcPr>
          <w:p w14:paraId="5AEA357A" w14:textId="77777777" w:rsidR="00111918" w:rsidRPr="00033557" w:rsidRDefault="00111918" w:rsidP="00A71480">
            <w:pPr>
              <w:pStyle w:val="OutlineNumbered1"/>
              <w:numPr>
                <w:ilvl w:val="0"/>
                <w:numId w:val="0"/>
              </w:numPr>
              <w:tabs>
                <w:tab w:val="left" w:pos="2317"/>
              </w:tabs>
              <w:spacing w:before="120" w:after="200"/>
              <w:rPr>
                <w:rFonts w:cs="Calibri Light"/>
                <w:b/>
                <w:bCs/>
                <w:i/>
                <w:iCs/>
                <w:sz w:val="22"/>
                <w:szCs w:val="22"/>
              </w:rPr>
            </w:pPr>
          </w:p>
        </w:tc>
        <w:tc>
          <w:tcPr>
            <w:tcW w:w="4536" w:type="dxa"/>
            <w:shd w:val="clear" w:color="auto" w:fill="F2F2F2" w:themeFill="background1" w:themeFillShade="F2"/>
          </w:tcPr>
          <w:p w14:paraId="66128014" w14:textId="4E095E3A" w:rsidR="00111918" w:rsidRPr="00033557" w:rsidRDefault="00111918" w:rsidP="00111918">
            <w:pPr>
              <w:tabs>
                <w:tab w:val="left" w:pos="2317"/>
              </w:tabs>
              <w:rPr>
                <w:rFonts w:cs="Calibri Light"/>
                <w:sz w:val="22"/>
                <w:szCs w:val="22"/>
              </w:rPr>
            </w:pPr>
            <w:r w:rsidRPr="00033557">
              <w:rPr>
                <w:rFonts w:cs="Calibri Light"/>
                <w:b/>
                <w:bCs/>
                <w:sz w:val="22"/>
                <w:szCs w:val="22"/>
              </w:rPr>
              <w:t>Forms and notices</w:t>
            </w:r>
          </w:p>
        </w:tc>
        <w:tc>
          <w:tcPr>
            <w:tcW w:w="2268" w:type="dxa"/>
            <w:shd w:val="clear" w:color="auto" w:fill="F2F2F2" w:themeFill="background1" w:themeFillShade="F2"/>
          </w:tcPr>
          <w:p w14:paraId="6EC87BA5" w14:textId="56398C87" w:rsidR="00111918" w:rsidRPr="00033557" w:rsidRDefault="00111918" w:rsidP="00111918">
            <w:pPr>
              <w:tabs>
                <w:tab w:val="left" w:pos="2317"/>
              </w:tabs>
              <w:rPr>
                <w:rFonts w:cs="Calibri Light"/>
                <w:i/>
                <w:iCs/>
                <w:sz w:val="22"/>
                <w:szCs w:val="22"/>
              </w:rPr>
            </w:pPr>
          </w:p>
        </w:tc>
        <w:tc>
          <w:tcPr>
            <w:tcW w:w="1984" w:type="dxa"/>
            <w:shd w:val="clear" w:color="auto" w:fill="F2F2F2" w:themeFill="background1" w:themeFillShade="F2"/>
          </w:tcPr>
          <w:p w14:paraId="1C3C56DD" w14:textId="78D0EDA8" w:rsidR="00111918" w:rsidRPr="00033557" w:rsidRDefault="00111918" w:rsidP="00111918">
            <w:pPr>
              <w:tabs>
                <w:tab w:val="left" w:pos="2317"/>
              </w:tabs>
              <w:rPr>
                <w:rFonts w:cs="Calibri Light"/>
                <w:sz w:val="22"/>
                <w:szCs w:val="22"/>
              </w:rPr>
            </w:pPr>
          </w:p>
        </w:tc>
      </w:tr>
      <w:tr w:rsidR="00083F4F" w:rsidRPr="00033557" w14:paraId="4421C2F2" w14:textId="77777777" w:rsidTr="1BB4F023">
        <w:tc>
          <w:tcPr>
            <w:tcW w:w="426" w:type="dxa"/>
          </w:tcPr>
          <w:p w14:paraId="448929BD" w14:textId="77777777" w:rsidR="00111918" w:rsidRPr="00033557" w:rsidRDefault="00111918" w:rsidP="00111918">
            <w:pPr>
              <w:pStyle w:val="OutlineNumbered1"/>
              <w:numPr>
                <w:ilvl w:val="0"/>
                <w:numId w:val="14"/>
              </w:numPr>
              <w:tabs>
                <w:tab w:val="left" w:pos="2317"/>
              </w:tabs>
              <w:spacing w:before="120" w:after="200"/>
              <w:ind w:left="522" w:hanging="522"/>
              <w:rPr>
                <w:rFonts w:cs="Calibri Light"/>
                <w:b/>
                <w:bCs/>
                <w:i/>
                <w:iCs/>
                <w:sz w:val="22"/>
                <w:szCs w:val="22"/>
              </w:rPr>
            </w:pPr>
          </w:p>
        </w:tc>
        <w:tc>
          <w:tcPr>
            <w:tcW w:w="4536" w:type="dxa"/>
          </w:tcPr>
          <w:p w14:paraId="1082BF19" w14:textId="4043E97D" w:rsidR="00111918" w:rsidRPr="00033557" w:rsidRDefault="00111918" w:rsidP="00111918">
            <w:pPr>
              <w:pStyle w:val="Bullet"/>
              <w:numPr>
                <w:ilvl w:val="0"/>
                <w:numId w:val="13"/>
              </w:numPr>
              <w:tabs>
                <w:tab w:val="clear" w:pos="720"/>
              </w:tabs>
              <w:spacing w:after="120" w:line="240" w:lineRule="auto"/>
              <w:rPr>
                <w:rFonts w:cs="Calibri Light"/>
                <w:sz w:val="22"/>
                <w:szCs w:val="22"/>
              </w:rPr>
            </w:pPr>
            <w:r w:rsidRPr="00033557">
              <w:rPr>
                <w:rFonts w:cs="Calibri Light"/>
                <w:sz w:val="22"/>
                <w:szCs w:val="22"/>
              </w:rPr>
              <w:t xml:space="preserve">Amend the </w:t>
            </w:r>
            <w:r w:rsidR="00170A61" w:rsidRPr="00170A61">
              <w:rPr>
                <w:rFonts w:cs="Calibri Light"/>
                <w:i/>
                <w:iCs/>
                <w:sz w:val="22"/>
                <w:szCs w:val="22"/>
              </w:rPr>
              <w:t>Life Insurance Act 1995</w:t>
            </w:r>
            <w:r w:rsidRPr="00033557">
              <w:rPr>
                <w:rFonts w:cs="Calibri Light"/>
                <w:i/>
                <w:iCs/>
                <w:sz w:val="22"/>
                <w:szCs w:val="22"/>
              </w:rPr>
              <w:t xml:space="preserve"> </w:t>
            </w:r>
            <w:r w:rsidRPr="00033557">
              <w:rPr>
                <w:rFonts w:cs="Calibri Light"/>
                <w:sz w:val="22"/>
                <w:szCs w:val="22"/>
              </w:rPr>
              <w:t xml:space="preserve">to allow APRA to prescribe the form required to notify APRA when the life company establishes a statutory fund. </w:t>
            </w:r>
          </w:p>
          <w:p w14:paraId="02E9E72C" w14:textId="14E4DC59" w:rsidR="00111918" w:rsidRPr="00033557" w:rsidRDefault="00111918" w:rsidP="00111918">
            <w:pPr>
              <w:pStyle w:val="Bullet"/>
              <w:numPr>
                <w:ilvl w:val="0"/>
                <w:numId w:val="13"/>
              </w:numPr>
              <w:tabs>
                <w:tab w:val="clear" w:pos="720"/>
              </w:tabs>
              <w:spacing w:after="120" w:line="240" w:lineRule="auto"/>
              <w:rPr>
                <w:rFonts w:cs="Calibri Light"/>
                <w:sz w:val="22"/>
                <w:szCs w:val="22"/>
              </w:rPr>
            </w:pPr>
            <w:r w:rsidRPr="00033557">
              <w:rPr>
                <w:rFonts w:cs="Calibri Light"/>
                <w:sz w:val="22"/>
                <w:szCs w:val="22"/>
              </w:rPr>
              <w:t xml:space="preserve">Amend the </w:t>
            </w:r>
            <w:r w:rsidR="00170A61" w:rsidRPr="00170A61">
              <w:rPr>
                <w:rFonts w:cs="Calibri Light"/>
                <w:i/>
                <w:iCs/>
                <w:sz w:val="22"/>
                <w:szCs w:val="22"/>
              </w:rPr>
              <w:t>Life Insurance Act 1995</w:t>
            </w:r>
            <w:r w:rsidRPr="00033557">
              <w:rPr>
                <w:rFonts w:cs="Calibri Light"/>
                <w:sz w:val="22"/>
                <w:szCs w:val="22"/>
              </w:rPr>
              <w:t xml:space="preserve"> to allow ASIC to approve the manner and form of:</w:t>
            </w:r>
          </w:p>
          <w:p w14:paraId="6256393B" w14:textId="77777777" w:rsidR="00111918" w:rsidRPr="00033557" w:rsidRDefault="00111918" w:rsidP="00111918">
            <w:pPr>
              <w:pStyle w:val="Dash"/>
              <w:numPr>
                <w:ilvl w:val="1"/>
                <w:numId w:val="13"/>
              </w:numPr>
              <w:spacing w:before="120"/>
              <w:rPr>
                <w:rFonts w:cs="Calibri Light"/>
                <w:sz w:val="22"/>
                <w:szCs w:val="22"/>
              </w:rPr>
            </w:pPr>
            <w:r w:rsidRPr="00033557">
              <w:rPr>
                <w:rFonts w:cs="Calibri Light"/>
                <w:sz w:val="22"/>
                <w:szCs w:val="22"/>
              </w:rPr>
              <w:t>A transfer of a policy.</w:t>
            </w:r>
          </w:p>
          <w:p w14:paraId="20DE79C2" w14:textId="77777777" w:rsidR="00111918" w:rsidRPr="00033557" w:rsidRDefault="00111918" w:rsidP="00111918">
            <w:pPr>
              <w:pStyle w:val="Dash"/>
              <w:numPr>
                <w:ilvl w:val="1"/>
                <w:numId w:val="13"/>
              </w:numPr>
              <w:spacing w:before="120"/>
              <w:rPr>
                <w:rFonts w:cs="Calibri Light"/>
                <w:sz w:val="22"/>
                <w:szCs w:val="22"/>
              </w:rPr>
            </w:pPr>
            <w:r w:rsidRPr="00033557">
              <w:rPr>
                <w:rFonts w:cs="Calibri Light"/>
                <w:sz w:val="22"/>
                <w:szCs w:val="22"/>
              </w:rPr>
              <w:t xml:space="preserve">Notice that a person is no longer the trustee who a policy is vested in. </w:t>
            </w:r>
          </w:p>
          <w:p w14:paraId="5D131312" w14:textId="3E279682" w:rsidR="00111918" w:rsidRPr="00033557" w:rsidRDefault="00111918" w:rsidP="005A543F">
            <w:pPr>
              <w:pStyle w:val="Dash"/>
              <w:numPr>
                <w:ilvl w:val="1"/>
                <w:numId w:val="13"/>
              </w:numPr>
              <w:spacing w:before="120"/>
              <w:rPr>
                <w:rFonts w:cs="Calibri Light"/>
                <w:sz w:val="22"/>
                <w:szCs w:val="22"/>
              </w:rPr>
            </w:pPr>
            <w:r w:rsidRPr="00033557">
              <w:rPr>
                <w:rFonts w:cs="Calibri Light"/>
                <w:sz w:val="22"/>
                <w:szCs w:val="22"/>
              </w:rPr>
              <w:t>A statement of unclaimed money</w:t>
            </w:r>
            <w:r w:rsidR="00BB5273">
              <w:rPr>
                <w:rFonts w:cs="Calibri Light"/>
                <w:sz w:val="22"/>
                <w:szCs w:val="22"/>
              </w:rPr>
              <w:t>.</w:t>
            </w:r>
          </w:p>
        </w:tc>
        <w:tc>
          <w:tcPr>
            <w:tcW w:w="2268" w:type="dxa"/>
          </w:tcPr>
          <w:p w14:paraId="27B758F7" w14:textId="77777777" w:rsidR="00111918" w:rsidRDefault="00111918" w:rsidP="00111918">
            <w:pPr>
              <w:tabs>
                <w:tab w:val="left" w:pos="2317"/>
              </w:tabs>
              <w:rPr>
                <w:rFonts w:cs="Calibri Light"/>
                <w:i/>
                <w:iCs/>
                <w:sz w:val="22"/>
                <w:szCs w:val="22"/>
              </w:rPr>
            </w:pPr>
            <w:r w:rsidRPr="00033557">
              <w:rPr>
                <w:rFonts w:cs="Calibri Light"/>
                <w:i/>
                <w:iCs/>
                <w:sz w:val="22"/>
                <w:szCs w:val="22"/>
              </w:rPr>
              <w:t>Life Insurance Regulations 1995</w:t>
            </w:r>
          </w:p>
          <w:p w14:paraId="78518EF8" w14:textId="77777777" w:rsidR="00697F0D" w:rsidRPr="00033557" w:rsidRDefault="00697F0D" w:rsidP="00697F0D">
            <w:pPr>
              <w:tabs>
                <w:tab w:val="left" w:pos="2317"/>
              </w:tabs>
              <w:rPr>
                <w:rFonts w:cs="Calibri Light"/>
                <w:i/>
                <w:iCs/>
                <w:sz w:val="22"/>
                <w:szCs w:val="22"/>
              </w:rPr>
            </w:pPr>
            <w:r w:rsidRPr="00170A61">
              <w:rPr>
                <w:rFonts w:cs="Calibri Light"/>
                <w:i/>
                <w:iCs/>
                <w:sz w:val="22"/>
                <w:szCs w:val="22"/>
              </w:rPr>
              <w:t>Life Insurance Act 1995</w:t>
            </w:r>
          </w:p>
          <w:p w14:paraId="3FCF8A75" w14:textId="5F0396A6" w:rsidR="00697F0D" w:rsidRPr="00033557" w:rsidRDefault="00697F0D" w:rsidP="00111918">
            <w:pPr>
              <w:tabs>
                <w:tab w:val="left" w:pos="2317"/>
              </w:tabs>
              <w:rPr>
                <w:rFonts w:cs="Calibri Light"/>
                <w:i/>
                <w:iCs/>
                <w:sz w:val="22"/>
                <w:szCs w:val="22"/>
              </w:rPr>
            </w:pPr>
          </w:p>
        </w:tc>
        <w:tc>
          <w:tcPr>
            <w:tcW w:w="1984" w:type="dxa"/>
          </w:tcPr>
          <w:p w14:paraId="52B74984" w14:textId="6E65A75F" w:rsidR="00111918" w:rsidRPr="00033557" w:rsidRDefault="00111918" w:rsidP="00111918">
            <w:pPr>
              <w:tabs>
                <w:tab w:val="left" w:pos="2317"/>
              </w:tabs>
              <w:rPr>
                <w:rFonts w:cs="Calibri Light"/>
                <w:sz w:val="22"/>
                <w:szCs w:val="22"/>
              </w:rPr>
            </w:pPr>
            <w:r w:rsidRPr="00033557">
              <w:rPr>
                <w:rFonts w:cs="Calibri Light"/>
                <w:sz w:val="22"/>
                <w:szCs w:val="22"/>
              </w:rPr>
              <w:t xml:space="preserve">Part 2, </w:t>
            </w:r>
            <w:r w:rsidR="00A0712F" w:rsidRPr="00A0712F">
              <w:rPr>
                <w:rFonts w:cs="Calibri Light"/>
                <w:sz w:val="22"/>
                <w:szCs w:val="22"/>
              </w:rPr>
              <w:t>Exposure Draft Primary Legislation</w:t>
            </w:r>
          </w:p>
          <w:p w14:paraId="17FF7A15" w14:textId="5CBC541B" w:rsidR="00111918" w:rsidRPr="00033557" w:rsidRDefault="00111918" w:rsidP="00111918">
            <w:pPr>
              <w:tabs>
                <w:tab w:val="left" w:pos="2317"/>
              </w:tabs>
              <w:rPr>
                <w:rFonts w:cs="Calibri Light"/>
                <w:sz w:val="22"/>
                <w:szCs w:val="22"/>
              </w:rPr>
            </w:pPr>
            <w:r w:rsidRPr="00033557">
              <w:rPr>
                <w:rFonts w:cs="Calibri Light"/>
                <w:sz w:val="22"/>
                <w:szCs w:val="22"/>
              </w:rPr>
              <w:t xml:space="preserve">Part 2, </w:t>
            </w:r>
            <w:r w:rsidR="00CD2E89">
              <w:rPr>
                <w:rFonts w:cs="Calibri Light"/>
                <w:sz w:val="22"/>
                <w:szCs w:val="22"/>
              </w:rPr>
              <w:t xml:space="preserve">Exposure Draft </w:t>
            </w:r>
            <w:r w:rsidR="00CD2E89" w:rsidRPr="00033557">
              <w:rPr>
                <w:rFonts w:cs="Calibri Light"/>
                <w:sz w:val="22"/>
                <w:szCs w:val="22"/>
              </w:rPr>
              <w:t xml:space="preserve">Explanatory </w:t>
            </w:r>
            <w:r w:rsidR="00CD2E89">
              <w:rPr>
                <w:rFonts w:cs="Calibri Light"/>
                <w:sz w:val="22"/>
                <w:szCs w:val="22"/>
              </w:rPr>
              <w:t>Memorandum</w:t>
            </w:r>
            <w:r w:rsidR="00CD2E89" w:rsidRPr="00033557">
              <w:rPr>
                <w:rFonts w:cs="Calibri Light"/>
                <w:sz w:val="22"/>
                <w:szCs w:val="22"/>
              </w:rPr>
              <w:t xml:space="preserve"> to the </w:t>
            </w:r>
            <w:r w:rsidR="00CD2E89" w:rsidRPr="00A0712F">
              <w:rPr>
                <w:rFonts w:cs="Calibri Light"/>
                <w:sz w:val="22"/>
                <w:szCs w:val="22"/>
              </w:rPr>
              <w:t>Primary Legislation</w:t>
            </w:r>
          </w:p>
        </w:tc>
      </w:tr>
      <w:tr w:rsidR="00083F4F" w:rsidRPr="00033557" w14:paraId="2C8EAF5C" w14:textId="77777777" w:rsidTr="1BB4F023">
        <w:tc>
          <w:tcPr>
            <w:tcW w:w="426" w:type="dxa"/>
          </w:tcPr>
          <w:p w14:paraId="5E40A58A" w14:textId="77777777" w:rsidR="00111918" w:rsidRPr="00033557" w:rsidRDefault="00111918" w:rsidP="005E071C">
            <w:pPr>
              <w:pStyle w:val="OutlineNumbered1"/>
              <w:numPr>
                <w:ilvl w:val="0"/>
                <w:numId w:val="14"/>
              </w:numPr>
              <w:tabs>
                <w:tab w:val="left" w:pos="2317"/>
              </w:tabs>
              <w:spacing w:before="120" w:after="200"/>
              <w:ind w:left="522" w:hanging="522"/>
              <w:rPr>
                <w:rFonts w:cs="Calibri Light"/>
                <w:b/>
                <w:bCs/>
                <w:i/>
                <w:iCs/>
                <w:sz w:val="22"/>
                <w:szCs w:val="22"/>
              </w:rPr>
            </w:pPr>
          </w:p>
        </w:tc>
        <w:tc>
          <w:tcPr>
            <w:tcW w:w="4536" w:type="dxa"/>
          </w:tcPr>
          <w:p w14:paraId="711B80FD" w14:textId="64CDE8E8" w:rsidR="00111918" w:rsidRPr="00033557" w:rsidRDefault="00111918" w:rsidP="00111918">
            <w:pPr>
              <w:tabs>
                <w:tab w:val="left" w:pos="2317"/>
              </w:tabs>
              <w:rPr>
                <w:rFonts w:cs="Calibri Light"/>
                <w:sz w:val="22"/>
                <w:szCs w:val="22"/>
              </w:rPr>
            </w:pPr>
            <w:r w:rsidRPr="00033557">
              <w:rPr>
                <w:rFonts w:cs="Calibri Light"/>
                <w:sz w:val="22"/>
                <w:szCs w:val="22"/>
              </w:rPr>
              <w:t xml:space="preserve">Amend the </w:t>
            </w:r>
            <w:r w:rsidR="00BA311C" w:rsidRPr="00BA311C">
              <w:rPr>
                <w:rFonts w:cs="Calibri Light"/>
                <w:i/>
                <w:iCs/>
                <w:sz w:val="22"/>
                <w:szCs w:val="22"/>
              </w:rPr>
              <w:t>Insurance Acquisitions and Takeovers Act 1991</w:t>
            </w:r>
            <w:r w:rsidRPr="00033557">
              <w:rPr>
                <w:rFonts w:cs="Calibri Light"/>
                <w:sz w:val="22"/>
                <w:szCs w:val="22"/>
              </w:rPr>
              <w:t xml:space="preserve"> to provide the Minister (or an APRA delegate) with the ability to approve the manner and form of notices required to be given under </w:t>
            </w:r>
            <w:r w:rsidRPr="00033557">
              <w:rPr>
                <w:rFonts w:cs="Calibri Light"/>
                <w:sz w:val="22"/>
                <w:szCs w:val="22"/>
              </w:rPr>
              <w:lastRenderedPageBreak/>
              <w:t xml:space="preserve">the </w:t>
            </w:r>
            <w:r w:rsidR="00BA311C" w:rsidRPr="00BA311C">
              <w:rPr>
                <w:rFonts w:cs="Calibri Light"/>
                <w:i/>
                <w:iCs/>
                <w:sz w:val="22"/>
                <w:szCs w:val="22"/>
              </w:rPr>
              <w:t>Insurance Acquisitions and Takeovers Act 1991</w:t>
            </w:r>
            <w:r w:rsidRPr="00033557">
              <w:rPr>
                <w:rFonts w:cs="Calibri Light"/>
                <w:sz w:val="22"/>
                <w:szCs w:val="22"/>
              </w:rPr>
              <w:t xml:space="preserve">. </w:t>
            </w:r>
          </w:p>
        </w:tc>
        <w:tc>
          <w:tcPr>
            <w:tcW w:w="2268" w:type="dxa"/>
          </w:tcPr>
          <w:p w14:paraId="47304C4A" w14:textId="613CD3F2" w:rsidR="00111918" w:rsidRPr="00033557" w:rsidRDefault="00111918" w:rsidP="00111918">
            <w:pPr>
              <w:tabs>
                <w:tab w:val="left" w:pos="2317"/>
              </w:tabs>
              <w:rPr>
                <w:rFonts w:cs="Calibri Light"/>
                <w:sz w:val="22"/>
                <w:szCs w:val="22"/>
              </w:rPr>
            </w:pPr>
            <w:r w:rsidRPr="00033557">
              <w:rPr>
                <w:rFonts w:cs="Calibri Light"/>
                <w:i/>
                <w:iCs/>
                <w:sz w:val="22"/>
                <w:szCs w:val="22"/>
              </w:rPr>
              <w:lastRenderedPageBreak/>
              <w:t>Insurance Acquisitions and Takeovers (Notices) Regulations 1992</w:t>
            </w:r>
          </w:p>
        </w:tc>
        <w:tc>
          <w:tcPr>
            <w:tcW w:w="1984" w:type="dxa"/>
          </w:tcPr>
          <w:p w14:paraId="2F19C0D8" w14:textId="7EA9BC28" w:rsidR="00111918" w:rsidRPr="00033557" w:rsidRDefault="00111918" w:rsidP="00111918">
            <w:pPr>
              <w:tabs>
                <w:tab w:val="left" w:pos="2317"/>
              </w:tabs>
              <w:rPr>
                <w:rFonts w:cs="Calibri Light"/>
                <w:sz w:val="22"/>
                <w:szCs w:val="22"/>
              </w:rPr>
            </w:pPr>
            <w:r w:rsidRPr="00033557">
              <w:rPr>
                <w:rFonts w:cs="Calibri Light"/>
                <w:sz w:val="22"/>
                <w:szCs w:val="22"/>
              </w:rPr>
              <w:t xml:space="preserve">Part 2, </w:t>
            </w:r>
            <w:r w:rsidR="00A0712F" w:rsidRPr="00A0712F">
              <w:rPr>
                <w:rFonts w:cs="Calibri Light"/>
                <w:sz w:val="22"/>
                <w:szCs w:val="22"/>
              </w:rPr>
              <w:t>Exposure Draft Primary Legislation</w:t>
            </w:r>
          </w:p>
          <w:p w14:paraId="22EB9FC1" w14:textId="77777777" w:rsidR="00111918" w:rsidRPr="00033557" w:rsidRDefault="00111918" w:rsidP="00111918">
            <w:pPr>
              <w:tabs>
                <w:tab w:val="left" w:pos="2317"/>
              </w:tabs>
              <w:rPr>
                <w:rFonts w:cs="Calibri Light"/>
                <w:sz w:val="22"/>
                <w:szCs w:val="22"/>
              </w:rPr>
            </w:pPr>
          </w:p>
        </w:tc>
      </w:tr>
      <w:tr w:rsidR="00B3215A" w:rsidRPr="00033557" w14:paraId="4004302F" w14:textId="77777777" w:rsidTr="1BB4F023">
        <w:tc>
          <w:tcPr>
            <w:tcW w:w="426" w:type="dxa"/>
            <w:shd w:val="clear" w:color="auto" w:fill="F2F2F2" w:themeFill="background1" w:themeFillShade="F2"/>
          </w:tcPr>
          <w:p w14:paraId="78EA16B7" w14:textId="77777777" w:rsidR="00111918" w:rsidRPr="00033557" w:rsidRDefault="00111918" w:rsidP="00742BAB">
            <w:pPr>
              <w:pStyle w:val="OutlineNumbered1"/>
              <w:numPr>
                <w:ilvl w:val="0"/>
                <w:numId w:val="0"/>
              </w:numPr>
              <w:tabs>
                <w:tab w:val="left" w:pos="2317"/>
              </w:tabs>
              <w:spacing w:before="120" w:after="200"/>
              <w:rPr>
                <w:rFonts w:cs="Calibri Light"/>
                <w:b/>
                <w:bCs/>
                <w:i/>
                <w:iCs/>
                <w:sz w:val="22"/>
                <w:szCs w:val="22"/>
              </w:rPr>
            </w:pPr>
          </w:p>
        </w:tc>
        <w:tc>
          <w:tcPr>
            <w:tcW w:w="4536" w:type="dxa"/>
            <w:shd w:val="clear" w:color="auto" w:fill="F2F2F2" w:themeFill="background1" w:themeFillShade="F2"/>
          </w:tcPr>
          <w:p w14:paraId="20F97A96" w14:textId="5AEE1BF4" w:rsidR="00111918" w:rsidRPr="00033557" w:rsidRDefault="00111918" w:rsidP="00111918">
            <w:pPr>
              <w:tabs>
                <w:tab w:val="left" w:pos="2317"/>
              </w:tabs>
              <w:rPr>
                <w:rFonts w:cs="Calibri Light"/>
                <w:sz w:val="22"/>
                <w:szCs w:val="22"/>
              </w:rPr>
            </w:pPr>
            <w:r w:rsidRPr="00033557">
              <w:rPr>
                <w:rFonts w:cs="Calibri Light"/>
                <w:b/>
                <w:bCs/>
                <w:sz w:val="22"/>
                <w:szCs w:val="22"/>
              </w:rPr>
              <w:t xml:space="preserve">Minister’s </w:t>
            </w:r>
            <w:r w:rsidR="00065444" w:rsidRPr="00033557">
              <w:rPr>
                <w:rFonts w:cs="Calibri Light"/>
                <w:b/>
                <w:bCs/>
                <w:sz w:val="22"/>
                <w:szCs w:val="22"/>
              </w:rPr>
              <w:t>decision-making</w:t>
            </w:r>
            <w:r w:rsidRPr="00033557">
              <w:rPr>
                <w:rFonts w:cs="Calibri Light"/>
                <w:b/>
                <w:bCs/>
                <w:sz w:val="22"/>
                <w:szCs w:val="22"/>
              </w:rPr>
              <w:t xml:space="preserve"> </w:t>
            </w:r>
            <w:r w:rsidR="00E810DE" w:rsidRPr="00033557">
              <w:rPr>
                <w:rFonts w:cs="Calibri Light"/>
                <w:b/>
                <w:bCs/>
                <w:sz w:val="22"/>
                <w:szCs w:val="22"/>
              </w:rPr>
              <w:t>princip</w:t>
            </w:r>
            <w:r w:rsidR="00E810DE">
              <w:rPr>
                <w:rFonts w:cs="Calibri Light"/>
                <w:b/>
                <w:bCs/>
                <w:szCs w:val="22"/>
              </w:rPr>
              <w:t>l</w:t>
            </w:r>
            <w:r w:rsidR="00E810DE" w:rsidRPr="00033557">
              <w:rPr>
                <w:rFonts w:cs="Calibri Light"/>
                <w:b/>
                <w:bCs/>
                <w:szCs w:val="22"/>
              </w:rPr>
              <w:t>es</w:t>
            </w:r>
            <w:r w:rsidRPr="00033557">
              <w:rPr>
                <w:rFonts w:cs="Calibri Light"/>
                <w:b/>
                <w:bCs/>
                <w:sz w:val="22"/>
                <w:szCs w:val="22"/>
              </w:rPr>
              <w:t xml:space="preserve"> under </w:t>
            </w:r>
            <w:r w:rsidR="00992EE9">
              <w:rPr>
                <w:rFonts w:cs="Calibri Light"/>
                <w:b/>
                <w:bCs/>
                <w:sz w:val="22"/>
                <w:szCs w:val="22"/>
              </w:rPr>
              <w:t xml:space="preserve">the </w:t>
            </w:r>
            <w:r w:rsidR="00BA311C" w:rsidRPr="00BA311C">
              <w:rPr>
                <w:rFonts w:cs="Calibri Light"/>
                <w:b/>
                <w:bCs/>
                <w:i/>
                <w:iCs/>
                <w:sz w:val="22"/>
                <w:szCs w:val="22"/>
              </w:rPr>
              <w:t>Insurance Acquisitions and Takeovers Act 1991</w:t>
            </w:r>
          </w:p>
        </w:tc>
        <w:tc>
          <w:tcPr>
            <w:tcW w:w="2268" w:type="dxa"/>
            <w:shd w:val="clear" w:color="auto" w:fill="F2F2F2" w:themeFill="background1" w:themeFillShade="F2"/>
          </w:tcPr>
          <w:p w14:paraId="4D03CBF1" w14:textId="021254C3" w:rsidR="00111918" w:rsidRPr="00033557" w:rsidRDefault="00111918" w:rsidP="00111918">
            <w:pPr>
              <w:tabs>
                <w:tab w:val="left" w:pos="2317"/>
              </w:tabs>
              <w:rPr>
                <w:rFonts w:cs="Calibri Light"/>
                <w:i/>
                <w:iCs/>
                <w:sz w:val="22"/>
                <w:szCs w:val="22"/>
              </w:rPr>
            </w:pPr>
          </w:p>
        </w:tc>
        <w:tc>
          <w:tcPr>
            <w:tcW w:w="1984" w:type="dxa"/>
            <w:shd w:val="clear" w:color="auto" w:fill="F2F2F2" w:themeFill="background1" w:themeFillShade="F2"/>
          </w:tcPr>
          <w:p w14:paraId="25B3ADA0" w14:textId="144A6CB9" w:rsidR="00111918" w:rsidRPr="00033557" w:rsidRDefault="00111918" w:rsidP="00111918">
            <w:pPr>
              <w:tabs>
                <w:tab w:val="left" w:pos="2317"/>
              </w:tabs>
              <w:rPr>
                <w:rFonts w:cs="Calibri Light"/>
                <w:sz w:val="22"/>
                <w:szCs w:val="22"/>
              </w:rPr>
            </w:pPr>
          </w:p>
        </w:tc>
      </w:tr>
      <w:tr w:rsidR="00B3215A" w:rsidRPr="00033557" w14:paraId="3C64DCDA" w14:textId="77777777" w:rsidTr="1BB4F023">
        <w:tc>
          <w:tcPr>
            <w:tcW w:w="426" w:type="dxa"/>
            <w:shd w:val="clear" w:color="auto" w:fill="FFFFFF" w:themeFill="background1"/>
          </w:tcPr>
          <w:p w14:paraId="572EDDF2" w14:textId="77777777" w:rsidR="00111918" w:rsidRPr="00033557" w:rsidRDefault="00111918" w:rsidP="00111918">
            <w:pPr>
              <w:pStyle w:val="OutlineNumbered1"/>
              <w:numPr>
                <w:ilvl w:val="0"/>
                <w:numId w:val="14"/>
              </w:numPr>
              <w:tabs>
                <w:tab w:val="left" w:pos="2317"/>
              </w:tabs>
              <w:spacing w:before="120" w:after="200"/>
              <w:ind w:left="522" w:hanging="522"/>
              <w:rPr>
                <w:rFonts w:cs="Calibri Light"/>
                <w:b/>
                <w:bCs/>
                <w:i/>
                <w:iCs/>
                <w:sz w:val="22"/>
                <w:szCs w:val="22"/>
              </w:rPr>
            </w:pPr>
          </w:p>
        </w:tc>
        <w:tc>
          <w:tcPr>
            <w:tcW w:w="4536" w:type="dxa"/>
            <w:shd w:val="clear" w:color="auto" w:fill="FFFFFF" w:themeFill="background1"/>
          </w:tcPr>
          <w:p w14:paraId="6D6DC5B8" w14:textId="57560B50" w:rsidR="00111918" w:rsidRPr="00033557" w:rsidRDefault="00111918" w:rsidP="00111918">
            <w:pPr>
              <w:tabs>
                <w:tab w:val="left" w:pos="2317"/>
              </w:tabs>
              <w:rPr>
                <w:rFonts w:cs="Calibri Light"/>
                <w:sz w:val="22"/>
                <w:szCs w:val="22"/>
                <w:u w:val="single"/>
              </w:rPr>
            </w:pPr>
            <w:r w:rsidRPr="00033557">
              <w:rPr>
                <w:rFonts w:cs="Calibri Light"/>
                <w:sz w:val="22"/>
                <w:szCs w:val="22"/>
                <w:u w:val="single"/>
              </w:rPr>
              <w:t xml:space="preserve">Overview of </w:t>
            </w:r>
            <w:r w:rsidR="00BA311C" w:rsidRPr="00BA311C">
              <w:rPr>
                <w:rFonts w:cs="Calibri Light"/>
                <w:i/>
                <w:iCs/>
                <w:sz w:val="22"/>
                <w:szCs w:val="22"/>
                <w:u w:val="single"/>
              </w:rPr>
              <w:t>Insurance Acquisitions and Takeovers Act 1991</w:t>
            </w:r>
            <w:r w:rsidRPr="00033557">
              <w:rPr>
                <w:rFonts w:cs="Calibri Light"/>
                <w:sz w:val="22"/>
                <w:szCs w:val="22"/>
                <w:u w:val="single"/>
              </w:rPr>
              <w:t xml:space="preserve"> </w:t>
            </w:r>
          </w:p>
          <w:p w14:paraId="274723C0" w14:textId="6470549D" w:rsidR="00111918" w:rsidRPr="00033557" w:rsidRDefault="5884DD7D" w:rsidP="00111918">
            <w:pPr>
              <w:tabs>
                <w:tab w:val="left" w:pos="2317"/>
              </w:tabs>
              <w:rPr>
                <w:rFonts w:cs="Calibri Light"/>
                <w:sz w:val="22"/>
                <w:szCs w:val="22"/>
              </w:rPr>
            </w:pPr>
            <w:r w:rsidRPr="33F93BBD">
              <w:rPr>
                <w:rFonts w:cs="Calibri Light"/>
                <w:sz w:val="22"/>
                <w:szCs w:val="22"/>
              </w:rPr>
              <w:t xml:space="preserve">The </w:t>
            </w:r>
            <w:r w:rsidR="6063402B" w:rsidRPr="33F93BBD">
              <w:rPr>
                <w:rFonts w:cs="Calibri Light"/>
                <w:i/>
                <w:iCs/>
                <w:sz w:val="22"/>
                <w:szCs w:val="22"/>
              </w:rPr>
              <w:t>Insurance Acquisitions and Takeovers Act 1991</w:t>
            </w:r>
            <w:r w:rsidRPr="33F93BBD">
              <w:rPr>
                <w:rFonts w:cs="Calibri Light"/>
                <w:sz w:val="22"/>
                <w:szCs w:val="22"/>
              </w:rPr>
              <w:t xml:space="preserve"> establishes a framework for the control and compulsory notification of certain acquisitions and agreements relating to Australian</w:t>
            </w:r>
            <w:r w:rsidR="5AD4B220" w:rsidRPr="33F93BBD">
              <w:rPr>
                <w:rFonts w:cs="Calibri Light"/>
                <w:sz w:val="22"/>
                <w:szCs w:val="22"/>
              </w:rPr>
              <w:t xml:space="preserve"> </w:t>
            </w:r>
            <w:r w:rsidRPr="33F93BBD">
              <w:rPr>
                <w:rFonts w:cs="Calibri Light"/>
                <w:sz w:val="22"/>
                <w:szCs w:val="22"/>
              </w:rPr>
              <w:t xml:space="preserve">registered insurance companies. The Minister has various decision-making powers for these purposes. </w:t>
            </w:r>
          </w:p>
          <w:p w14:paraId="6F33329F" w14:textId="6044D99D" w:rsidR="00111918" w:rsidRPr="00033557" w:rsidRDefault="5884DD7D" w:rsidP="00111918">
            <w:pPr>
              <w:tabs>
                <w:tab w:val="left" w:pos="2317"/>
              </w:tabs>
              <w:rPr>
                <w:rFonts w:cs="Calibri Light"/>
                <w:sz w:val="22"/>
                <w:szCs w:val="22"/>
                <w:u w:val="single"/>
              </w:rPr>
            </w:pPr>
            <w:r w:rsidRPr="33F93BBD">
              <w:rPr>
                <w:rFonts w:cs="Calibri Light"/>
                <w:sz w:val="22"/>
                <w:szCs w:val="22"/>
                <w:u w:val="single"/>
              </w:rPr>
              <w:t xml:space="preserve">Existing Decision Making </w:t>
            </w:r>
            <w:r w:rsidR="00E810DE" w:rsidRPr="00E810DE">
              <w:rPr>
                <w:rFonts w:cs="Calibri Light"/>
                <w:sz w:val="22"/>
                <w:szCs w:val="22"/>
                <w:u w:val="single"/>
              </w:rPr>
              <w:t>Principles</w:t>
            </w:r>
            <w:r w:rsidRPr="33F93BBD">
              <w:rPr>
                <w:rFonts w:cs="Calibri Light"/>
                <w:sz w:val="22"/>
                <w:szCs w:val="22"/>
                <w:u w:val="single"/>
              </w:rPr>
              <w:t xml:space="preserve"> and findings of the review</w:t>
            </w:r>
          </w:p>
          <w:p w14:paraId="1A29EE9B" w14:textId="3A01A559" w:rsidR="00111918" w:rsidRPr="00033557" w:rsidRDefault="00111918" w:rsidP="00111918">
            <w:pPr>
              <w:tabs>
                <w:tab w:val="left" w:pos="2317"/>
              </w:tabs>
              <w:rPr>
                <w:rFonts w:cs="Calibri Light"/>
                <w:sz w:val="22"/>
                <w:szCs w:val="22"/>
              </w:rPr>
            </w:pPr>
            <w:r w:rsidRPr="00033557">
              <w:rPr>
                <w:rFonts w:cs="Calibri Light"/>
                <w:sz w:val="22"/>
                <w:szCs w:val="22"/>
              </w:rPr>
              <w:t xml:space="preserve">Subsection 65(1) of the </w:t>
            </w:r>
            <w:r w:rsidR="00BA311C" w:rsidRPr="00BA311C">
              <w:rPr>
                <w:rFonts w:cs="Calibri Light"/>
                <w:i/>
                <w:iCs/>
                <w:sz w:val="22"/>
                <w:szCs w:val="22"/>
              </w:rPr>
              <w:t>Insurance Acquisitions and Takeovers Act 1991</w:t>
            </w:r>
            <w:r w:rsidRPr="00033557">
              <w:rPr>
                <w:rFonts w:cs="Calibri Light"/>
                <w:sz w:val="22"/>
                <w:szCs w:val="22"/>
              </w:rPr>
              <w:t xml:space="preserve"> currently allows the Minister to formulate principles to be complied with by him or her in making decisions under specified Parts of the </w:t>
            </w:r>
            <w:r w:rsidR="00BA311C" w:rsidRPr="00BA311C">
              <w:rPr>
                <w:rFonts w:cs="Calibri Light"/>
                <w:i/>
                <w:iCs/>
                <w:sz w:val="22"/>
                <w:szCs w:val="22"/>
              </w:rPr>
              <w:t>Insurance Acquisitions and Takeovers Act 1991</w:t>
            </w:r>
            <w:r w:rsidRPr="00033557">
              <w:rPr>
                <w:rFonts w:cs="Calibri Light"/>
                <w:sz w:val="22"/>
                <w:szCs w:val="22"/>
              </w:rPr>
              <w:t xml:space="preserve">. The Decision Making Principles were made for the purpose of this provision. In making a decision under Part 3 or 4 of the </w:t>
            </w:r>
            <w:r w:rsidR="00BA311C" w:rsidRPr="00BA311C">
              <w:rPr>
                <w:rFonts w:cs="Calibri Light"/>
                <w:i/>
                <w:iCs/>
                <w:sz w:val="22"/>
                <w:szCs w:val="22"/>
              </w:rPr>
              <w:t>Insurance Acquisitions and Takeovers Act 1991</w:t>
            </w:r>
            <w:r w:rsidRPr="00033557">
              <w:rPr>
                <w:rFonts w:cs="Calibri Light"/>
                <w:sz w:val="22"/>
                <w:szCs w:val="22"/>
              </w:rPr>
              <w:t>, the Minister is required to comply with any relevant decision</w:t>
            </w:r>
            <w:r w:rsidRPr="00033557">
              <w:rPr>
                <w:rFonts w:ascii="Cambria Math" w:hAnsi="Cambria Math" w:cs="Cambria Math"/>
                <w:sz w:val="22"/>
                <w:szCs w:val="22"/>
              </w:rPr>
              <w:t>‑</w:t>
            </w:r>
            <w:r w:rsidRPr="00033557">
              <w:rPr>
                <w:rFonts w:cs="Calibri Light"/>
                <w:sz w:val="22"/>
                <w:szCs w:val="22"/>
              </w:rPr>
              <w:t xml:space="preserve">making principle. </w:t>
            </w:r>
          </w:p>
          <w:p w14:paraId="55B37910" w14:textId="64B35455" w:rsidR="00111918" w:rsidRPr="00033557" w:rsidRDefault="00111918" w:rsidP="00111918">
            <w:pPr>
              <w:tabs>
                <w:tab w:val="left" w:pos="2317"/>
              </w:tabs>
              <w:rPr>
                <w:rFonts w:cs="Calibri Light"/>
                <w:sz w:val="22"/>
                <w:szCs w:val="22"/>
              </w:rPr>
            </w:pPr>
            <w:r w:rsidRPr="00033557">
              <w:rPr>
                <w:rFonts w:cs="Calibri Light"/>
                <w:sz w:val="22"/>
                <w:szCs w:val="22"/>
              </w:rPr>
              <w:t xml:space="preserve">The </w:t>
            </w:r>
            <w:r w:rsidR="00BA311C" w:rsidRPr="00BA311C">
              <w:rPr>
                <w:rFonts w:cs="Calibri Light"/>
                <w:i/>
                <w:iCs/>
                <w:sz w:val="22"/>
                <w:szCs w:val="22"/>
              </w:rPr>
              <w:t>Insurance Acquisitions and Takeovers Act 1991</w:t>
            </w:r>
            <w:r w:rsidRPr="00033557">
              <w:rPr>
                <w:rFonts w:cs="Calibri Light"/>
                <w:sz w:val="22"/>
                <w:szCs w:val="22"/>
              </w:rPr>
              <w:t xml:space="preserve"> also requires the Minister to consider whether a matter is contrary to the public interest (referred to as the ‘public interest test’) when making certain decisions. Section 5(1) of the </w:t>
            </w:r>
            <w:r w:rsidR="00BA311C" w:rsidRPr="00BA311C">
              <w:rPr>
                <w:rFonts w:cs="Calibri Light"/>
                <w:i/>
                <w:iCs/>
                <w:sz w:val="22"/>
                <w:szCs w:val="22"/>
              </w:rPr>
              <w:t>Insurance Acquisitions and Takeovers Act 1991</w:t>
            </w:r>
            <w:r w:rsidRPr="00033557">
              <w:rPr>
                <w:rFonts w:cs="Calibri Light"/>
                <w:sz w:val="22"/>
                <w:szCs w:val="22"/>
              </w:rPr>
              <w:t xml:space="preserve"> prescribes when a matter is contrary to the public interest, namely: </w:t>
            </w:r>
          </w:p>
          <w:p w14:paraId="613842F6" w14:textId="77777777" w:rsidR="00111918" w:rsidRPr="00033557" w:rsidRDefault="00111918" w:rsidP="00111918">
            <w:pPr>
              <w:pStyle w:val="ListParagraph"/>
              <w:numPr>
                <w:ilvl w:val="0"/>
                <w:numId w:val="19"/>
              </w:numPr>
              <w:tabs>
                <w:tab w:val="left" w:pos="2317"/>
              </w:tabs>
              <w:spacing w:before="0" w:after="200" w:line="276" w:lineRule="auto"/>
              <w:contextualSpacing w:val="0"/>
              <w:rPr>
                <w:rFonts w:cs="Calibri Light"/>
                <w:sz w:val="22"/>
                <w:szCs w:val="22"/>
              </w:rPr>
            </w:pPr>
            <w:r w:rsidRPr="00033557">
              <w:rPr>
                <w:rFonts w:cs="Calibri Light"/>
                <w:sz w:val="22"/>
                <w:szCs w:val="22"/>
              </w:rPr>
              <w:t>likely to adversely affect the prudential conduct of the affairs of the company; or</w:t>
            </w:r>
          </w:p>
          <w:p w14:paraId="466DC3A3" w14:textId="77777777" w:rsidR="00111918" w:rsidRPr="00033557" w:rsidRDefault="00111918" w:rsidP="00111918">
            <w:pPr>
              <w:pStyle w:val="ListParagraph"/>
              <w:numPr>
                <w:ilvl w:val="0"/>
                <w:numId w:val="19"/>
              </w:numPr>
              <w:tabs>
                <w:tab w:val="left" w:pos="2317"/>
              </w:tabs>
              <w:spacing w:before="0" w:after="200" w:line="276" w:lineRule="auto"/>
              <w:contextualSpacing w:val="0"/>
              <w:rPr>
                <w:rFonts w:cs="Calibri Light"/>
                <w:sz w:val="22"/>
                <w:szCs w:val="22"/>
              </w:rPr>
            </w:pPr>
            <w:r w:rsidRPr="00033557">
              <w:rPr>
                <w:rFonts w:cs="Calibri Light"/>
                <w:sz w:val="22"/>
                <w:szCs w:val="22"/>
              </w:rPr>
              <w:t>likely to result in an unsuitable person being in a position of influence over the company; or</w:t>
            </w:r>
          </w:p>
          <w:p w14:paraId="7BF7301C" w14:textId="77777777" w:rsidR="00111918" w:rsidRPr="00033557" w:rsidRDefault="00111918" w:rsidP="00111918">
            <w:pPr>
              <w:pStyle w:val="ListParagraph"/>
              <w:numPr>
                <w:ilvl w:val="0"/>
                <w:numId w:val="19"/>
              </w:numPr>
              <w:tabs>
                <w:tab w:val="left" w:pos="2317"/>
              </w:tabs>
              <w:spacing w:before="0" w:after="200" w:line="276" w:lineRule="auto"/>
              <w:contextualSpacing w:val="0"/>
              <w:rPr>
                <w:rFonts w:cs="Calibri Light"/>
                <w:sz w:val="22"/>
                <w:szCs w:val="22"/>
              </w:rPr>
            </w:pPr>
            <w:r w:rsidRPr="00033557">
              <w:rPr>
                <w:rFonts w:cs="Calibri Light"/>
                <w:sz w:val="22"/>
                <w:szCs w:val="22"/>
              </w:rPr>
              <w:t xml:space="preserve">likely to unduly concentrate economic power in the Australian general insurance industry, in the Australian life </w:t>
            </w:r>
            <w:r w:rsidRPr="00033557">
              <w:rPr>
                <w:rFonts w:cs="Calibri Light"/>
                <w:sz w:val="22"/>
                <w:szCs w:val="22"/>
              </w:rPr>
              <w:lastRenderedPageBreak/>
              <w:t>insurance industry or in the Australian financial system; or</w:t>
            </w:r>
          </w:p>
          <w:p w14:paraId="54FD9197" w14:textId="77777777" w:rsidR="00111918" w:rsidRPr="00033557" w:rsidRDefault="00111918" w:rsidP="00111918">
            <w:pPr>
              <w:pStyle w:val="ListParagraph"/>
              <w:numPr>
                <w:ilvl w:val="0"/>
                <w:numId w:val="19"/>
              </w:numPr>
              <w:tabs>
                <w:tab w:val="left" w:pos="2317"/>
              </w:tabs>
              <w:spacing w:before="0" w:after="200" w:line="276" w:lineRule="auto"/>
              <w:contextualSpacing w:val="0"/>
              <w:rPr>
                <w:rFonts w:cs="Calibri Light"/>
                <w:sz w:val="22"/>
                <w:szCs w:val="22"/>
              </w:rPr>
            </w:pPr>
            <w:r w:rsidRPr="00033557">
              <w:rPr>
                <w:rFonts w:cs="Calibri Light"/>
                <w:sz w:val="22"/>
                <w:szCs w:val="22"/>
              </w:rPr>
              <w:t> contrary to the national interest.</w:t>
            </w:r>
          </w:p>
          <w:p w14:paraId="1EC72B98" w14:textId="674A5CFF" w:rsidR="00111918" w:rsidRPr="00033557" w:rsidRDefault="00111918" w:rsidP="00111918">
            <w:pPr>
              <w:tabs>
                <w:tab w:val="left" w:pos="2317"/>
              </w:tabs>
              <w:rPr>
                <w:rFonts w:cs="Calibri Light"/>
                <w:sz w:val="22"/>
                <w:szCs w:val="22"/>
              </w:rPr>
            </w:pPr>
            <w:r w:rsidRPr="00033557">
              <w:rPr>
                <w:rFonts w:cs="Calibri Light"/>
                <w:sz w:val="22"/>
                <w:szCs w:val="22"/>
              </w:rPr>
              <w:t xml:space="preserve">The review found that while the Decision Making Principles are still required in some form, their application </w:t>
            </w:r>
            <w:r w:rsidR="00670387">
              <w:rPr>
                <w:rFonts w:cs="Calibri Light"/>
                <w:sz w:val="22"/>
                <w:szCs w:val="22"/>
              </w:rPr>
              <w:t>could be made clearer.</w:t>
            </w:r>
          </w:p>
          <w:p w14:paraId="59E0229C" w14:textId="6548EB52" w:rsidR="00111918" w:rsidRPr="00033557" w:rsidRDefault="00111918" w:rsidP="00111918">
            <w:pPr>
              <w:tabs>
                <w:tab w:val="left" w:pos="2317"/>
              </w:tabs>
              <w:rPr>
                <w:rFonts w:cs="Calibri Light"/>
                <w:sz w:val="22"/>
                <w:szCs w:val="22"/>
              </w:rPr>
            </w:pPr>
            <w:r w:rsidRPr="00033557">
              <w:rPr>
                <w:rFonts w:cs="Calibri Light"/>
                <w:sz w:val="22"/>
                <w:szCs w:val="22"/>
              </w:rPr>
              <w:t xml:space="preserve">The review also found that the </w:t>
            </w:r>
            <w:r w:rsidR="00BA311C" w:rsidRPr="00BA311C">
              <w:rPr>
                <w:rFonts w:cs="Calibri Light"/>
                <w:i/>
                <w:iCs/>
                <w:sz w:val="22"/>
                <w:szCs w:val="22"/>
              </w:rPr>
              <w:t>Insurance Acquisitions and Takeovers Act 1991</w:t>
            </w:r>
            <w:r w:rsidRPr="00033557">
              <w:rPr>
                <w:rFonts w:cs="Calibri Light"/>
                <w:sz w:val="22"/>
                <w:szCs w:val="22"/>
              </w:rPr>
              <w:t xml:space="preserve"> </w:t>
            </w:r>
            <w:r w:rsidR="00670387">
              <w:rPr>
                <w:rFonts w:cs="Calibri Light"/>
                <w:sz w:val="22"/>
                <w:szCs w:val="22"/>
              </w:rPr>
              <w:t xml:space="preserve">could be amended to </w:t>
            </w:r>
            <w:r w:rsidR="00430EE0">
              <w:rPr>
                <w:rFonts w:cs="Calibri Light"/>
                <w:sz w:val="22"/>
                <w:szCs w:val="22"/>
              </w:rPr>
              <w:t>make c</w:t>
            </w:r>
            <w:r w:rsidR="00430EE0">
              <w:rPr>
                <w:rFonts w:cs="Calibri Light"/>
                <w:szCs w:val="22"/>
              </w:rPr>
              <w:t>learer</w:t>
            </w:r>
            <w:r w:rsidR="00430EE0">
              <w:rPr>
                <w:rFonts w:cs="Calibri Light"/>
                <w:sz w:val="22"/>
                <w:szCs w:val="22"/>
              </w:rPr>
              <w:t xml:space="preserve"> </w:t>
            </w:r>
            <w:r w:rsidRPr="00033557">
              <w:rPr>
                <w:rFonts w:cs="Calibri Light"/>
                <w:sz w:val="22"/>
                <w:szCs w:val="22"/>
              </w:rPr>
              <w:t xml:space="preserve">the decisions to which the public interest test relates. </w:t>
            </w:r>
          </w:p>
          <w:p w14:paraId="069CA3F3" w14:textId="77777777" w:rsidR="00111918" w:rsidRPr="00033557" w:rsidRDefault="00111918" w:rsidP="00111918">
            <w:pPr>
              <w:tabs>
                <w:tab w:val="left" w:pos="2317"/>
              </w:tabs>
              <w:rPr>
                <w:rFonts w:cs="Calibri Light"/>
                <w:sz w:val="22"/>
                <w:szCs w:val="22"/>
                <w:u w:val="single"/>
              </w:rPr>
            </w:pPr>
            <w:r w:rsidRPr="00033557">
              <w:rPr>
                <w:rFonts w:cs="Calibri Light"/>
                <w:sz w:val="22"/>
                <w:szCs w:val="22"/>
                <w:u w:val="single"/>
              </w:rPr>
              <w:t xml:space="preserve">Proposed amendments </w:t>
            </w:r>
          </w:p>
          <w:p w14:paraId="424A5C9F" w14:textId="0AFA1C1A" w:rsidR="00111918" w:rsidRPr="00033557" w:rsidRDefault="00111918" w:rsidP="00111918">
            <w:pPr>
              <w:pStyle w:val="Bullet"/>
              <w:numPr>
                <w:ilvl w:val="0"/>
                <w:numId w:val="13"/>
              </w:numPr>
              <w:tabs>
                <w:tab w:val="clear" w:pos="720"/>
              </w:tabs>
              <w:spacing w:after="120" w:line="240" w:lineRule="auto"/>
              <w:rPr>
                <w:rFonts w:cs="Calibri Light"/>
                <w:sz w:val="22"/>
                <w:szCs w:val="22"/>
              </w:rPr>
            </w:pPr>
            <w:r w:rsidRPr="00033557">
              <w:rPr>
                <w:rFonts w:cs="Calibri Light"/>
                <w:sz w:val="22"/>
                <w:szCs w:val="22"/>
              </w:rPr>
              <w:t xml:space="preserve">Amend subsection 5(1) of the </w:t>
            </w:r>
            <w:r w:rsidR="00BA311C" w:rsidRPr="00BA311C">
              <w:rPr>
                <w:rFonts w:cs="Calibri Light"/>
                <w:i/>
                <w:iCs/>
                <w:sz w:val="22"/>
                <w:szCs w:val="22"/>
              </w:rPr>
              <w:t>Insurance Acquisitions and Takeovers Act 1991</w:t>
            </w:r>
            <w:r w:rsidRPr="00033557">
              <w:rPr>
                <w:rFonts w:cs="Calibri Light"/>
                <w:sz w:val="22"/>
                <w:szCs w:val="22"/>
              </w:rPr>
              <w:t xml:space="preserve"> to clarify that the primary public interest matters relating to the public interest test specified in subsection 5(1) of the </w:t>
            </w:r>
            <w:r w:rsidR="00BA311C" w:rsidRPr="00BA311C">
              <w:rPr>
                <w:rFonts w:cs="Calibri Light"/>
                <w:i/>
                <w:iCs/>
                <w:sz w:val="22"/>
                <w:szCs w:val="22"/>
              </w:rPr>
              <w:t>Insurance Acquisitions and Takeovers Act 1991</w:t>
            </w:r>
            <w:r w:rsidRPr="00033557">
              <w:rPr>
                <w:rFonts w:cs="Calibri Light"/>
                <w:sz w:val="22"/>
                <w:szCs w:val="22"/>
              </w:rPr>
              <w:t xml:space="preserve"> do not limit when a matter may be taken to be contrary to the public interest. </w:t>
            </w:r>
          </w:p>
          <w:p w14:paraId="39D01435" w14:textId="07CAD064" w:rsidR="00111918" w:rsidRPr="00033557" w:rsidRDefault="00111918" w:rsidP="00111918">
            <w:pPr>
              <w:pStyle w:val="Bullet"/>
              <w:numPr>
                <w:ilvl w:val="0"/>
                <w:numId w:val="13"/>
              </w:numPr>
              <w:tabs>
                <w:tab w:val="clear" w:pos="720"/>
              </w:tabs>
              <w:spacing w:after="120" w:line="240" w:lineRule="auto"/>
              <w:rPr>
                <w:rFonts w:cs="Calibri Light"/>
                <w:sz w:val="22"/>
                <w:szCs w:val="22"/>
              </w:rPr>
            </w:pPr>
            <w:r w:rsidRPr="00033557">
              <w:rPr>
                <w:rFonts w:cs="Calibri Light"/>
                <w:sz w:val="22"/>
                <w:szCs w:val="22"/>
              </w:rPr>
              <w:t>Update the current subsection 5(1)(b)</w:t>
            </w:r>
            <w:r w:rsidR="009854B1">
              <w:rPr>
                <w:rFonts w:cs="Calibri Light"/>
                <w:sz w:val="22"/>
                <w:szCs w:val="22"/>
              </w:rPr>
              <w:t xml:space="preserve"> </w:t>
            </w:r>
            <w:r w:rsidR="009854B1" w:rsidRPr="00033557">
              <w:rPr>
                <w:rFonts w:cs="Calibri Light"/>
                <w:sz w:val="22"/>
                <w:szCs w:val="22"/>
              </w:rPr>
              <w:t xml:space="preserve">of the </w:t>
            </w:r>
            <w:r w:rsidR="009854B1" w:rsidRPr="00BA311C">
              <w:rPr>
                <w:rFonts w:cs="Calibri Light"/>
                <w:i/>
                <w:iCs/>
                <w:sz w:val="22"/>
                <w:szCs w:val="22"/>
              </w:rPr>
              <w:t>Insurance Acquisitions and Takeovers Act 1991</w:t>
            </w:r>
            <w:r w:rsidRPr="00033557">
              <w:rPr>
                <w:rFonts w:cs="Calibri Light"/>
                <w:sz w:val="22"/>
                <w:szCs w:val="22"/>
              </w:rPr>
              <w:t xml:space="preserve"> to replace ‘likely to result in an </w:t>
            </w:r>
            <w:r w:rsidRPr="00033557">
              <w:rPr>
                <w:rFonts w:cs="Calibri Light"/>
                <w:b/>
                <w:bCs/>
                <w:sz w:val="22"/>
                <w:szCs w:val="22"/>
              </w:rPr>
              <w:t>unsuitable person</w:t>
            </w:r>
            <w:r w:rsidRPr="00033557">
              <w:rPr>
                <w:rFonts w:cs="Calibri Light"/>
                <w:sz w:val="22"/>
                <w:szCs w:val="22"/>
              </w:rPr>
              <w:t xml:space="preserve"> being in a position of influence over the company’ with </w:t>
            </w:r>
            <w:r w:rsidR="00956698">
              <w:rPr>
                <w:rFonts w:cs="Calibri Light"/>
                <w:sz w:val="22"/>
                <w:szCs w:val="22"/>
              </w:rPr>
              <w:t>‘</w:t>
            </w:r>
            <w:r w:rsidRPr="00033557">
              <w:rPr>
                <w:rFonts w:cs="Calibri Light"/>
                <w:sz w:val="22"/>
                <w:szCs w:val="22"/>
              </w:rPr>
              <w:t xml:space="preserve">likely to result in a person who is </w:t>
            </w:r>
            <w:r w:rsidRPr="009854B1">
              <w:rPr>
                <w:rFonts w:cs="Calibri Light"/>
                <w:b/>
                <w:bCs/>
                <w:sz w:val="22"/>
                <w:szCs w:val="22"/>
              </w:rPr>
              <w:t>not a</w:t>
            </w:r>
            <w:r w:rsidRPr="00033557">
              <w:rPr>
                <w:rFonts w:cs="Calibri Light"/>
                <w:sz w:val="22"/>
                <w:szCs w:val="22"/>
              </w:rPr>
              <w:t xml:space="preserve"> </w:t>
            </w:r>
            <w:r w:rsidRPr="00033557">
              <w:rPr>
                <w:rFonts w:cs="Calibri Light"/>
                <w:b/>
                <w:bCs/>
                <w:sz w:val="22"/>
                <w:szCs w:val="22"/>
              </w:rPr>
              <w:t>fit and proper person</w:t>
            </w:r>
            <w:r w:rsidR="00956698" w:rsidRPr="00956698">
              <w:rPr>
                <w:rFonts w:cs="Calibri Light"/>
                <w:sz w:val="22"/>
                <w:szCs w:val="22"/>
              </w:rPr>
              <w:t>’</w:t>
            </w:r>
            <w:r w:rsidRPr="00033557">
              <w:rPr>
                <w:rFonts w:cs="Calibri Light"/>
                <w:b/>
                <w:bCs/>
                <w:sz w:val="22"/>
                <w:szCs w:val="22"/>
              </w:rPr>
              <w:t xml:space="preserve"> </w:t>
            </w:r>
            <w:r w:rsidRPr="00033557">
              <w:rPr>
                <w:rFonts w:cs="Calibri Light"/>
                <w:sz w:val="22"/>
                <w:szCs w:val="22"/>
              </w:rPr>
              <w:t xml:space="preserve">being in such a position. </w:t>
            </w:r>
          </w:p>
          <w:p w14:paraId="7EA403ED" w14:textId="469D0FF1" w:rsidR="00111918" w:rsidRPr="00033557" w:rsidRDefault="00111918" w:rsidP="00111918">
            <w:pPr>
              <w:pStyle w:val="Bullet"/>
              <w:numPr>
                <w:ilvl w:val="0"/>
                <w:numId w:val="13"/>
              </w:numPr>
              <w:tabs>
                <w:tab w:val="clear" w:pos="720"/>
              </w:tabs>
              <w:spacing w:after="120" w:line="240" w:lineRule="auto"/>
              <w:rPr>
                <w:rFonts w:cs="Calibri Light"/>
                <w:sz w:val="22"/>
                <w:szCs w:val="22"/>
              </w:rPr>
            </w:pPr>
            <w:r w:rsidRPr="00033557">
              <w:rPr>
                <w:rFonts w:cs="Calibri Light"/>
                <w:sz w:val="22"/>
                <w:szCs w:val="22"/>
              </w:rPr>
              <w:t xml:space="preserve">Repeal the current enabling provision for the Decision Making Principles. This also results in the repeal of the Decision Making Principles. </w:t>
            </w:r>
          </w:p>
          <w:p w14:paraId="753790A8" w14:textId="64D2B64B" w:rsidR="00111918" w:rsidRPr="000E22FF" w:rsidRDefault="00111918" w:rsidP="00111918">
            <w:pPr>
              <w:pStyle w:val="Bullet"/>
              <w:numPr>
                <w:ilvl w:val="0"/>
                <w:numId w:val="13"/>
              </w:numPr>
              <w:tabs>
                <w:tab w:val="clear" w:pos="720"/>
              </w:tabs>
              <w:spacing w:after="120" w:line="240" w:lineRule="auto"/>
              <w:rPr>
                <w:rFonts w:cs="Calibri Light"/>
                <w:sz w:val="22"/>
                <w:szCs w:val="22"/>
              </w:rPr>
            </w:pPr>
            <w:r w:rsidRPr="00033557">
              <w:rPr>
                <w:rFonts w:cs="Calibri Light"/>
                <w:sz w:val="22"/>
                <w:szCs w:val="22"/>
              </w:rPr>
              <w:t xml:space="preserve">Create a new subsection 5(2) of the </w:t>
            </w:r>
            <w:r w:rsidR="00BA311C" w:rsidRPr="00BA311C">
              <w:rPr>
                <w:rFonts w:cs="Calibri Light"/>
                <w:i/>
                <w:iCs/>
                <w:sz w:val="22"/>
                <w:szCs w:val="22"/>
              </w:rPr>
              <w:t>Insurance Acquisitions and Takeovers Act 1991</w:t>
            </w:r>
            <w:r w:rsidRPr="00033557">
              <w:rPr>
                <w:rFonts w:cs="Calibri Light"/>
                <w:sz w:val="22"/>
                <w:szCs w:val="22"/>
              </w:rPr>
              <w:t xml:space="preserve">, which provides the Minister with the power to determine, by legislative instrument, matters to which regard must or may be had in determining whether a matter is contrary to the public interest (in addition to the matters set out in subsection 5(1)) or likely to have the effect or result that something is contrary to </w:t>
            </w:r>
            <w:r w:rsidRPr="000E22FF">
              <w:rPr>
                <w:rFonts w:cs="Calibri Light"/>
                <w:sz w:val="22"/>
                <w:szCs w:val="22"/>
              </w:rPr>
              <w:t xml:space="preserve">the public interest in subsection 5(1). </w:t>
            </w:r>
          </w:p>
          <w:p w14:paraId="6FB57D15" w14:textId="4610674E" w:rsidR="00111918" w:rsidRPr="000E22FF" w:rsidRDefault="00111918" w:rsidP="00111918">
            <w:pPr>
              <w:pStyle w:val="Bullet"/>
              <w:numPr>
                <w:ilvl w:val="0"/>
                <w:numId w:val="13"/>
              </w:numPr>
              <w:tabs>
                <w:tab w:val="clear" w:pos="720"/>
              </w:tabs>
              <w:spacing w:after="120" w:line="240" w:lineRule="auto"/>
              <w:rPr>
                <w:rFonts w:cs="Calibri Light"/>
                <w:sz w:val="22"/>
                <w:szCs w:val="22"/>
              </w:rPr>
            </w:pPr>
            <w:r w:rsidRPr="000E22FF">
              <w:rPr>
                <w:rFonts w:cs="Calibri Light"/>
                <w:sz w:val="22"/>
                <w:szCs w:val="22"/>
              </w:rPr>
              <w:t xml:space="preserve">Make a new determination pursuant to new subsection 5(2) of the </w:t>
            </w:r>
            <w:r w:rsidR="00BA311C" w:rsidRPr="000E22FF">
              <w:rPr>
                <w:rFonts w:cs="Calibri Light"/>
                <w:i/>
                <w:iCs/>
                <w:sz w:val="22"/>
                <w:szCs w:val="22"/>
              </w:rPr>
              <w:t xml:space="preserve">Insurance </w:t>
            </w:r>
            <w:r w:rsidR="00BA311C" w:rsidRPr="000E22FF">
              <w:rPr>
                <w:rFonts w:cs="Calibri Light"/>
                <w:i/>
                <w:iCs/>
                <w:sz w:val="22"/>
                <w:szCs w:val="22"/>
              </w:rPr>
              <w:lastRenderedPageBreak/>
              <w:t>Acquisitions and Takeovers Act 1991</w:t>
            </w:r>
            <w:r w:rsidRPr="000E22FF">
              <w:rPr>
                <w:rFonts w:cs="Calibri Light"/>
                <w:sz w:val="22"/>
                <w:szCs w:val="22"/>
              </w:rPr>
              <w:t xml:space="preserve"> to replace the Decision Making Principles. </w:t>
            </w:r>
          </w:p>
          <w:p w14:paraId="208C78CE" w14:textId="3668750D" w:rsidR="00111918" w:rsidRPr="000E22FF" w:rsidRDefault="00111918" w:rsidP="00111918">
            <w:pPr>
              <w:pStyle w:val="Dash"/>
              <w:numPr>
                <w:ilvl w:val="1"/>
                <w:numId w:val="13"/>
              </w:numPr>
              <w:spacing w:before="120"/>
              <w:rPr>
                <w:rFonts w:cs="Calibri Light"/>
                <w:sz w:val="22"/>
                <w:szCs w:val="22"/>
              </w:rPr>
            </w:pPr>
            <w:r w:rsidRPr="000E22FF">
              <w:rPr>
                <w:rFonts w:cs="Calibri Light"/>
                <w:sz w:val="22"/>
                <w:szCs w:val="22"/>
              </w:rPr>
              <w:t xml:space="preserve">The new determination will more closely align the fit and proper person test with the fit and proper test applied by APRA in the similar context of the Financial Sector (Shareholdings) Rules 2019.  </w:t>
            </w:r>
          </w:p>
          <w:p w14:paraId="48033926" w14:textId="77777777" w:rsidR="00111918" w:rsidRPr="000E22FF" w:rsidRDefault="00111918" w:rsidP="00111918">
            <w:pPr>
              <w:pStyle w:val="Bullet"/>
              <w:numPr>
                <w:ilvl w:val="0"/>
                <w:numId w:val="13"/>
              </w:numPr>
              <w:tabs>
                <w:tab w:val="clear" w:pos="720"/>
              </w:tabs>
              <w:spacing w:after="120" w:line="240" w:lineRule="auto"/>
              <w:rPr>
                <w:rFonts w:cs="Calibri Light"/>
                <w:sz w:val="22"/>
                <w:szCs w:val="22"/>
              </w:rPr>
            </w:pPr>
            <w:r w:rsidRPr="000E22FF">
              <w:rPr>
                <w:rFonts w:cs="Calibri Light"/>
                <w:sz w:val="22"/>
                <w:szCs w:val="22"/>
              </w:rPr>
              <w:t xml:space="preserve">Clarify that the public interest test relates to the following decisions by the Minister: </w:t>
            </w:r>
          </w:p>
          <w:p w14:paraId="3EB43721" w14:textId="77777777" w:rsidR="00111918" w:rsidRPr="000E22FF" w:rsidRDefault="00111918" w:rsidP="00111918">
            <w:pPr>
              <w:pStyle w:val="Dash"/>
              <w:numPr>
                <w:ilvl w:val="1"/>
                <w:numId w:val="13"/>
              </w:numPr>
              <w:spacing w:before="120"/>
              <w:rPr>
                <w:rFonts w:cs="Calibri Light"/>
                <w:sz w:val="22"/>
                <w:szCs w:val="22"/>
              </w:rPr>
            </w:pPr>
            <w:r w:rsidRPr="000E22FF">
              <w:rPr>
                <w:rFonts w:cs="Calibri Light"/>
                <w:sz w:val="22"/>
                <w:szCs w:val="22"/>
              </w:rPr>
              <w:t>No objection to a trigger proposal.</w:t>
            </w:r>
          </w:p>
          <w:p w14:paraId="22B3BC0A" w14:textId="77777777" w:rsidR="00111918" w:rsidRPr="000E22FF" w:rsidRDefault="00111918" w:rsidP="00111918">
            <w:pPr>
              <w:pStyle w:val="Dash"/>
              <w:numPr>
                <w:ilvl w:val="1"/>
                <w:numId w:val="13"/>
              </w:numPr>
              <w:spacing w:before="120"/>
              <w:rPr>
                <w:rFonts w:cs="Calibri Light"/>
                <w:sz w:val="22"/>
                <w:szCs w:val="22"/>
              </w:rPr>
            </w:pPr>
            <w:r w:rsidRPr="000E22FF">
              <w:rPr>
                <w:rFonts w:cs="Calibri Light"/>
                <w:sz w:val="22"/>
                <w:szCs w:val="22"/>
              </w:rPr>
              <w:t xml:space="preserve">No objection to a trigger proposal as long as the person complies with conditions. </w:t>
            </w:r>
          </w:p>
          <w:p w14:paraId="7F2FC301" w14:textId="1DFF1549" w:rsidR="00111918" w:rsidRPr="0012684B" w:rsidRDefault="00111918" w:rsidP="0012684B">
            <w:pPr>
              <w:pStyle w:val="Dash"/>
              <w:numPr>
                <w:ilvl w:val="1"/>
                <w:numId w:val="13"/>
              </w:numPr>
              <w:spacing w:before="120"/>
              <w:rPr>
                <w:rFonts w:cs="Calibri Light"/>
                <w:sz w:val="22"/>
                <w:szCs w:val="22"/>
              </w:rPr>
            </w:pPr>
            <w:r w:rsidRPr="00033557">
              <w:rPr>
                <w:rFonts w:cs="Calibri Light"/>
                <w:sz w:val="22"/>
                <w:szCs w:val="22"/>
              </w:rPr>
              <w:t>Any determination made under the new instrument</w:t>
            </w:r>
            <w:r w:rsidRPr="00033557">
              <w:rPr>
                <w:rFonts w:cs="Calibri Light"/>
                <w:sz w:val="22"/>
                <w:szCs w:val="22"/>
              </w:rPr>
              <w:noBreakHyphen/>
              <w:t xml:space="preserve">making power in subsection 5(2) of the </w:t>
            </w:r>
            <w:r w:rsidR="003843DE" w:rsidRPr="00BA311C">
              <w:rPr>
                <w:rFonts w:cs="Calibri Light"/>
                <w:i/>
                <w:iCs/>
                <w:sz w:val="22"/>
                <w:szCs w:val="22"/>
              </w:rPr>
              <w:t>Insurance Acquisitions and Takeovers Act 1991</w:t>
            </w:r>
            <w:r w:rsidR="003843DE" w:rsidRPr="00033557">
              <w:rPr>
                <w:rFonts w:cs="Calibri Light"/>
                <w:sz w:val="22"/>
                <w:szCs w:val="22"/>
              </w:rPr>
              <w:t xml:space="preserve"> </w:t>
            </w:r>
            <w:r w:rsidRPr="00033557">
              <w:rPr>
                <w:rFonts w:cs="Calibri Light"/>
                <w:sz w:val="22"/>
                <w:szCs w:val="22"/>
              </w:rPr>
              <w:t xml:space="preserve">which informs the public interest test. </w:t>
            </w:r>
          </w:p>
        </w:tc>
        <w:tc>
          <w:tcPr>
            <w:tcW w:w="2268" w:type="dxa"/>
            <w:shd w:val="clear" w:color="auto" w:fill="FFFFFF" w:themeFill="background1"/>
          </w:tcPr>
          <w:p w14:paraId="74E1B332" w14:textId="77777777" w:rsidR="00111918" w:rsidRDefault="5884DD7D" w:rsidP="00111918">
            <w:pPr>
              <w:tabs>
                <w:tab w:val="left" w:pos="2317"/>
              </w:tabs>
              <w:rPr>
                <w:rFonts w:cs="Calibri Light"/>
                <w:sz w:val="22"/>
                <w:szCs w:val="22"/>
              </w:rPr>
            </w:pPr>
            <w:r w:rsidRPr="33F93BBD">
              <w:rPr>
                <w:rFonts w:cs="Calibri Light"/>
                <w:sz w:val="22"/>
                <w:szCs w:val="22"/>
              </w:rPr>
              <w:lastRenderedPageBreak/>
              <w:t>Decision Making Princip</w:t>
            </w:r>
            <w:r w:rsidR="66928CD4" w:rsidRPr="33F93BBD">
              <w:rPr>
                <w:rFonts w:cs="Calibri Light"/>
                <w:sz w:val="22"/>
                <w:szCs w:val="22"/>
              </w:rPr>
              <w:t>les</w:t>
            </w:r>
          </w:p>
          <w:p w14:paraId="6BE34EAE" w14:textId="77777777" w:rsidR="00153FC8" w:rsidRPr="00033557" w:rsidRDefault="00153FC8" w:rsidP="00153FC8">
            <w:pPr>
              <w:tabs>
                <w:tab w:val="left" w:pos="2317"/>
              </w:tabs>
              <w:rPr>
                <w:rFonts w:cs="Calibri Light"/>
                <w:sz w:val="22"/>
                <w:szCs w:val="22"/>
              </w:rPr>
            </w:pPr>
            <w:r w:rsidRPr="00BA311C">
              <w:rPr>
                <w:rFonts w:cs="Calibri Light"/>
                <w:i/>
                <w:iCs/>
                <w:sz w:val="22"/>
                <w:szCs w:val="22"/>
              </w:rPr>
              <w:t>Insurance Acquisitions and Takeovers Act 1991</w:t>
            </w:r>
          </w:p>
          <w:p w14:paraId="7FF30AC3" w14:textId="2B72F9B1" w:rsidR="00153FC8" w:rsidRPr="00033557" w:rsidRDefault="00153FC8" w:rsidP="00111918">
            <w:pPr>
              <w:tabs>
                <w:tab w:val="left" w:pos="2317"/>
              </w:tabs>
              <w:rPr>
                <w:rFonts w:cs="Calibri Light"/>
                <w:sz w:val="22"/>
                <w:szCs w:val="22"/>
              </w:rPr>
            </w:pPr>
          </w:p>
        </w:tc>
        <w:tc>
          <w:tcPr>
            <w:tcW w:w="1984" w:type="dxa"/>
            <w:shd w:val="clear" w:color="auto" w:fill="FFFFFF" w:themeFill="background1"/>
          </w:tcPr>
          <w:p w14:paraId="21687C94" w14:textId="08A77A94" w:rsidR="00111918" w:rsidRPr="00033557" w:rsidRDefault="00111918" w:rsidP="00111918">
            <w:pPr>
              <w:tabs>
                <w:tab w:val="left" w:pos="2317"/>
              </w:tabs>
              <w:rPr>
                <w:rFonts w:cs="Calibri Light"/>
                <w:sz w:val="22"/>
                <w:szCs w:val="22"/>
              </w:rPr>
            </w:pPr>
            <w:r w:rsidRPr="00033557">
              <w:rPr>
                <w:rFonts w:cs="Calibri Light"/>
                <w:sz w:val="22"/>
                <w:szCs w:val="22"/>
              </w:rPr>
              <w:t xml:space="preserve">Part 1, </w:t>
            </w:r>
            <w:r w:rsidR="00A0712F" w:rsidRPr="00A0712F">
              <w:rPr>
                <w:rFonts w:cs="Calibri Light"/>
                <w:sz w:val="22"/>
                <w:szCs w:val="22"/>
              </w:rPr>
              <w:t>Exposure Draft Primary Legislation</w:t>
            </w:r>
          </w:p>
          <w:p w14:paraId="40800DC3" w14:textId="3349FE52" w:rsidR="00111918" w:rsidRPr="00033557" w:rsidRDefault="00CD2E89" w:rsidP="00111918">
            <w:pPr>
              <w:spacing w:after="0"/>
              <w:rPr>
                <w:rFonts w:cs="Calibri Light"/>
                <w:sz w:val="22"/>
                <w:szCs w:val="22"/>
              </w:rPr>
            </w:pPr>
            <w:r>
              <w:rPr>
                <w:rFonts w:cs="Calibri Light"/>
                <w:sz w:val="22"/>
                <w:szCs w:val="22"/>
              </w:rPr>
              <w:t xml:space="preserve">Exposure Draft </w:t>
            </w:r>
            <w:r w:rsidR="00111918" w:rsidRPr="00033557">
              <w:rPr>
                <w:rFonts w:cs="Calibri Light"/>
                <w:sz w:val="22"/>
                <w:szCs w:val="22"/>
              </w:rPr>
              <w:t xml:space="preserve">Treasury Laws Amendment (Insurance) Regulations 2023 </w:t>
            </w:r>
          </w:p>
          <w:p w14:paraId="170E1D1B" w14:textId="2EE4A07C" w:rsidR="00111918" w:rsidRPr="00033557" w:rsidRDefault="00CD2E89" w:rsidP="00111918">
            <w:pPr>
              <w:spacing w:after="0"/>
              <w:rPr>
                <w:rFonts w:cs="Calibri Light"/>
                <w:sz w:val="22"/>
                <w:szCs w:val="22"/>
              </w:rPr>
            </w:pPr>
            <w:r>
              <w:rPr>
                <w:rFonts w:cs="Calibri Light"/>
                <w:sz w:val="22"/>
                <w:szCs w:val="22"/>
              </w:rPr>
              <w:t xml:space="preserve">Exposure Draft </w:t>
            </w:r>
            <w:r w:rsidR="00111918" w:rsidRPr="00033557">
              <w:rPr>
                <w:rFonts w:cs="Calibri Light"/>
                <w:sz w:val="22"/>
                <w:szCs w:val="22"/>
              </w:rPr>
              <w:t xml:space="preserve">Explanatory Statement to Treasury Laws Amendment (Insurance) Regulations 2023 </w:t>
            </w:r>
          </w:p>
          <w:p w14:paraId="2D6DCC9C" w14:textId="2C0EC927" w:rsidR="00D473CB" w:rsidRDefault="00BE6F0F" w:rsidP="00111918">
            <w:pPr>
              <w:spacing w:after="0"/>
              <w:rPr>
                <w:rFonts w:cs="Calibri Light"/>
                <w:sz w:val="22"/>
                <w:szCs w:val="22"/>
              </w:rPr>
            </w:pPr>
            <w:r>
              <w:rPr>
                <w:rFonts w:cs="Calibri Light"/>
                <w:sz w:val="22"/>
                <w:szCs w:val="22"/>
              </w:rPr>
              <w:t xml:space="preserve">Exposure Draft </w:t>
            </w:r>
            <w:r w:rsidR="00D473CB">
              <w:rPr>
                <w:rFonts w:cs="Calibri Light"/>
                <w:sz w:val="22"/>
                <w:szCs w:val="22"/>
              </w:rPr>
              <w:t>Insurance Acquisitions and Takeovers (Public Interest) Determination 2023</w:t>
            </w:r>
          </w:p>
          <w:p w14:paraId="29BE750A" w14:textId="77262C72" w:rsidR="00D473CB" w:rsidRDefault="00BE6F0F" w:rsidP="00D473CB">
            <w:pPr>
              <w:spacing w:after="0"/>
              <w:rPr>
                <w:rFonts w:cs="Calibri Light"/>
                <w:sz w:val="22"/>
                <w:szCs w:val="22"/>
              </w:rPr>
            </w:pPr>
            <w:r>
              <w:rPr>
                <w:rFonts w:cs="Calibri Light"/>
                <w:sz w:val="22"/>
                <w:szCs w:val="22"/>
              </w:rPr>
              <w:t xml:space="preserve">Exposure Draft </w:t>
            </w:r>
            <w:r w:rsidR="00D473CB">
              <w:rPr>
                <w:rFonts w:cs="Calibri Light"/>
                <w:sz w:val="22"/>
                <w:szCs w:val="22"/>
              </w:rPr>
              <w:t>Explanatory Statement to Insurance Acquisitions and Takeovers (Public Interest) Determination 2023</w:t>
            </w:r>
          </w:p>
          <w:p w14:paraId="412418C7" w14:textId="0A9CD8FA" w:rsidR="00D473CB" w:rsidRPr="00033557" w:rsidRDefault="00D473CB" w:rsidP="00111918">
            <w:pPr>
              <w:spacing w:after="0"/>
              <w:rPr>
                <w:rFonts w:cs="Calibri Light"/>
                <w:sz w:val="22"/>
                <w:szCs w:val="22"/>
              </w:rPr>
            </w:pPr>
          </w:p>
          <w:p w14:paraId="29F0C564" w14:textId="426114D1" w:rsidR="00111918" w:rsidRPr="00033557" w:rsidRDefault="00111918" w:rsidP="00EA2E4F">
            <w:pPr>
              <w:spacing w:after="0"/>
              <w:rPr>
                <w:rFonts w:cs="Calibri Light"/>
                <w:sz w:val="22"/>
                <w:szCs w:val="22"/>
              </w:rPr>
            </w:pPr>
          </w:p>
        </w:tc>
      </w:tr>
      <w:tr w:rsidR="00B3215A" w:rsidRPr="00033557" w14:paraId="21047F73" w14:textId="77777777" w:rsidTr="1BB4F023">
        <w:tc>
          <w:tcPr>
            <w:tcW w:w="426" w:type="dxa"/>
            <w:shd w:val="clear" w:color="auto" w:fill="F2F2F2" w:themeFill="background1" w:themeFillShade="F2"/>
          </w:tcPr>
          <w:p w14:paraId="04796400" w14:textId="77777777" w:rsidR="00111918" w:rsidRPr="00033557" w:rsidRDefault="00111918" w:rsidP="00AB6339">
            <w:pPr>
              <w:pStyle w:val="OutlineNumbered1"/>
              <w:numPr>
                <w:ilvl w:val="0"/>
                <w:numId w:val="0"/>
              </w:numPr>
              <w:tabs>
                <w:tab w:val="left" w:pos="2317"/>
              </w:tabs>
              <w:spacing w:before="120" w:after="200"/>
              <w:rPr>
                <w:rFonts w:cs="Calibri Light"/>
                <w:b/>
                <w:bCs/>
                <w:i/>
                <w:iCs/>
                <w:sz w:val="22"/>
                <w:szCs w:val="22"/>
              </w:rPr>
            </w:pPr>
          </w:p>
        </w:tc>
        <w:tc>
          <w:tcPr>
            <w:tcW w:w="4536" w:type="dxa"/>
            <w:shd w:val="clear" w:color="auto" w:fill="F2F2F2" w:themeFill="background1" w:themeFillShade="F2"/>
          </w:tcPr>
          <w:p w14:paraId="107CF8F8" w14:textId="38B6DCAD" w:rsidR="00111918" w:rsidRPr="00033557" w:rsidRDefault="00111918" w:rsidP="00111918">
            <w:pPr>
              <w:tabs>
                <w:tab w:val="left" w:pos="2317"/>
              </w:tabs>
              <w:rPr>
                <w:rFonts w:cs="Calibri Light"/>
                <w:sz w:val="22"/>
                <w:szCs w:val="22"/>
              </w:rPr>
            </w:pPr>
            <w:r w:rsidRPr="00033557">
              <w:rPr>
                <w:rFonts w:cs="Calibri Light"/>
                <w:b/>
                <w:bCs/>
                <w:sz w:val="22"/>
                <w:szCs w:val="22"/>
              </w:rPr>
              <w:t xml:space="preserve">Reviewable decisions </w:t>
            </w:r>
          </w:p>
        </w:tc>
        <w:tc>
          <w:tcPr>
            <w:tcW w:w="2268" w:type="dxa"/>
            <w:shd w:val="clear" w:color="auto" w:fill="F2F2F2" w:themeFill="background1" w:themeFillShade="F2"/>
          </w:tcPr>
          <w:p w14:paraId="0518C741" w14:textId="77777777" w:rsidR="00111918" w:rsidRPr="00033557" w:rsidRDefault="00111918" w:rsidP="00111918">
            <w:pPr>
              <w:tabs>
                <w:tab w:val="left" w:pos="2317"/>
              </w:tabs>
              <w:rPr>
                <w:rFonts w:cs="Calibri Light"/>
                <w:sz w:val="22"/>
                <w:szCs w:val="22"/>
              </w:rPr>
            </w:pPr>
          </w:p>
        </w:tc>
        <w:tc>
          <w:tcPr>
            <w:tcW w:w="1984" w:type="dxa"/>
            <w:shd w:val="clear" w:color="auto" w:fill="F2F2F2" w:themeFill="background1" w:themeFillShade="F2"/>
          </w:tcPr>
          <w:p w14:paraId="3C45E359" w14:textId="77777777" w:rsidR="00111918" w:rsidRPr="00033557" w:rsidRDefault="00111918" w:rsidP="00111918">
            <w:pPr>
              <w:tabs>
                <w:tab w:val="left" w:pos="2317"/>
              </w:tabs>
              <w:rPr>
                <w:rFonts w:cs="Calibri Light"/>
                <w:sz w:val="22"/>
                <w:szCs w:val="22"/>
              </w:rPr>
            </w:pPr>
          </w:p>
        </w:tc>
      </w:tr>
      <w:tr w:rsidR="00B3215A" w:rsidRPr="00033557" w14:paraId="2A7A3F68" w14:textId="77777777" w:rsidTr="1BB4F023">
        <w:tc>
          <w:tcPr>
            <w:tcW w:w="426" w:type="dxa"/>
            <w:shd w:val="clear" w:color="auto" w:fill="FFFFFF" w:themeFill="background1"/>
          </w:tcPr>
          <w:p w14:paraId="449A207D" w14:textId="77777777" w:rsidR="00111918" w:rsidRPr="00033557" w:rsidRDefault="00111918" w:rsidP="00111918">
            <w:pPr>
              <w:pStyle w:val="OutlineNumbered1"/>
              <w:numPr>
                <w:ilvl w:val="0"/>
                <w:numId w:val="14"/>
              </w:numPr>
              <w:tabs>
                <w:tab w:val="left" w:pos="2317"/>
              </w:tabs>
              <w:spacing w:before="120" w:after="200"/>
              <w:ind w:left="522" w:hanging="522"/>
              <w:rPr>
                <w:rFonts w:cs="Calibri Light"/>
                <w:b/>
                <w:bCs/>
                <w:i/>
                <w:iCs/>
                <w:sz w:val="22"/>
                <w:szCs w:val="22"/>
              </w:rPr>
            </w:pPr>
          </w:p>
        </w:tc>
        <w:tc>
          <w:tcPr>
            <w:tcW w:w="4536" w:type="dxa"/>
            <w:shd w:val="clear" w:color="auto" w:fill="FFFFFF" w:themeFill="background1"/>
          </w:tcPr>
          <w:p w14:paraId="67DD40B6" w14:textId="3077DBC7" w:rsidR="00111918" w:rsidRPr="00033557" w:rsidRDefault="5884DD7D" w:rsidP="00111918">
            <w:pPr>
              <w:tabs>
                <w:tab w:val="left" w:pos="2317"/>
              </w:tabs>
              <w:rPr>
                <w:rFonts w:cs="Calibri Light"/>
                <w:sz w:val="22"/>
                <w:szCs w:val="22"/>
              </w:rPr>
            </w:pPr>
            <w:r w:rsidRPr="33F93BBD">
              <w:rPr>
                <w:rFonts w:cs="Calibri Light"/>
                <w:sz w:val="22"/>
                <w:szCs w:val="22"/>
              </w:rPr>
              <w:t xml:space="preserve">Currently a number of decisions that APRA has the power to make under the </w:t>
            </w:r>
            <w:r w:rsidR="2848A99A" w:rsidRPr="33F93BBD">
              <w:rPr>
                <w:rFonts w:cs="Calibri Light"/>
                <w:i/>
                <w:iCs/>
                <w:sz w:val="22"/>
                <w:szCs w:val="22"/>
              </w:rPr>
              <w:t>Life Insurance Act 1995</w:t>
            </w:r>
            <w:r w:rsidRPr="33F93BBD">
              <w:rPr>
                <w:rFonts w:cs="Calibri Light"/>
                <w:sz w:val="22"/>
                <w:szCs w:val="22"/>
              </w:rPr>
              <w:t xml:space="preserve"> are reviewable decisions</w:t>
            </w:r>
            <w:r w:rsidR="00A0712F">
              <w:rPr>
                <w:rFonts w:cs="Calibri Light"/>
                <w:sz w:val="22"/>
                <w:szCs w:val="22"/>
              </w:rPr>
              <w:t xml:space="preserve"> (i.e. subject to merits review)</w:t>
            </w:r>
            <w:r w:rsidRPr="33F93BBD">
              <w:rPr>
                <w:rFonts w:cs="Calibri Light"/>
                <w:sz w:val="22"/>
                <w:szCs w:val="22"/>
              </w:rPr>
              <w:t xml:space="preserve">. </w:t>
            </w:r>
            <w:r w:rsidR="00F44FEC">
              <w:rPr>
                <w:rFonts w:cs="Calibri Light"/>
                <w:sz w:val="22"/>
                <w:szCs w:val="22"/>
              </w:rPr>
              <w:t>It is</w:t>
            </w:r>
            <w:r w:rsidRPr="33F93BBD">
              <w:rPr>
                <w:rFonts w:cs="Calibri Light"/>
                <w:sz w:val="22"/>
                <w:szCs w:val="22"/>
              </w:rPr>
              <w:t xml:space="preserve"> propose</w:t>
            </w:r>
            <w:r w:rsidR="00F44FEC">
              <w:rPr>
                <w:rFonts w:cs="Calibri Light"/>
                <w:sz w:val="22"/>
                <w:szCs w:val="22"/>
              </w:rPr>
              <w:t>d</w:t>
            </w:r>
            <w:r w:rsidRPr="33F93BBD">
              <w:rPr>
                <w:rFonts w:cs="Calibri Light"/>
                <w:sz w:val="22"/>
                <w:szCs w:val="22"/>
              </w:rPr>
              <w:t xml:space="preserve"> to make further decisions by APRA reviewable decisions</w:t>
            </w:r>
            <w:r w:rsidR="00383757">
              <w:rPr>
                <w:rFonts w:cs="Calibri Light"/>
                <w:sz w:val="22"/>
                <w:szCs w:val="22"/>
              </w:rPr>
              <w:t>, for example</w:t>
            </w:r>
            <w:r w:rsidRPr="33F93BBD">
              <w:rPr>
                <w:rFonts w:cs="Calibri Light"/>
                <w:sz w:val="22"/>
                <w:szCs w:val="22"/>
              </w:rPr>
              <w:t xml:space="preserve">, APRA’s decision whether or not to approve a fund of an eligible foreign life company for the purposes of determining the total value of assets the foreign life company can invest in a subsidiary. </w:t>
            </w:r>
          </w:p>
        </w:tc>
        <w:tc>
          <w:tcPr>
            <w:tcW w:w="2268" w:type="dxa"/>
            <w:shd w:val="clear" w:color="auto" w:fill="FFFFFF" w:themeFill="background1"/>
          </w:tcPr>
          <w:p w14:paraId="3D09ECD6" w14:textId="31374681" w:rsidR="00111918" w:rsidRPr="00033557" w:rsidRDefault="00170A61" w:rsidP="00111918">
            <w:pPr>
              <w:tabs>
                <w:tab w:val="left" w:pos="2317"/>
              </w:tabs>
              <w:rPr>
                <w:rFonts w:cs="Calibri Light"/>
                <w:i/>
                <w:iCs/>
                <w:sz w:val="22"/>
                <w:szCs w:val="22"/>
              </w:rPr>
            </w:pPr>
            <w:r w:rsidRPr="00170A61">
              <w:rPr>
                <w:rFonts w:cs="Calibri Light"/>
                <w:i/>
                <w:iCs/>
                <w:sz w:val="22"/>
                <w:szCs w:val="22"/>
              </w:rPr>
              <w:t>Life Insurance Act 1995</w:t>
            </w:r>
            <w:r w:rsidR="00111918" w:rsidRPr="00033557">
              <w:rPr>
                <w:rFonts w:cs="Calibri Light"/>
                <w:i/>
                <w:iCs/>
                <w:sz w:val="22"/>
                <w:szCs w:val="22"/>
              </w:rPr>
              <w:t xml:space="preserve"> </w:t>
            </w:r>
          </w:p>
          <w:p w14:paraId="2E087623" w14:textId="40CF99F2" w:rsidR="00111918" w:rsidRPr="00033557" w:rsidRDefault="00111918" w:rsidP="00111918">
            <w:pPr>
              <w:tabs>
                <w:tab w:val="left" w:pos="2317"/>
              </w:tabs>
              <w:rPr>
                <w:rFonts w:cs="Calibri Light"/>
                <w:sz w:val="22"/>
                <w:szCs w:val="22"/>
              </w:rPr>
            </w:pPr>
            <w:r w:rsidRPr="00033557">
              <w:rPr>
                <w:rFonts w:cs="Calibri Light"/>
                <w:i/>
                <w:iCs/>
                <w:sz w:val="22"/>
                <w:szCs w:val="22"/>
              </w:rPr>
              <w:t>Life Insurance Regulations 1995</w:t>
            </w:r>
            <w:r w:rsidRPr="00033557">
              <w:rPr>
                <w:rFonts w:cs="Calibri Light"/>
                <w:sz w:val="22"/>
                <w:szCs w:val="22"/>
              </w:rPr>
              <w:t xml:space="preserve"> </w:t>
            </w:r>
          </w:p>
        </w:tc>
        <w:tc>
          <w:tcPr>
            <w:tcW w:w="1984" w:type="dxa"/>
            <w:shd w:val="clear" w:color="auto" w:fill="FFFFFF" w:themeFill="background1"/>
          </w:tcPr>
          <w:p w14:paraId="15A8E566" w14:textId="29D0E8CC" w:rsidR="00111918" w:rsidRPr="00033557" w:rsidRDefault="00A0712F" w:rsidP="00111918">
            <w:pPr>
              <w:tabs>
                <w:tab w:val="left" w:pos="2317"/>
              </w:tabs>
              <w:rPr>
                <w:rFonts w:cs="Calibri Light"/>
                <w:sz w:val="22"/>
                <w:szCs w:val="22"/>
              </w:rPr>
            </w:pPr>
            <w:r w:rsidRPr="00A0712F">
              <w:rPr>
                <w:rFonts w:cs="Calibri Light"/>
                <w:sz w:val="22"/>
                <w:szCs w:val="22"/>
              </w:rPr>
              <w:t>Exposure Draft Primary Legislation</w:t>
            </w:r>
          </w:p>
        </w:tc>
      </w:tr>
    </w:tbl>
    <w:p w14:paraId="149953B7" w14:textId="77777777" w:rsidR="003B2472" w:rsidRDefault="003B2472" w:rsidP="00BF766C">
      <w:pPr>
        <w:pStyle w:val="Bullet"/>
        <w:numPr>
          <w:ilvl w:val="0"/>
          <w:numId w:val="0"/>
        </w:numPr>
        <w:sectPr w:rsidR="003B2472" w:rsidSect="009927E5">
          <w:pgSz w:w="11906" w:h="16838" w:code="9"/>
          <w:pgMar w:top="1843" w:right="1418" w:bottom="1418" w:left="1418" w:header="709" w:footer="709" w:gutter="0"/>
          <w:cols w:space="708"/>
          <w:docGrid w:linePitch="360"/>
        </w:sectPr>
      </w:pPr>
    </w:p>
    <w:p w14:paraId="450E95F7" w14:textId="113F75B9" w:rsidR="006E48FD" w:rsidRPr="00235B52" w:rsidRDefault="00CD261E" w:rsidP="00235B52">
      <w:pPr>
        <w:pStyle w:val="Heading2"/>
      </w:pPr>
      <w:bookmarkStart w:id="14" w:name="_Toc132114431"/>
      <w:r>
        <w:rPr>
          <w:szCs w:val="22"/>
        </w:rPr>
        <w:lastRenderedPageBreak/>
        <w:t>Consultation Questions</w:t>
      </w:r>
      <w:bookmarkEnd w:id="14"/>
      <w:r>
        <w:rPr>
          <w:szCs w:val="22"/>
        </w:rPr>
        <w:t xml:space="preserve"> </w:t>
      </w:r>
    </w:p>
    <w:p w14:paraId="7AAC8992" w14:textId="2FB821B5" w:rsidR="00436741" w:rsidRDefault="00D3427D" w:rsidP="00436741">
      <w:pPr>
        <w:pStyle w:val="OutlineNumbered1"/>
        <w:numPr>
          <w:ilvl w:val="0"/>
          <w:numId w:val="0"/>
        </w:numPr>
        <w:ind w:left="851" w:hanging="851"/>
        <w:rPr>
          <w:rFonts w:cs="Calibri Light"/>
          <w:bCs/>
          <w:color w:val="4D7861" w:themeColor="accent2"/>
          <w:kern w:val="32"/>
          <w:szCs w:val="22"/>
        </w:rPr>
      </w:pPr>
      <w:r>
        <w:rPr>
          <w:rFonts w:cs="Calibri Light"/>
          <w:bCs/>
          <w:color w:val="4D7861" w:themeColor="accent2"/>
          <w:kern w:val="32"/>
          <w:szCs w:val="22"/>
        </w:rPr>
        <w:t xml:space="preserve">Overall view of the </w:t>
      </w:r>
      <w:r w:rsidR="00F70B25">
        <w:rPr>
          <w:rFonts w:cs="Calibri Light"/>
          <w:bCs/>
          <w:color w:val="4D7861" w:themeColor="accent2"/>
          <w:kern w:val="32"/>
          <w:szCs w:val="22"/>
        </w:rPr>
        <w:t>Insurance Instruments</w:t>
      </w:r>
      <w:r>
        <w:rPr>
          <w:rFonts w:cs="Calibri Light"/>
          <w:bCs/>
          <w:color w:val="4D7861" w:themeColor="accent2"/>
          <w:kern w:val="32"/>
          <w:szCs w:val="22"/>
        </w:rPr>
        <w:t xml:space="preserve"> </w:t>
      </w:r>
      <w:r w:rsidR="00436741" w:rsidRPr="00D34698">
        <w:rPr>
          <w:rFonts w:cs="Calibri Light"/>
          <w:bCs/>
          <w:color w:val="4D7861" w:themeColor="accent2"/>
          <w:kern w:val="32"/>
          <w:szCs w:val="22"/>
        </w:rPr>
        <w:t xml:space="preserve"> </w:t>
      </w:r>
    </w:p>
    <w:p w14:paraId="4099CF7A" w14:textId="6203AB2E" w:rsidR="00436741" w:rsidRPr="004218DF" w:rsidRDefault="00C86DDA" w:rsidP="004218DF">
      <w:pPr>
        <w:pStyle w:val="OutlineNumbered1"/>
      </w:pPr>
      <w:r>
        <w:t>The review found that</w:t>
      </w:r>
      <w:r w:rsidR="004218DF">
        <w:t xml:space="preserve"> the </w:t>
      </w:r>
      <w:r w:rsidR="00F70B25">
        <w:t>Insurance Instruments</w:t>
      </w:r>
      <w:r w:rsidR="004218DF">
        <w:t>, when considered overall, are operating efficiently and effectively</w:t>
      </w:r>
      <w:r w:rsidR="002D4224">
        <w:t>.</w:t>
      </w:r>
      <w:r w:rsidR="004218DF">
        <w:t xml:space="preserve"> </w:t>
      </w:r>
      <w:r w:rsidR="00DA71F0">
        <w:t>Do you agree? If not, p</w:t>
      </w:r>
      <w:r w:rsidR="004218DF">
        <w:t>lease provide details</w:t>
      </w:r>
      <w:r w:rsidR="00D97CCE">
        <w:t xml:space="preserve"> </w:t>
      </w:r>
      <w:r w:rsidR="00DA71F0">
        <w:t>as to why</w:t>
      </w:r>
      <w:r w:rsidR="004218DF">
        <w:t xml:space="preserve">. </w:t>
      </w:r>
    </w:p>
    <w:p w14:paraId="2F2DDBA9" w14:textId="6CB29960" w:rsidR="00BF2AF1" w:rsidRPr="00BF2AF1" w:rsidRDefault="00BF2AF1" w:rsidP="00BF2AF1">
      <w:pPr>
        <w:pStyle w:val="OutlineNumbered1"/>
        <w:numPr>
          <w:ilvl w:val="0"/>
          <w:numId w:val="0"/>
        </w:numPr>
        <w:ind w:left="851" w:hanging="851"/>
        <w:rPr>
          <w:rFonts w:cs="Calibri Light"/>
          <w:bCs/>
          <w:color w:val="4D7861" w:themeColor="accent2"/>
          <w:kern w:val="32"/>
          <w:szCs w:val="22"/>
        </w:rPr>
      </w:pPr>
      <w:r w:rsidRPr="00BF2AF1">
        <w:rPr>
          <w:rFonts w:cs="Calibri Light"/>
          <w:bCs/>
          <w:color w:val="4D7861" w:themeColor="accent2"/>
          <w:kern w:val="32"/>
          <w:szCs w:val="22"/>
        </w:rPr>
        <w:t xml:space="preserve">Ability to </w:t>
      </w:r>
      <w:r w:rsidR="00914960">
        <w:rPr>
          <w:rFonts w:cs="Calibri Light"/>
          <w:bCs/>
          <w:color w:val="4D7861" w:themeColor="accent2"/>
          <w:kern w:val="32"/>
          <w:szCs w:val="22"/>
        </w:rPr>
        <w:t>charge assets in relation to derivatives</w:t>
      </w:r>
    </w:p>
    <w:p w14:paraId="753A458E" w14:textId="0537C7CB" w:rsidR="005B1A36" w:rsidRDefault="01D7ACF2" w:rsidP="0066130E">
      <w:pPr>
        <w:pStyle w:val="OutlineNumbered1"/>
        <w:numPr>
          <w:ilvl w:val="0"/>
          <w:numId w:val="0"/>
        </w:numPr>
      </w:pPr>
      <w:r>
        <w:t xml:space="preserve">Regulation 4.00A of the </w:t>
      </w:r>
      <w:r w:rsidRPr="33F93BBD">
        <w:rPr>
          <w:i/>
          <w:iCs/>
        </w:rPr>
        <w:t xml:space="preserve">Life Insurance Regulations 2002 </w:t>
      </w:r>
      <w:r>
        <w:t xml:space="preserve">was brought in </w:t>
      </w:r>
      <w:r w:rsidR="52A83C8F">
        <w:t xml:space="preserve">by </w:t>
      </w:r>
      <w:r w:rsidR="215B7C7A">
        <w:t xml:space="preserve">the </w:t>
      </w:r>
      <w:r w:rsidR="52A83C8F" w:rsidRPr="33F93BBD">
        <w:rPr>
          <w:i/>
          <w:iCs/>
        </w:rPr>
        <w:t>Financial System Legislation Amendment (Resilience and Collateral Protection) Regulation 2016</w:t>
      </w:r>
      <w:r w:rsidR="52A83C8F">
        <w:t xml:space="preserve"> </w:t>
      </w:r>
      <w:r w:rsidR="07BD400F">
        <w:t>as part of a reform package to</w:t>
      </w:r>
      <w:r w:rsidR="52A83C8F">
        <w:t xml:space="preserve"> amend</w:t>
      </w:r>
      <w:r w:rsidR="07BD400F">
        <w:t xml:space="preserve"> </w:t>
      </w:r>
      <w:r w:rsidR="52A83C8F">
        <w:t xml:space="preserve">a number of </w:t>
      </w:r>
      <w:r w:rsidR="58BB280B">
        <w:t xml:space="preserve">regulations and </w:t>
      </w:r>
      <w:r w:rsidR="52A83C8F">
        <w:t>acts (</w:t>
      </w:r>
      <w:r w:rsidR="52A83C8F" w:rsidRPr="33F93BBD">
        <w:rPr>
          <w:i/>
          <w:iCs/>
        </w:rPr>
        <w:t>Payment Systems and Netting Act 1998</w:t>
      </w:r>
      <w:r w:rsidR="52A83C8F">
        <w:t xml:space="preserve">, </w:t>
      </w:r>
      <w:r w:rsidR="52A83C8F" w:rsidRPr="33F93BBD">
        <w:rPr>
          <w:i/>
          <w:iCs/>
        </w:rPr>
        <w:t>Banking Act 1959</w:t>
      </w:r>
      <w:r w:rsidR="52A83C8F">
        <w:t xml:space="preserve">, </w:t>
      </w:r>
      <w:r w:rsidR="52A83C8F" w:rsidRPr="33F93BBD">
        <w:rPr>
          <w:i/>
          <w:iCs/>
        </w:rPr>
        <w:t>Financial Sector (Business Transfer and Group Restructure) Act 1999</w:t>
      </w:r>
      <w:r w:rsidR="52A83C8F">
        <w:t xml:space="preserve">, </w:t>
      </w:r>
      <w:r w:rsidR="52A83C8F" w:rsidRPr="33F93BBD">
        <w:rPr>
          <w:i/>
          <w:iCs/>
        </w:rPr>
        <w:t>Insurance Act 1973</w:t>
      </w:r>
      <w:r w:rsidR="52A83C8F">
        <w:t xml:space="preserve">, </w:t>
      </w:r>
      <w:r w:rsidR="2848A99A" w:rsidRPr="33F93BBD">
        <w:rPr>
          <w:i/>
          <w:iCs/>
        </w:rPr>
        <w:t>Life Insurance Act 1995</w:t>
      </w:r>
      <w:r w:rsidR="52A83C8F">
        <w:t xml:space="preserve">, and </w:t>
      </w:r>
      <w:r w:rsidR="52A83C8F" w:rsidRPr="33F93BBD">
        <w:rPr>
          <w:i/>
          <w:iCs/>
        </w:rPr>
        <w:t>Private Health Insurance (Prudential Supervision) Act 2015</w:t>
      </w:r>
      <w:r w:rsidR="52A83C8F">
        <w:t>)</w:t>
      </w:r>
      <w:r w:rsidR="51207C0F">
        <w:t>. The package of amendments was implemented</w:t>
      </w:r>
      <w:r w:rsidR="52A83C8F">
        <w:t xml:space="preserve"> to allow Australian financial institutions to meet margin requirements in accordance with internationally agreed principles and provide legal certainty in relation to termination rights (often referred to as close-out rights), and the operation of real time gross settlement systems, approved netting arrangements and netting markets in all market conditions. </w:t>
      </w:r>
    </w:p>
    <w:p w14:paraId="573F2002" w14:textId="114D2C18" w:rsidR="00BA4271" w:rsidRPr="00914960" w:rsidRDefault="00BA4271" w:rsidP="004A2C18">
      <w:pPr>
        <w:pStyle w:val="OutlineNumbered1"/>
      </w:pPr>
      <w:r>
        <w:t xml:space="preserve">Do you consider that the circumstances in which the assets of a statutory fund can be charged under Regulation 4.00A of the </w:t>
      </w:r>
      <w:r>
        <w:rPr>
          <w:i/>
          <w:iCs/>
        </w:rPr>
        <w:t xml:space="preserve">Life Insurance Regulations 2002 </w:t>
      </w:r>
      <w:r w:rsidR="00C048D5">
        <w:t>are in effect the same as the</w:t>
      </w:r>
      <w:r>
        <w:t xml:space="preserve"> circumstances set out in the proposed new section 38A of the </w:t>
      </w:r>
      <w:r w:rsidR="00170A61" w:rsidRPr="00170A61">
        <w:rPr>
          <w:i/>
          <w:iCs/>
        </w:rPr>
        <w:t xml:space="preserve">Life Insurance Act </w:t>
      </w:r>
      <w:r>
        <w:rPr>
          <w:i/>
          <w:iCs/>
        </w:rPr>
        <w:t xml:space="preserve">1995 </w:t>
      </w:r>
      <w:r>
        <w:t xml:space="preserve">(see Part 4, </w:t>
      </w:r>
      <w:r w:rsidR="007862DF">
        <w:rPr>
          <w:szCs w:val="22"/>
        </w:rPr>
        <w:t xml:space="preserve">Exposure Draft Primary </w:t>
      </w:r>
      <w:r w:rsidR="00722606">
        <w:rPr>
          <w:szCs w:val="22"/>
        </w:rPr>
        <w:t>Legislation)</w:t>
      </w:r>
      <w:r>
        <w:rPr>
          <w:szCs w:val="22"/>
        </w:rPr>
        <w:t>?</w:t>
      </w:r>
      <w:r>
        <w:rPr>
          <w:i/>
          <w:iCs/>
          <w:szCs w:val="22"/>
        </w:rPr>
        <w:t xml:space="preserve"> </w:t>
      </w:r>
    </w:p>
    <w:p w14:paraId="490901FF" w14:textId="0091DCE5" w:rsidR="006D1988" w:rsidRDefault="006D1988" w:rsidP="00197847">
      <w:pPr>
        <w:pStyle w:val="OutlineNumbered1"/>
        <w:rPr>
          <w:szCs w:val="22"/>
        </w:rPr>
      </w:pPr>
      <w:r>
        <w:rPr>
          <w:szCs w:val="22"/>
        </w:rPr>
        <w:t xml:space="preserve">Is the proposed </w:t>
      </w:r>
      <w:r w:rsidR="00B033E3">
        <w:rPr>
          <w:szCs w:val="22"/>
        </w:rPr>
        <w:t xml:space="preserve">section 38A </w:t>
      </w:r>
      <w:r w:rsidR="002E5A1A">
        <w:rPr>
          <w:szCs w:val="22"/>
        </w:rPr>
        <w:t xml:space="preserve">easier to understand </w:t>
      </w:r>
      <w:r w:rsidR="008B55BC">
        <w:rPr>
          <w:szCs w:val="22"/>
        </w:rPr>
        <w:t xml:space="preserve">than </w:t>
      </w:r>
      <w:r w:rsidR="008B55BC">
        <w:t xml:space="preserve">Regulation 4.00A of the </w:t>
      </w:r>
      <w:r w:rsidR="008B55BC">
        <w:rPr>
          <w:i/>
          <w:iCs/>
        </w:rPr>
        <w:t>Life Insurance Regulations 2002</w:t>
      </w:r>
      <w:r w:rsidR="008B55BC">
        <w:t xml:space="preserve">? </w:t>
      </w:r>
    </w:p>
    <w:p w14:paraId="33AB50F8" w14:textId="57792D55" w:rsidR="00BA4271" w:rsidRDefault="00BA4271" w:rsidP="00197847">
      <w:pPr>
        <w:pStyle w:val="OutlineNumbered1"/>
        <w:rPr>
          <w:szCs w:val="22"/>
        </w:rPr>
      </w:pPr>
      <w:r w:rsidRPr="00197847">
        <w:rPr>
          <w:szCs w:val="22"/>
        </w:rPr>
        <w:t>Do</w:t>
      </w:r>
      <w:r>
        <w:t xml:space="preserve"> you consider that </w:t>
      </w:r>
      <w:r w:rsidR="000A4245">
        <w:t xml:space="preserve">the proposed </w:t>
      </w:r>
      <w:r w:rsidR="00B033E3">
        <w:t xml:space="preserve">section </w:t>
      </w:r>
      <w:r w:rsidR="000A4245">
        <w:t>38A</w:t>
      </w:r>
      <w:r>
        <w:t xml:space="preserve"> </w:t>
      </w:r>
      <w:r w:rsidR="00B73377">
        <w:t>being worded differently</w:t>
      </w:r>
      <w:r w:rsidR="00B73377">
        <w:rPr>
          <w:szCs w:val="22"/>
        </w:rPr>
        <w:t xml:space="preserve"> to similar </w:t>
      </w:r>
      <w:r>
        <w:rPr>
          <w:szCs w:val="22"/>
        </w:rPr>
        <w:t xml:space="preserve">regulations in other instruments (such as regulation 13.15A </w:t>
      </w:r>
      <w:r w:rsidRPr="00C10458">
        <w:rPr>
          <w:i/>
          <w:iCs/>
          <w:szCs w:val="22"/>
        </w:rPr>
        <w:t>Superannuation Industry (Supervision) Regulations 1994</w:t>
      </w:r>
      <w:r w:rsidR="00D9115F">
        <w:rPr>
          <w:szCs w:val="22"/>
        </w:rPr>
        <w:t>)</w:t>
      </w:r>
      <w:r w:rsidR="00C46722">
        <w:rPr>
          <w:szCs w:val="22"/>
        </w:rPr>
        <w:t>)</w:t>
      </w:r>
      <w:r w:rsidR="00904CE9">
        <w:rPr>
          <w:szCs w:val="22"/>
        </w:rPr>
        <w:t xml:space="preserve"> will cause confusion? </w:t>
      </w:r>
    </w:p>
    <w:p w14:paraId="37432138" w14:textId="0640F2FF" w:rsidR="00640DEE" w:rsidRDefault="00640DEE" w:rsidP="00640DEE">
      <w:pPr>
        <w:pStyle w:val="OutlineNumbered1"/>
        <w:numPr>
          <w:ilvl w:val="0"/>
          <w:numId w:val="0"/>
        </w:numPr>
        <w:ind w:left="851" w:hanging="851"/>
        <w:rPr>
          <w:rFonts w:cs="Calibri Light"/>
          <w:bCs/>
          <w:color w:val="4D7861" w:themeColor="accent2"/>
          <w:kern w:val="32"/>
          <w:szCs w:val="22"/>
        </w:rPr>
      </w:pPr>
      <w:r w:rsidRPr="00E44546">
        <w:rPr>
          <w:rFonts w:cs="Calibri Light"/>
          <w:bCs/>
          <w:color w:val="4D7861" w:themeColor="accent2"/>
          <w:kern w:val="32"/>
          <w:szCs w:val="22"/>
        </w:rPr>
        <w:t xml:space="preserve">Non-forfeiture of </w:t>
      </w:r>
      <w:r>
        <w:rPr>
          <w:rFonts w:cs="Calibri Light"/>
          <w:bCs/>
          <w:color w:val="4D7861" w:themeColor="accent2"/>
          <w:kern w:val="32"/>
          <w:szCs w:val="22"/>
        </w:rPr>
        <w:t xml:space="preserve">life insurance </w:t>
      </w:r>
      <w:r w:rsidRPr="00E44546">
        <w:rPr>
          <w:rFonts w:cs="Calibri Light"/>
          <w:bCs/>
          <w:color w:val="4D7861" w:themeColor="accent2"/>
          <w:kern w:val="32"/>
          <w:szCs w:val="22"/>
        </w:rPr>
        <w:t>policies in certain cases of non-payment of premiums</w:t>
      </w:r>
    </w:p>
    <w:p w14:paraId="03226279" w14:textId="4294DA90" w:rsidR="00A2515B" w:rsidRDefault="00B74310" w:rsidP="00A2515B">
      <w:pPr>
        <w:pStyle w:val="OutlineNumbered1"/>
      </w:pPr>
      <w:r>
        <w:t xml:space="preserve">Amendments to section 210 of the </w:t>
      </w:r>
      <w:r w:rsidR="00170A61" w:rsidRPr="00170A61">
        <w:rPr>
          <w:i/>
          <w:iCs/>
        </w:rPr>
        <w:t>Life Insurance Act 1995</w:t>
      </w:r>
      <w:r>
        <w:t xml:space="preserve"> are proposed to </w:t>
      </w:r>
      <w:r w:rsidR="00CF2D63">
        <w:t>incorporate</w:t>
      </w:r>
      <w:r w:rsidR="006C1F52">
        <w:t xml:space="preserve"> into the </w:t>
      </w:r>
      <w:r w:rsidR="00170A61" w:rsidRPr="00170A61">
        <w:rPr>
          <w:i/>
          <w:iCs/>
        </w:rPr>
        <w:t>Life Insurance Act 1995</w:t>
      </w:r>
      <w:r w:rsidR="006C1F52">
        <w:t xml:space="preserve"> the modifications </w:t>
      </w:r>
      <w:r w:rsidR="00997247">
        <w:t xml:space="preserve">to section 210 in Schedule </w:t>
      </w:r>
      <w:r w:rsidR="007B5BD2">
        <w:t xml:space="preserve">2 </w:t>
      </w:r>
      <w:r w:rsidR="00997247">
        <w:t xml:space="preserve">of the </w:t>
      </w:r>
      <w:r w:rsidR="00997247">
        <w:rPr>
          <w:i/>
          <w:iCs/>
        </w:rPr>
        <w:t>Life Insurance Regulations 1995</w:t>
      </w:r>
      <w:r w:rsidR="00962C58">
        <w:rPr>
          <w:i/>
          <w:iCs/>
        </w:rPr>
        <w:t xml:space="preserve">. </w:t>
      </w:r>
      <w:r w:rsidR="00997247">
        <w:t xml:space="preserve"> </w:t>
      </w:r>
      <w:r w:rsidR="009C3229">
        <w:t xml:space="preserve">Do you consider that this </w:t>
      </w:r>
      <w:r w:rsidR="00941F6C">
        <w:t xml:space="preserve">increases the clarity and transparency of the provision without changing its intended operation? </w:t>
      </w:r>
    </w:p>
    <w:p w14:paraId="2B186B50" w14:textId="3256E7F1" w:rsidR="00A16595" w:rsidRDefault="00866990" w:rsidP="00A16595">
      <w:pPr>
        <w:pStyle w:val="OutlineNumbered1"/>
        <w:numPr>
          <w:ilvl w:val="0"/>
          <w:numId w:val="0"/>
        </w:numPr>
        <w:rPr>
          <w:rFonts w:cs="Calibri Light"/>
          <w:bCs/>
          <w:color w:val="4D7861" w:themeColor="accent2"/>
          <w:kern w:val="32"/>
          <w:szCs w:val="22"/>
        </w:rPr>
      </w:pPr>
      <w:r>
        <w:rPr>
          <w:rFonts w:cs="Calibri Light"/>
          <w:bCs/>
          <w:color w:val="4D7861" w:themeColor="accent2"/>
          <w:kern w:val="32"/>
          <w:szCs w:val="22"/>
        </w:rPr>
        <w:t>Unclaimed money</w:t>
      </w:r>
    </w:p>
    <w:p w14:paraId="18E2D695" w14:textId="6EF12034" w:rsidR="00A16595" w:rsidRDefault="00866990" w:rsidP="00A16595">
      <w:pPr>
        <w:pStyle w:val="OutlineNumbered1"/>
      </w:pPr>
      <w:r>
        <w:t xml:space="preserve">Do the unclaimed money provisions </w:t>
      </w:r>
      <w:r w:rsidR="009A2F7D">
        <w:t xml:space="preserve">in the </w:t>
      </w:r>
      <w:r w:rsidR="009A2F7D">
        <w:rPr>
          <w:i/>
          <w:iCs/>
        </w:rPr>
        <w:t xml:space="preserve">Life Insurance Act </w:t>
      </w:r>
      <w:r w:rsidR="007A3B5D">
        <w:rPr>
          <w:i/>
          <w:iCs/>
        </w:rPr>
        <w:t>1975</w:t>
      </w:r>
      <w:r w:rsidR="009A2F7D">
        <w:rPr>
          <w:i/>
          <w:iCs/>
        </w:rPr>
        <w:t xml:space="preserve"> </w:t>
      </w:r>
      <w:r w:rsidR="00B060AA">
        <w:t xml:space="preserve">strike the right balance between maintaining individuals’ privacy and </w:t>
      </w:r>
      <w:r w:rsidR="0051071D">
        <w:t>ensuring</w:t>
      </w:r>
      <w:r w:rsidR="00B060AA">
        <w:t xml:space="preserve"> that an individual can easily determine if they have unclaimed money? </w:t>
      </w:r>
    </w:p>
    <w:p w14:paraId="6E268807" w14:textId="1FC16408" w:rsidR="00682EF0" w:rsidRPr="00FB0F49" w:rsidRDefault="5F23F682" w:rsidP="33F93BBD">
      <w:pPr>
        <w:pStyle w:val="OutlineNumbered1"/>
        <w:numPr>
          <w:ilvl w:val="0"/>
          <w:numId w:val="0"/>
        </w:numPr>
        <w:ind w:left="851" w:hanging="851"/>
        <w:rPr>
          <w:rFonts w:cs="Calibri Light"/>
          <w:i/>
          <w:iCs/>
          <w:color w:val="4D7861" w:themeColor="accent2"/>
          <w:kern w:val="32"/>
        </w:rPr>
      </w:pPr>
      <w:r w:rsidRPr="33F93BBD">
        <w:rPr>
          <w:rFonts w:cs="Calibri Light"/>
          <w:color w:val="4D7861" w:themeColor="accent2"/>
          <w:kern w:val="32"/>
        </w:rPr>
        <w:t>Minister’s decision-making princip</w:t>
      </w:r>
      <w:r w:rsidR="2ADD30C4" w:rsidRPr="33F93BBD">
        <w:rPr>
          <w:rFonts w:cs="Calibri Light"/>
          <w:color w:val="4D7861" w:themeColor="accent2"/>
          <w:kern w:val="32"/>
        </w:rPr>
        <w:t>les</w:t>
      </w:r>
      <w:r w:rsidRPr="33F93BBD">
        <w:rPr>
          <w:rFonts w:cs="Calibri Light"/>
          <w:color w:val="4D7861" w:themeColor="accent2"/>
          <w:kern w:val="32"/>
        </w:rPr>
        <w:t xml:space="preserve"> under the </w:t>
      </w:r>
      <w:r w:rsidRPr="33F93BBD">
        <w:rPr>
          <w:rFonts w:cs="Calibri Light"/>
          <w:i/>
          <w:iCs/>
          <w:color w:val="4D7861" w:themeColor="accent2"/>
          <w:kern w:val="32"/>
        </w:rPr>
        <w:t>Insurance Acquisitions and Takeovers Act 1991</w:t>
      </w:r>
    </w:p>
    <w:p w14:paraId="45AB1EA6" w14:textId="2554E325" w:rsidR="00E5501F" w:rsidRDefault="00685AD2" w:rsidP="00BF4838">
      <w:pPr>
        <w:pStyle w:val="OutlineNumbered1"/>
        <w:rPr>
          <w:rFonts w:cs="Calibri Light"/>
          <w:szCs w:val="22"/>
        </w:rPr>
      </w:pPr>
      <w:r>
        <w:rPr>
          <w:rFonts w:cs="Calibri Light"/>
          <w:szCs w:val="22"/>
        </w:rPr>
        <w:t>Do you consider it appropriate to</w:t>
      </w:r>
      <w:r w:rsidR="008661BA" w:rsidRPr="008661BA">
        <w:rPr>
          <w:rFonts w:cs="Calibri Light"/>
          <w:szCs w:val="22"/>
        </w:rPr>
        <w:t xml:space="preserve"> align</w:t>
      </w:r>
      <w:r>
        <w:rPr>
          <w:rFonts w:cs="Calibri Light"/>
          <w:szCs w:val="22"/>
        </w:rPr>
        <w:t>, as much as possible,</w:t>
      </w:r>
      <w:r w:rsidR="008661BA" w:rsidRPr="008661BA">
        <w:rPr>
          <w:rFonts w:cs="Calibri Light"/>
          <w:szCs w:val="22"/>
        </w:rPr>
        <w:t xml:space="preserve"> the fit and proper person test</w:t>
      </w:r>
      <w:r>
        <w:rPr>
          <w:rFonts w:cs="Calibri Light"/>
          <w:szCs w:val="22"/>
        </w:rPr>
        <w:t xml:space="preserve"> in the </w:t>
      </w:r>
      <w:r w:rsidR="009064A6" w:rsidRPr="00992EE9">
        <w:rPr>
          <w:rFonts w:cs="Calibri Light"/>
          <w:i/>
          <w:iCs/>
          <w:szCs w:val="22"/>
        </w:rPr>
        <w:t>Insurance Acquisitions and Takeovers Act 1991</w:t>
      </w:r>
      <w:r w:rsidR="009064A6">
        <w:rPr>
          <w:rFonts w:cs="Calibri Light"/>
          <w:szCs w:val="22"/>
        </w:rPr>
        <w:t xml:space="preserve"> </w:t>
      </w:r>
      <w:r w:rsidR="008661BA" w:rsidRPr="008661BA">
        <w:rPr>
          <w:rFonts w:cs="Calibri Light"/>
          <w:szCs w:val="22"/>
        </w:rPr>
        <w:t>with the fit and proper test applied in the similar context of the Financial Sector (Shareholdings) Rules 2019</w:t>
      </w:r>
      <w:r w:rsidR="009107C1">
        <w:rPr>
          <w:rFonts w:cs="Calibri Light"/>
          <w:szCs w:val="22"/>
        </w:rPr>
        <w:t xml:space="preserve"> as set out in the</w:t>
      </w:r>
      <w:r w:rsidR="00D819F5">
        <w:rPr>
          <w:rFonts w:cs="Calibri Light"/>
          <w:szCs w:val="22"/>
        </w:rPr>
        <w:t xml:space="preserve"> </w:t>
      </w:r>
      <w:r w:rsidR="00D819F5" w:rsidRPr="00D819F5">
        <w:rPr>
          <w:rFonts w:cs="Calibri Light"/>
          <w:szCs w:val="22"/>
        </w:rPr>
        <w:t>Exposure Draft Insurance Acquisitions and Takeovers (Public Interest) Determination 2023</w:t>
      </w:r>
      <w:r>
        <w:rPr>
          <w:rFonts w:cs="Calibri Light"/>
          <w:szCs w:val="22"/>
        </w:rPr>
        <w:t xml:space="preserve">? </w:t>
      </w:r>
    </w:p>
    <w:sectPr w:rsidR="00E5501F" w:rsidSect="009927E5">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690E" w14:textId="77777777" w:rsidR="00C27AF6" w:rsidRDefault="00C27AF6">
      <w:pPr>
        <w:spacing w:before="0" w:after="0"/>
      </w:pPr>
      <w:r>
        <w:separator/>
      </w:r>
    </w:p>
  </w:endnote>
  <w:endnote w:type="continuationSeparator" w:id="0">
    <w:p w14:paraId="6A8D04DF" w14:textId="77777777" w:rsidR="00C27AF6" w:rsidRDefault="00C27AF6">
      <w:pPr>
        <w:spacing w:before="0" w:after="0"/>
      </w:pPr>
      <w:r>
        <w:continuationSeparator/>
      </w:r>
    </w:p>
  </w:endnote>
  <w:endnote w:type="continuationNotice" w:id="1">
    <w:p w14:paraId="1D77CA10" w14:textId="77777777" w:rsidR="00C27AF6" w:rsidRDefault="00C27A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A5D3"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2205" w14:textId="695708E3" w:rsidR="009927E5" w:rsidRPr="008043EA" w:rsidRDefault="009927E5" w:rsidP="0009151A">
    <w:r w:rsidRPr="00742366">
      <w:rPr>
        <w:noProof/>
      </w:rPr>
      <w:drawing>
        <wp:anchor distT="0" distB="0" distL="114300" distR="114300" simplePos="0" relativeHeight="251658241" behindDoc="1" locked="1" layoutInCell="1" allowOverlap="1" wp14:anchorId="1D911F7A" wp14:editId="63715A5E">
          <wp:simplePos x="0" y="0"/>
          <wp:positionH relativeFrom="margin">
            <wp:posOffset>5459095</wp:posOffset>
          </wp:positionH>
          <wp:positionV relativeFrom="page">
            <wp:posOffset>3280410</wp:posOffset>
          </wp:positionV>
          <wp:extent cx="7574280" cy="1043940"/>
          <wp:effectExtent l="762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0EA4BA31" wp14:editId="6087AECF">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 STYLEREF  &quot;Heading 1&quot;  \* MERGEFORMAT ">
      <w:r w:rsidR="001C24DE">
        <w:rPr>
          <w:noProof/>
        </w:rPr>
        <w:t>Contents</w:t>
      </w:r>
    </w:fldSimple>
    <w:r>
      <w:t xml:space="preserve"> | </w:t>
    </w:r>
    <w:r>
      <w:fldChar w:fldCharType="begin"/>
    </w:r>
    <w:r>
      <w:instrText xml:space="preserve"> PAGE   \* MERGEFORMAT </w:instrText>
    </w:r>
    <w:r>
      <w:fldChar w:fldCharType="separate"/>
    </w:r>
    <w:r>
      <w:t>1</w:t>
    </w:r>
    <w:r>
      <w:fldChar w:fldCharType="end"/>
    </w:r>
  </w:p>
  <w:p w14:paraId="3417CAE5"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92B5"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CEDF" w14:textId="5168AAE2" w:rsidR="00E81A40" w:rsidRPr="00E13E90" w:rsidRDefault="00E81A40" w:rsidP="00E13E90">
    <w:pPr>
      <w:pStyle w:val="Footer"/>
    </w:pPr>
    <w:r w:rsidRPr="00742366">
      <w:drawing>
        <wp:anchor distT="0" distB="0" distL="114300" distR="114300" simplePos="0" relativeHeight="251658243" behindDoc="1" locked="1" layoutInCell="1" allowOverlap="1" wp14:anchorId="24F91570" wp14:editId="02B82303">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D23DBD7" wp14:editId="13B5B854">
          <wp:extent cx="1324800" cy="201600"/>
          <wp:effectExtent l="0" t="0" r="0" b="8255"/>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6616C2">
        <w:t>Review of sunsetting insurance regulations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A14A"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EBAA" w14:textId="77777777" w:rsidR="00C27AF6" w:rsidRDefault="00C27AF6">
      <w:pPr>
        <w:spacing w:before="0" w:after="0"/>
      </w:pPr>
      <w:r>
        <w:separator/>
      </w:r>
    </w:p>
  </w:footnote>
  <w:footnote w:type="continuationSeparator" w:id="0">
    <w:p w14:paraId="624CBD2B" w14:textId="77777777" w:rsidR="00C27AF6" w:rsidRDefault="00C27AF6">
      <w:pPr>
        <w:spacing w:before="0" w:after="0"/>
      </w:pPr>
      <w:r>
        <w:continuationSeparator/>
      </w:r>
    </w:p>
  </w:footnote>
  <w:footnote w:type="continuationNotice" w:id="1">
    <w:p w14:paraId="2A1A015D" w14:textId="77777777" w:rsidR="00C27AF6" w:rsidRDefault="00C27AF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053A"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9144"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EAC3"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A856" w14:textId="44C2B7D7" w:rsidR="00E81A40" w:rsidRPr="00963E8D" w:rsidRDefault="00E81A40" w:rsidP="00963E8D">
    <w:pPr>
      <w:pStyle w:val="Header"/>
    </w:pPr>
    <w:r>
      <w:rPr>
        <w:noProof/>
      </w:rPr>
      <w:drawing>
        <wp:anchor distT="0" distB="0" distL="114300" distR="114300" simplePos="0" relativeHeight="251658242" behindDoc="1" locked="1" layoutInCell="1" allowOverlap="1" wp14:anchorId="504A2034" wp14:editId="46C23F09">
          <wp:simplePos x="0" y="0"/>
          <wp:positionH relativeFrom="page">
            <wp:align>center</wp:align>
          </wp:positionH>
          <wp:positionV relativeFrom="page">
            <wp:align>top</wp:align>
          </wp:positionV>
          <wp:extent cx="7570800" cy="104400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AD3"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D3676A0"/>
    <w:lvl w:ilvl="0">
      <w:start w:val="1"/>
      <w:numFmt w:val="bullet"/>
      <w:lvlText w:val="•"/>
      <w:lvlJc w:val="left"/>
      <w:pPr>
        <w:tabs>
          <w:tab w:val="num" w:pos="567"/>
        </w:tabs>
        <w:ind w:left="567" w:hanging="567"/>
      </w:pPr>
      <w:rPr>
        <w:rFonts w:ascii="Times New Roman" w:hAnsi="Times New Roman" w:cs="Times New Roman"/>
        <w:color w:val="auto"/>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B53C32EC"/>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4"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2D23F7"/>
    <w:multiLevelType w:val="hybridMultilevel"/>
    <w:tmpl w:val="CE1450B8"/>
    <w:lvl w:ilvl="0" w:tplc="0C090017">
      <w:start w:val="1"/>
      <w:numFmt w:val="lowerLetter"/>
      <w:lvlText w:val="%1)"/>
      <w:lvlJc w:val="left"/>
      <w:pPr>
        <w:ind w:left="772" w:hanging="360"/>
      </w:pPr>
    </w:lvl>
    <w:lvl w:ilvl="1" w:tplc="0C090019">
      <w:start w:val="1"/>
      <w:numFmt w:val="lowerLetter"/>
      <w:lvlText w:val="%2."/>
      <w:lvlJc w:val="left"/>
      <w:pPr>
        <w:ind w:left="1492" w:hanging="360"/>
      </w:pPr>
    </w:lvl>
    <w:lvl w:ilvl="2" w:tplc="0C09001B">
      <w:start w:val="1"/>
      <w:numFmt w:val="lowerRoman"/>
      <w:lvlText w:val="%3."/>
      <w:lvlJc w:val="right"/>
      <w:pPr>
        <w:ind w:left="2212" w:hanging="180"/>
      </w:pPr>
    </w:lvl>
    <w:lvl w:ilvl="3" w:tplc="0C09000F">
      <w:start w:val="1"/>
      <w:numFmt w:val="decimal"/>
      <w:lvlText w:val="%4."/>
      <w:lvlJc w:val="left"/>
      <w:pPr>
        <w:ind w:left="2932" w:hanging="360"/>
      </w:pPr>
    </w:lvl>
    <w:lvl w:ilvl="4" w:tplc="0C090019">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10" w15:restartNumberingAfterBreak="0">
    <w:nsid w:val="6FE03C7D"/>
    <w:multiLevelType w:val="hybridMultilevel"/>
    <w:tmpl w:val="86C6CF8E"/>
    <w:lvl w:ilvl="0" w:tplc="556A5306">
      <w:numFmt w:val="bullet"/>
      <w:lvlText w:val="-"/>
      <w:lvlJc w:val="left"/>
      <w:pPr>
        <w:ind w:left="880" w:hanging="360"/>
      </w:pPr>
      <w:rPr>
        <w:rFonts w:ascii="Calibri Light" w:eastAsia="Times New Roman" w:hAnsi="Calibri Light" w:cs="Calibri Light"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11"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7C4035"/>
    <w:multiLevelType w:val="multilevel"/>
    <w:tmpl w:val="FF3687C0"/>
    <w:name w:val="StandardNumberedList"/>
    <w:lvl w:ilvl="0">
      <w:start w:val="1"/>
      <w:numFmt w:val="decimal"/>
      <w:lvlText w:val="%1."/>
      <w:lvlJc w:val="left"/>
      <w:pPr>
        <w:tabs>
          <w:tab w:val="num" w:pos="520"/>
        </w:tabs>
        <w:ind w:left="520" w:hanging="520"/>
      </w:pPr>
      <w:rPr>
        <w:b w:val="0"/>
        <w:bCs w:val="0"/>
        <w:i w:val="0"/>
        <w:iCs w:val="0"/>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5380869">
    <w:abstractNumId w:val="5"/>
  </w:num>
  <w:num w:numId="2" w16cid:durableId="849373777">
    <w:abstractNumId w:val="1"/>
  </w:num>
  <w:num w:numId="3" w16cid:durableId="1430194164">
    <w:abstractNumId w:val="8"/>
  </w:num>
  <w:num w:numId="4" w16cid:durableId="1645117415">
    <w:abstractNumId w:val="2"/>
  </w:num>
  <w:num w:numId="5" w16cid:durableId="1374965253">
    <w:abstractNumId w:val="7"/>
  </w:num>
  <w:num w:numId="6" w16cid:durableId="18876685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600246">
    <w:abstractNumId w:val="5"/>
  </w:num>
  <w:num w:numId="8" w16cid:durableId="886262046">
    <w:abstractNumId w:val="7"/>
  </w:num>
  <w:num w:numId="9" w16cid:durableId="1935822767">
    <w:abstractNumId w:val="3"/>
  </w:num>
  <w:num w:numId="10" w16cid:durableId="2113894516">
    <w:abstractNumId w:val="8"/>
  </w:num>
  <w:num w:numId="11" w16cid:durableId="260918717">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12" w16cid:durableId="1306397953">
    <w:abstractNumId w:val="4"/>
  </w:num>
  <w:num w:numId="13" w16cid:durableId="937442193">
    <w:abstractNumId w:val="0"/>
  </w:num>
  <w:num w:numId="14" w16cid:durableId="4208360">
    <w:abstractNumId w:val="12"/>
  </w:num>
  <w:num w:numId="15" w16cid:durableId="452211635">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16" w16cid:durableId="541983611">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17" w16cid:durableId="1787313803">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18" w16cid:durableId="672536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1290064">
    <w:abstractNumId w:val="9"/>
  </w:num>
  <w:num w:numId="20" w16cid:durableId="1518617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8750769">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22" w16cid:durableId="97506613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7790697">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24" w16cid:durableId="418059068">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25" w16cid:durableId="1170364932">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26" w16cid:durableId="1988243277">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27" w16cid:durableId="263853090">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28" w16cid:durableId="1110395488">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29" w16cid:durableId="1496147989">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30" w16cid:durableId="453058074">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31" w16cid:durableId="1126855163">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32" w16cid:durableId="1069959467">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33" w16cid:durableId="1041630536">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34" w16cid:durableId="438110455">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35" w16cid:durableId="1477799007">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36" w16cid:durableId="1776092666">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37" w16cid:durableId="170173678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286365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0912162">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40" w16cid:durableId="1822313171">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41" w16cid:durableId="1188253983">
    <w:abstractNumId w:val="2"/>
    <w:lvlOverride w:ilvl="0">
      <w:lvl w:ilvl="0">
        <w:start w:val="1"/>
        <w:numFmt w:val="decimal"/>
        <w:pStyle w:val="OutlineNumbered1"/>
        <w:lvlText w:val="%1."/>
        <w:lvlJc w:val="left"/>
        <w:pPr>
          <w:tabs>
            <w:tab w:val="num" w:pos="851"/>
          </w:tabs>
          <w:ind w:left="851" w:hanging="851"/>
        </w:pPr>
        <w:rPr>
          <w:rFonts w:hint="default"/>
          <w:color w:val="auto"/>
        </w:rPr>
      </w:lvl>
    </w:lvlOverride>
  </w:num>
  <w:num w:numId="42" w16cid:durableId="1825582003">
    <w:abstractNumId w:val="5"/>
  </w:num>
  <w:num w:numId="43" w16cid:durableId="88897097">
    <w:abstractNumId w:val="10"/>
  </w:num>
  <w:num w:numId="44" w16cid:durableId="128040934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1348569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844316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F4"/>
    <w:rsid w:val="0000021B"/>
    <w:rsid w:val="0000216E"/>
    <w:rsid w:val="000035C7"/>
    <w:rsid w:val="00004D1D"/>
    <w:rsid w:val="00007290"/>
    <w:rsid w:val="00011111"/>
    <w:rsid w:val="00011725"/>
    <w:rsid w:val="00011BD3"/>
    <w:rsid w:val="00012538"/>
    <w:rsid w:val="00012C62"/>
    <w:rsid w:val="00013100"/>
    <w:rsid w:val="00013F34"/>
    <w:rsid w:val="000141EA"/>
    <w:rsid w:val="000148B9"/>
    <w:rsid w:val="00017053"/>
    <w:rsid w:val="000228D4"/>
    <w:rsid w:val="00023788"/>
    <w:rsid w:val="00024281"/>
    <w:rsid w:val="000248F1"/>
    <w:rsid w:val="0002544D"/>
    <w:rsid w:val="00026446"/>
    <w:rsid w:val="000271EB"/>
    <w:rsid w:val="00032982"/>
    <w:rsid w:val="00033557"/>
    <w:rsid w:val="000367CD"/>
    <w:rsid w:val="00040702"/>
    <w:rsid w:val="00041A8B"/>
    <w:rsid w:val="0004274D"/>
    <w:rsid w:val="00044C0A"/>
    <w:rsid w:val="00051D60"/>
    <w:rsid w:val="00052AD3"/>
    <w:rsid w:val="0005538F"/>
    <w:rsid w:val="00056880"/>
    <w:rsid w:val="00057C25"/>
    <w:rsid w:val="000611C6"/>
    <w:rsid w:val="00064492"/>
    <w:rsid w:val="00065444"/>
    <w:rsid w:val="000675D1"/>
    <w:rsid w:val="00070EC1"/>
    <w:rsid w:val="0007102C"/>
    <w:rsid w:val="00072352"/>
    <w:rsid w:val="00073126"/>
    <w:rsid w:val="00073521"/>
    <w:rsid w:val="00075810"/>
    <w:rsid w:val="00076952"/>
    <w:rsid w:val="000775DE"/>
    <w:rsid w:val="00080852"/>
    <w:rsid w:val="00080D1C"/>
    <w:rsid w:val="00082FC2"/>
    <w:rsid w:val="000832C7"/>
    <w:rsid w:val="00083323"/>
    <w:rsid w:val="00083B1D"/>
    <w:rsid w:val="00083F4F"/>
    <w:rsid w:val="000858F2"/>
    <w:rsid w:val="00085A9B"/>
    <w:rsid w:val="00085BFA"/>
    <w:rsid w:val="00086E48"/>
    <w:rsid w:val="00087234"/>
    <w:rsid w:val="00087FAF"/>
    <w:rsid w:val="000912A5"/>
    <w:rsid w:val="0009151A"/>
    <w:rsid w:val="000918BC"/>
    <w:rsid w:val="00091A13"/>
    <w:rsid w:val="00093F09"/>
    <w:rsid w:val="000951DF"/>
    <w:rsid w:val="000A1655"/>
    <w:rsid w:val="000A2F9B"/>
    <w:rsid w:val="000A387B"/>
    <w:rsid w:val="000A4245"/>
    <w:rsid w:val="000A6B41"/>
    <w:rsid w:val="000A7027"/>
    <w:rsid w:val="000B2222"/>
    <w:rsid w:val="000B392C"/>
    <w:rsid w:val="000B3CAD"/>
    <w:rsid w:val="000C03B4"/>
    <w:rsid w:val="000C05AF"/>
    <w:rsid w:val="000C0AD7"/>
    <w:rsid w:val="000C39A6"/>
    <w:rsid w:val="000C5B01"/>
    <w:rsid w:val="000C5E26"/>
    <w:rsid w:val="000C5F40"/>
    <w:rsid w:val="000C6BDD"/>
    <w:rsid w:val="000D1284"/>
    <w:rsid w:val="000D5F30"/>
    <w:rsid w:val="000D7154"/>
    <w:rsid w:val="000E0B74"/>
    <w:rsid w:val="000E22FF"/>
    <w:rsid w:val="000E4F27"/>
    <w:rsid w:val="000E782C"/>
    <w:rsid w:val="000F0036"/>
    <w:rsid w:val="000F0BF8"/>
    <w:rsid w:val="000F237F"/>
    <w:rsid w:val="000F2723"/>
    <w:rsid w:val="000F3B42"/>
    <w:rsid w:val="000F3C6C"/>
    <w:rsid w:val="000F3FD3"/>
    <w:rsid w:val="000F522E"/>
    <w:rsid w:val="000F7517"/>
    <w:rsid w:val="000F7C5B"/>
    <w:rsid w:val="000F7C7D"/>
    <w:rsid w:val="001028A4"/>
    <w:rsid w:val="00102E09"/>
    <w:rsid w:val="00105C41"/>
    <w:rsid w:val="00111918"/>
    <w:rsid w:val="00115220"/>
    <w:rsid w:val="001178CB"/>
    <w:rsid w:val="0012684B"/>
    <w:rsid w:val="00131B1D"/>
    <w:rsid w:val="00132066"/>
    <w:rsid w:val="001337F9"/>
    <w:rsid w:val="0014091C"/>
    <w:rsid w:val="00144933"/>
    <w:rsid w:val="00144E4F"/>
    <w:rsid w:val="00145E83"/>
    <w:rsid w:val="00153FC8"/>
    <w:rsid w:val="001606CF"/>
    <w:rsid w:val="0016128D"/>
    <w:rsid w:val="00163204"/>
    <w:rsid w:val="0016489F"/>
    <w:rsid w:val="00167376"/>
    <w:rsid w:val="0017000E"/>
    <w:rsid w:val="0017089D"/>
    <w:rsid w:val="00170A61"/>
    <w:rsid w:val="00173268"/>
    <w:rsid w:val="0017647F"/>
    <w:rsid w:val="00184B7D"/>
    <w:rsid w:val="00187ADE"/>
    <w:rsid w:val="0019101A"/>
    <w:rsid w:val="0019149C"/>
    <w:rsid w:val="001921A1"/>
    <w:rsid w:val="00192303"/>
    <w:rsid w:val="0019567F"/>
    <w:rsid w:val="00195E50"/>
    <w:rsid w:val="00197847"/>
    <w:rsid w:val="00197F74"/>
    <w:rsid w:val="001A1F27"/>
    <w:rsid w:val="001A2E62"/>
    <w:rsid w:val="001A37C6"/>
    <w:rsid w:val="001A4E70"/>
    <w:rsid w:val="001A5C4C"/>
    <w:rsid w:val="001A6D24"/>
    <w:rsid w:val="001B1A18"/>
    <w:rsid w:val="001B2D0E"/>
    <w:rsid w:val="001B4A5B"/>
    <w:rsid w:val="001B5D10"/>
    <w:rsid w:val="001C24DE"/>
    <w:rsid w:val="001C358D"/>
    <w:rsid w:val="001C677D"/>
    <w:rsid w:val="001D028E"/>
    <w:rsid w:val="001D040C"/>
    <w:rsid w:val="001D291B"/>
    <w:rsid w:val="001D2E37"/>
    <w:rsid w:val="001D3AD0"/>
    <w:rsid w:val="001D4EAA"/>
    <w:rsid w:val="001D7ACC"/>
    <w:rsid w:val="001F2163"/>
    <w:rsid w:val="00200703"/>
    <w:rsid w:val="002065D9"/>
    <w:rsid w:val="00211448"/>
    <w:rsid w:val="00216162"/>
    <w:rsid w:val="002168E5"/>
    <w:rsid w:val="00221066"/>
    <w:rsid w:val="0022190E"/>
    <w:rsid w:val="00223779"/>
    <w:rsid w:val="00226A53"/>
    <w:rsid w:val="00231049"/>
    <w:rsid w:val="002314D2"/>
    <w:rsid w:val="00231A27"/>
    <w:rsid w:val="0023322A"/>
    <w:rsid w:val="0023412C"/>
    <w:rsid w:val="00235325"/>
    <w:rsid w:val="00235B52"/>
    <w:rsid w:val="002372A6"/>
    <w:rsid w:val="00237FED"/>
    <w:rsid w:val="0024039F"/>
    <w:rsid w:val="00241C76"/>
    <w:rsid w:val="00247EA0"/>
    <w:rsid w:val="00253D75"/>
    <w:rsid w:val="00254A53"/>
    <w:rsid w:val="002565DE"/>
    <w:rsid w:val="00257AEE"/>
    <w:rsid w:val="00263B6C"/>
    <w:rsid w:val="0026412A"/>
    <w:rsid w:val="0027043B"/>
    <w:rsid w:val="00271421"/>
    <w:rsid w:val="0027259D"/>
    <w:rsid w:val="0027263D"/>
    <w:rsid w:val="0027590B"/>
    <w:rsid w:val="00277F2F"/>
    <w:rsid w:val="00280573"/>
    <w:rsid w:val="00281407"/>
    <w:rsid w:val="00285969"/>
    <w:rsid w:val="00285A9D"/>
    <w:rsid w:val="00287EAF"/>
    <w:rsid w:val="00292988"/>
    <w:rsid w:val="002929AD"/>
    <w:rsid w:val="002940EC"/>
    <w:rsid w:val="00295F26"/>
    <w:rsid w:val="00296CF9"/>
    <w:rsid w:val="002A7241"/>
    <w:rsid w:val="002B3829"/>
    <w:rsid w:val="002B4D4D"/>
    <w:rsid w:val="002B5C39"/>
    <w:rsid w:val="002B75AA"/>
    <w:rsid w:val="002C125F"/>
    <w:rsid w:val="002C6BCE"/>
    <w:rsid w:val="002D09B2"/>
    <w:rsid w:val="002D1D09"/>
    <w:rsid w:val="002D1F90"/>
    <w:rsid w:val="002D23EE"/>
    <w:rsid w:val="002D259D"/>
    <w:rsid w:val="002D4224"/>
    <w:rsid w:val="002D488F"/>
    <w:rsid w:val="002D5414"/>
    <w:rsid w:val="002E10E6"/>
    <w:rsid w:val="002E369A"/>
    <w:rsid w:val="002E5A1A"/>
    <w:rsid w:val="002F0FB7"/>
    <w:rsid w:val="002F334D"/>
    <w:rsid w:val="002F3D6C"/>
    <w:rsid w:val="002F617F"/>
    <w:rsid w:val="00305395"/>
    <w:rsid w:val="003122F4"/>
    <w:rsid w:val="0031276E"/>
    <w:rsid w:val="0031289B"/>
    <w:rsid w:val="00313D74"/>
    <w:rsid w:val="00314F6E"/>
    <w:rsid w:val="00315ED8"/>
    <w:rsid w:val="003224AE"/>
    <w:rsid w:val="00325C05"/>
    <w:rsid w:val="003268D5"/>
    <w:rsid w:val="00326F3A"/>
    <w:rsid w:val="00330703"/>
    <w:rsid w:val="00330789"/>
    <w:rsid w:val="00331307"/>
    <w:rsid w:val="00337CDA"/>
    <w:rsid w:val="00340564"/>
    <w:rsid w:val="00344779"/>
    <w:rsid w:val="00352F22"/>
    <w:rsid w:val="003531D3"/>
    <w:rsid w:val="00354D27"/>
    <w:rsid w:val="00354FBB"/>
    <w:rsid w:val="003557DC"/>
    <w:rsid w:val="0035588D"/>
    <w:rsid w:val="00361AAA"/>
    <w:rsid w:val="0036572A"/>
    <w:rsid w:val="00365E0B"/>
    <w:rsid w:val="003669B5"/>
    <w:rsid w:val="003719D0"/>
    <w:rsid w:val="003740EE"/>
    <w:rsid w:val="00375B18"/>
    <w:rsid w:val="00375D1F"/>
    <w:rsid w:val="00380A9D"/>
    <w:rsid w:val="00383757"/>
    <w:rsid w:val="00383763"/>
    <w:rsid w:val="003839F0"/>
    <w:rsid w:val="00383FE6"/>
    <w:rsid w:val="003843DE"/>
    <w:rsid w:val="003858A6"/>
    <w:rsid w:val="00390ED6"/>
    <w:rsid w:val="00392DCC"/>
    <w:rsid w:val="003957E9"/>
    <w:rsid w:val="00395DA5"/>
    <w:rsid w:val="00397AE1"/>
    <w:rsid w:val="003A199F"/>
    <w:rsid w:val="003A254C"/>
    <w:rsid w:val="003A4465"/>
    <w:rsid w:val="003A7CFC"/>
    <w:rsid w:val="003B0167"/>
    <w:rsid w:val="003B05BE"/>
    <w:rsid w:val="003B13C7"/>
    <w:rsid w:val="003B1CE7"/>
    <w:rsid w:val="003B2472"/>
    <w:rsid w:val="003B39F6"/>
    <w:rsid w:val="003B3D4F"/>
    <w:rsid w:val="003B7934"/>
    <w:rsid w:val="003B7DBD"/>
    <w:rsid w:val="003C310E"/>
    <w:rsid w:val="003C435F"/>
    <w:rsid w:val="003C4D07"/>
    <w:rsid w:val="003C51E3"/>
    <w:rsid w:val="003C5D5A"/>
    <w:rsid w:val="003C631C"/>
    <w:rsid w:val="003C778D"/>
    <w:rsid w:val="003D15B9"/>
    <w:rsid w:val="003D28EC"/>
    <w:rsid w:val="003D2CA1"/>
    <w:rsid w:val="003D6861"/>
    <w:rsid w:val="003E3531"/>
    <w:rsid w:val="003E38B0"/>
    <w:rsid w:val="003E4D87"/>
    <w:rsid w:val="003F2AF8"/>
    <w:rsid w:val="003F38C4"/>
    <w:rsid w:val="003F6812"/>
    <w:rsid w:val="003F71F2"/>
    <w:rsid w:val="004003A9"/>
    <w:rsid w:val="00400566"/>
    <w:rsid w:val="00401D81"/>
    <w:rsid w:val="00411FA1"/>
    <w:rsid w:val="00413168"/>
    <w:rsid w:val="0041423D"/>
    <w:rsid w:val="00414C85"/>
    <w:rsid w:val="0041599F"/>
    <w:rsid w:val="0041673F"/>
    <w:rsid w:val="00416762"/>
    <w:rsid w:val="00421351"/>
    <w:rsid w:val="004218DF"/>
    <w:rsid w:val="00423268"/>
    <w:rsid w:val="00423AD0"/>
    <w:rsid w:val="00425FB4"/>
    <w:rsid w:val="004277C6"/>
    <w:rsid w:val="00430EE0"/>
    <w:rsid w:val="00434241"/>
    <w:rsid w:val="00436741"/>
    <w:rsid w:val="00443BE8"/>
    <w:rsid w:val="00445265"/>
    <w:rsid w:val="00446457"/>
    <w:rsid w:val="00446F87"/>
    <w:rsid w:val="004477EA"/>
    <w:rsid w:val="0045217E"/>
    <w:rsid w:val="00453746"/>
    <w:rsid w:val="0045375F"/>
    <w:rsid w:val="004559CE"/>
    <w:rsid w:val="00455F86"/>
    <w:rsid w:val="004563F0"/>
    <w:rsid w:val="0046061E"/>
    <w:rsid w:val="00465436"/>
    <w:rsid w:val="0046711C"/>
    <w:rsid w:val="00467B8C"/>
    <w:rsid w:val="00472360"/>
    <w:rsid w:val="00474693"/>
    <w:rsid w:val="00475B7B"/>
    <w:rsid w:val="00475F4D"/>
    <w:rsid w:val="00482AD1"/>
    <w:rsid w:val="00483049"/>
    <w:rsid w:val="00486753"/>
    <w:rsid w:val="00492FCB"/>
    <w:rsid w:val="00493846"/>
    <w:rsid w:val="004938D1"/>
    <w:rsid w:val="004943DE"/>
    <w:rsid w:val="00494FAA"/>
    <w:rsid w:val="004951A8"/>
    <w:rsid w:val="004961E9"/>
    <w:rsid w:val="00497993"/>
    <w:rsid w:val="004A077D"/>
    <w:rsid w:val="004A113C"/>
    <w:rsid w:val="004A2C18"/>
    <w:rsid w:val="004A7BC2"/>
    <w:rsid w:val="004B1336"/>
    <w:rsid w:val="004B321D"/>
    <w:rsid w:val="004B4E1D"/>
    <w:rsid w:val="004B6506"/>
    <w:rsid w:val="004C090C"/>
    <w:rsid w:val="004C5F0A"/>
    <w:rsid w:val="004C780B"/>
    <w:rsid w:val="004D50C8"/>
    <w:rsid w:val="004D7493"/>
    <w:rsid w:val="004E0B71"/>
    <w:rsid w:val="004E2C4C"/>
    <w:rsid w:val="004E473D"/>
    <w:rsid w:val="004E5125"/>
    <w:rsid w:val="004E5287"/>
    <w:rsid w:val="004F0A3C"/>
    <w:rsid w:val="004F1164"/>
    <w:rsid w:val="004F1584"/>
    <w:rsid w:val="004F1712"/>
    <w:rsid w:val="004F4917"/>
    <w:rsid w:val="00504886"/>
    <w:rsid w:val="0051071D"/>
    <w:rsid w:val="00510C39"/>
    <w:rsid w:val="00511B1D"/>
    <w:rsid w:val="00515D62"/>
    <w:rsid w:val="00516785"/>
    <w:rsid w:val="00521B16"/>
    <w:rsid w:val="00521B77"/>
    <w:rsid w:val="0052233D"/>
    <w:rsid w:val="0052400B"/>
    <w:rsid w:val="0052419D"/>
    <w:rsid w:val="0052467E"/>
    <w:rsid w:val="005301F8"/>
    <w:rsid w:val="005312FC"/>
    <w:rsid w:val="00532247"/>
    <w:rsid w:val="0053603D"/>
    <w:rsid w:val="00536AA9"/>
    <w:rsid w:val="0054400E"/>
    <w:rsid w:val="00544951"/>
    <w:rsid w:val="00555D14"/>
    <w:rsid w:val="00560987"/>
    <w:rsid w:val="00563592"/>
    <w:rsid w:val="00563C7F"/>
    <w:rsid w:val="00564910"/>
    <w:rsid w:val="0056618A"/>
    <w:rsid w:val="005664A2"/>
    <w:rsid w:val="00570564"/>
    <w:rsid w:val="005708D5"/>
    <w:rsid w:val="0057148D"/>
    <w:rsid w:val="005742CA"/>
    <w:rsid w:val="00580E73"/>
    <w:rsid w:val="00582ACB"/>
    <w:rsid w:val="005868DE"/>
    <w:rsid w:val="00587CDE"/>
    <w:rsid w:val="00592BB4"/>
    <w:rsid w:val="00597293"/>
    <w:rsid w:val="005A543F"/>
    <w:rsid w:val="005A5871"/>
    <w:rsid w:val="005A6C86"/>
    <w:rsid w:val="005B0F7C"/>
    <w:rsid w:val="005B1926"/>
    <w:rsid w:val="005B1A36"/>
    <w:rsid w:val="005B52C7"/>
    <w:rsid w:val="005B5690"/>
    <w:rsid w:val="005B5F23"/>
    <w:rsid w:val="005B603F"/>
    <w:rsid w:val="005B66E1"/>
    <w:rsid w:val="005C1876"/>
    <w:rsid w:val="005C2301"/>
    <w:rsid w:val="005C2D24"/>
    <w:rsid w:val="005C59EF"/>
    <w:rsid w:val="005C5AC9"/>
    <w:rsid w:val="005D0163"/>
    <w:rsid w:val="005D489C"/>
    <w:rsid w:val="005D6099"/>
    <w:rsid w:val="005D76E2"/>
    <w:rsid w:val="005E071C"/>
    <w:rsid w:val="005E366D"/>
    <w:rsid w:val="005E4E9E"/>
    <w:rsid w:val="005E51A3"/>
    <w:rsid w:val="005E5C95"/>
    <w:rsid w:val="005E7F01"/>
    <w:rsid w:val="005F42A1"/>
    <w:rsid w:val="005F60C6"/>
    <w:rsid w:val="005F649D"/>
    <w:rsid w:val="00600E7F"/>
    <w:rsid w:val="006016A6"/>
    <w:rsid w:val="00602550"/>
    <w:rsid w:val="0060595B"/>
    <w:rsid w:val="00605AFD"/>
    <w:rsid w:val="006064A7"/>
    <w:rsid w:val="0060703D"/>
    <w:rsid w:val="00607C7C"/>
    <w:rsid w:val="00611991"/>
    <w:rsid w:val="006123D4"/>
    <w:rsid w:val="00614F24"/>
    <w:rsid w:val="00616303"/>
    <w:rsid w:val="00624CED"/>
    <w:rsid w:val="00630785"/>
    <w:rsid w:val="00637402"/>
    <w:rsid w:val="00637BAB"/>
    <w:rsid w:val="00637C14"/>
    <w:rsid w:val="00640DEE"/>
    <w:rsid w:val="00647DCF"/>
    <w:rsid w:val="00651949"/>
    <w:rsid w:val="00653BDB"/>
    <w:rsid w:val="00654572"/>
    <w:rsid w:val="00656356"/>
    <w:rsid w:val="006569A4"/>
    <w:rsid w:val="00660924"/>
    <w:rsid w:val="0066130E"/>
    <w:rsid w:val="006616C2"/>
    <w:rsid w:val="00661E4A"/>
    <w:rsid w:val="00662700"/>
    <w:rsid w:val="006677ED"/>
    <w:rsid w:val="00670387"/>
    <w:rsid w:val="006755BF"/>
    <w:rsid w:val="0068066A"/>
    <w:rsid w:val="00682EF0"/>
    <w:rsid w:val="00683B48"/>
    <w:rsid w:val="0068465E"/>
    <w:rsid w:val="006855E9"/>
    <w:rsid w:val="00685AD2"/>
    <w:rsid w:val="00685EDA"/>
    <w:rsid w:val="00686165"/>
    <w:rsid w:val="00687E0C"/>
    <w:rsid w:val="00691CB5"/>
    <w:rsid w:val="0069638F"/>
    <w:rsid w:val="00697F0D"/>
    <w:rsid w:val="006A0078"/>
    <w:rsid w:val="006A2A44"/>
    <w:rsid w:val="006A30C6"/>
    <w:rsid w:val="006A38C8"/>
    <w:rsid w:val="006A5391"/>
    <w:rsid w:val="006A616E"/>
    <w:rsid w:val="006A6E87"/>
    <w:rsid w:val="006A6EE1"/>
    <w:rsid w:val="006B3434"/>
    <w:rsid w:val="006B4269"/>
    <w:rsid w:val="006B5E7C"/>
    <w:rsid w:val="006B6DC8"/>
    <w:rsid w:val="006B7183"/>
    <w:rsid w:val="006C0CDB"/>
    <w:rsid w:val="006C11C4"/>
    <w:rsid w:val="006C1F52"/>
    <w:rsid w:val="006C645D"/>
    <w:rsid w:val="006D0E4C"/>
    <w:rsid w:val="006D1988"/>
    <w:rsid w:val="006D2106"/>
    <w:rsid w:val="006D2935"/>
    <w:rsid w:val="006D3B86"/>
    <w:rsid w:val="006D42C7"/>
    <w:rsid w:val="006E0968"/>
    <w:rsid w:val="006E0E3C"/>
    <w:rsid w:val="006E36AB"/>
    <w:rsid w:val="006E3CC3"/>
    <w:rsid w:val="006E48FD"/>
    <w:rsid w:val="006E63B5"/>
    <w:rsid w:val="006E6CC9"/>
    <w:rsid w:val="006F1979"/>
    <w:rsid w:val="006F656C"/>
    <w:rsid w:val="006F7163"/>
    <w:rsid w:val="00705D7D"/>
    <w:rsid w:val="00707014"/>
    <w:rsid w:val="00710E13"/>
    <w:rsid w:val="0071222E"/>
    <w:rsid w:val="00717DAC"/>
    <w:rsid w:val="00720BF2"/>
    <w:rsid w:val="007214C7"/>
    <w:rsid w:val="00722606"/>
    <w:rsid w:val="00725586"/>
    <w:rsid w:val="007301D6"/>
    <w:rsid w:val="00733F00"/>
    <w:rsid w:val="00736A17"/>
    <w:rsid w:val="00737067"/>
    <w:rsid w:val="00737B4A"/>
    <w:rsid w:val="00737F81"/>
    <w:rsid w:val="00742BAB"/>
    <w:rsid w:val="007457B1"/>
    <w:rsid w:val="00745A87"/>
    <w:rsid w:val="00746DE3"/>
    <w:rsid w:val="00747229"/>
    <w:rsid w:val="00757816"/>
    <w:rsid w:val="00761625"/>
    <w:rsid w:val="0076353B"/>
    <w:rsid w:val="00764326"/>
    <w:rsid w:val="007644BD"/>
    <w:rsid w:val="00764FF4"/>
    <w:rsid w:val="00766795"/>
    <w:rsid w:val="007739DC"/>
    <w:rsid w:val="00775702"/>
    <w:rsid w:val="00780092"/>
    <w:rsid w:val="0078509F"/>
    <w:rsid w:val="007862DF"/>
    <w:rsid w:val="007869D0"/>
    <w:rsid w:val="00786A72"/>
    <w:rsid w:val="00786A78"/>
    <w:rsid w:val="00790A19"/>
    <w:rsid w:val="00791E09"/>
    <w:rsid w:val="00791FB4"/>
    <w:rsid w:val="007921D4"/>
    <w:rsid w:val="00794499"/>
    <w:rsid w:val="00796C4A"/>
    <w:rsid w:val="007A1646"/>
    <w:rsid w:val="007A2FB2"/>
    <w:rsid w:val="007A3B5D"/>
    <w:rsid w:val="007A7FB9"/>
    <w:rsid w:val="007B0417"/>
    <w:rsid w:val="007B0D27"/>
    <w:rsid w:val="007B3264"/>
    <w:rsid w:val="007B541B"/>
    <w:rsid w:val="007B5870"/>
    <w:rsid w:val="007B5BD2"/>
    <w:rsid w:val="007B6D0F"/>
    <w:rsid w:val="007C3B24"/>
    <w:rsid w:val="007C3B71"/>
    <w:rsid w:val="007C5B13"/>
    <w:rsid w:val="007D1512"/>
    <w:rsid w:val="007D5AA6"/>
    <w:rsid w:val="007D7636"/>
    <w:rsid w:val="007E0E89"/>
    <w:rsid w:val="007E2AB9"/>
    <w:rsid w:val="007E2ABC"/>
    <w:rsid w:val="007E3979"/>
    <w:rsid w:val="007E4B39"/>
    <w:rsid w:val="007E6456"/>
    <w:rsid w:val="007E7FB5"/>
    <w:rsid w:val="007F0BF4"/>
    <w:rsid w:val="007F2263"/>
    <w:rsid w:val="007F50BC"/>
    <w:rsid w:val="008043EA"/>
    <w:rsid w:val="0080588D"/>
    <w:rsid w:val="0081163A"/>
    <w:rsid w:val="00815F2E"/>
    <w:rsid w:val="00816EEC"/>
    <w:rsid w:val="00816FFA"/>
    <w:rsid w:val="00817CB0"/>
    <w:rsid w:val="00820FEC"/>
    <w:rsid w:val="00821C2E"/>
    <w:rsid w:val="00822C41"/>
    <w:rsid w:val="00823A66"/>
    <w:rsid w:val="00823F4A"/>
    <w:rsid w:val="008242D0"/>
    <w:rsid w:val="00826ED6"/>
    <w:rsid w:val="00831C79"/>
    <w:rsid w:val="00834243"/>
    <w:rsid w:val="00835182"/>
    <w:rsid w:val="008361B4"/>
    <w:rsid w:val="008365DB"/>
    <w:rsid w:val="00841B0F"/>
    <w:rsid w:val="00843525"/>
    <w:rsid w:val="008461A1"/>
    <w:rsid w:val="00854CDE"/>
    <w:rsid w:val="00855618"/>
    <w:rsid w:val="00856C61"/>
    <w:rsid w:val="00857969"/>
    <w:rsid w:val="00860103"/>
    <w:rsid w:val="0086171B"/>
    <w:rsid w:val="00861D9F"/>
    <w:rsid w:val="008661BA"/>
    <w:rsid w:val="00866990"/>
    <w:rsid w:val="00867E48"/>
    <w:rsid w:val="008713EA"/>
    <w:rsid w:val="00872EDF"/>
    <w:rsid w:val="008730C0"/>
    <w:rsid w:val="008767ED"/>
    <w:rsid w:val="008813A0"/>
    <w:rsid w:val="0088232A"/>
    <w:rsid w:val="00883E39"/>
    <w:rsid w:val="0088441E"/>
    <w:rsid w:val="00891B5C"/>
    <w:rsid w:val="00893E79"/>
    <w:rsid w:val="00895F19"/>
    <w:rsid w:val="008A1187"/>
    <w:rsid w:val="008A2A97"/>
    <w:rsid w:val="008A2ADC"/>
    <w:rsid w:val="008A31D6"/>
    <w:rsid w:val="008A3A8D"/>
    <w:rsid w:val="008A6890"/>
    <w:rsid w:val="008B1499"/>
    <w:rsid w:val="008B4397"/>
    <w:rsid w:val="008B55BC"/>
    <w:rsid w:val="008B6268"/>
    <w:rsid w:val="008C13D2"/>
    <w:rsid w:val="008C3437"/>
    <w:rsid w:val="008C69BD"/>
    <w:rsid w:val="008D1705"/>
    <w:rsid w:val="008D339F"/>
    <w:rsid w:val="008D4156"/>
    <w:rsid w:val="008D4671"/>
    <w:rsid w:val="008D7F38"/>
    <w:rsid w:val="008E00E2"/>
    <w:rsid w:val="008E0D50"/>
    <w:rsid w:val="008E1AEB"/>
    <w:rsid w:val="008E40DB"/>
    <w:rsid w:val="008E42E7"/>
    <w:rsid w:val="008E58E1"/>
    <w:rsid w:val="008E5AB8"/>
    <w:rsid w:val="008E6292"/>
    <w:rsid w:val="008E64AA"/>
    <w:rsid w:val="008E6C18"/>
    <w:rsid w:val="008F2371"/>
    <w:rsid w:val="008F53FB"/>
    <w:rsid w:val="008F56C3"/>
    <w:rsid w:val="008F5E5E"/>
    <w:rsid w:val="008F5F84"/>
    <w:rsid w:val="009038C4"/>
    <w:rsid w:val="00904CE9"/>
    <w:rsid w:val="009064A6"/>
    <w:rsid w:val="009107C1"/>
    <w:rsid w:val="009121B0"/>
    <w:rsid w:val="00914960"/>
    <w:rsid w:val="0091604F"/>
    <w:rsid w:val="0091744B"/>
    <w:rsid w:val="009177BF"/>
    <w:rsid w:val="0092283F"/>
    <w:rsid w:val="00925230"/>
    <w:rsid w:val="00925AA5"/>
    <w:rsid w:val="009274AE"/>
    <w:rsid w:val="009305AC"/>
    <w:rsid w:val="009312E8"/>
    <w:rsid w:val="00931753"/>
    <w:rsid w:val="009368D4"/>
    <w:rsid w:val="009372CC"/>
    <w:rsid w:val="0094019D"/>
    <w:rsid w:val="0094112D"/>
    <w:rsid w:val="00941F6C"/>
    <w:rsid w:val="00942C11"/>
    <w:rsid w:val="00944061"/>
    <w:rsid w:val="00952625"/>
    <w:rsid w:val="00954AC4"/>
    <w:rsid w:val="0095612C"/>
    <w:rsid w:val="00956698"/>
    <w:rsid w:val="00962C58"/>
    <w:rsid w:val="0096338B"/>
    <w:rsid w:val="00963E8D"/>
    <w:rsid w:val="00963E96"/>
    <w:rsid w:val="009669CB"/>
    <w:rsid w:val="00966B3C"/>
    <w:rsid w:val="00972F6B"/>
    <w:rsid w:val="009732EC"/>
    <w:rsid w:val="00981D9E"/>
    <w:rsid w:val="009821CE"/>
    <w:rsid w:val="009852CF"/>
    <w:rsid w:val="009854B1"/>
    <w:rsid w:val="009927E5"/>
    <w:rsid w:val="00992EE9"/>
    <w:rsid w:val="0099373E"/>
    <w:rsid w:val="009959A9"/>
    <w:rsid w:val="00996C9D"/>
    <w:rsid w:val="00997247"/>
    <w:rsid w:val="009A2F7D"/>
    <w:rsid w:val="009A658F"/>
    <w:rsid w:val="009A668A"/>
    <w:rsid w:val="009B1A65"/>
    <w:rsid w:val="009B4139"/>
    <w:rsid w:val="009B4188"/>
    <w:rsid w:val="009B49CD"/>
    <w:rsid w:val="009C0C21"/>
    <w:rsid w:val="009C3229"/>
    <w:rsid w:val="009C3271"/>
    <w:rsid w:val="009C45DA"/>
    <w:rsid w:val="009D7502"/>
    <w:rsid w:val="009E4897"/>
    <w:rsid w:val="009F5037"/>
    <w:rsid w:val="009F53B4"/>
    <w:rsid w:val="00A016C0"/>
    <w:rsid w:val="00A0712F"/>
    <w:rsid w:val="00A1401B"/>
    <w:rsid w:val="00A16595"/>
    <w:rsid w:val="00A16E03"/>
    <w:rsid w:val="00A2515B"/>
    <w:rsid w:val="00A25F13"/>
    <w:rsid w:val="00A260CD"/>
    <w:rsid w:val="00A276B8"/>
    <w:rsid w:val="00A310AB"/>
    <w:rsid w:val="00A32CED"/>
    <w:rsid w:val="00A33055"/>
    <w:rsid w:val="00A364A1"/>
    <w:rsid w:val="00A3749B"/>
    <w:rsid w:val="00A44F47"/>
    <w:rsid w:val="00A453E8"/>
    <w:rsid w:val="00A46732"/>
    <w:rsid w:val="00A47851"/>
    <w:rsid w:val="00A51661"/>
    <w:rsid w:val="00A567F5"/>
    <w:rsid w:val="00A5751E"/>
    <w:rsid w:val="00A62E42"/>
    <w:rsid w:val="00A64A71"/>
    <w:rsid w:val="00A652B8"/>
    <w:rsid w:val="00A70F42"/>
    <w:rsid w:val="00A71480"/>
    <w:rsid w:val="00A73329"/>
    <w:rsid w:val="00A73A8E"/>
    <w:rsid w:val="00A741DD"/>
    <w:rsid w:val="00A77950"/>
    <w:rsid w:val="00A80E74"/>
    <w:rsid w:val="00A813F0"/>
    <w:rsid w:val="00A82F69"/>
    <w:rsid w:val="00A8584E"/>
    <w:rsid w:val="00A90DF1"/>
    <w:rsid w:val="00A930D1"/>
    <w:rsid w:val="00A9331D"/>
    <w:rsid w:val="00AA12FB"/>
    <w:rsid w:val="00AA20FC"/>
    <w:rsid w:val="00AA2ED2"/>
    <w:rsid w:val="00AB3CD3"/>
    <w:rsid w:val="00AB6339"/>
    <w:rsid w:val="00AB6791"/>
    <w:rsid w:val="00AC0210"/>
    <w:rsid w:val="00AC2349"/>
    <w:rsid w:val="00AC3131"/>
    <w:rsid w:val="00AC33EB"/>
    <w:rsid w:val="00AC72D3"/>
    <w:rsid w:val="00AD6464"/>
    <w:rsid w:val="00AD68B4"/>
    <w:rsid w:val="00AD6A86"/>
    <w:rsid w:val="00AD77F2"/>
    <w:rsid w:val="00AE2F90"/>
    <w:rsid w:val="00AE3014"/>
    <w:rsid w:val="00AE3706"/>
    <w:rsid w:val="00AE4D8A"/>
    <w:rsid w:val="00AE5A3B"/>
    <w:rsid w:val="00AE66D4"/>
    <w:rsid w:val="00AF1F6E"/>
    <w:rsid w:val="00AF3E61"/>
    <w:rsid w:val="00AF3EAC"/>
    <w:rsid w:val="00AF5515"/>
    <w:rsid w:val="00AF7CC8"/>
    <w:rsid w:val="00B033E3"/>
    <w:rsid w:val="00B03796"/>
    <w:rsid w:val="00B060AA"/>
    <w:rsid w:val="00B11BD0"/>
    <w:rsid w:val="00B12278"/>
    <w:rsid w:val="00B146CA"/>
    <w:rsid w:val="00B20397"/>
    <w:rsid w:val="00B20A3D"/>
    <w:rsid w:val="00B22E56"/>
    <w:rsid w:val="00B23BA1"/>
    <w:rsid w:val="00B24071"/>
    <w:rsid w:val="00B240F0"/>
    <w:rsid w:val="00B3149D"/>
    <w:rsid w:val="00B3215A"/>
    <w:rsid w:val="00B36DC0"/>
    <w:rsid w:val="00B37E18"/>
    <w:rsid w:val="00B47692"/>
    <w:rsid w:val="00B50B6F"/>
    <w:rsid w:val="00B5141D"/>
    <w:rsid w:val="00B55C5F"/>
    <w:rsid w:val="00B575DE"/>
    <w:rsid w:val="00B57C51"/>
    <w:rsid w:val="00B71568"/>
    <w:rsid w:val="00B71908"/>
    <w:rsid w:val="00B73377"/>
    <w:rsid w:val="00B74310"/>
    <w:rsid w:val="00B770FF"/>
    <w:rsid w:val="00B77498"/>
    <w:rsid w:val="00B82EF9"/>
    <w:rsid w:val="00B83D14"/>
    <w:rsid w:val="00B84263"/>
    <w:rsid w:val="00B85F47"/>
    <w:rsid w:val="00B87927"/>
    <w:rsid w:val="00B92619"/>
    <w:rsid w:val="00BA0B83"/>
    <w:rsid w:val="00BA311C"/>
    <w:rsid w:val="00BA4271"/>
    <w:rsid w:val="00BB082C"/>
    <w:rsid w:val="00BB2176"/>
    <w:rsid w:val="00BB5273"/>
    <w:rsid w:val="00BB6136"/>
    <w:rsid w:val="00BB649C"/>
    <w:rsid w:val="00BB7BE2"/>
    <w:rsid w:val="00BC254A"/>
    <w:rsid w:val="00BC29B2"/>
    <w:rsid w:val="00BC3FE6"/>
    <w:rsid w:val="00BC4D8F"/>
    <w:rsid w:val="00BC5381"/>
    <w:rsid w:val="00BC5420"/>
    <w:rsid w:val="00BC6F11"/>
    <w:rsid w:val="00BD13B0"/>
    <w:rsid w:val="00BD431C"/>
    <w:rsid w:val="00BD5650"/>
    <w:rsid w:val="00BD6470"/>
    <w:rsid w:val="00BD6B93"/>
    <w:rsid w:val="00BE0C65"/>
    <w:rsid w:val="00BE2E6F"/>
    <w:rsid w:val="00BE40CF"/>
    <w:rsid w:val="00BE4D98"/>
    <w:rsid w:val="00BE6F0F"/>
    <w:rsid w:val="00BE6F1D"/>
    <w:rsid w:val="00BE7986"/>
    <w:rsid w:val="00BF1304"/>
    <w:rsid w:val="00BF2AF1"/>
    <w:rsid w:val="00BF3FBC"/>
    <w:rsid w:val="00BF4838"/>
    <w:rsid w:val="00BF7215"/>
    <w:rsid w:val="00BF766C"/>
    <w:rsid w:val="00C012CB"/>
    <w:rsid w:val="00C048D5"/>
    <w:rsid w:val="00C10458"/>
    <w:rsid w:val="00C1093A"/>
    <w:rsid w:val="00C127A2"/>
    <w:rsid w:val="00C12A41"/>
    <w:rsid w:val="00C14E3D"/>
    <w:rsid w:val="00C16AED"/>
    <w:rsid w:val="00C24DAD"/>
    <w:rsid w:val="00C276C9"/>
    <w:rsid w:val="00C27AD6"/>
    <w:rsid w:val="00C27AF6"/>
    <w:rsid w:val="00C30297"/>
    <w:rsid w:val="00C31DFA"/>
    <w:rsid w:val="00C35318"/>
    <w:rsid w:val="00C3539F"/>
    <w:rsid w:val="00C354BB"/>
    <w:rsid w:val="00C3552C"/>
    <w:rsid w:val="00C35847"/>
    <w:rsid w:val="00C37841"/>
    <w:rsid w:val="00C404BE"/>
    <w:rsid w:val="00C4063A"/>
    <w:rsid w:val="00C41AEE"/>
    <w:rsid w:val="00C4243C"/>
    <w:rsid w:val="00C42AF1"/>
    <w:rsid w:val="00C43B6B"/>
    <w:rsid w:val="00C453F9"/>
    <w:rsid w:val="00C46722"/>
    <w:rsid w:val="00C518BB"/>
    <w:rsid w:val="00C52304"/>
    <w:rsid w:val="00C54E4E"/>
    <w:rsid w:val="00C55827"/>
    <w:rsid w:val="00C55ECC"/>
    <w:rsid w:val="00C573BF"/>
    <w:rsid w:val="00C57D47"/>
    <w:rsid w:val="00C63C84"/>
    <w:rsid w:val="00C649D1"/>
    <w:rsid w:val="00C663AB"/>
    <w:rsid w:val="00C67C00"/>
    <w:rsid w:val="00C705D4"/>
    <w:rsid w:val="00C72B74"/>
    <w:rsid w:val="00C7361D"/>
    <w:rsid w:val="00C82FF8"/>
    <w:rsid w:val="00C848B2"/>
    <w:rsid w:val="00C84FDA"/>
    <w:rsid w:val="00C85314"/>
    <w:rsid w:val="00C86DDA"/>
    <w:rsid w:val="00C95136"/>
    <w:rsid w:val="00C965C1"/>
    <w:rsid w:val="00CA129F"/>
    <w:rsid w:val="00CA1E9F"/>
    <w:rsid w:val="00CA32D9"/>
    <w:rsid w:val="00CA46D6"/>
    <w:rsid w:val="00CA4BC0"/>
    <w:rsid w:val="00CA65D8"/>
    <w:rsid w:val="00CB154C"/>
    <w:rsid w:val="00CB1BB5"/>
    <w:rsid w:val="00CB28E0"/>
    <w:rsid w:val="00CB73C7"/>
    <w:rsid w:val="00CC2D04"/>
    <w:rsid w:val="00CC4616"/>
    <w:rsid w:val="00CC559D"/>
    <w:rsid w:val="00CD1636"/>
    <w:rsid w:val="00CD261E"/>
    <w:rsid w:val="00CD2A6F"/>
    <w:rsid w:val="00CD2E89"/>
    <w:rsid w:val="00CD313C"/>
    <w:rsid w:val="00CD614C"/>
    <w:rsid w:val="00CD654B"/>
    <w:rsid w:val="00CD6BD4"/>
    <w:rsid w:val="00CE1159"/>
    <w:rsid w:val="00CE151B"/>
    <w:rsid w:val="00CE223E"/>
    <w:rsid w:val="00CE2BA6"/>
    <w:rsid w:val="00CE4B50"/>
    <w:rsid w:val="00CE5B0C"/>
    <w:rsid w:val="00CF2902"/>
    <w:rsid w:val="00CF2D63"/>
    <w:rsid w:val="00CF3010"/>
    <w:rsid w:val="00CF5E13"/>
    <w:rsid w:val="00CF68C1"/>
    <w:rsid w:val="00CF7385"/>
    <w:rsid w:val="00CF78FB"/>
    <w:rsid w:val="00D02205"/>
    <w:rsid w:val="00D02F13"/>
    <w:rsid w:val="00D10A72"/>
    <w:rsid w:val="00D145F5"/>
    <w:rsid w:val="00D155FA"/>
    <w:rsid w:val="00D2622F"/>
    <w:rsid w:val="00D26EF2"/>
    <w:rsid w:val="00D27717"/>
    <w:rsid w:val="00D3240E"/>
    <w:rsid w:val="00D3427D"/>
    <w:rsid w:val="00D34698"/>
    <w:rsid w:val="00D34DA3"/>
    <w:rsid w:val="00D355F0"/>
    <w:rsid w:val="00D37390"/>
    <w:rsid w:val="00D40DA9"/>
    <w:rsid w:val="00D427CA"/>
    <w:rsid w:val="00D446B3"/>
    <w:rsid w:val="00D45AF8"/>
    <w:rsid w:val="00D473CB"/>
    <w:rsid w:val="00D503D0"/>
    <w:rsid w:val="00D51C05"/>
    <w:rsid w:val="00D575FD"/>
    <w:rsid w:val="00D600E6"/>
    <w:rsid w:val="00D65DEB"/>
    <w:rsid w:val="00D7389D"/>
    <w:rsid w:val="00D73B2F"/>
    <w:rsid w:val="00D819B4"/>
    <w:rsid w:val="00D819F5"/>
    <w:rsid w:val="00D83942"/>
    <w:rsid w:val="00D83BD9"/>
    <w:rsid w:val="00D85990"/>
    <w:rsid w:val="00D90606"/>
    <w:rsid w:val="00D90A07"/>
    <w:rsid w:val="00D9115F"/>
    <w:rsid w:val="00D952D3"/>
    <w:rsid w:val="00D95FB9"/>
    <w:rsid w:val="00D96E3A"/>
    <w:rsid w:val="00D97211"/>
    <w:rsid w:val="00D9759F"/>
    <w:rsid w:val="00D97CCE"/>
    <w:rsid w:val="00DA4C64"/>
    <w:rsid w:val="00DA674B"/>
    <w:rsid w:val="00DA686B"/>
    <w:rsid w:val="00DA6F21"/>
    <w:rsid w:val="00DA71F0"/>
    <w:rsid w:val="00DB134B"/>
    <w:rsid w:val="00DB7F09"/>
    <w:rsid w:val="00DC00E8"/>
    <w:rsid w:val="00DC1FDE"/>
    <w:rsid w:val="00DC3032"/>
    <w:rsid w:val="00DC338F"/>
    <w:rsid w:val="00DC3669"/>
    <w:rsid w:val="00DC4820"/>
    <w:rsid w:val="00DC7FDD"/>
    <w:rsid w:val="00DD160D"/>
    <w:rsid w:val="00DD3E9C"/>
    <w:rsid w:val="00DD43B6"/>
    <w:rsid w:val="00DD5A99"/>
    <w:rsid w:val="00DD656B"/>
    <w:rsid w:val="00DD66BD"/>
    <w:rsid w:val="00DE087A"/>
    <w:rsid w:val="00DE17D1"/>
    <w:rsid w:val="00DE2A45"/>
    <w:rsid w:val="00DE62F4"/>
    <w:rsid w:val="00DF0B5A"/>
    <w:rsid w:val="00DF364A"/>
    <w:rsid w:val="00E019E5"/>
    <w:rsid w:val="00E02FE1"/>
    <w:rsid w:val="00E03EBC"/>
    <w:rsid w:val="00E04E89"/>
    <w:rsid w:val="00E07381"/>
    <w:rsid w:val="00E10D39"/>
    <w:rsid w:val="00E1136B"/>
    <w:rsid w:val="00E11792"/>
    <w:rsid w:val="00E13E90"/>
    <w:rsid w:val="00E21B88"/>
    <w:rsid w:val="00E22D51"/>
    <w:rsid w:val="00E26418"/>
    <w:rsid w:val="00E35FA1"/>
    <w:rsid w:val="00E36B46"/>
    <w:rsid w:val="00E37437"/>
    <w:rsid w:val="00E37E9D"/>
    <w:rsid w:val="00E40B79"/>
    <w:rsid w:val="00E44546"/>
    <w:rsid w:val="00E4637E"/>
    <w:rsid w:val="00E50E7C"/>
    <w:rsid w:val="00E51545"/>
    <w:rsid w:val="00E521AB"/>
    <w:rsid w:val="00E52A6B"/>
    <w:rsid w:val="00E5501F"/>
    <w:rsid w:val="00E55326"/>
    <w:rsid w:val="00E560AF"/>
    <w:rsid w:val="00E56BE8"/>
    <w:rsid w:val="00E62A4F"/>
    <w:rsid w:val="00E62F31"/>
    <w:rsid w:val="00E71108"/>
    <w:rsid w:val="00E711D7"/>
    <w:rsid w:val="00E71507"/>
    <w:rsid w:val="00E71B4A"/>
    <w:rsid w:val="00E810DE"/>
    <w:rsid w:val="00E81A40"/>
    <w:rsid w:val="00E859A7"/>
    <w:rsid w:val="00E85EF7"/>
    <w:rsid w:val="00E902B0"/>
    <w:rsid w:val="00E902E8"/>
    <w:rsid w:val="00E92AC7"/>
    <w:rsid w:val="00E9369B"/>
    <w:rsid w:val="00E956A8"/>
    <w:rsid w:val="00E96C59"/>
    <w:rsid w:val="00EA2E4F"/>
    <w:rsid w:val="00EA5ED6"/>
    <w:rsid w:val="00EA7FE1"/>
    <w:rsid w:val="00EB030F"/>
    <w:rsid w:val="00EB5F17"/>
    <w:rsid w:val="00EC2E8D"/>
    <w:rsid w:val="00EC4C4C"/>
    <w:rsid w:val="00EC6B16"/>
    <w:rsid w:val="00EC6D6B"/>
    <w:rsid w:val="00ED14FB"/>
    <w:rsid w:val="00ED530B"/>
    <w:rsid w:val="00ED7627"/>
    <w:rsid w:val="00EE2387"/>
    <w:rsid w:val="00EE323D"/>
    <w:rsid w:val="00EE3532"/>
    <w:rsid w:val="00EE3D4E"/>
    <w:rsid w:val="00EE422A"/>
    <w:rsid w:val="00EE44F4"/>
    <w:rsid w:val="00EE5155"/>
    <w:rsid w:val="00EE677F"/>
    <w:rsid w:val="00EF2B54"/>
    <w:rsid w:val="00EF2D30"/>
    <w:rsid w:val="00EF2FBF"/>
    <w:rsid w:val="00EF3B37"/>
    <w:rsid w:val="00EF3E68"/>
    <w:rsid w:val="00EF46D7"/>
    <w:rsid w:val="00EF4A69"/>
    <w:rsid w:val="00EF4AA5"/>
    <w:rsid w:val="00F0082D"/>
    <w:rsid w:val="00F015C9"/>
    <w:rsid w:val="00F01FF9"/>
    <w:rsid w:val="00F02C13"/>
    <w:rsid w:val="00F07C90"/>
    <w:rsid w:val="00F10F43"/>
    <w:rsid w:val="00F16635"/>
    <w:rsid w:val="00F20469"/>
    <w:rsid w:val="00F21286"/>
    <w:rsid w:val="00F22B68"/>
    <w:rsid w:val="00F23914"/>
    <w:rsid w:val="00F24F61"/>
    <w:rsid w:val="00F27D27"/>
    <w:rsid w:val="00F347A4"/>
    <w:rsid w:val="00F43880"/>
    <w:rsid w:val="00F43986"/>
    <w:rsid w:val="00F44FEC"/>
    <w:rsid w:val="00F55C83"/>
    <w:rsid w:val="00F61B04"/>
    <w:rsid w:val="00F635C6"/>
    <w:rsid w:val="00F66B9F"/>
    <w:rsid w:val="00F70997"/>
    <w:rsid w:val="00F70B25"/>
    <w:rsid w:val="00F71A0E"/>
    <w:rsid w:val="00F71F8F"/>
    <w:rsid w:val="00F722E8"/>
    <w:rsid w:val="00F73CB7"/>
    <w:rsid w:val="00F813C1"/>
    <w:rsid w:val="00F83075"/>
    <w:rsid w:val="00F830E9"/>
    <w:rsid w:val="00F9068B"/>
    <w:rsid w:val="00F92279"/>
    <w:rsid w:val="00FA37FB"/>
    <w:rsid w:val="00FB0F49"/>
    <w:rsid w:val="00FB64AA"/>
    <w:rsid w:val="00FB72FD"/>
    <w:rsid w:val="00FC4AC0"/>
    <w:rsid w:val="00FC6ADA"/>
    <w:rsid w:val="00FC797C"/>
    <w:rsid w:val="00FD08A5"/>
    <w:rsid w:val="00FD1F1A"/>
    <w:rsid w:val="00FE1F38"/>
    <w:rsid w:val="00FE58A2"/>
    <w:rsid w:val="00FE6618"/>
    <w:rsid w:val="00FF2A68"/>
    <w:rsid w:val="00FF47F2"/>
    <w:rsid w:val="00FF7619"/>
    <w:rsid w:val="01D7ACF2"/>
    <w:rsid w:val="046FB3FD"/>
    <w:rsid w:val="07BD400F"/>
    <w:rsid w:val="08DA67C9"/>
    <w:rsid w:val="0B0DE8A8"/>
    <w:rsid w:val="0B51109A"/>
    <w:rsid w:val="0CFFA869"/>
    <w:rsid w:val="11B516C2"/>
    <w:rsid w:val="14B270A2"/>
    <w:rsid w:val="1A018311"/>
    <w:rsid w:val="1BB4F023"/>
    <w:rsid w:val="1C1E9094"/>
    <w:rsid w:val="1DD2E744"/>
    <w:rsid w:val="215B7C7A"/>
    <w:rsid w:val="2848A99A"/>
    <w:rsid w:val="28B52755"/>
    <w:rsid w:val="293D0095"/>
    <w:rsid w:val="2A0CFF7A"/>
    <w:rsid w:val="2ADD30C4"/>
    <w:rsid w:val="33F93BBD"/>
    <w:rsid w:val="35DDFE21"/>
    <w:rsid w:val="3646785D"/>
    <w:rsid w:val="37A33A62"/>
    <w:rsid w:val="38387497"/>
    <w:rsid w:val="3A9C7A99"/>
    <w:rsid w:val="44BEEFBC"/>
    <w:rsid w:val="4720EC52"/>
    <w:rsid w:val="4749031F"/>
    <w:rsid w:val="51207C0F"/>
    <w:rsid w:val="52A83C8F"/>
    <w:rsid w:val="53999D35"/>
    <w:rsid w:val="5884DD7D"/>
    <w:rsid w:val="58BB280B"/>
    <w:rsid w:val="5AD4B220"/>
    <w:rsid w:val="5C898945"/>
    <w:rsid w:val="5E95878B"/>
    <w:rsid w:val="5F23F682"/>
    <w:rsid w:val="5FD0FCD2"/>
    <w:rsid w:val="6063402B"/>
    <w:rsid w:val="62EE268D"/>
    <w:rsid w:val="6489F6EE"/>
    <w:rsid w:val="66928CD4"/>
    <w:rsid w:val="6C7F2F55"/>
    <w:rsid w:val="7940D96F"/>
    <w:rsid w:val="7A4E267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tabs>
        <w:tab w:val="clear" w:pos="850"/>
        <w:tab w:val="num" w:pos="1560"/>
      </w:tabs>
      <w:spacing w:before="0"/>
      <w:ind w:left="1560" w:hanging="52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11"/>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59"/>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customStyle="1" w:styleId="OutlineNumbered1Char">
    <w:name w:val="Outline Numbered 1 Char"/>
    <w:basedOn w:val="DefaultParagraphFont"/>
    <w:link w:val="OutlineNumbered1"/>
    <w:rsid w:val="00600E7F"/>
    <w:rPr>
      <w:rFonts w:ascii="Calibri Light" w:eastAsia="Times New Roman" w:hAnsi="Calibri Light" w:cs="Times New Roman"/>
      <w:szCs w:val="20"/>
      <w:lang w:eastAsia="en-AU"/>
    </w:rPr>
  </w:style>
  <w:style w:type="character" w:styleId="Emphasis">
    <w:name w:val="Emphasis"/>
    <w:basedOn w:val="DefaultParagraphFont"/>
    <w:uiPriority w:val="20"/>
    <w:qFormat/>
    <w:rsid w:val="00532247"/>
    <w:rPr>
      <w:i/>
      <w:iCs/>
    </w:rPr>
  </w:style>
  <w:style w:type="paragraph" w:styleId="ListParagraph">
    <w:name w:val="List Paragraph"/>
    <w:basedOn w:val="Normal"/>
    <w:uiPriority w:val="34"/>
    <w:qFormat/>
    <w:rsid w:val="00AB3CD3"/>
    <w:pPr>
      <w:ind w:left="720"/>
      <w:contextualSpacing/>
    </w:pPr>
  </w:style>
  <w:style w:type="paragraph" w:styleId="NormalWeb">
    <w:name w:val="Normal (Web)"/>
    <w:basedOn w:val="Normal"/>
    <w:uiPriority w:val="99"/>
    <w:semiHidden/>
    <w:unhideWhenUsed/>
    <w:rsid w:val="0016489F"/>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B11BD0"/>
    <w:rPr>
      <w:sz w:val="16"/>
      <w:szCs w:val="16"/>
    </w:rPr>
  </w:style>
  <w:style w:type="paragraph" w:styleId="CommentText">
    <w:name w:val="annotation text"/>
    <w:basedOn w:val="Normal"/>
    <w:link w:val="CommentTextChar"/>
    <w:uiPriority w:val="99"/>
    <w:semiHidden/>
    <w:unhideWhenUsed/>
    <w:rsid w:val="00B11BD0"/>
    <w:rPr>
      <w:sz w:val="20"/>
    </w:rPr>
  </w:style>
  <w:style w:type="character" w:customStyle="1" w:styleId="CommentTextChar">
    <w:name w:val="Comment Text Char"/>
    <w:basedOn w:val="DefaultParagraphFont"/>
    <w:link w:val="CommentText"/>
    <w:uiPriority w:val="99"/>
    <w:semiHidden/>
    <w:rsid w:val="00B11BD0"/>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11BD0"/>
    <w:rPr>
      <w:b/>
      <w:bCs/>
    </w:rPr>
  </w:style>
  <w:style w:type="character" w:customStyle="1" w:styleId="CommentSubjectChar">
    <w:name w:val="Comment Subject Char"/>
    <w:basedOn w:val="CommentTextChar"/>
    <w:link w:val="CommentSubject"/>
    <w:uiPriority w:val="99"/>
    <w:semiHidden/>
    <w:rsid w:val="00B11BD0"/>
    <w:rPr>
      <w:rFonts w:ascii="Calibri Light" w:eastAsia="Times New Roman" w:hAnsi="Calibri Light" w:cs="Times New Roman"/>
      <w:b/>
      <w:bCs/>
      <w:sz w:val="20"/>
      <w:szCs w:val="20"/>
      <w:lang w:eastAsia="en-AU"/>
    </w:rPr>
  </w:style>
  <w:style w:type="paragraph" w:styleId="Revision">
    <w:name w:val="Revision"/>
    <w:hidden/>
    <w:uiPriority w:val="99"/>
    <w:semiHidden/>
    <w:rsid w:val="002065D9"/>
    <w:pPr>
      <w:spacing w:after="0" w:line="240" w:lineRule="auto"/>
    </w:pPr>
    <w:rPr>
      <w:rFonts w:ascii="Calibri Light" w:eastAsia="Times New Roman" w:hAnsi="Calibri Light" w:cs="Times New Roman"/>
      <w:szCs w:val="20"/>
      <w:lang w:eastAsia="en-AU"/>
    </w:rPr>
  </w:style>
  <w:style w:type="character" w:customStyle="1" w:styleId="ui-provider">
    <w:name w:val="ui-provider"/>
    <w:basedOn w:val="DefaultParagraphFont"/>
    <w:rsid w:val="00816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341792">
      <w:bodyDiv w:val="1"/>
      <w:marLeft w:val="0"/>
      <w:marRight w:val="0"/>
      <w:marTop w:val="0"/>
      <w:marBottom w:val="0"/>
      <w:divBdr>
        <w:top w:val="none" w:sz="0" w:space="0" w:color="auto"/>
        <w:left w:val="none" w:sz="0" w:space="0" w:color="auto"/>
        <w:bottom w:val="none" w:sz="0" w:space="0" w:color="auto"/>
        <w:right w:val="none" w:sz="0" w:space="0" w:color="auto"/>
      </w:divBdr>
    </w:div>
    <w:div w:id="1261527435">
      <w:bodyDiv w:val="1"/>
      <w:marLeft w:val="0"/>
      <w:marRight w:val="0"/>
      <w:marTop w:val="0"/>
      <w:marBottom w:val="0"/>
      <w:divBdr>
        <w:top w:val="none" w:sz="0" w:space="0" w:color="auto"/>
        <w:left w:val="none" w:sz="0" w:space="0" w:color="auto"/>
        <w:bottom w:val="none" w:sz="0" w:space="0" w:color="auto"/>
        <w:right w:val="none" w:sz="0" w:space="0" w:color="auto"/>
      </w:divBdr>
    </w:div>
    <w:div w:id="1263342723">
      <w:bodyDiv w:val="1"/>
      <w:marLeft w:val="0"/>
      <w:marRight w:val="0"/>
      <w:marTop w:val="0"/>
      <w:marBottom w:val="0"/>
      <w:divBdr>
        <w:top w:val="none" w:sz="0" w:space="0" w:color="auto"/>
        <w:left w:val="none" w:sz="0" w:space="0" w:color="auto"/>
        <w:bottom w:val="none" w:sz="0" w:space="0" w:color="auto"/>
        <w:right w:val="none" w:sz="0" w:space="0" w:color="auto"/>
      </w:divBdr>
      <w:divsChild>
        <w:div w:id="487788741">
          <w:marLeft w:val="0"/>
          <w:marRight w:val="0"/>
          <w:marTop w:val="0"/>
          <w:marBottom w:val="0"/>
          <w:divBdr>
            <w:top w:val="none" w:sz="0" w:space="0" w:color="auto"/>
            <w:left w:val="none" w:sz="0" w:space="0" w:color="auto"/>
            <w:bottom w:val="none" w:sz="0" w:space="0" w:color="auto"/>
            <w:right w:val="none" w:sz="0" w:space="0" w:color="auto"/>
          </w:divBdr>
        </w:div>
      </w:divsChild>
    </w:div>
    <w:div w:id="1736583868">
      <w:bodyDiv w:val="1"/>
      <w:marLeft w:val="0"/>
      <w:marRight w:val="0"/>
      <w:marTop w:val="0"/>
      <w:marBottom w:val="0"/>
      <w:divBdr>
        <w:top w:val="none" w:sz="0" w:space="0" w:color="auto"/>
        <w:left w:val="none" w:sz="0" w:space="0" w:color="auto"/>
        <w:bottom w:val="none" w:sz="0" w:space="0" w:color="auto"/>
        <w:right w:val="none" w:sz="0" w:space="0" w:color="auto"/>
      </w:divBdr>
    </w:div>
    <w:div w:id="17864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hyperlink" Target="https://treasury.gov.au/consultation/c2023-383843"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creativecommons.org/licenses/by/3.0/au/legalco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footer" Target="footer4.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F031D71725453381A4B7ED2BC40D18"/>
        <w:category>
          <w:name w:val="General"/>
          <w:gallery w:val="placeholder"/>
        </w:category>
        <w:types>
          <w:type w:val="bbPlcHdr"/>
        </w:types>
        <w:behaviors>
          <w:behavior w:val="content"/>
        </w:behaviors>
        <w:guid w:val="{DBD4110E-860C-47B7-8B5E-4B39BB7CB6E2}"/>
      </w:docPartPr>
      <w:docPartBody>
        <w:p w:rsidR="007C34E8" w:rsidRDefault="007C34E8" w:rsidP="007C34E8">
          <w:pPr>
            <w:pStyle w:val="F4F031D71725453381A4B7ED2BC40D18"/>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E3"/>
    <w:rsid w:val="003059AC"/>
    <w:rsid w:val="005662CB"/>
    <w:rsid w:val="00746DE3"/>
    <w:rsid w:val="007C34E8"/>
    <w:rsid w:val="008F235E"/>
    <w:rsid w:val="008F78F3"/>
    <w:rsid w:val="00BD79E0"/>
    <w:rsid w:val="00E51D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A6369E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4E8"/>
    <w:rPr>
      <w:color w:val="808080"/>
    </w:rPr>
  </w:style>
  <w:style w:type="paragraph" w:customStyle="1" w:styleId="F4F031D71725453381A4B7ED2BC40D18">
    <w:name w:val="F4F031D71725453381A4B7ED2BC40D18"/>
    <w:rsid w:val="007C3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2800</Words>
  <Characters>15983</Characters>
  <Application>Microsoft Office Word</Application>
  <DocSecurity>0</DocSecurity>
  <Lines>541</Lines>
  <Paragraphs>182</Paragraphs>
  <ScaleCrop>false</ScaleCrop>
  <HeadingPairs>
    <vt:vector size="2" baseType="variant">
      <vt:variant>
        <vt:lpstr>Title</vt:lpstr>
      </vt:variant>
      <vt:variant>
        <vt:i4>1</vt:i4>
      </vt:variant>
    </vt:vector>
  </HeadingPairs>
  <TitlesOfParts>
    <vt:vector size="1" baseType="lpstr">
      <vt:lpstr>Consultation paper: Review of sunsetting insurance regulations</vt:lpstr>
    </vt:vector>
  </TitlesOfParts>
  <Company/>
  <LinksUpToDate>false</LinksUpToDate>
  <CharactersWithSpaces>18725</CharactersWithSpaces>
  <SharedDoc>false</SharedDoc>
  <HLinks>
    <vt:vector size="84" baseType="variant">
      <vt:variant>
        <vt:i4>1245279</vt:i4>
      </vt:variant>
      <vt:variant>
        <vt:i4>66</vt:i4>
      </vt:variant>
      <vt:variant>
        <vt:i4>0</vt:i4>
      </vt:variant>
      <vt:variant>
        <vt:i4>5</vt:i4>
      </vt:variant>
      <vt:variant>
        <vt:lpwstr>https://treasury.gov.au/consultation/c2023-383843</vt:lpwstr>
      </vt:variant>
      <vt:variant>
        <vt:lpwstr/>
      </vt:variant>
      <vt:variant>
        <vt:i4>1114169</vt:i4>
      </vt:variant>
      <vt:variant>
        <vt:i4>59</vt:i4>
      </vt:variant>
      <vt:variant>
        <vt:i4>0</vt:i4>
      </vt:variant>
      <vt:variant>
        <vt:i4>5</vt:i4>
      </vt:variant>
      <vt:variant>
        <vt:lpwstr/>
      </vt:variant>
      <vt:variant>
        <vt:lpwstr>_Toc131497068</vt:lpwstr>
      </vt:variant>
      <vt:variant>
        <vt:i4>1114169</vt:i4>
      </vt:variant>
      <vt:variant>
        <vt:i4>53</vt:i4>
      </vt:variant>
      <vt:variant>
        <vt:i4>0</vt:i4>
      </vt:variant>
      <vt:variant>
        <vt:i4>5</vt:i4>
      </vt:variant>
      <vt:variant>
        <vt:lpwstr/>
      </vt:variant>
      <vt:variant>
        <vt:lpwstr>_Toc131497067</vt:lpwstr>
      </vt:variant>
      <vt:variant>
        <vt:i4>1114169</vt:i4>
      </vt:variant>
      <vt:variant>
        <vt:i4>47</vt:i4>
      </vt:variant>
      <vt:variant>
        <vt:i4>0</vt:i4>
      </vt:variant>
      <vt:variant>
        <vt:i4>5</vt:i4>
      </vt:variant>
      <vt:variant>
        <vt:lpwstr/>
      </vt:variant>
      <vt:variant>
        <vt:lpwstr>_Toc131497066</vt:lpwstr>
      </vt:variant>
      <vt:variant>
        <vt:i4>1114169</vt:i4>
      </vt:variant>
      <vt:variant>
        <vt:i4>41</vt:i4>
      </vt:variant>
      <vt:variant>
        <vt:i4>0</vt:i4>
      </vt:variant>
      <vt:variant>
        <vt:i4>5</vt:i4>
      </vt:variant>
      <vt:variant>
        <vt:lpwstr/>
      </vt:variant>
      <vt:variant>
        <vt:lpwstr>_Toc131497065</vt:lpwstr>
      </vt:variant>
      <vt:variant>
        <vt:i4>1114169</vt:i4>
      </vt:variant>
      <vt:variant>
        <vt:i4>35</vt:i4>
      </vt:variant>
      <vt:variant>
        <vt:i4>0</vt:i4>
      </vt:variant>
      <vt:variant>
        <vt:i4>5</vt:i4>
      </vt:variant>
      <vt:variant>
        <vt:lpwstr/>
      </vt:variant>
      <vt:variant>
        <vt:lpwstr>_Toc131497064</vt:lpwstr>
      </vt:variant>
      <vt:variant>
        <vt:i4>1114169</vt:i4>
      </vt:variant>
      <vt:variant>
        <vt:i4>29</vt:i4>
      </vt:variant>
      <vt:variant>
        <vt:i4>0</vt:i4>
      </vt:variant>
      <vt:variant>
        <vt:i4>5</vt:i4>
      </vt:variant>
      <vt:variant>
        <vt:lpwstr/>
      </vt:variant>
      <vt:variant>
        <vt:lpwstr>_Toc131497063</vt:lpwstr>
      </vt:variant>
      <vt:variant>
        <vt:i4>1114169</vt:i4>
      </vt:variant>
      <vt:variant>
        <vt:i4>23</vt:i4>
      </vt:variant>
      <vt:variant>
        <vt:i4>0</vt:i4>
      </vt:variant>
      <vt:variant>
        <vt:i4>5</vt:i4>
      </vt:variant>
      <vt:variant>
        <vt:lpwstr/>
      </vt:variant>
      <vt:variant>
        <vt:lpwstr>_Toc131497062</vt:lpwstr>
      </vt:variant>
      <vt:variant>
        <vt:i4>1114169</vt:i4>
      </vt:variant>
      <vt:variant>
        <vt:i4>17</vt:i4>
      </vt:variant>
      <vt:variant>
        <vt:i4>0</vt:i4>
      </vt:variant>
      <vt:variant>
        <vt:i4>5</vt:i4>
      </vt:variant>
      <vt:variant>
        <vt:lpwstr/>
      </vt:variant>
      <vt:variant>
        <vt:lpwstr>_Toc131497061</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Review of sunsetting insurance regulations</dc:title>
  <dc:subject/>
  <dc:creator/>
  <cp:keywords/>
  <dc:description/>
  <cp:lastModifiedBy/>
  <cp:revision>1</cp:revision>
  <dcterms:created xsi:type="dcterms:W3CDTF">2023-04-11T06:36:00Z</dcterms:created>
  <dcterms:modified xsi:type="dcterms:W3CDTF">2023-04-11T06:37:00Z</dcterms:modified>
  <cp:category/>
  <cp:contentStatus/>
</cp:coreProperties>
</file>