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imes New Roman"/>
          <w:b w:val="0"/>
          <w:color w:val="2C384A" w:themeColor="accent1"/>
          <w:spacing w:val="0"/>
          <w:kern w:val="0"/>
          <w:sz w:val="32"/>
          <w:szCs w:val="20"/>
        </w:rPr>
        <w:id w:val="-1442289537"/>
        <w:docPartObj>
          <w:docPartGallery w:val="Cover Pages"/>
          <w:docPartUnique/>
        </w:docPartObj>
      </w:sdtPr>
      <w:sdtEndPr>
        <w:rPr>
          <w:b/>
          <w:bCs/>
          <w:color w:val="5D779D" w:themeColor="accent3"/>
          <w:sz w:val="22"/>
        </w:rPr>
      </w:sdtEndPr>
      <w:sdtContent>
        <w:p w14:paraId="5B83D94D" w14:textId="5DA6DDBB" w:rsidR="00A97160" w:rsidRPr="00B76390" w:rsidRDefault="00EA27D0" w:rsidP="008601FA">
          <w:pPr>
            <w:pStyle w:val="Title"/>
            <w:spacing w:before="2400"/>
            <w:ind w:right="1417"/>
            <w:rPr>
              <w:color w:val="2C384A" w:themeColor="accent1"/>
            </w:rPr>
          </w:pPr>
          <w:r w:rsidRPr="00B76390">
            <w:rPr>
              <w:color w:val="2C384A" w:themeColor="accent1"/>
            </w:rPr>
            <w:t>Statutory review of the operation</w:t>
          </w:r>
          <w:r w:rsidR="008601FA" w:rsidRPr="00B76390">
            <w:rPr>
              <w:color w:val="2C384A" w:themeColor="accent1"/>
            </w:rPr>
            <w:t> </w:t>
          </w:r>
          <w:r w:rsidRPr="00B76390">
            <w:rPr>
              <w:color w:val="2C384A" w:themeColor="accent1"/>
            </w:rPr>
            <w:t>of Schedule</w:t>
          </w:r>
          <w:r w:rsidR="00A50653" w:rsidRPr="00B76390">
            <w:rPr>
              <w:color w:val="2C384A" w:themeColor="accent1"/>
            </w:rPr>
            <w:t> </w:t>
          </w:r>
          <w:r w:rsidRPr="00B76390">
            <w:rPr>
              <w:color w:val="2C384A" w:themeColor="accent1"/>
            </w:rPr>
            <w:t xml:space="preserve">1 </w:t>
          </w:r>
          <w:r w:rsidR="00EE1D80" w:rsidRPr="00B76390">
            <w:rPr>
              <w:color w:val="2C384A" w:themeColor="accent1"/>
            </w:rPr>
            <w:t>to</w:t>
          </w:r>
          <w:r w:rsidR="00A50653" w:rsidRPr="00B76390">
            <w:rPr>
              <w:color w:val="2C384A" w:themeColor="accent1"/>
            </w:rPr>
            <w:t> </w:t>
          </w:r>
          <w:r w:rsidRPr="00B76390">
            <w:rPr>
              <w:color w:val="2C384A" w:themeColor="accent1"/>
            </w:rPr>
            <w:t xml:space="preserve">the </w:t>
          </w:r>
          <w:r w:rsidRPr="00B76390">
            <w:rPr>
              <w:i/>
              <w:color w:val="2C384A" w:themeColor="accent1"/>
            </w:rPr>
            <w:t>Treasury</w:t>
          </w:r>
          <w:r w:rsidR="008601FA" w:rsidRPr="00B76390">
            <w:rPr>
              <w:i/>
              <w:color w:val="2C384A" w:themeColor="accent1"/>
            </w:rPr>
            <w:t> </w:t>
          </w:r>
          <w:r w:rsidRPr="00B76390">
            <w:rPr>
              <w:i/>
              <w:color w:val="2C384A" w:themeColor="accent1"/>
            </w:rPr>
            <w:t>Laws Amendment (Black</w:t>
          </w:r>
          <w:r w:rsidR="008601FA" w:rsidRPr="00B76390">
            <w:rPr>
              <w:i/>
              <w:color w:val="2C384A" w:themeColor="accent1"/>
            </w:rPr>
            <w:t> </w:t>
          </w:r>
          <w:r w:rsidRPr="00B76390">
            <w:rPr>
              <w:i/>
              <w:color w:val="2C384A" w:themeColor="accent1"/>
            </w:rPr>
            <w:t>Economy Taskforce Measures No.</w:t>
          </w:r>
          <w:r w:rsidR="00A50653" w:rsidRPr="00B76390">
            <w:rPr>
              <w:i/>
              <w:color w:val="2C384A" w:themeColor="accent1"/>
            </w:rPr>
            <w:t> </w:t>
          </w:r>
          <w:r w:rsidRPr="00B76390">
            <w:rPr>
              <w:i/>
              <w:color w:val="2C384A" w:themeColor="accent1"/>
            </w:rPr>
            <w:t>1) Act</w:t>
          </w:r>
          <w:r w:rsidR="00A50653" w:rsidRPr="00B76390">
            <w:rPr>
              <w:i/>
              <w:color w:val="2C384A" w:themeColor="accent1"/>
            </w:rPr>
            <w:t> </w:t>
          </w:r>
          <w:r w:rsidRPr="00B76390">
            <w:rPr>
              <w:i/>
              <w:color w:val="2C384A" w:themeColor="accent1"/>
            </w:rPr>
            <w:t>2018</w:t>
          </w:r>
        </w:p>
        <w:p w14:paraId="5AEF9E7B" w14:textId="0861AFF6" w:rsidR="00A97160" w:rsidRPr="008721C5" w:rsidRDefault="007B664B" w:rsidP="008601FA">
          <w:pPr>
            <w:pStyle w:val="ReportDate"/>
            <w:rPr>
              <w:b/>
              <w:bCs/>
              <w:color w:val="5D779D" w:themeColor="accent3"/>
            </w:rPr>
          </w:pPr>
          <w:r w:rsidRPr="008721C5">
            <w:rPr>
              <w:rStyle w:val="ReportDateChar"/>
              <w:b/>
              <w:bCs/>
              <w:color w:val="5D779D" w:themeColor="accent3"/>
            </w:rPr>
            <w:t>December 2022</w:t>
          </w:r>
        </w:p>
      </w:sdtContent>
    </w:sdt>
    <w:p w14:paraId="7B752E72" w14:textId="77777777" w:rsidR="007974C2" w:rsidRDefault="007974C2">
      <w:pPr>
        <w:spacing w:before="0" w:after="160" w:line="259" w:lineRule="auto"/>
      </w:pPr>
      <w:r>
        <w:br w:type="page"/>
      </w:r>
    </w:p>
    <w:p w14:paraId="69AC54F5" w14:textId="48485C39" w:rsidR="000E0B74" w:rsidRDefault="000E0B74" w:rsidP="005877AC">
      <w:pPr>
        <w:spacing w:before="0" w:after="160" w:line="259" w:lineRule="auto"/>
      </w:pPr>
      <w:r w:rsidRPr="00661BF0">
        <w:lastRenderedPageBreak/>
        <w:t xml:space="preserve">© Commonwealth of Australia </w:t>
      </w:r>
      <w:r w:rsidRPr="00E310CE">
        <w:t>20</w:t>
      </w:r>
      <w:r w:rsidR="000B57B6" w:rsidRPr="00E310CE">
        <w:t>2</w:t>
      </w:r>
      <w:r w:rsidR="00DA7247">
        <w:t>3</w:t>
      </w:r>
    </w:p>
    <w:p w14:paraId="13443990" w14:textId="3A3F55C2" w:rsidR="006469CC" w:rsidRDefault="006469CC" w:rsidP="005877AC">
      <w:pPr>
        <w:spacing w:before="0" w:after="160" w:line="259" w:lineRule="auto"/>
        <w:rPr>
          <w:noProof/>
        </w:rPr>
      </w:pPr>
      <w:r>
        <w:t xml:space="preserve">ISBN: </w:t>
      </w:r>
      <w:r w:rsidR="00B76390" w:rsidRPr="00B76390">
        <w:t>978-1-925832-66-2</w:t>
      </w:r>
    </w:p>
    <w:p w14:paraId="3B60F4C6" w14:textId="4CE1C8F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1"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2"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119B10E5" w14:textId="77777777" w:rsidR="000E0B74" w:rsidRDefault="000E0B74" w:rsidP="000E0B74">
      <w:pPr>
        <w:pStyle w:val="ChartGraphic"/>
        <w:jc w:val="left"/>
      </w:pPr>
      <w:r w:rsidRPr="00E56DFB">
        <w:rPr>
          <w:noProof/>
        </w:rPr>
        <w:drawing>
          <wp:inline distT="0" distB="0" distL="0" distR="0" wp14:anchorId="04168EB9" wp14:editId="706E086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4E3E72E" w14:textId="0CE79CCD"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4"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62875DA" w14:textId="534143FF" w:rsidR="000E0B74" w:rsidRPr="006469CC" w:rsidRDefault="000E0B74" w:rsidP="006469CC">
      <w:pPr>
        <w:spacing w:before="240"/>
        <w:rPr>
          <w:b/>
        </w:rPr>
      </w:pPr>
      <w:r w:rsidRPr="006469CC">
        <w:rPr>
          <w:b/>
        </w:rPr>
        <w:t xml:space="preserve">Treasury material used </w:t>
      </w:r>
      <w:r w:rsidR="009B70C7">
        <w:rPr>
          <w:b/>
        </w:rPr>
        <w:t>‘</w:t>
      </w:r>
      <w:r w:rsidRPr="006469CC">
        <w:rPr>
          <w:b/>
        </w:rPr>
        <w:t>as supplied</w:t>
      </w:r>
      <w:r w:rsidR="009B70C7">
        <w:rPr>
          <w:b/>
        </w:rPr>
        <w:t>’</w:t>
      </w:r>
      <w:r w:rsidRPr="006469CC">
        <w:rPr>
          <w:b/>
        </w:rPr>
        <w:t>.</w:t>
      </w:r>
    </w:p>
    <w:p w14:paraId="493DF121" w14:textId="72D1A6FE"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9B70C7">
        <w:t xml:space="preserve"> – </w:t>
      </w:r>
      <w:r>
        <w:t>then Treasury prefers t</w:t>
      </w:r>
      <w:r w:rsidRPr="00476F09">
        <w:t xml:space="preserve">he following attribution: </w:t>
      </w:r>
    </w:p>
    <w:p w14:paraId="68585D05" w14:textId="70904D39" w:rsidR="000E0B74" w:rsidRPr="00A13A11" w:rsidRDefault="000E0B74" w:rsidP="000E0B74">
      <w:pPr>
        <w:ind w:firstLine="720"/>
      </w:pPr>
      <w:r w:rsidRPr="002F1BC2">
        <w:rPr>
          <w:i/>
        </w:rPr>
        <w:t xml:space="preserve">Source: The </w:t>
      </w:r>
      <w:r w:rsidRPr="002F1BC2">
        <w:rPr>
          <w:i/>
          <w:iCs/>
        </w:rPr>
        <w:t>Australian Government </w:t>
      </w:r>
      <w:r w:rsidR="006C3B7A">
        <w:rPr>
          <w:i/>
          <w:iCs/>
        </w:rPr>
        <w:t xml:space="preserve">– </w:t>
      </w:r>
      <w:r w:rsidRPr="002F1BC2">
        <w:rPr>
          <w:i/>
          <w:iCs/>
        </w:rPr>
        <w:t xml:space="preserve">the </w:t>
      </w:r>
      <w:r w:rsidRPr="00A33267">
        <w:rPr>
          <w:i/>
          <w:iCs/>
        </w:rPr>
        <w:t>Treasury</w:t>
      </w:r>
      <w:r w:rsidR="00A33267" w:rsidRPr="00A33267">
        <w:rPr>
          <w:i/>
          <w:iCs/>
        </w:rPr>
        <w:t xml:space="preserve"> </w:t>
      </w:r>
      <w:r w:rsidR="006C3B7A" w:rsidRPr="00A33267">
        <w:rPr>
          <w:i/>
          <w:iCs/>
        </w:rPr>
        <w:t xml:space="preserve">and </w:t>
      </w:r>
      <w:r w:rsidR="00A33267" w:rsidRPr="00A33267">
        <w:rPr>
          <w:i/>
          <w:iCs/>
        </w:rPr>
        <w:t xml:space="preserve">the </w:t>
      </w:r>
      <w:r w:rsidR="006C3B7A" w:rsidRPr="00A33267">
        <w:rPr>
          <w:i/>
          <w:iCs/>
        </w:rPr>
        <w:t>Australian Taxation Office</w:t>
      </w:r>
      <w:r>
        <w:t>.</w:t>
      </w:r>
    </w:p>
    <w:p w14:paraId="20F58773"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659F935"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4BA2319" w14:textId="6B55E6B1" w:rsidR="000E0B74" w:rsidRPr="006627B4" w:rsidRDefault="000E0B74" w:rsidP="000E0B74">
      <w:pPr>
        <w:ind w:firstLine="720"/>
      </w:pPr>
      <w:r w:rsidRPr="002F1BC2">
        <w:rPr>
          <w:i/>
        </w:rPr>
        <w:t xml:space="preserve">Based on </w:t>
      </w:r>
      <w:r w:rsidR="006C3B7A">
        <w:rPr>
          <w:i/>
        </w:rPr>
        <w:t>t</w:t>
      </w:r>
      <w:r w:rsidRPr="002F1BC2">
        <w:rPr>
          <w:i/>
        </w:rPr>
        <w:t xml:space="preserve">he Australian Government the Treasury </w:t>
      </w:r>
      <w:r w:rsidR="006C3B7A">
        <w:rPr>
          <w:i/>
        </w:rPr>
        <w:t xml:space="preserve">or Australian Taxation Office </w:t>
      </w:r>
      <w:r w:rsidRPr="002F1BC2">
        <w:rPr>
          <w:i/>
        </w:rPr>
        <w:t>data</w:t>
      </w:r>
      <w:r>
        <w:t>.</w:t>
      </w:r>
    </w:p>
    <w:p w14:paraId="33E13C71" w14:textId="77777777" w:rsidR="000E0B74" w:rsidRPr="006627B4" w:rsidRDefault="000E0B74" w:rsidP="000E0B74">
      <w:pPr>
        <w:spacing w:before="240"/>
        <w:rPr>
          <w:b/>
        </w:rPr>
      </w:pPr>
      <w:r w:rsidRPr="006627B4">
        <w:rPr>
          <w:b/>
        </w:rPr>
        <w:t>Use of the Coat of Arms</w:t>
      </w:r>
    </w:p>
    <w:p w14:paraId="62D88407" w14:textId="156A5908"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5" w:history="1">
        <w:r w:rsidR="00F669CD">
          <w:rPr>
            <w:rStyle w:val="Hyperlink"/>
          </w:rPr>
          <w:t>http://www.pmc.gov.au/government/commonwealth</w:t>
        </w:r>
        <w:r w:rsidR="009B70C7">
          <w:rPr>
            <w:rStyle w:val="Hyperlink"/>
          </w:rPr>
          <w:noBreakHyphen/>
        </w:r>
        <w:r w:rsidR="00F669CD">
          <w:rPr>
            <w:rStyle w:val="Hyperlink"/>
          </w:rPr>
          <w:t>coat</w:t>
        </w:r>
        <w:r w:rsidR="009B70C7">
          <w:rPr>
            <w:rStyle w:val="Hyperlink"/>
          </w:rPr>
          <w:noBreakHyphen/>
        </w:r>
        <w:r w:rsidR="00F669CD">
          <w:rPr>
            <w:rStyle w:val="Hyperlink"/>
          </w:rPr>
          <w:t>arms</w:t>
        </w:r>
      </w:hyperlink>
      <w:r w:rsidRPr="005C503A">
        <w:t>).</w:t>
      </w:r>
    </w:p>
    <w:p w14:paraId="274DFD9A" w14:textId="77777777" w:rsidR="000E0B74" w:rsidRPr="006627B4" w:rsidRDefault="000E0B74" w:rsidP="000E0B74">
      <w:pPr>
        <w:spacing w:before="240"/>
        <w:rPr>
          <w:b/>
        </w:rPr>
      </w:pPr>
      <w:r>
        <w:rPr>
          <w:b/>
        </w:rPr>
        <w:t>Other u</w:t>
      </w:r>
      <w:r w:rsidRPr="006627B4">
        <w:rPr>
          <w:b/>
        </w:rPr>
        <w:t>ses</w:t>
      </w:r>
    </w:p>
    <w:p w14:paraId="7606B67D" w14:textId="77777777" w:rsidR="000E0B74" w:rsidRPr="006627B4" w:rsidRDefault="000E0B74" w:rsidP="000E0B74">
      <w:r>
        <w:t>E</w:t>
      </w:r>
      <w:r w:rsidRPr="006627B4">
        <w:t>nquiries regarding this licence and any other use of this document are welcome at:</w:t>
      </w:r>
    </w:p>
    <w:p w14:paraId="7A93C66D" w14:textId="706B709C"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6" w:history="1">
        <w:r w:rsidR="00386297">
          <w:rPr>
            <w:rStyle w:val="Hyperlink"/>
          </w:rPr>
          <w:t>media@treasury.gov.au</w:t>
        </w:r>
      </w:hyperlink>
    </w:p>
    <w:p w14:paraId="708E34D9" w14:textId="77777777" w:rsidR="00F836F9" w:rsidRPr="00BD1F3C" w:rsidRDefault="00F836F9" w:rsidP="00BD1F3C"/>
    <w:p w14:paraId="12304EE4" w14:textId="7C9B6568" w:rsidR="00BD1F3C" w:rsidRPr="00981753" w:rsidRDefault="00BD1F3C" w:rsidP="00981753">
      <w:pPr>
        <w:sectPr w:rsidR="00BD1F3C" w:rsidRPr="00981753" w:rsidSect="00F865C5">
          <w:footerReference w:type="default" r:id="rId17"/>
          <w:pgSz w:w="11906" w:h="16838" w:code="9"/>
          <w:pgMar w:top="1843" w:right="1418" w:bottom="1418" w:left="1418" w:header="709" w:footer="709" w:gutter="0"/>
          <w:pgNumType w:fmt="lowerRoman" w:start="1"/>
          <w:cols w:space="708"/>
          <w:titlePg/>
          <w:docGrid w:linePitch="360"/>
        </w:sectPr>
      </w:pPr>
    </w:p>
    <w:p w14:paraId="64602197" w14:textId="77777777" w:rsidR="009D46D2" w:rsidRDefault="000E0B74" w:rsidP="00BC7A85">
      <w:pPr>
        <w:pStyle w:val="Heading1"/>
        <w:spacing w:before="0"/>
      </w:pPr>
      <w:bookmarkStart w:id="0" w:name="_Toc111026801"/>
      <w:bookmarkStart w:id="1" w:name="_Toc120009010"/>
      <w:r w:rsidRPr="001F1B27">
        <w:lastRenderedPageBreak/>
        <w:t>Contents</w:t>
      </w:r>
      <w:bookmarkEnd w:id="0"/>
      <w:bookmarkEnd w:id="1"/>
    </w:p>
    <w:p w14:paraId="2BE34BF9" w14:textId="3FAD816E" w:rsidR="00B07E11" w:rsidRDefault="000E0B74">
      <w:pPr>
        <w:pStyle w:val="TOC1"/>
        <w:rPr>
          <w:rFonts w:asciiTheme="minorHAnsi" w:eastAsiaTheme="minorEastAsia" w:hAnsiTheme="minorHAnsi" w:cstheme="minorBidi"/>
          <w:b w:val="0"/>
          <w:color w:val="auto"/>
        </w:rPr>
      </w:pPr>
      <w:r>
        <w:rPr>
          <w:rFonts w:ascii="Calibri" w:hAnsi="Calibri" w:cs="Arial"/>
          <w:color w:val="004A7F"/>
          <w:kern w:val="32"/>
          <w:sz w:val="44"/>
        </w:rPr>
        <w:fldChar w:fldCharType="begin"/>
      </w:r>
      <w:r w:rsidRPr="0025652F">
        <w:instrText xml:space="preserve"> TOC \o "1-3" \h \z \u </w:instrText>
      </w:r>
      <w:r>
        <w:rPr>
          <w:rFonts w:ascii="Calibri" w:hAnsi="Calibri" w:cs="Arial"/>
          <w:color w:val="004A7F"/>
          <w:kern w:val="32"/>
          <w:sz w:val="44"/>
        </w:rPr>
        <w:fldChar w:fldCharType="separate"/>
      </w:r>
      <w:hyperlink w:anchor="_Toc120009011" w:history="1">
        <w:r w:rsidR="00B07E11" w:rsidRPr="00930F4C">
          <w:rPr>
            <w:rStyle w:val="Hyperlink"/>
          </w:rPr>
          <w:t>Foreword</w:t>
        </w:r>
        <w:r w:rsidR="00B07E11">
          <w:rPr>
            <w:webHidden/>
          </w:rPr>
          <w:tab/>
        </w:r>
        <w:r w:rsidR="00B07E11">
          <w:rPr>
            <w:webHidden/>
          </w:rPr>
          <w:fldChar w:fldCharType="begin"/>
        </w:r>
        <w:r w:rsidR="00B07E11">
          <w:rPr>
            <w:webHidden/>
          </w:rPr>
          <w:instrText xml:space="preserve"> PAGEREF _Toc120009011 \h </w:instrText>
        </w:r>
        <w:r w:rsidR="00B07E11">
          <w:rPr>
            <w:webHidden/>
          </w:rPr>
        </w:r>
        <w:r w:rsidR="00B07E11">
          <w:rPr>
            <w:webHidden/>
          </w:rPr>
          <w:fldChar w:fldCharType="separate"/>
        </w:r>
        <w:r w:rsidR="00DF3793">
          <w:rPr>
            <w:webHidden/>
          </w:rPr>
          <w:t>1</w:t>
        </w:r>
        <w:r w:rsidR="00B07E11">
          <w:rPr>
            <w:webHidden/>
          </w:rPr>
          <w:fldChar w:fldCharType="end"/>
        </w:r>
      </w:hyperlink>
    </w:p>
    <w:p w14:paraId="49E6512B" w14:textId="757DA768" w:rsidR="00B07E11" w:rsidRDefault="00000000">
      <w:pPr>
        <w:pStyle w:val="TOC1"/>
        <w:rPr>
          <w:rFonts w:asciiTheme="minorHAnsi" w:eastAsiaTheme="minorEastAsia" w:hAnsiTheme="minorHAnsi" w:cstheme="minorBidi"/>
          <w:b w:val="0"/>
          <w:color w:val="auto"/>
        </w:rPr>
      </w:pPr>
      <w:hyperlink w:anchor="_Toc120009012" w:history="1">
        <w:r w:rsidR="00B07E11" w:rsidRPr="00930F4C">
          <w:rPr>
            <w:rStyle w:val="Hyperlink"/>
          </w:rPr>
          <w:t>Introduction</w:t>
        </w:r>
        <w:r w:rsidR="00B07E11">
          <w:rPr>
            <w:webHidden/>
          </w:rPr>
          <w:tab/>
        </w:r>
        <w:r w:rsidR="00B07E11">
          <w:rPr>
            <w:webHidden/>
          </w:rPr>
          <w:fldChar w:fldCharType="begin"/>
        </w:r>
        <w:r w:rsidR="00B07E11">
          <w:rPr>
            <w:webHidden/>
          </w:rPr>
          <w:instrText xml:space="preserve"> PAGEREF _Toc120009012 \h </w:instrText>
        </w:r>
        <w:r w:rsidR="00B07E11">
          <w:rPr>
            <w:webHidden/>
          </w:rPr>
        </w:r>
        <w:r w:rsidR="00B07E11">
          <w:rPr>
            <w:webHidden/>
          </w:rPr>
          <w:fldChar w:fldCharType="separate"/>
        </w:r>
        <w:r w:rsidR="00DF3793">
          <w:rPr>
            <w:webHidden/>
          </w:rPr>
          <w:t>2</w:t>
        </w:r>
        <w:r w:rsidR="00B07E11">
          <w:rPr>
            <w:webHidden/>
          </w:rPr>
          <w:fldChar w:fldCharType="end"/>
        </w:r>
      </w:hyperlink>
    </w:p>
    <w:p w14:paraId="23C4C3ED" w14:textId="4CAEF76F" w:rsidR="00B07E11" w:rsidRDefault="00000000">
      <w:pPr>
        <w:pStyle w:val="TOC2"/>
        <w:rPr>
          <w:rFonts w:asciiTheme="minorHAnsi" w:eastAsiaTheme="minorEastAsia" w:hAnsiTheme="minorHAnsi" w:cstheme="minorBidi"/>
          <w:color w:val="auto"/>
          <w:szCs w:val="22"/>
        </w:rPr>
      </w:pPr>
      <w:hyperlink w:anchor="_Toc120009013" w:history="1">
        <w:r w:rsidR="00B07E11" w:rsidRPr="00930F4C">
          <w:rPr>
            <w:rStyle w:val="Hyperlink"/>
          </w:rPr>
          <w:t>Policy context and background</w:t>
        </w:r>
        <w:r w:rsidR="00B07E11">
          <w:rPr>
            <w:webHidden/>
          </w:rPr>
          <w:tab/>
        </w:r>
        <w:r w:rsidR="00B07E11">
          <w:rPr>
            <w:webHidden/>
          </w:rPr>
          <w:fldChar w:fldCharType="begin"/>
        </w:r>
        <w:r w:rsidR="00B07E11">
          <w:rPr>
            <w:webHidden/>
          </w:rPr>
          <w:instrText xml:space="preserve"> PAGEREF _Toc120009013 \h </w:instrText>
        </w:r>
        <w:r w:rsidR="00B07E11">
          <w:rPr>
            <w:webHidden/>
          </w:rPr>
        </w:r>
        <w:r w:rsidR="00B07E11">
          <w:rPr>
            <w:webHidden/>
          </w:rPr>
          <w:fldChar w:fldCharType="separate"/>
        </w:r>
        <w:r w:rsidR="00DF3793">
          <w:rPr>
            <w:webHidden/>
          </w:rPr>
          <w:t>2</w:t>
        </w:r>
        <w:r w:rsidR="00B07E11">
          <w:rPr>
            <w:webHidden/>
          </w:rPr>
          <w:fldChar w:fldCharType="end"/>
        </w:r>
      </w:hyperlink>
    </w:p>
    <w:p w14:paraId="4E9D24C0" w14:textId="02F9F4C2" w:rsidR="00B07E11" w:rsidRDefault="00000000">
      <w:pPr>
        <w:pStyle w:val="TOC3"/>
        <w:rPr>
          <w:rFonts w:asciiTheme="minorHAnsi" w:eastAsiaTheme="minorEastAsia" w:hAnsiTheme="minorHAnsi" w:cstheme="minorBidi"/>
          <w:szCs w:val="22"/>
        </w:rPr>
      </w:pPr>
      <w:hyperlink w:anchor="_Toc120009014" w:history="1">
        <w:r w:rsidR="00B07E11" w:rsidRPr="00930F4C">
          <w:rPr>
            <w:rStyle w:val="Hyperlink"/>
          </w:rPr>
          <w:t>What is Electronic Sales Suppression Technology?</w:t>
        </w:r>
        <w:r w:rsidR="00B07E11">
          <w:rPr>
            <w:webHidden/>
          </w:rPr>
          <w:tab/>
        </w:r>
        <w:r w:rsidR="00B07E11">
          <w:rPr>
            <w:webHidden/>
          </w:rPr>
          <w:fldChar w:fldCharType="begin"/>
        </w:r>
        <w:r w:rsidR="00B07E11">
          <w:rPr>
            <w:webHidden/>
          </w:rPr>
          <w:instrText xml:space="preserve"> PAGEREF _Toc120009014 \h </w:instrText>
        </w:r>
        <w:r w:rsidR="00B07E11">
          <w:rPr>
            <w:webHidden/>
          </w:rPr>
        </w:r>
        <w:r w:rsidR="00B07E11">
          <w:rPr>
            <w:webHidden/>
          </w:rPr>
          <w:fldChar w:fldCharType="separate"/>
        </w:r>
        <w:r w:rsidR="00DF3793">
          <w:rPr>
            <w:webHidden/>
          </w:rPr>
          <w:t>2</w:t>
        </w:r>
        <w:r w:rsidR="00B07E11">
          <w:rPr>
            <w:webHidden/>
          </w:rPr>
          <w:fldChar w:fldCharType="end"/>
        </w:r>
      </w:hyperlink>
    </w:p>
    <w:p w14:paraId="7D97C8CA" w14:textId="16B31652" w:rsidR="00B07E11" w:rsidRDefault="00000000">
      <w:pPr>
        <w:pStyle w:val="TOC3"/>
        <w:rPr>
          <w:rFonts w:asciiTheme="minorHAnsi" w:eastAsiaTheme="minorEastAsia" w:hAnsiTheme="minorHAnsi" w:cstheme="minorBidi"/>
          <w:szCs w:val="22"/>
        </w:rPr>
      </w:pPr>
      <w:hyperlink w:anchor="_Toc120009015" w:history="1">
        <w:r w:rsidR="00B07E11" w:rsidRPr="00930F4C">
          <w:rPr>
            <w:rStyle w:val="Hyperlink"/>
          </w:rPr>
          <w:t>Growing international concern</w:t>
        </w:r>
        <w:r w:rsidR="00B07E11">
          <w:rPr>
            <w:webHidden/>
          </w:rPr>
          <w:tab/>
        </w:r>
        <w:r w:rsidR="00B07E11">
          <w:rPr>
            <w:webHidden/>
          </w:rPr>
          <w:fldChar w:fldCharType="begin"/>
        </w:r>
        <w:r w:rsidR="00B07E11">
          <w:rPr>
            <w:webHidden/>
          </w:rPr>
          <w:instrText xml:space="preserve"> PAGEREF _Toc120009015 \h </w:instrText>
        </w:r>
        <w:r w:rsidR="00B07E11">
          <w:rPr>
            <w:webHidden/>
          </w:rPr>
        </w:r>
        <w:r w:rsidR="00B07E11">
          <w:rPr>
            <w:webHidden/>
          </w:rPr>
          <w:fldChar w:fldCharType="separate"/>
        </w:r>
        <w:r w:rsidR="00DF3793">
          <w:rPr>
            <w:webHidden/>
          </w:rPr>
          <w:t>3</w:t>
        </w:r>
        <w:r w:rsidR="00B07E11">
          <w:rPr>
            <w:webHidden/>
          </w:rPr>
          <w:fldChar w:fldCharType="end"/>
        </w:r>
      </w:hyperlink>
    </w:p>
    <w:p w14:paraId="42FEF4EE" w14:textId="1CDB0E25" w:rsidR="00B07E11" w:rsidRDefault="00000000">
      <w:pPr>
        <w:pStyle w:val="TOC3"/>
        <w:rPr>
          <w:rFonts w:asciiTheme="minorHAnsi" w:eastAsiaTheme="minorEastAsia" w:hAnsiTheme="minorHAnsi" w:cstheme="minorBidi"/>
          <w:szCs w:val="22"/>
        </w:rPr>
      </w:pPr>
      <w:hyperlink w:anchor="_Toc120009016" w:history="1">
        <w:r w:rsidR="00B07E11" w:rsidRPr="00930F4C">
          <w:rPr>
            <w:rStyle w:val="Hyperlink"/>
          </w:rPr>
          <w:t>Australia’s Black Economy Taskforce</w:t>
        </w:r>
        <w:r w:rsidR="00B07E11">
          <w:rPr>
            <w:webHidden/>
          </w:rPr>
          <w:tab/>
        </w:r>
        <w:r w:rsidR="00B07E11">
          <w:rPr>
            <w:webHidden/>
          </w:rPr>
          <w:fldChar w:fldCharType="begin"/>
        </w:r>
        <w:r w:rsidR="00B07E11">
          <w:rPr>
            <w:webHidden/>
          </w:rPr>
          <w:instrText xml:space="preserve"> PAGEREF _Toc120009016 \h </w:instrText>
        </w:r>
        <w:r w:rsidR="00B07E11">
          <w:rPr>
            <w:webHidden/>
          </w:rPr>
        </w:r>
        <w:r w:rsidR="00B07E11">
          <w:rPr>
            <w:webHidden/>
          </w:rPr>
          <w:fldChar w:fldCharType="separate"/>
        </w:r>
        <w:r w:rsidR="00DF3793">
          <w:rPr>
            <w:webHidden/>
          </w:rPr>
          <w:t>3</w:t>
        </w:r>
        <w:r w:rsidR="00B07E11">
          <w:rPr>
            <w:webHidden/>
          </w:rPr>
          <w:fldChar w:fldCharType="end"/>
        </w:r>
      </w:hyperlink>
    </w:p>
    <w:p w14:paraId="4A071891" w14:textId="7B18F8DD" w:rsidR="00B07E11" w:rsidRDefault="00000000">
      <w:pPr>
        <w:pStyle w:val="TOC2"/>
        <w:rPr>
          <w:rFonts w:asciiTheme="minorHAnsi" w:eastAsiaTheme="minorEastAsia" w:hAnsiTheme="minorHAnsi" w:cstheme="minorBidi"/>
          <w:color w:val="auto"/>
          <w:szCs w:val="22"/>
        </w:rPr>
      </w:pPr>
      <w:hyperlink w:anchor="_Toc120009017" w:history="1">
        <w:r w:rsidR="00B07E11" w:rsidRPr="00930F4C">
          <w:rPr>
            <w:rStyle w:val="Hyperlink"/>
          </w:rPr>
          <w:t>Deficiencies in previous legislative framework</w:t>
        </w:r>
        <w:r w:rsidR="00B07E11">
          <w:rPr>
            <w:webHidden/>
          </w:rPr>
          <w:tab/>
        </w:r>
        <w:r w:rsidR="00B07E11">
          <w:rPr>
            <w:webHidden/>
          </w:rPr>
          <w:fldChar w:fldCharType="begin"/>
        </w:r>
        <w:r w:rsidR="00B07E11">
          <w:rPr>
            <w:webHidden/>
          </w:rPr>
          <w:instrText xml:space="preserve"> PAGEREF _Toc120009017 \h </w:instrText>
        </w:r>
        <w:r w:rsidR="00B07E11">
          <w:rPr>
            <w:webHidden/>
          </w:rPr>
        </w:r>
        <w:r w:rsidR="00B07E11">
          <w:rPr>
            <w:webHidden/>
          </w:rPr>
          <w:fldChar w:fldCharType="separate"/>
        </w:r>
        <w:r w:rsidR="00DF3793">
          <w:rPr>
            <w:webHidden/>
          </w:rPr>
          <w:t>4</w:t>
        </w:r>
        <w:r w:rsidR="00B07E11">
          <w:rPr>
            <w:webHidden/>
          </w:rPr>
          <w:fldChar w:fldCharType="end"/>
        </w:r>
      </w:hyperlink>
    </w:p>
    <w:p w14:paraId="0D463ECE" w14:textId="725A5BE5" w:rsidR="00B07E11" w:rsidRDefault="00000000">
      <w:pPr>
        <w:pStyle w:val="TOC2"/>
        <w:rPr>
          <w:rFonts w:asciiTheme="minorHAnsi" w:eastAsiaTheme="minorEastAsia" w:hAnsiTheme="minorHAnsi" w:cstheme="minorBidi"/>
          <w:color w:val="auto"/>
          <w:szCs w:val="22"/>
        </w:rPr>
      </w:pPr>
      <w:hyperlink w:anchor="_Toc120009018" w:history="1">
        <w:r w:rsidR="00B07E11" w:rsidRPr="00930F4C">
          <w:rPr>
            <w:rStyle w:val="Hyperlink"/>
          </w:rPr>
          <w:t>Government response and legislative amendment</w:t>
        </w:r>
        <w:r w:rsidR="00B07E11">
          <w:rPr>
            <w:webHidden/>
          </w:rPr>
          <w:tab/>
        </w:r>
        <w:r w:rsidR="00B07E11">
          <w:rPr>
            <w:webHidden/>
          </w:rPr>
          <w:fldChar w:fldCharType="begin"/>
        </w:r>
        <w:r w:rsidR="00B07E11">
          <w:rPr>
            <w:webHidden/>
          </w:rPr>
          <w:instrText xml:space="preserve"> PAGEREF _Toc120009018 \h </w:instrText>
        </w:r>
        <w:r w:rsidR="00B07E11">
          <w:rPr>
            <w:webHidden/>
          </w:rPr>
        </w:r>
        <w:r w:rsidR="00B07E11">
          <w:rPr>
            <w:webHidden/>
          </w:rPr>
          <w:fldChar w:fldCharType="separate"/>
        </w:r>
        <w:r w:rsidR="00DF3793">
          <w:rPr>
            <w:webHidden/>
          </w:rPr>
          <w:t>6</w:t>
        </w:r>
        <w:r w:rsidR="00B07E11">
          <w:rPr>
            <w:webHidden/>
          </w:rPr>
          <w:fldChar w:fldCharType="end"/>
        </w:r>
      </w:hyperlink>
    </w:p>
    <w:p w14:paraId="5AE42D4A" w14:textId="618A55DB" w:rsidR="00B07E11" w:rsidRDefault="00000000">
      <w:pPr>
        <w:pStyle w:val="TOC2"/>
        <w:rPr>
          <w:rFonts w:asciiTheme="minorHAnsi" w:eastAsiaTheme="minorEastAsia" w:hAnsiTheme="minorHAnsi" w:cstheme="minorBidi"/>
          <w:color w:val="auto"/>
          <w:szCs w:val="22"/>
        </w:rPr>
      </w:pPr>
      <w:hyperlink w:anchor="_Toc120009019" w:history="1">
        <w:r w:rsidR="00B07E11" w:rsidRPr="00930F4C">
          <w:rPr>
            <w:rStyle w:val="Hyperlink"/>
          </w:rPr>
          <w:t>The requirement for this Report</w:t>
        </w:r>
        <w:r w:rsidR="00B07E11">
          <w:rPr>
            <w:webHidden/>
          </w:rPr>
          <w:tab/>
        </w:r>
        <w:r w:rsidR="00B07E11">
          <w:rPr>
            <w:webHidden/>
          </w:rPr>
          <w:fldChar w:fldCharType="begin"/>
        </w:r>
        <w:r w:rsidR="00B07E11">
          <w:rPr>
            <w:webHidden/>
          </w:rPr>
          <w:instrText xml:space="preserve"> PAGEREF _Toc120009019 \h </w:instrText>
        </w:r>
        <w:r w:rsidR="00B07E11">
          <w:rPr>
            <w:webHidden/>
          </w:rPr>
        </w:r>
        <w:r w:rsidR="00B07E11">
          <w:rPr>
            <w:webHidden/>
          </w:rPr>
          <w:fldChar w:fldCharType="separate"/>
        </w:r>
        <w:r w:rsidR="00DF3793">
          <w:rPr>
            <w:webHidden/>
          </w:rPr>
          <w:t>7</w:t>
        </w:r>
        <w:r w:rsidR="00B07E11">
          <w:rPr>
            <w:webHidden/>
          </w:rPr>
          <w:fldChar w:fldCharType="end"/>
        </w:r>
      </w:hyperlink>
    </w:p>
    <w:p w14:paraId="7EAA6285" w14:textId="681BE10E" w:rsidR="00B07E11" w:rsidRDefault="00000000">
      <w:pPr>
        <w:pStyle w:val="TOC1"/>
        <w:rPr>
          <w:rFonts w:asciiTheme="minorHAnsi" w:eastAsiaTheme="minorEastAsia" w:hAnsiTheme="minorHAnsi" w:cstheme="minorBidi"/>
          <w:b w:val="0"/>
          <w:color w:val="auto"/>
        </w:rPr>
      </w:pPr>
      <w:hyperlink w:anchor="_Toc120009020" w:history="1">
        <w:r w:rsidR="00B07E11" w:rsidRPr="00930F4C">
          <w:rPr>
            <w:rStyle w:val="Hyperlink"/>
          </w:rPr>
          <w:t>Enforcement action</w:t>
        </w:r>
        <w:r w:rsidR="00B07E11">
          <w:rPr>
            <w:webHidden/>
          </w:rPr>
          <w:tab/>
        </w:r>
        <w:r w:rsidR="00B07E11">
          <w:rPr>
            <w:webHidden/>
          </w:rPr>
          <w:fldChar w:fldCharType="begin"/>
        </w:r>
        <w:r w:rsidR="00B07E11">
          <w:rPr>
            <w:webHidden/>
          </w:rPr>
          <w:instrText xml:space="preserve"> PAGEREF _Toc120009020 \h </w:instrText>
        </w:r>
        <w:r w:rsidR="00B07E11">
          <w:rPr>
            <w:webHidden/>
          </w:rPr>
        </w:r>
        <w:r w:rsidR="00B07E11">
          <w:rPr>
            <w:webHidden/>
          </w:rPr>
          <w:fldChar w:fldCharType="separate"/>
        </w:r>
        <w:r w:rsidR="00DF3793">
          <w:rPr>
            <w:webHidden/>
          </w:rPr>
          <w:t>8</w:t>
        </w:r>
        <w:r w:rsidR="00B07E11">
          <w:rPr>
            <w:webHidden/>
          </w:rPr>
          <w:fldChar w:fldCharType="end"/>
        </w:r>
      </w:hyperlink>
    </w:p>
    <w:p w14:paraId="69928512" w14:textId="5BE3ADBD" w:rsidR="00B07E11" w:rsidRDefault="00000000">
      <w:pPr>
        <w:pStyle w:val="TOC3"/>
        <w:rPr>
          <w:rFonts w:asciiTheme="minorHAnsi" w:eastAsiaTheme="minorEastAsia" w:hAnsiTheme="minorHAnsi" w:cstheme="minorBidi"/>
          <w:szCs w:val="22"/>
        </w:rPr>
      </w:pPr>
      <w:hyperlink w:anchor="_Toc120009021" w:history="1">
        <w:r w:rsidR="00B07E11" w:rsidRPr="00930F4C">
          <w:rPr>
            <w:rStyle w:val="Hyperlink"/>
          </w:rPr>
          <w:t>Table 1: Breakdown in penalties and prosecutions for each sub</w:t>
        </w:r>
        <w:r w:rsidR="00B07E11" w:rsidRPr="00930F4C">
          <w:rPr>
            <w:rStyle w:val="Hyperlink"/>
          </w:rPr>
          <w:noBreakHyphen/>
          <w:t>category (2020–21)</w:t>
        </w:r>
        <w:r w:rsidR="00B07E11">
          <w:rPr>
            <w:webHidden/>
          </w:rPr>
          <w:tab/>
        </w:r>
        <w:r w:rsidR="00B07E11">
          <w:rPr>
            <w:webHidden/>
          </w:rPr>
          <w:fldChar w:fldCharType="begin"/>
        </w:r>
        <w:r w:rsidR="00B07E11">
          <w:rPr>
            <w:webHidden/>
          </w:rPr>
          <w:instrText xml:space="preserve"> PAGEREF _Toc120009021 \h </w:instrText>
        </w:r>
        <w:r w:rsidR="00B07E11">
          <w:rPr>
            <w:webHidden/>
          </w:rPr>
        </w:r>
        <w:r w:rsidR="00B07E11">
          <w:rPr>
            <w:webHidden/>
          </w:rPr>
          <w:fldChar w:fldCharType="separate"/>
        </w:r>
        <w:r w:rsidR="00DF3793">
          <w:rPr>
            <w:webHidden/>
          </w:rPr>
          <w:t>8</w:t>
        </w:r>
        <w:r w:rsidR="00B07E11">
          <w:rPr>
            <w:webHidden/>
          </w:rPr>
          <w:fldChar w:fldCharType="end"/>
        </w:r>
      </w:hyperlink>
    </w:p>
    <w:p w14:paraId="3507EE03" w14:textId="682F4D9B" w:rsidR="00B07E11" w:rsidRDefault="00000000">
      <w:pPr>
        <w:pStyle w:val="TOC3"/>
        <w:rPr>
          <w:rFonts w:asciiTheme="minorHAnsi" w:eastAsiaTheme="minorEastAsia" w:hAnsiTheme="minorHAnsi" w:cstheme="minorBidi"/>
          <w:szCs w:val="22"/>
        </w:rPr>
      </w:pPr>
      <w:hyperlink w:anchor="_Toc120009022" w:history="1">
        <w:r w:rsidR="00B07E11" w:rsidRPr="00930F4C">
          <w:rPr>
            <w:rStyle w:val="Hyperlink"/>
          </w:rPr>
          <w:t>Table 2: Estimate of amount of revenue recovered or preserved (2021–22)</w:t>
        </w:r>
        <w:r w:rsidR="00B07E11">
          <w:rPr>
            <w:webHidden/>
          </w:rPr>
          <w:tab/>
        </w:r>
        <w:r w:rsidR="00B07E11">
          <w:rPr>
            <w:webHidden/>
          </w:rPr>
          <w:fldChar w:fldCharType="begin"/>
        </w:r>
        <w:r w:rsidR="00B07E11">
          <w:rPr>
            <w:webHidden/>
          </w:rPr>
          <w:instrText xml:space="preserve"> PAGEREF _Toc120009022 \h </w:instrText>
        </w:r>
        <w:r w:rsidR="00B07E11">
          <w:rPr>
            <w:webHidden/>
          </w:rPr>
        </w:r>
        <w:r w:rsidR="00B07E11">
          <w:rPr>
            <w:webHidden/>
          </w:rPr>
          <w:fldChar w:fldCharType="separate"/>
        </w:r>
        <w:r w:rsidR="00DF3793">
          <w:rPr>
            <w:webHidden/>
          </w:rPr>
          <w:t>9</w:t>
        </w:r>
        <w:r w:rsidR="00B07E11">
          <w:rPr>
            <w:webHidden/>
          </w:rPr>
          <w:fldChar w:fldCharType="end"/>
        </w:r>
      </w:hyperlink>
    </w:p>
    <w:p w14:paraId="0C42C734" w14:textId="00B47EDD" w:rsidR="00B07E11" w:rsidRDefault="00000000">
      <w:pPr>
        <w:pStyle w:val="TOC1"/>
        <w:rPr>
          <w:rFonts w:asciiTheme="minorHAnsi" w:eastAsiaTheme="minorEastAsia" w:hAnsiTheme="minorHAnsi" w:cstheme="minorBidi"/>
          <w:b w:val="0"/>
          <w:color w:val="auto"/>
        </w:rPr>
      </w:pPr>
      <w:hyperlink w:anchor="_Toc120009023" w:history="1">
        <w:r w:rsidR="00B07E11" w:rsidRPr="00930F4C">
          <w:rPr>
            <w:rStyle w:val="Hyperlink"/>
          </w:rPr>
          <w:t>Australian Observations</w:t>
        </w:r>
        <w:r w:rsidR="00B07E11">
          <w:rPr>
            <w:webHidden/>
          </w:rPr>
          <w:tab/>
        </w:r>
        <w:r w:rsidR="00B07E11">
          <w:rPr>
            <w:webHidden/>
          </w:rPr>
          <w:fldChar w:fldCharType="begin"/>
        </w:r>
        <w:r w:rsidR="00B07E11">
          <w:rPr>
            <w:webHidden/>
          </w:rPr>
          <w:instrText xml:space="preserve"> PAGEREF _Toc120009023 \h </w:instrText>
        </w:r>
        <w:r w:rsidR="00B07E11">
          <w:rPr>
            <w:webHidden/>
          </w:rPr>
        </w:r>
        <w:r w:rsidR="00B07E11">
          <w:rPr>
            <w:webHidden/>
          </w:rPr>
          <w:fldChar w:fldCharType="separate"/>
        </w:r>
        <w:r w:rsidR="00DF3793">
          <w:rPr>
            <w:webHidden/>
          </w:rPr>
          <w:t>10</w:t>
        </w:r>
        <w:r w:rsidR="00B07E11">
          <w:rPr>
            <w:webHidden/>
          </w:rPr>
          <w:fldChar w:fldCharType="end"/>
        </w:r>
      </w:hyperlink>
    </w:p>
    <w:p w14:paraId="78E0CEC2" w14:textId="1AD0CBA6" w:rsidR="00B07E11" w:rsidRDefault="00000000">
      <w:pPr>
        <w:pStyle w:val="TOC2"/>
        <w:rPr>
          <w:rFonts w:asciiTheme="minorHAnsi" w:eastAsiaTheme="minorEastAsia" w:hAnsiTheme="minorHAnsi" w:cstheme="minorBidi"/>
          <w:color w:val="auto"/>
          <w:szCs w:val="22"/>
        </w:rPr>
      </w:pPr>
      <w:hyperlink w:anchor="_Toc120009024" w:history="1">
        <w:r w:rsidR="00B07E11" w:rsidRPr="00930F4C">
          <w:rPr>
            <w:rStyle w:val="Hyperlink"/>
          </w:rPr>
          <w:t>Evolution of ESST</w:t>
        </w:r>
        <w:r w:rsidR="00B07E11">
          <w:rPr>
            <w:webHidden/>
          </w:rPr>
          <w:tab/>
        </w:r>
        <w:r w:rsidR="00B07E11">
          <w:rPr>
            <w:webHidden/>
          </w:rPr>
          <w:fldChar w:fldCharType="begin"/>
        </w:r>
        <w:r w:rsidR="00B07E11">
          <w:rPr>
            <w:webHidden/>
          </w:rPr>
          <w:instrText xml:space="preserve"> PAGEREF _Toc120009024 \h </w:instrText>
        </w:r>
        <w:r w:rsidR="00B07E11">
          <w:rPr>
            <w:webHidden/>
          </w:rPr>
        </w:r>
        <w:r w:rsidR="00B07E11">
          <w:rPr>
            <w:webHidden/>
          </w:rPr>
          <w:fldChar w:fldCharType="separate"/>
        </w:r>
        <w:r w:rsidR="00DF3793">
          <w:rPr>
            <w:webHidden/>
          </w:rPr>
          <w:t>10</w:t>
        </w:r>
        <w:r w:rsidR="00B07E11">
          <w:rPr>
            <w:webHidden/>
          </w:rPr>
          <w:fldChar w:fldCharType="end"/>
        </w:r>
      </w:hyperlink>
    </w:p>
    <w:p w14:paraId="6368E382" w14:textId="39106F1C" w:rsidR="00B07E11" w:rsidRDefault="00000000">
      <w:pPr>
        <w:pStyle w:val="TOC2"/>
        <w:rPr>
          <w:rFonts w:asciiTheme="minorHAnsi" w:eastAsiaTheme="minorEastAsia" w:hAnsiTheme="minorHAnsi" w:cstheme="minorBidi"/>
          <w:color w:val="auto"/>
          <w:szCs w:val="22"/>
        </w:rPr>
      </w:pPr>
      <w:hyperlink w:anchor="_Toc120009025" w:history="1">
        <w:r w:rsidR="00B07E11" w:rsidRPr="00930F4C">
          <w:rPr>
            <w:rStyle w:val="Hyperlink"/>
          </w:rPr>
          <w:t>Shadow economy behaviours observed</w:t>
        </w:r>
        <w:r w:rsidR="00B07E11">
          <w:rPr>
            <w:webHidden/>
          </w:rPr>
          <w:tab/>
        </w:r>
        <w:r w:rsidR="00B07E11">
          <w:rPr>
            <w:webHidden/>
          </w:rPr>
          <w:fldChar w:fldCharType="begin"/>
        </w:r>
        <w:r w:rsidR="00B07E11">
          <w:rPr>
            <w:webHidden/>
          </w:rPr>
          <w:instrText xml:space="preserve"> PAGEREF _Toc120009025 \h </w:instrText>
        </w:r>
        <w:r w:rsidR="00B07E11">
          <w:rPr>
            <w:webHidden/>
          </w:rPr>
        </w:r>
        <w:r w:rsidR="00B07E11">
          <w:rPr>
            <w:webHidden/>
          </w:rPr>
          <w:fldChar w:fldCharType="separate"/>
        </w:r>
        <w:r w:rsidR="00DF3793">
          <w:rPr>
            <w:webHidden/>
          </w:rPr>
          <w:t>10</w:t>
        </w:r>
        <w:r w:rsidR="00B07E11">
          <w:rPr>
            <w:webHidden/>
          </w:rPr>
          <w:fldChar w:fldCharType="end"/>
        </w:r>
      </w:hyperlink>
    </w:p>
    <w:p w14:paraId="49ECD5F5" w14:textId="3A819503" w:rsidR="00B07E11" w:rsidRDefault="00000000">
      <w:pPr>
        <w:pStyle w:val="TOC2"/>
        <w:rPr>
          <w:rFonts w:asciiTheme="minorHAnsi" w:eastAsiaTheme="minorEastAsia" w:hAnsiTheme="minorHAnsi" w:cstheme="minorBidi"/>
          <w:color w:val="auto"/>
          <w:szCs w:val="22"/>
        </w:rPr>
      </w:pPr>
      <w:hyperlink w:anchor="_Toc120009026" w:history="1">
        <w:r w:rsidR="00B07E11" w:rsidRPr="00930F4C">
          <w:rPr>
            <w:rStyle w:val="Hyperlink"/>
          </w:rPr>
          <w:t>Impacts of COVID</w:t>
        </w:r>
        <w:r w:rsidR="00B07E11" w:rsidRPr="00930F4C">
          <w:rPr>
            <w:rStyle w:val="Hyperlink"/>
          </w:rPr>
          <w:noBreakHyphen/>
          <w:t>19 Pandemic</w:t>
        </w:r>
        <w:r w:rsidR="00B07E11">
          <w:rPr>
            <w:webHidden/>
          </w:rPr>
          <w:tab/>
        </w:r>
        <w:r w:rsidR="00B07E11">
          <w:rPr>
            <w:webHidden/>
          </w:rPr>
          <w:fldChar w:fldCharType="begin"/>
        </w:r>
        <w:r w:rsidR="00B07E11">
          <w:rPr>
            <w:webHidden/>
          </w:rPr>
          <w:instrText xml:space="preserve"> PAGEREF _Toc120009026 \h </w:instrText>
        </w:r>
        <w:r w:rsidR="00B07E11">
          <w:rPr>
            <w:webHidden/>
          </w:rPr>
        </w:r>
        <w:r w:rsidR="00B07E11">
          <w:rPr>
            <w:webHidden/>
          </w:rPr>
          <w:fldChar w:fldCharType="separate"/>
        </w:r>
        <w:r w:rsidR="00DF3793">
          <w:rPr>
            <w:webHidden/>
          </w:rPr>
          <w:t>11</w:t>
        </w:r>
        <w:r w:rsidR="00B07E11">
          <w:rPr>
            <w:webHidden/>
          </w:rPr>
          <w:fldChar w:fldCharType="end"/>
        </w:r>
      </w:hyperlink>
    </w:p>
    <w:p w14:paraId="1DD8E8C7" w14:textId="2AAADC10" w:rsidR="00B07E11" w:rsidRDefault="00000000">
      <w:pPr>
        <w:pStyle w:val="TOC2"/>
        <w:rPr>
          <w:rFonts w:asciiTheme="minorHAnsi" w:eastAsiaTheme="minorEastAsia" w:hAnsiTheme="minorHAnsi" w:cstheme="minorBidi"/>
          <w:color w:val="auto"/>
          <w:szCs w:val="22"/>
        </w:rPr>
      </w:pPr>
      <w:hyperlink w:anchor="_Toc120009027" w:history="1">
        <w:r w:rsidR="00B07E11" w:rsidRPr="00930F4C">
          <w:rPr>
            <w:rStyle w:val="Hyperlink"/>
          </w:rPr>
          <w:t>Appropriateness of criminal vs. civil penalties</w:t>
        </w:r>
        <w:r w:rsidR="00B07E11">
          <w:rPr>
            <w:webHidden/>
          </w:rPr>
          <w:tab/>
        </w:r>
        <w:r w:rsidR="00B07E11">
          <w:rPr>
            <w:webHidden/>
          </w:rPr>
          <w:fldChar w:fldCharType="begin"/>
        </w:r>
        <w:r w:rsidR="00B07E11">
          <w:rPr>
            <w:webHidden/>
          </w:rPr>
          <w:instrText xml:space="preserve"> PAGEREF _Toc120009027 \h </w:instrText>
        </w:r>
        <w:r w:rsidR="00B07E11">
          <w:rPr>
            <w:webHidden/>
          </w:rPr>
        </w:r>
        <w:r w:rsidR="00B07E11">
          <w:rPr>
            <w:webHidden/>
          </w:rPr>
          <w:fldChar w:fldCharType="separate"/>
        </w:r>
        <w:r w:rsidR="00DF3793">
          <w:rPr>
            <w:webHidden/>
          </w:rPr>
          <w:t>11</w:t>
        </w:r>
        <w:r w:rsidR="00B07E11">
          <w:rPr>
            <w:webHidden/>
          </w:rPr>
          <w:fldChar w:fldCharType="end"/>
        </w:r>
      </w:hyperlink>
    </w:p>
    <w:p w14:paraId="2566ECCA" w14:textId="77B70436" w:rsidR="00B07E11" w:rsidRDefault="00000000">
      <w:pPr>
        <w:pStyle w:val="TOC2"/>
        <w:rPr>
          <w:rFonts w:asciiTheme="minorHAnsi" w:eastAsiaTheme="minorEastAsia" w:hAnsiTheme="minorHAnsi" w:cstheme="minorBidi"/>
          <w:color w:val="auto"/>
          <w:szCs w:val="22"/>
        </w:rPr>
      </w:pPr>
      <w:hyperlink w:anchor="_Toc120009028" w:history="1">
        <w:r w:rsidR="00B07E11" w:rsidRPr="00930F4C">
          <w:rPr>
            <w:rStyle w:val="Hyperlink"/>
          </w:rPr>
          <w:t>Penalty effectiveness</w:t>
        </w:r>
        <w:r w:rsidR="00B07E11">
          <w:rPr>
            <w:webHidden/>
          </w:rPr>
          <w:tab/>
        </w:r>
        <w:r w:rsidR="00B07E11">
          <w:rPr>
            <w:webHidden/>
          </w:rPr>
          <w:fldChar w:fldCharType="begin"/>
        </w:r>
        <w:r w:rsidR="00B07E11">
          <w:rPr>
            <w:webHidden/>
          </w:rPr>
          <w:instrText xml:space="preserve"> PAGEREF _Toc120009028 \h </w:instrText>
        </w:r>
        <w:r w:rsidR="00B07E11">
          <w:rPr>
            <w:webHidden/>
          </w:rPr>
        </w:r>
        <w:r w:rsidR="00B07E11">
          <w:rPr>
            <w:webHidden/>
          </w:rPr>
          <w:fldChar w:fldCharType="separate"/>
        </w:r>
        <w:r w:rsidR="00DF3793">
          <w:rPr>
            <w:webHidden/>
          </w:rPr>
          <w:t>12</w:t>
        </w:r>
        <w:r w:rsidR="00B07E11">
          <w:rPr>
            <w:webHidden/>
          </w:rPr>
          <w:fldChar w:fldCharType="end"/>
        </w:r>
      </w:hyperlink>
    </w:p>
    <w:p w14:paraId="7896DAB2" w14:textId="2D6CB773" w:rsidR="00B07E11" w:rsidRDefault="00000000">
      <w:pPr>
        <w:pStyle w:val="TOC2"/>
        <w:rPr>
          <w:rFonts w:asciiTheme="minorHAnsi" w:eastAsiaTheme="minorEastAsia" w:hAnsiTheme="minorHAnsi" w:cstheme="minorBidi"/>
          <w:color w:val="auto"/>
          <w:szCs w:val="22"/>
        </w:rPr>
      </w:pPr>
      <w:hyperlink w:anchor="_Toc120009029" w:history="1">
        <w:r w:rsidR="00B07E11" w:rsidRPr="00930F4C">
          <w:rPr>
            <w:rStyle w:val="Hyperlink"/>
          </w:rPr>
          <w:t>Use of the Commissioners’ discretion</w:t>
        </w:r>
        <w:r w:rsidR="00B07E11">
          <w:rPr>
            <w:webHidden/>
          </w:rPr>
          <w:tab/>
        </w:r>
        <w:r w:rsidR="00B07E11">
          <w:rPr>
            <w:webHidden/>
          </w:rPr>
          <w:fldChar w:fldCharType="begin"/>
        </w:r>
        <w:r w:rsidR="00B07E11">
          <w:rPr>
            <w:webHidden/>
          </w:rPr>
          <w:instrText xml:space="preserve"> PAGEREF _Toc120009029 \h </w:instrText>
        </w:r>
        <w:r w:rsidR="00B07E11">
          <w:rPr>
            <w:webHidden/>
          </w:rPr>
        </w:r>
        <w:r w:rsidR="00B07E11">
          <w:rPr>
            <w:webHidden/>
          </w:rPr>
          <w:fldChar w:fldCharType="separate"/>
        </w:r>
        <w:r w:rsidR="00DF3793">
          <w:rPr>
            <w:webHidden/>
          </w:rPr>
          <w:t>12</w:t>
        </w:r>
        <w:r w:rsidR="00B07E11">
          <w:rPr>
            <w:webHidden/>
          </w:rPr>
          <w:fldChar w:fldCharType="end"/>
        </w:r>
      </w:hyperlink>
    </w:p>
    <w:p w14:paraId="4E50CC49" w14:textId="60200C2B" w:rsidR="00B07E11" w:rsidRDefault="00000000">
      <w:pPr>
        <w:pStyle w:val="TOC2"/>
        <w:rPr>
          <w:rFonts w:asciiTheme="minorHAnsi" w:eastAsiaTheme="minorEastAsia" w:hAnsiTheme="minorHAnsi" w:cstheme="minorBidi"/>
          <w:color w:val="auto"/>
          <w:szCs w:val="22"/>
        </w:rPr>
      </w:pPr>
      <w:hyperlink w:anchor="_Toc120009030" w:history="1">
        <w:r w:rsidR="00B07E11" w:rsidRPr="00930F4C">
          <w:rPr>
            <w:rStyle w:val="Hyperlink"/>
          </w:rPr>
          <w:t>Regulatory support</w:t>
        </w:r>
        <w:r w:rsidR="00B07E11">
          <w:rPr>
            <w:webHidden/>
          </w:rPr>
          <w:tab/>
        </w:r>
        <w:r w:rsidR="00B07E11">
          <w:rPr>
            <w:webHidden/>
          </w:rPr>
          <w:fldChar w:fldCharType="begin"/>
        </w:r>
        <w:r w:rsidR="00B07E11">
          <w:rPr>
            <w:webHidden/>
          </w:rPr>
          <w:instrText xml:space="preserve"> PAGEREF _Toc120009030 \h </w:instrText>
        </w:r>
        <w:r w:rsidR="00B07E11">
          <w:rPr>
            <w:webHidden/>
          </w:rPr>
        </w:r>
        <w:r w:rsidR="00B07E11">
          <w:rPr>
            <w:webHidden/>
          </w:rPr>
          <w:fldChar w:fldCharType="separate"/>
        </w:r>
        <w:r w:rsidR="00DF3793">
          <w:rPr>
            <w:webHidden/>
          </w:rPr>
          <w:t>12</w:t>
        </w:r>
        <w:r w:rsidR="00B07E11">
          <w:rPr>
            <w:webHidden/>
          </w:rPr>
          <w:fldChar w:fldCharType="end"/>
        </w:r>
      </w:hyperlink>
    </w:p>
    <w:p w14:paraId="0CB9DC79" w14:textId="65310110" w:rsidR="00B07E11" w:rsidRDefault="00000000">
      <w:pPr>
        <w:pStyle w:val="TOC1"/>
        <w:rPr>
          <w:rFonts w:asciiTheme="minorHAnsi" w:eastAsiaTheme="minorEastAsia" w:hAnsiTheme="minorHAnsi" w:cstheme="minorBidi"/>
          <w:b w:val="0"/>
          <w:color w:val="auto"/>
        </w:rPr>
      </w:pPr>
      <w:hyperlink w:anchor="_Toc120009031" w:history="1">
        <w:r w:rsidR="00B07E11" w:rsidRPr="00930F4C">
          <w:rPr>
            <w:rStyle w:val="Hyperlink"/>
          </w:rPr>
          <w:t>International Developments</w:t>
        </w:r>
        <w:r w:rsidR="00B07E11">
          <w:rPr>
            <w:webHidden/>
          </w:rPr>
          <w:tab/>
        </w:r>
        <w:r w:rsidR="00B07E11">
          <w:rPr>
            <w:webHidden/>
          </w:rPr>
          <w:fldChar w:fldCharType="begin"/>
        </w:r>
        <w:r w:rsidR="00B07E11">
          <w:rPr>
            <w:webHidden/>
          </w:rPr>
          <w:instrText xml:space="preserve"> PAGEREF _Toc120009031 \h </w:instrText>
        </w:r>
        <w:r w:rsidR="00B07E11">
          <w:rPr>
            <w:webHidden/>
          </w:rPr>
        </w:r>
        <w:r w:rsidR="00B07E11">
          <w:rPr>
            <w:webHidden/>
          </w:rPr>
          <w:fldChar w:fldCharType="separate"/>
        </w:r>
        <w:r w:rsidR="00DF3793">
          <w:rPr>
            <w:webHidden/>
          </w:rPr>
          <w:t>13</w:t>
        </w:r>
        <w:r w:rsidR="00B07E11">
          <w:rPr>
            <w:webHidden/>
          </w:rPr>
          <w:fldChar w:fldCharType="end"/>
        </w:r>
      </w:hyperlink>
    </w:p>
    <w:p w14:paraId="514BBA2A" w14:textId="14E71155" w:rsidR="00B07E11" w:rsidRDefault="00000000">
      <w:pPr>
        <w:pStyle w:val="TOC2"/>
        <w:rPr>
          <w:rFonts w:asciiTheme="minorHAnsi" w:eastAsiaTheme="minorEastAsia" w:hAnsiTheme="minorHAnsi" w:cstheme="minorBidi"/>
          <w:color w:val="auto"/>
          <w:szCs w:val="22"/>
        </w:rPr>
      </w:pPr>
      <w:hyperlink w:anchor="_Toc120009032" w:history="1">
        <w:r w:rsidR="00B07E11" w:rsidRPr="00930F4C">
          <w:rPr>
            <w:rStyle w:val="Hyperlink"/>
          </w:rPr>
          <w:t>International Action</w:t>
        </w:r>
        <w:r w:rsidR="00B07E11">
          <w:rPr>
            <w:webHidden/>
          </w:rPr>
          <w:tab/>
        </w:r>
        <w:r w:rsidR="00B07E11">
          <w:rPr>
            <w:webHidden/>
          </w:rPr>
          <w:fldChar w:fldCharType="begin"/>
        </w:r>
        <w:r w:rsidR="00B07E11">
          <w:rPr>
            <w:webHidden/>
          </w:rPr>
          <w:instrText xml:space="preserve"> PAGEREF _Toc120009032 \h </w:instrText>
        </w:r>
        <w:r w:rsidR="00B07E11">
          <w:rPr>
            <w:webHidden/>
          </w:rPr>
        </w:r>
        <w:r w:rsidR="00B07E11">
          <w:rPr>
            <w:webHidden/>
          </w:rPr>
          <w:fldChar w:fldCharType="separate"/>
        </w:r>
        <w:r w:rsidR="00DF3793">
          <w:rPr>
            <w:webHidden/>
          </w:rPr>
          <w:t>13</w:t>
        </w:r>
        <w:r w:rsidR="00B07E11">
          <w:rPr>
            <w:webHidden/>
          </w:rPr>
          <w:fldChar w:fldCharType="end"/>
        </w:r>
      </w:hyperlink>
    </w:p>
    <w:p w14:paraId="6131BD8A" w14:textId="6B13D0AB" w:rsidR="00B07E11" w:rsidRDefault="00000000">
      <w:pPr>
        <w:pStyle w:val="TOC2"/>
        <w:rPr>
          <w:rFonts w:asciiTheme="minorHAnsi" w:eastAsiaTheme="minorEastAsia" w:hAnsiTheme="minorHAnsi" w:cstheme="minorBidi"/>
          <w:color w:val="auto"/>
          <w:szCs w:val="22"/>
        </w:rPr>
      </w:pPr>
      <w:hyperlink w:anchor="_Toc120009033" w:history="1">
        <w:r w:rsidR="00B07E11" w:rsidRPr="00930F4C">
          <w:rPr>
            <w:rStyle w:val="Hyperlink"/>
          </w:rPr>
          <w:t>Subsequent OECD research</w:t>
        </w:r>
        <w:r w:rsidR="00B07E11">
          <w:rPr>
            <w:webHidden/>
          </w:rPr>
          <w:tab/>
        </w:r>
        <w:r w:rsidR="00B07E11">
          <w:rPr>
            <w:webHidden/>
          </w:rPr>
          <w:fldChar w:fldCharType="begin"/>
        </w:r>
        <w:r w:rsidR="00B07E11">
          <w:rPr>
            <w:webHidden/>
          </w:rPr>
          <w:instrText xml:space="preserve"> PAGEREF _Toc120009033 \h </w:instrText>
        </w:r>
        <w:r w:rsidR="00B07E11">
          <w:rPr>
            <w:webHidden/>
          </w:rPr>
        </w:r>
        <w:r w:rsidR="00B07E11">
          <w:rPr>
            <w:webHidden/>
          </w:rPr>
          <w:fldChar w:fldCharType="separate"/>
        </w:r>
        <w:r w:rsidR="00DF3793">
          <w:rPr>
            <w:webHidden/>
          </w:rPr>
          <w:t>14</w:t>
        </w:r>
        <w:r w:rsidR="00B07E11">
          <w:rPr>
            <w:webHidden/>
          </w:rPr>
          <w:fldChar w:fldCharType="end"/>
        </w:r>
      </w:hyperlink>
    </w:p>
    <w:p w14:paraId="4C4140A2" w14:textId="120EEACE" w:rsidR="00B07E11" w:rsidRDefault="00000000">
      <w:pPr>
        <w:pStyle w:val="TOC1"/>
        <w:rPr>
          <w:rFonts w:asciiTheme="minorHAnsi" w:eastAsiaTheme="minorEastAsia" w:hAnsiTheme="minorHAnsi" w:cstheme="minorBidi"/>
          <w:b w:val="0"/>
          <w:color w:val="auto"/>
        </w:rPr>
      </w:pPr>
      <w:hyperlink w:anchor="_Toc120009034" w:history="1">
        <w:r w:rsidR="00B07E11" w:rsidRPr="00930F4C">
          <w:rPr>
            <w:rStyle w:val="Hyperlink"/>
          </w:rPr>
          <w:t>Summary and Key Findings</w:t>
        </w:r>
        <w:r w:rsidR="00B07E11">
          <w:rPr>
            <w:webHidden/>
          </w:rPr>
          <w:tab/>
        </w:r>
        <w:r w:rsidR="00B07E11">
          <w:rPr>
            <w:webHidden/>
          </w:rPr>
          <w:fldChar w:fldCharType="begin"/>
        </w:r>
        <w:r w:rsidR="00B07E11">
          <w:rPr>
            <w:webHidden/>
          </w:rPr>
          <w:instrText xml:space="preserve"> PAGEREF _Toc120009034 \h </w:instrText>
        </w:r>
        <w:r w:rsidR="00B07E11">
          <w:rPr>
            <w:webHidden/>
          </w:rPr>
        </w:r>
        <w:r w:rsidR="00B07E11">
          <w:rPr>
            <w:webHidden/>
          </w:rPr>
          <w:fldChar w:fldCharType="separate"/>
        </w:r>
        <w:r w:rsidR="00DF3793">
          <w:rPr>
            <w:webHidden/>
          </w:rPr>
          <w:t>15</w:t>
        </w:r>
        <w:r w:rsidR="00B07E11">
          <w:rPr>
            <w:webHidden/>
          </w:rPr>
          <w:fldChar w:fldCharType="end"/>
        </w:r>
      </w:hyperlink>
    </w:p>
    <w:p w14:paraId="7E595719" w14:textId="3A9475C4" w:rsidR="00B07E11" w:rsidRDefault="00000000">
      <w:pPr>
        <w:pStyle w:val="TOC1"/>
        <w:rPr>
          <w:rFonts w:asciiTheme="minorHAnsi" w:eastAsiaTheme="minorEastAsia" w:hAnsiTheme="minorHAnsi" w:cstheme="minorBidi"/>
          <w:b w:val="0"/>
          <w:color w:val="auto"/>
        </w:rPr>
      </w:pPr>
      <w:hyperlink w:anchor="_Toc120009035" w:history="1">
        <w:r w:rsidR="00B07E11" w:rsidRPr="00930F4C">
          <w:rPr>
            <w:rStyle w:val="Hyperlink"/>
          </w:rPr>
          <w:t>Appendix – Summary of relevant provisions</w:t>
        </w:r>
        <w:r w:rsidR="00B07E11">
          <w:rPr>
            <w:webHidden/>
          </w:rPr>
          <w:tab/>
        </w:r>
        <w:r w:rsidR="00B07E11">
          <w:rPr>
            <w:webHidden/>
          </w:rPr>
          <w:fldChar w:fldCharType="begin"/>
        </w:r>
        <w:r w:rsidR="00B07E11">
          <w:rPr>
            <w:webHidden/>
          </w:rPr>
          <w:instrText xml:space="preserve"> PAGEREF _Toc120009035 \h </w:instrText>
        </w:r>
        <w:r w:rsidR="00B07E11">
          <w:rPr>
            <w:webHidden/>
          </w:rPr>
        </w:r>
        <w:r w:rsidR="00B07E11">
          <w:rPr>
            <w:webHidden/>
          </w:rPr>
          <w:fldChar w:fldCharType="separate"/>
        </w:r>
        <w:r w:rsidR="00DF3793">
          <w:rPr>
            <w:webHidden/>
          </w:rPr>
          <w:t>16</w:t>
        </w:r>
        <w:r w:rsidR="00B07E11">
          <w:rPr>
            <w:webHidden/>
          </w:rPr>
          <w:fldChar w:fldCharType="end"/>
        </w:r>
      </w:hyperlink>
    </w:p>
    <w:p w14:paraId="446F4887" w14:textId="215ECE96" w:rsidR="00B07E11" w:rsidRDefault="00000000">
      <w:pPr>
        <w:pStyle w:val="TOC2"/>
        <w:rPr>
          <w:rFonts w:asciiTheme="minorHAnsi" w:eastAsiaTheme="minorEastAsia" w:hAnsiTheme="minorHAnsi" w:cstheme="minorBidi"/>
          <w:color w:val="auto"/>
          <w:szCs w:val="22"/>
        </w:rPr>
      </w:pPr>
      <w:hyperlink w:anchor="_Toc120009036" w:history="1">
        <w:r w:rsidR="00B07E11" w:rsidRPr="00930F4C">
          <w:rPr>
            <w:rStyle w:val="Hyperlink"/>
          </w:rPr>
          <w:t>Definition of electronic sales suppression tools</w:t>
        </w:r>
        <w:r w:rsidR="00B07E11">
          <w:rPr>
            <w:webHidden/>
          </w:rPr>
          <w:tab/>
        </w:r>
        <w:r w:rsidR="00B07E11">
          <w:rPr>
            <w:webHidden/>
          </w:rPr>
          <w:fldChar w:fldCharType="begin"/>
        </w:r>
        <w:r w:rsidR="00B07E11">
          <w:rPr>
            <w:webHidden/>
          </w:rPr>
          <w:instrText xml:space="preserve"> PAGEREF _Toc120009036 \h </w:instrText>
        </w:r>
        <w:r w:rsidR="00B07E11">
          <w:rPr>
            <w:webHidden/>
          </w:rPr>
        </w:r>
        <w:r w:rsidR="00B07E11">
          <w:rPr>
            <w:webHidden/>
          </w:rPr>
          <w:fldChar w:fldCharType="separate"/>
        </w:r>
        <w:r w:rsidR="00DF3793">
          <w:rPr>
            <w:webHidden/>
          </w:rPr>
          <w:t>16</w:t>
        </w:r>
        <w:r w:rsidR="00B07E11">
          <w:rPr>
            <w:webHidden/>
          </w:rPr>
          <w:fldChar w:fldCharType="end"/>
        </w:r>
      </w:hyperlink>
    </w:p>
    <w:p w14:paraId="7C3E32FD" w14:textId="13948E1D" w:rsidR="00B07E11" w:rsidRDefault="00000000">
      <w:pPr>
        <w:pStyle w:val="TOC2"/>
        <w:rPr>
          <w:rFonts w:asciiTheme="minorHAnsi" w:eastAsiaTheme="minorEastAsia" w:hAnsiTheme="minorHAnsi" w:cstheme="minorBidi"/>
          <w:color w:val="auto"/>
          <w:szCs w:val="22"/>
        </w:rPr>
      </w:pPr>
      <w:hyperlink w:anchor="_Toc120009037" w:history="1">
        <w:r w:rsidR="00B07E11" w:rsidRPr="00930F4C">
          <w:rPr>
            <w:rStyle w:val="Hyperlink"/>
          </w:rPr>
          <w:t>Offences</w:t>
        </w:r>
        <w:r w:rsidR="00B07E11">
          <w:rPr>
            <w:webHidden/>
          </w:rPr>
          <w:tab/>
        </w:r>
        <w:r w:rsidR="00B07E11">
          <w:rPr>
            <w:webHidden/>
          </w:rPr>
          <w:fldChar w:fldCharType="begin"/>
        </w:r>
        <w:r w:rsidR="00B07E11">
          <w:rPr>
            <w:webHidden/>
          </w:rPr>
          <w:instrText xml:space="preserve"> PAGEREF _Toc120009037 \h </w:instrText>
        </w:r>
        <w:r w:rsidR="00B07E11">
          <w:rPr>
            <w:webHidden/>
          </w:rPr>
        </w:r>
        <w:r w:rsidR="00B07E11">
          <w:rPr>
            <w:webHidden/>
          </w:rPr>
          <w:fldChar w:fldCharType="separate"/>
        </w:r>
        <w:r w:rsidR="00DF3793">
          <w:rPr>
            <w:webHidden/>
          </w:rPr>
          <w:t>16</w:t>
        </w:r>
        <w:r w:rsidR="00B07E11">
          <w:rPr>
            <w:webHidden/>
          </w:rPr>
          <w:fldChar w:fldCharType="end"/>
        </w:r>
      </w:hyperlink>
    </w:p>
    <w:p w14:paraId="79370CD7" w14:textId="773256BE" w:rsidR="00B07E11" w:rsidRDefault="00000000">
      <w:pPr>
        <w:pStyle w:val="TOC3"/>
        <w:rPr>
          <w:rFonts w:asciiTheme="minorHAnsi" w:eastAsiaTheme="minorEastAsia" w:hAnsiTheme="minorHAnsi" w:cstheme="minorBidi"/>
          <w:szCs w:val="22"/>
        </w:rPr>
      </w:pPr>
      <w:hyperlink w:anchor="_Toc120009038" w:history="1">
        <w:r w:rsidR="00B07E11" w:rsidRPr="00930F4C">
          <w:rPr>
            <w:rStyle w:val="Hyperlink"/>
          </w:rPr>
          <w:t>Production and supply</w:t>
        </w:r>
        <w:r w:rsidR="00B07E11">
          <w:rPr>
            <w:webHidden/>
          </w:rPr>
          <w:tab/>
        </w:r>
        <w:r w:rsidR="00B07E11">
          <w:rPr>
            <w:webHidden/>
          </w:rPr>
          <w:fldChar w:fldCharType="begin"/>
        </w:r>
        <w:r w:rsidR="00B07E11">
          <w:rPr>
            <w:webHidden/>
          </w:rPr>
          <w:instrText xml:space="preserve"> PAGEREF _Toc120009038 \h </w:instrText>
        </w:r>
        <w:r w:rsidR="00B07E11">
          <w:rPr>
            <w:webHidden/>
          </w:rPr>
        </w:r>
        <w:r w:rsidR="00B07E11">
          <w:rPr>
            <w:webHidden/>
          </w:rPr>
          <w:fldChar w:fldCharType="separate"/>
        </w:r>
        <w:r w:rsidR="00DF3793">
          <w:rPr>
            <w:webHidden/>
          </w:rPr>
          <w:t>16</w:t>
        </w:r>
        <w:r w:rsidR="00B07E11">
          <w:rPr>
            <w:webHidden/>
          </w:rPr>
          <w:fldChar w:fldCharType="end"/>
        </w:r>
      </w:hyperlink>
    </w:p>
    <w:p w14:paraId="4FF49AE7" w14:textId="07432A4F" w:rsidR="00B07E11" w:rsidRDefault="00000000">
      <w:pPr>
        <w:pStyle w:val="TOC3"/>
        <w:rPr>
          <w:rFonts w:asciiTheme="minorHAnsi" w:eastAsiaTheme="minorEastAsia" w:hAnsiTheme="minorHAnsi" w:cstheme="minorBidi"/>
          <w:szCs w:val="22"/>
        </w:rPr>
      </w:pPr>
      <w:hyperlink w:anchor="_Toc120009039" w:history="1">
        <w:r w:rsidR="00B07E11" w:rsidRPr="00930F4C">
          <w:rPr>
            <w:rStyle w:val="Hyperlink"/>
          </w:rPr>
          <w:t>Acquisition, Possession or Control</w:t>
        </w:r>
        <w:r w:rsidR="00B07E11">
          <w:rPr>
            <w:webHidden/>
          </w:rPr>
          <w:tab/>
        </w:r>
        <w:r w:rsidR="00B07E11">
          <w:rPr>
            <w:webHidden/>
          </w:rPr>
          <w:fldChar w:fldCharType="begin"/>
        </w:r>
        <w:r w:rsidR="00B07E11">
          <w:rPr>
            <w:webHidden/>
          </w:rPr>
          <w:instrText xml:space="preserve"> PAGEREF _Toc120009039 \h </w:instrText>
        </w:r>
        <w:r w:rsidR="00B07E11">
          <w:rPr>
            <w:webHidden/>
          </w:rPr>
        </w:r>
        <w:r w:rsidR="00B07E11">
          <w:rPr>
            <w:webHidden/>
          </w:rPr>
          <w:fldChar w:fldCharType="separate"/>
        </w:r>
        <w:r w:rsidR="00DF3793">
          <w:rPr>
            <w:webHidden/>
          </w:rPr>
          <w:t>17</w:t>
        </w:r>
        <w:r w:rsidR="00B07E11">
          <w:rPr>
            <w:webHidden/>
          </w:rPr>
          <w:fldChar w:fldCharType="end"/>
        </w:r>
      </w:hyperlink>
    </w:p>
    <w:p w14:paraId="75E76110" w14:textId="37ECC3DF" w:rsidR="00B07E11" w:rsidRDefault="00000000">
      <w:pPr>
        <w:pStyle w:val="TOC3"/>
        <w:rPr>
          <w:rFonts w:asciiTheme="minorHAnsi" w:eastAsiaTheme="minorEastAsia" w:hAnsiTheme="minorHAnsi" w:cstheme="minorBidi"/>
          <w:szCs w:val="22"/>
        </w:rPr>
      </w:pPr>
      <w:hyperlink w:anchor="_Toc120009040" w:history="1">
        <w:r w:rsidR="00B07E11" w:rsidRPr="00930F4C">
          <w:rPr>
            <w:rStyle w:val="Hyperlink"/>
          </w:rPr>
          <w:t>Use</w:t>
        </w:r>
        <w:r w:rsidR="00B07E11">
          <w:rPr>
            <w:webHidden/>
          </w:rPr>
          <w:tab/>
        </w:r>
        <w:r w:rsidR="00B07E11">
          <w:rPr>
            <w:webHidden/>
          </w:rPr>
          <w:fldChar w:fldCharType="begin"/>
        </w:r>
        <w:r w:rsidR="00B07E11">
          <w:rPr>
            <w:webHidden/>
          </w:rPr>
          <w:instrText xml:space="preserve"> PAGEREF _Toc120009040 \h </w:instrText>
        </w:r>
        <w:r w:rsidR="00B07E11">
          <w:rPr>
            <w:webHidden/>
          </w:rPr>
        </w:r>
        <w:r w:rsidR="00B07E11">
          <w:rPr>
            <w:webHidden/>
          </w:rPr>
          <w:fldChar w:fldCharType="separate"/>
        </w:r>
        <w:r w:rsidR="00DF3793">
          <w:rPr>
            <w:webHidden/>
          </w:rPr>
          <w:t>17</w:t>
        </w:r>
        <w:r w:rsidR="00B07E11">
          <w:rPr>
            <w:webHidden/>
          </w:rPr>
          <w:fldChar w:fldCharType="end"/>
        </w:r>
      </w:hyperlink>
    </w:p>
    <w:p w14:paraId="48839826" w14:textId="0C351D42" w:rsidR="00B07E11" w:rsidRDefault="00000000">
      <w:pPr>
        <w:pStyle w:val="TOC2"/>
        <w:rPr>
          <w:rFonts w:asciiTheme="minorHAnsi" w:eastAsiaTheme="minorEastAsia" w:hAnsiTheme="minorHAnsi" w:cstheme="minorBidi"/>
          <w:color w:val="auto"/>
          <w:szCs w:val="22"/>
        </w:rPr>
      </w:pPr>
      <w:hyperlink w:anchor="_Toc120009041" w:history="1">
        <w:r w:rsidR="00B07E11" w:rsidRPr="00930F4C">
          <w:rPr>
            <w:rStyle w:val="Hyperlink"/>
          </w:rPr>
          <w:t>Defences</w:t>
        </w:r>
        <w:r w:rsidR="00B07E11">
          <w:rPr>
            <w:webHidden/>
          </w:rPr>
          <w:tab/>
        </w:r>
        <w:r w:rsidR="00B07E11">
          <w:rPr>
            <w:webHidden/>
          </w:rPr>
          <w:fldChar w:fldCharType="begin"/>
        </w:r>
        <w:r w:rsidR="00B07E11">
          <w:rPr>
            <w:webHidden/>
          </w:rPr>
          <w:instrText xml:space="preserve"> PAGEREF _Toc120009041 \h </w:instrText>
        </w:r>
        <w:r w:rsidR="00B07E11">
          <w:rPr>
            <w:webHidden/>
          </w:rPr>
        </w:r>
        <w:r w:rsidR="00B07E11">
          <w:rPr>
            <w:webHidden/>
          </w:rPr>
          <w:fldChar w:fldCharType="separate"/>
        </w:r>
        <w:r w:rsidR="00DF3793">
          <w:rPr>
            <w:webHidden/>
          </w:rPr>
          <w:t>18</w:t>
        </w:r>
        <w:r w:rsidR="00B07E11">
          <w:rPr>
            <w:webHidden/>
          </w:rPr>
          <w:fldChar w:fldCharType="end"/>
        </w:r>
      </w:hyperlink>
    </w:p>
    <w:p w14:paraId="7B70D506" w14:textId="3AFC7DC5" w:rsidR="00B07E11" w:rsidRDefault="00000000">
      <w:pPr>
        <w:pStyle w:val="TOC2"/>
        <w:rPr>
          <w:rFonts w:asciiTheme="minorHAnsi" w:eastAsiaTheme="minorEastAsia" w:hAnsiTheme="minorHAnsi" w:cstheme="minorBidi"/>
          <w:color w:val="auto"/>
          <w:szCs w:val="22"/>
        </w:rPr>
      </w:pPr>
      <w:hyperlink w:anchor="_Toc120009042" w:history="1">
        <w:r w:rsidR="00B07E11" w:rsidRPr="00930F4C">
          <w:rPr>
            <w:rStyle w:val="Hyperlink"/>
          </w:rPr>
          <w:t>Civil penalties</w:t>
        </w:r>
        <w:r w:rsidR="00B07E11">
          <w:rPr>
            <w:webHidden/>
          </w:rPr>
          <w:tab/>
        </w:r>
        <w:r w:rsidR="00B07E11">
          <w:rPr>
            <w:webHidden/>
          </w:rPr>
          <w:fldChar w:fldCharType="begin"/>
        </w:r>
        <w:r w:rsidR="00B07E11">
          <w:rPr>
            <w:webHidden/>
          </w:rPr>
          <w:instrText xml:space="preserve"> PAGEREF _Toc120009042 \h </w:instrText>
        </w:r>
        <w:r w:rsidR="00B07E11">
          <w:rPr>
            <w:webHidden/>
          </w:rPr>
        </w:r>
        <w:r w:rsidR="00B07E11">
          <w:rPr>
            <w:webHidden/>
          </w:rPr>
          <w:fldChar w:fldCharType="separate"/>
        </w:r>
        <w:r w:rsidR="00DF3793">
          <w:rPr>
            <w:webHidden/>
          </w:rPr>
          <w:t>18</w:t>
        </w:r>
        <w:r w:rsidR="00B07E11">
          <w:rPr>
            <w:webHidden/>
          </w:rPr>
          <w:fldChar w:fldCharType="end"/>
        </w:r>
      </w:hyperlink>
    </w:p>
    <w:p w14:paraId="32A9449C" w14:textId="40A33E20" w:rsidR="00B07E11" w:rsidRDefault="00000000">
      <w:pPr>
        <w:pStyle w:val="TOC2"/>
        <w:rPr>
          <w:rFonts w:asciiTheme="minorHAnsi" w:eastAsiaTheme="minorEastAsia" w:hAnsiTheme="minorHAnsi" w:cstheme="minorBidi"/>
          <w:color w:val="auto"/>
          <w:szCs w:val="22"/>
        </w:rPr>
      </w:pPr>
      <w:hyperlink w:anchor="_Toc120009043" w:history="1">
        <w:r w:rsidR="00B07E11" w:rsidRPr="00930F4C">
          <w:rPr>
            <w:rStyle w:val="Hyperlink"/>
          </w:rPr>
          <w:t>Transitional provisions</w:t>
        </w:r>
        <w:r w:rsidR="00B07E11">
          <w:rPr>
            <w:webHidden/>
          </w:rPr>
          <w:tab/>
        </w:r>
        <w:r w:rsidR="00B07E11">
          <w:rPr>
            <w:webHidden/>
          </w:rPr>
          <w:fldChar w:fldCharType="begin"/>
        </w:r>
        <w:r w:rsidR="00B07E11">
          <w:rPr>
            <w:webHidden/>
          </w:rPr>
          <w:instrText xml:space="preserve"> PAGEREF _Toc120009043 \h </w:instrText>
        </w:r>
        <w:r w:rsidR="00B07E11">
          <w:rPr>
            <w:webHidden/>
          </w:rPr>
        </w:r>
        <w:r w:rsidR="00B07E11">
          <w:rPr>
            <w:webHidden/>
          </w:rPr>
          <w:fldChar w:fldCharType="separate"/>
        </w:r>
        <w:r w:rsidR="00DF3793">
          <w:rPr>
            <w:webHidden/>
          </w:rPr>
          <w:t>19</w:t>
        </w:r>
        <w:r w:rsidR="00B07E11">
          <w:rPr>
            <w:webHidden/>
          </w:rPr>
          <w:fldChar w:fldCharType="end"/>
        </w:r>
      </w:hyperlink>
    </w:p>
    <w:p w14:paraId="29EACB50" w14:textId="22B9F136" w:rsidR="00F836F9" w:rsidRDefault="000E0B74" w:rsidP="0056582C">
      <w:pPr>
        <w:pStyle w:val="SingleParagraph"/>
        <w:ind w:right="-2"/>
      </w:pPr>
      <w:r>
        <w:fldChar w:fldCharType="end"/>
      </w:r>
      <w:bookmarkStart w:id="2" w:name="_Toc432067103"/>
      <w:bookmarkStart w:id="3" w:name="_Toc452635030"/>
    </w:p>
    <w:p w14:paraId="5DA3E75A" w14:textId="77777777" w:rsidR="00B775EE" w:rsidRPr="00981753" w:rsidRDefault="00B775EE" w:rsidP="00981753">
      <w:pPr>
        <w:sectPr w:rsidR="00B775EE" w:rsidRPr="00981753" w:rsidSect="00CC56C4">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1843" w:right="1418" w:bottom="1418" w:left="1418" w:header="709" w:footer="709" w:gutter="0"/>
          <w:pgNumType w:fmt="lowerRoman" w:start="3"/>
          <w:cols w:space="708"/>
          <w:docGrid w:linePitch="360"/>
        </w:sectPr>
      </w:pPr>
    </w:p>
    <w:p w14:paraId="73EF43EE" w14:textId="795C9477" w:rsidR="00475085" w:rsidRPr="00F045E0" w:rsidRDefault="00274F14" w:rsidP="00701614">
      <w:pPr>
        <w:pStyle w:val="Heading1"/>
      </w:pPr>
      <w:bookmarkStart w:id="4" w:name="_Toc120009011"/>
      <w:r>
        <w:rPr>
          <w:noProof/>
        </w:rPr>
        <w:lastRenderedPageBreak/>
        <w:drawing>
          <wp:anchor distT="0" distB="0" distL="114300" distR="114300" simplePos="0" relativeHeight="251658241" behindDoc="0" locked="0" layoutInCell="1" allowOverlap="1" wp14:anchorId="7A9E8643" wp14:editId="07C62831">
            <wp:simplePos x="0" y="0"/>
            <wp:positionH relativeFrom="margin">
              <wp:align>right</wp:align>
            </wp:positionH>
            <wp:positionV relativeFrom="paragraph">
              <wp:posOffset>753745</wp:posOffset>
            </wp:positionV>
            <wp:extent cx="1926000" cy="2883600"/>
            <wp:effectExtent l="0" t="0" r="0" b="0"/>
            <wp:wrapSquare wrapText="left"/>
            <wp:docPr id="8" name="Picture 8" descr="Stephen 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hen Jon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6000" cy="28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085" w:rsidRPr="00F045E0">
        <w:t>Foreword</w:t>
      </w:r>
      <w:bookmarkEnd w:id="2"/>
      <w:bookmarkEnd w:id="3"/>
      <w:bookmarkEnd w:id="4"/>
    </w:p>
    <w:p w14:paraId="21056CA4" w14:textId="24824257" w:rsidR="0097526B" w:rsidRDefault="00EA0286" w:rsidP="00475085">
      <w:r>
        <w:t>The Australian Taxation Office (ATO</w:t>
      </w:r>
      <w:r w:rsidR="009B70C7">
        <w:t>’</w:t>
      </w:r>
      <w:r>
        <w:t xml:space="preserve">s) Shadow Economy Program is critical to ensuring that our tax system works and businesses are competing on a level playing field: </w:t>
      </w:r>
      <w:r w:rsidR="00FC138B">
        <w:t>Australian s</w:t>
      </w:r>
      <w:r w:rsidR="00FC138B" w:rsidRPr="0097526B">
        <w:t xml:space="preserve">mall businesses should have confidence that </w:t>
      </w:r>
      <w:r w:rsidR="00FC138B">
        <w:t xml:space="preserve">their competitors </w:t>
      </w:r>
      <w:r w:rsidR="00FC138B" w:rsidRPr="0097526B">
        <w:t>are paying their fair share of tax</w:t>
      </w:r>
      <w:r w:rsidR="00DB20D9">
        <w:t xml:space="preserve">. </w:t>
      </w:r>
      <w:r w:rsidR="0097526B">
        <w:t>That is why, at the last election, the Government made a clear and strong commitment to addressing multinational tax avoidance, closing tax loopholes and improving tax transparency</w:t>
      </w:r>
      <w:r w:rsidR="00DB20D9">
        <w:t xml:space="preserve">. </w:t>
      </w:r>
    </w:p>
    <w:p w14:paraId="03BAF0BA" w14:textId="68EEA164" w:rsidR="00EA0286" w:rsidRDefault="00CA7E84" w:rsidP="00475085">
      <w:r>
        <w:t xml:space="preserve">For this reason, </w:t>
      </w:r>
      <w:r w:rsidR="00EA0286">
        <w:t xml:space="preserve">I am </w:t>
      </w:r>
      <w:r>
        <w:t xml:space="preserve">very </w:t>
      </w:r>
      <w:r w:rsidR="00EA0286">
        <w:t xml:space="preserve">proud </w:t>
      </w:r>
      <w:r>
        <w:t xml:space="preserve">that we </w:t>
      </w:r>
      <w:r w:rsidR="00EA0286">
        <w:t xml:space="preserve">announced in the </w:t>
      </w:r>
      <w:r w:rsidR="003C1BE6">
        <w:br/>
      </w:r>
      <w:r w:rsidR="00EA0286">
        <w:t>2022</w:t>
      </w:r>
      <w:r w:rsidR="003C1BE6">
        <w:t>–</w:t>
      </w:r>
      <w:r w:rsidR="00EA0286">
        <w:t xml:space="preserve">23 October Budget that </w:t>
      </w:r>
      <w:r>
        <w:t>we were</w:t>
      </w:r>
      <w:r w:rsidR="00EA0286">
        <w:t xml:space="preserve"> extending the Shadow Economy Program</w:t>
      </w:r>
      <w:r w:rsidR="003A1AF7">
        <w:t xml:space="preserve"> </w:t>
      </w:r>
      <w:r w:rsidR="007A554B">
        <w:t>for a further three years from 1 July 2023. This</w:t>
      </w:r>
      <w:r w:rsidR="00DE0B00">
        <w:t> </w:t>
      </w:r>
      <w:r w:rsidR="007A554B">
        <w:t>program includes</w:t>
      </w:r>
      <w:r w:rsidR="003A1AF7">
        <w:t xml:space="preserve"> the ATO</w:t>
      </w:r>
      <w:r w:rsidR="009B70C7">
        <w:t>’</w:t>
      </w:r>
      <w:r w:rsidR="003A1AF7">
        <w:t>s actions on sales suppression software</w:t>
      </w:r>
      <w:r w:rsidR="00EA0286">
        <w:t xml:space="preserve">. The Government is committed to ensuring the ATO has </w:t>
      </w:r>
      <w:r w:rsidR="00471971">
        <w:t>the resources they need to crack down on tax dodging.</w:t>
      </w:r>
    </w:p>
    <w:p w14:paraId="3F5D3ACE" w14:textId="5ECB50AA" w:rsidR="0097526B" w:rsidRDefault="0097526B" w:rsidP="00475085">
      <w:r>
        <w:t>The OECD has been sounding the alarm over sales suppression software for some time</w:t>
      </w:r>
      <w:r w:rsidR="00DB20D9">
        <w:t xml:space="preserve">. </w:t>
      </w:r>
      <w:r w:rsidR="000A16BE">
        <w:t>Electronic s</w:t>
      </w:r>
      <w:r>
        <w:t xml:space="preserve">ales suppression </w:t>
      </w:r>
      <w:r w:rsidR="000A16BE">
        <w:t xml:space="preserve">technology </w:t>
      </w:r>
      <w:r>
        <w:t xml:space="preserve">and similar tools exist </w:t>
      </w:r>
      <w:r w:rsidR="00737A2F">
        <w:t>with</w:t>
      </w:r>
      <w:r>
        <w:t xml:space="preserve"> one purpose</w:t>
      </w:r>
      <w:r w:rsidR="00737A2F">
        <w:t xml:space="preserve"> in mind</w:t>
      </w:r>
      <w:r>
        <w:t xml:space="preserve"> – tax evasion</w:t>
      </w:r>
      <w:r w:rsidR="00DB20D9">
        <w:t xml:space="preserve">. </w:t>
      </w:r>
      <w:r>
        <w:t>They rob the community of funding for necessary services, and they provide an unfair tax advantage to the few at the cost of the many</w:t>
      </w:r>
      <w:r w:rsidR="00DB20D9">
        <w:t xml:space="preserve">. </w:t>
      </w:r>
    </w:p>
    <w:p w14:paraId="189D4130" w14:textId="38E27535" w:rsidR="00076A24" w:rsidRDefault="009978C9" w:rsidP="00475085">
      <w:r>
        <w:t xml:space="preserve">In 2018, </w:t>
      </w:r>
      <w:r w:rsidR="0097526B" w:rsidRPr="0097526B">
        <w:t xml:space="preserve">Australia passed </w:t>
      </w:r>
      <w:r w:rsidR="003D444E" w:rsidRPr="0097526B">
        <w:t>strengthe</w:t>
      </w:r>
      <w:r w:rsidR="003D444E">
        <w:t>n</w:t>
      </w:r>
      <w:r w:rsidR="003D444E" w:rsidRPr="0097526B">
        <w:t>ed</w:t>
      </w:r>
      <w:r w:rsidR="0097526B" w:rsidRPr="0097526B">
        <w:t xml:space="preserve"> </w:t>
      </w:r>
      <w:r w:rsidR="0097526B">
        <w:t>penalties</w:t>
      </w:r>
      <w:r w:rsidR="0097526B" w:rsidRPr="0097526B">
        <w:t xml:space="preserve"> </w:t>
      </w:r>
      <w:r w:rsidR="0097526B">
        <w:t xml:space="preserve">to deter the possession, manufacture and distribution of </w:t>
      </w:r>
      <w:r w:rsidR="008B3C2F">
        <w:t xml:space="preserve">electronic </w:t>
      </w:r>
      <w:r w:rsidR="0097526B">
        <w:t xml:space="preserve">sales suppression </w:t>
      </w:r>
      <w:r w:rsidR="008B3C2F">
        <w:t xml:space="preserve">technology </w:t>
      </w:r>
      <w:r w:rsidR="0097526B" w:rsidRPr="0097526B">
        <w:t xml:space="preserve">through the </w:t>
      </w:r>
      <w:r w:rsidR="0097526B" w:rsidRPr="005255E6">
        <w:rPr>
          <w:i/>
        </w:rPr>
        <w:t>Treasury Laws Amendment (Black Economy Measures No.1) Act 2018</w:t>
      </w:r>
      <w:r w:rsidR="005E71F6" w:rsidRPr="005255E6">
        <w:rPr>
          <w:i/>
        </w:rPr>
        <w:t xml:space="preserve"> </w:t>
      </w:r>
      <w:r w:rsidR="005E71F6" w:rsidRPr="00DA7247">
        <w:rPr>
          <w:iCs/>
        </w:rPr>
        <w:t>(the Act)</w:t>
      </w:r>
      <w:r w:rsidR="00DB20D9" w:rsidRPr="00DA7247">
        <w:rPr>
          <w:iCs/>
        </w:rPr>
        <w:t>.</w:t>
      </w:r>
      <w:r w:rsidR="00DB20D9">
        <w:t xml:space="preserve"> </w:t>
      </w:r>
      <w:r w:rsidR="00011177">
        <w:t xml:space="preserve">We supported these </w:t>
      </w:r>
      <w:r w:rsidR="00125D76">
        <w:t>reforms</w:t>
      </w:r>
      <w:r w:rsidR="00011177">
        <w:t xml:space="preserve"> in opposition,</w:t>
      </w:r>
      <w:r w:rsidR="00230CD1">
        <w:t xml:space="preserve"> but</w:t>
      </w:r>
      <w:r w:rsidR="00011177">
        <w:t xml:space="preserve"> </w:t>
      </w:r>
      <w:r w:rsidR="00076A24" w:rsidRPr="00145F18">
        <w:t>want</w:t>
      </w:r>
      <w:r w:rsidR="0066473D">
        <w:t>ed</w:t>
      </w:r>
      <w:r w:rsidR="004755DA">
        <w:t xml:space="preserve"> </w:t>
      </w:r>
      <w:r w:rsidR="00076A24" w:rsidRPr="00145F18">
        <w:t xml:space="preserve">to ensure that </w:t>
      </w:r>
      <w:r w:rsidR="00A95469" w:rsidRPr="00145F18">
        <w:t>they are</w:t>
      </w:r>
      <w:r w:rsidR="00076A24" w:rsidRPr="00145F18">
        <w:t xml:space="preserve"> effective</w:t>
      </w:r>
      <w:r w:rsidR="0097526B" w:rsidRPr="00145F18">
        <w:t xml:space="preserve"> without </w:t>
      </w:r>
      <w:r w:rsidR="00076A24" w:rsidRPr="00145F18">
        <w:t xml:space="preserve">inadvertently hurting innocent small businesses or </w:t>
      </w:r>
      <w:r w:rsidR="0097526B" w:rsidRPr="00145F18">
        <w:t>imposing unnecessary handbrakes on genuine business activity</w:t>
      </w:r>
      <w:r w:rsidR="0097526B" w:rsidRPr="0097526B">
        <w:t xml:space="preserve">. </w:t>
      </w:r>
    </w:p>
    <w:p w14:paraId="2FC8666C" w14:textId="3E02969B" w:rsidR="005E71F6" w:rsidRDefault="0097526B" w:rsidP="00475085">
      <w:r w:rsidRPr="0097526B">
        <w:t xml:space="preserve">This Report outlines the early experience of </w:t>
      </w:r>
      <w:r w:rsidR="00076A24">
        <w:t>the Act</w:t>
      </w:r>
      <w:r w:rsidR="009B70C7">
        <w:t>’</w:t>
      </w:r>
      <w:r w:rsidR="00076A24">
        <w:t>s</w:t>
      </w:r>
      <w:r w:rsidRPr="0097526B">
        <w:t xml:space="preserve"> operation</w:t>
      </w:r>
      <w:r>
        <w:t xml:space="preserve"> and </w:t>
      </w:r>
      <w:r w:rsidR="003D444E">
        <w:t>enforcement,</w:t>
      </w:r>
      <w:r w:rsidR="00076A24">
        <w:t xml:space="preserve"> and the results so far are encouraging</w:t>
      </w:r>
      <w:r w:rsidR="00DB20D9">
        <w:t xml:space="preserve">. </w:t>
      </w:r>
      <w:r>
        <w:t xml:space="preserve">The ATO has been successfully cracking down on illegal tax evasion – </w:t>
      </w:r>
      <w:r w:rsidR="00076A24">
        <w:t xml:space="preserve">I am pleased to report that, </w:t>
      </w:r>
      <w:r w:rsidR="00274F14">
        <w:t xml:space="preserve">to date, </w:t>
      </w:r>
      <w:r w:rsidRPr="0097526B">
        <w:t xml:space="preserve">46 </w:t>
      </w:r>
      <w:r>
        <w:t xml:space="preserve">sales suppression software cases </w:t>
      </w:r>
      <w:r w:rsidRPr="0097526B">
        <w:t xml:space="preserve">have been completed, </w:t>
      </w:r>
      <w:r w:rsidR="00CE3394">
        <w:t xml:space="preserve">with </w:t>
      </w:r>
      <w:r w:rsidR="00682CEB">
        <w:t xml:space="preserve">around </w:t>
      </w:r>
      <w:r w:rsidR="00CE3394">
        <w:t xml:space="preserve">$1 million in penalties being applied and </w:t>
      </w:r>
      <w:r w:rsidRPr="0097526B">
        <w:t xml:space="preserve">raising some $7.4 million in </w:t>
      </w:r>
      <w:r w:rsidR="0059075C">
        <w:t xml:space="preserve">tax </w:t>
      </w:r>
      <w:r w:rsidRPr="0097526B">
        <w:t>liabilities</w:t>
      </w:r>
      <w:r>
        <w:t>, with more to come</w:t>
      </w:r>
      <w:r w:rsidR="00DB20D9">
        <w:t xml:space="preserve">. </w:t>
      </w:r>
      <w:r>
        <w:t>I thank the ATO for their</w:t>
      </w:r>
      <w:r w:rsidR="00274F14">
        <w:t xml:space="preserve"> ongoing</w:t>
      </w:r>
      <w:r>
        <w:t xml:space="preserve"> efforts. </w:t>
      </w:r>
    </w:p>
    <w:p w14:paraId="6F390080" w14:textId="547FE152" w:rsidR="0097526B" w:rsidRDefault="0097526B" w:rsidP="00475085">
      <w:r>
        <w:t>I commend this Report to the Parliament</w:t>
      </w:r>
      <w:r w:rsidR="00DB20D9">
        <w:t xml:space="preserve">. </w:t>
      </w:r>
    </w:p>
    <w:p w14:paraId="7996208D" w14:textId="0A13834F" w:rsidR="0097526B" w:rsidRDefault="00E759A3" w:rsidP="00475085">
      <w:r>
        <w:rPr>
          <w:noProof/>
        </w:rPr>
        <w:drawing>
          <wp:inline distT="0" distB="0" distL="0" distR="0" wp14:anchorId="29A11AF5" wp14:editId="2493F7C1">
            <wp:extent cx="1800682" cy="135884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1818687" cy="1372435"/>
                    </a:xfrm>
                    <a:prstGeom prst="rect">
                      <a:avLst/>
                    </a:prstGeom>
                  </pic:spPr>
                </pic:pic>
              </a:graphicData>
            </a:graphic>
          </wp:inline>
        </w:drawing>
      </w:r>
    </w:p>
    <w:p w14:paraId="5E875181" w14:textId="21C687A9" w:rsidR="00475085" w:rsidRPr="00DE0B00" w:rsidRDefault="00000C8A" w:rsidP="00475085">
      <w:pPr>
        <w:pStyle w:val="SingleParagraph"/>
      </w:pPr>
      <w:r>
        <w:t>The Hon Stephen Jones MP</w:t>
      </w:r>
    </w:p>
    <w:p w14:paraId="084EAE23" w14:textId="725E95D5" w:rsidR="003C24B4" w:rsidRPr="00DE0B00" w:rsidRDefault="00000C8A" w:rsidP="003C24B4">
      <w:pPr>
        <w:pStyle w:val="SingleParagraph"/>
      </w:pPr>
      <w:r>
        <w:t>Assistant Treasurer and Minister for Financial Services</w:t>
      </w:r>
    </w:p>
    <w:p w14:paraId="0292D4B2" w14:textId="73E19C71" w:rsidR="0097526B" w:rsidRDefault="0097526B" w:rsidP="00475085">
      <w:pPr>
        <w:pStyle w:val="SingleParagraph"/>
        <w:rPr>
          <w:rFonts w:cs="Arial"/>
          <w:bCs/>
          <w:szCs w:val="24"/>
        </w:rPr>
      </w:pPr>
      <w:r>
        <w:rPr>
          <w:rFonts w:cs="Arial"/>
          <w:bCs/>
          <w:szCs w:val="24"/>
        </w:rPr>
        <w:t>December 2022</w:t>
      </w:r>
    </w:p>
    <w:p w14:paraId="618BB603" w14:textId="77777777" w:rsidR="00A50653" w:rsidRDefault="00A50653" w:rsidP="00475085">
      <w:pPr>
        <w:pStyle w:val="SingleParagraph"/>
        <w:rPr>
          <w:rFonts w:cs="Arial"/>
          <w:bCs/>
          <w:szCs w:val="24"/>
        </w:rPr>
      </w:pPr>
    </w:p>
    <w:p w14:paraId="6C7E59CC" w14:textId="2F581789" w:rsidR="00024698" w:rsidRPr="00981753" w:rsidRDefault="00024698" w:rsidP="00981753">
      <w:pPr>
        <w:sectPr w:rsidR="00024698" w:rsidRPr="00981753" w:rsidSect="0015216D">
          <w:headerReference w:type="even" r:id="rId26"/>
          <w:headerReference w:type="default" r:id="rId27"/>
          <w:footerReference w:type="even" r:id="rId28"/>
          <w:footerReference w:type="default" r:id="rId29"/>
          <w:headerReference w:type="first" r:id="rId30"/>
          <w:footerReference w:type="first" r:id="rId31"/>
          <w:type w:val="oddPage"/>
          <w:pgSz w:w="11906" w:h="16838" w:code="9"/>
          <w:pgMar w:top="1843" w:right="1418" w:bottom="1418" w:left="1418" w:header="709" w:footer="709" w:gutter="0"/>
          <w:pgNumType w:start="1"/>
          <w:cols w:space="708"/>
          <w:titlePg/>
          <w:docGrid w:linePitch="360"/>
        </w:sectPr>
      </w:pPr>
    </w:p>
    <w:p w14:paraId="476C7BDC" w14:textId="18EEB621" w:rsidR="00146684" w:rsidRDefault="00146684" w:rsidP="00701614">
      <w:pPr>
        <w:pStyle w:val="Heading1"/>
      </w:pPr>
      <w:bookmarkStart w:id="5" w:name="_Toc120009012"/>
      <w:r w:rsidRPr="00BA2A62">
        <w:lastRenderedPageBreak/>
        <w:t>Introduction</w:t>
      </w:r>
      <w:bookmarkEnd w:id="5"/>
      <w:r>
        <w:t xml:space="preserve"> </w:t>
      </w:r>
    </w:p>
    <w:p w14:paraId="0CC47ABA" w14:textId="794E7891" w:rsidR="00DE4E27" w:rsidRDefault="00DE4E27">
      <w:r>
        <w:t xml:space="preserve">This Report will discuss the policy context and background to Electronic Sales Suppression Technology, the </w:t>
      </w:r>
      <w:r w:rsidR="00D4121E">
        <w:t>previous</w:t>
      </w:r>
      <w:r>
        <w:t xml:space="preserve"> legislative framework and </w:t>
      </w:r>
      <w:r w:rsidR="00AE1086">
        <w:t>limitations</w:t>
      </w:r>
      <w:r>
        <w:t xml:space="preserve"> in enforcement, and the findings of the Black Economy Taskforce rev</w:t>
      </w:r>
      <w:r w:rsidR="00885B18">
        <w:t>i</w:t>
      </w:r>
      <w:r>
        <w:t>ew prior to the introduction of new laws and higher penalties in Australia in 2018</w:t>
      </w:r>
      <w:r w:rsidR="00DB20D9">
        <w:t xml:space="preserve">. </w:t>
      </w:r>
      <w:r>
        <w:t>The Report will then describe the ATO</w:t>
      </w:r>
      <w:r w:rsidR="009B70C7">
        <w:t>’</w:t>
      </w:r>
      <w:r>
        <w:t>s enforcement activity under the new laws, include some relevant observations</w:t>
      </w:r>
      <w:r w:rsidR="00D4121E">
        <w:t xml:space="preserve"> such as developments through the COVID</w:t>
      </w:r>
      <w:r w:rsidR="003C1BE6">
        <w:noBreakHyphen/>
      </w:r>
      <w:r w:rsidR="00D4121E">
        <w:t>19 pandemic</w:t>
      </w:r>
      <w:r>
        <w:t xml:space="preserve">, </w:t>
      </w:r>
      <w:r w:rsidRPr="00DE4E27">
        <w:t>outline recent international developments</w:t>
      </w:r>
      <w:r w:rsidR="00D4121E">
        <w:t>,</w:t>
      </w:r>
      <w:r>
        <w:t xml:space="preserve"> and present some key findings</w:t>
      </w:r>
      <w:r w:rsidR="00DB20D9">
        <w:t xml:space="preserve">. </w:t>
      </w:r>
    </w:p>
    <w:p w14:paraId="15845227" w14:textId="7019BDC9" w:rsidR="00DE4E27" w:rsidRDefault="00DE4E27" w:rsidP="00145F18">
      <w:r>
        <w:t>The Report has been prepared jointly by the Treasury and the Australian Taxation Office</w:t>
      </w:r>
      <w:r w:rsidR="00256408">
        <w:t xml:space="preserve"> (ATO)</w:t>
      </w:r>
      <w:r w:rsidR="00DB20D9">
        <w:t xml:space="preserve">. </w:t>
      </w:r>
    </w:p>
    <w:p w14:paraId="65F9AA8B" w14:textId="54E3A110" w:rsidR="00146684" w:rsidRDefault="006D6D8E" w:rsidP="000831AD">
      <w:pPr>
        <w:pStyle w:val="Heading2"/>
      </w:pPr>
      <w:bookmarkStart w:id="6" w:name="_Toc120009013"/>
      <w:r>
        <w:t>Policy context</w:t>
      </w:r>
      <w:r w:rsidR="0097526B">
        <w:t xml:space="preserve"> and background</w:t>
      </w:r>
      <w:bookmarkEnd w:id="6"/>
    </w:p>
    <w:p w14:paraId="768B0B1B" w14:textId="33BA3F50" w:rsidR="00FC469C" w:rsidRPr="00FC469C" w:rsidRDefault="00FC469C" w:rsidP="00145F18">
      <w:pPr>
        <w:pStyle w:val="Heading3"/>
      </w:pPr>
      <w:bookmarkStart w:id="7" w:name="_Toc120009014"/>
      <w:r w:rsidRPr="00FC469C">
        <w:t xml:space="preserve">What is </w:t>
      </w:r>
      <w:r w:rsidR="00E5543E">
        <w:t>Electronic Sales Suppression Technology?</w:t>
      </w:r>
      <w:bookmarkEnd w:id="7"/>
    </w:p>
    <w:p w14:paraId="2996C7E2" w14:textId="32FE23D4" w:rsidR="00FC469C" w:rsidRDefault="00FC469C" w:rsidP="00C606D3">
      <w:r>
        <w:t>The practice of skimming – essentially falsifying sales data – has always existed in one form or another in order to evade taxes and for other reasons</w:t>
      </w:r>
      <w:r w:rsidR="00DB20D9">
        <w:t xml:space="preserve">. </w:t>
      </w:r>
      <w:r>
        <w:t>In the past, it could be achieved simply by failing to recognise sales in the cash register th</w:t>
      </w:r>
      <w:r w:rsidR="008E1A81">
        <w:t>r</w:t>
      </w:r>
      <w:r>
        <w:t>ough a cash</w:t>
      </w:r>
      <w:r w:rsidR="003C1BE6">
        <w:noBreakHyphen/>
      </w:r>
      <w:r>
        <w:t>in</w:t>
      </w:r>
      <w:r w:rsidR="003C1BE6">
        <w:noBreakHyphen/>
      </w:r>
      <w:r>
        <w:t xml:space="preserve">hand </w:t>
      </w:r>
      <w:r w:rsidR="003D444E">
        <w:t>transaction</w:t>
      </w:r>
      <w:r>
        <w:t xml:space="preserve"> or by diverting sales into another cash register which was kept </w:t>
      </w:r>
      <w:r w:rsidR="009B70C7">
        <w:t>‘</w:t>
      </w:r>
      <w:r>
        <w:t>off the books</w:t>
      </w:r>
      <w:r w:rsidR="009B70C7">
        <w:t>’</w:t>
      </w:r>
      <w:r w:rsidR="00DB20D9">
        <w:t xml:space="preserve">. </w:t>
      </w:r>
      <w:r w:rsidRPr="00FC469C">
        <w:t xml:space="preserve">However, modern technology has allowed both the scale and sophistication of such practices to expand, even in a fully computerised environment which is </w:t>
      </w:r>
      <w:r w:rsidRPr="00FC469C">
        <w:rPr>
          <w:i/>
          <w:iCs/>
        </w:rPr>
        <w:t>prima facie</w:t>
      </w:r>
      <w:r w:rsidRPr="00FC469C">
        <w:t xml:space="preserve"> more auditable</w:t>
      </w:r>
      <w:r w:rsidR="00DB20D9">
        <w:t xml:space="preserve">. </w:t>
      </w:r>
    </w:p>
    <w:p w14:paraId="2EA0D737" w14:textId="696440F2" w:rsidR="00FC469C" w:rsidRDefault="00FC469C" w:rsidP="00C606D3">
      <w:r>
        <w:t>Modern Point</w:t>
      </w:r>
      <w:r w:rsidR="003C1BE6">
        <w:noBreakHyphen/>
      </w:r>
      <w:r>
        <w:t>of</w:t>
      </w:r>
      <w:r w:rsidR="003C1BE6">
        <w:noBreakHyphen/>
      </w:r>
      <w:r>
        <w:t xml:space="preserve">Sale (POS) </w:t>
      </w:r>
      <w:r w:rsidR="00D4121E">
        <w:t>systems are</w:t>
      </w:r>
      <w:r>
        <w:t xml:space="preserve"> central to business functions, from sales to inventory management to logistics</w:t>
      </w:r>
      <w:r w:rsidR="00DB20D9">
        <w:t xml:space="preserve">. </w:t>
      </w:r>
      <w:r w:rsidRPr="00FC469C">
        <w:t xml:space="preserve">This software </w:t>
      </w:r>
      <w:r>
        <w:t xml:space="preserve">also </w:t>
      </w:r>
      <w:r w:rsidRPr="00FC469C">
        <w:t xml:space="preserve">generates valuable data needed for </w:t>
      </w:r>
      <w:r>
        <w:t xml:space="preserve">accounting, </w:t>
      </w:r>
      <w:r w:rsidRPr="00FC469C">
        <w:t xml:space="preserve">audit </w:t>
      </w:r>
      <w:r>
        <w:t xml:space="preserve">and taxation </w:t>
      </w:r>
      <w:r w:rsidRPr="00FC469C">
        <w:t>purposes</w:t>
      </w:r>
      <w:r w:rsidR="00DB20D9">
        <w:t xml:space="preserve">. </w:t>
      </w:r>
    </w:p>
    <w:p w14:paraId="1C39BCB9" w14:textId="2C80DAAE" w:rsidR="00FC469C" w:rsidRDefault="00A5279A" w:rsidP="00C606D3">
      <w:r>
        <w:t>Electronic Sales Suppression Technology (ESST)</w:t>
      </w:r>
      <w:r w:rsidR="00FC469C" w:rsidRPr="00FC469C">
        <w:t xml:space="preserve"> can digitally remove or alter sales data recorded in POS </w:t>
      </w:r>
      <w:r w:rsidR="00BE510C">
        <w:t>systems</w:t>
      </w:r>
      <w:r w:rsidR="00FC469C" w:rsidRPr="00FC469C">
        <w:t xml:space="preserve">, and also </w:t>
      </w:r>
      <w:r w:rsidR="0035328A">
        <w:t xml:space="preserve">can </w:t>
      </w:r>
      <w:r w:rsidR="00FC469C" w:rsidRPr="00FC469C">
        <w:t>remove, or attempt to remove, evidence that the data has been changed in this way</w:t>
      </w:r>
      <w:r w:rsidR="00DB20D9">
        <w:t xml:space="preserve">. </w:t>
      </w:r>
      <w:r w:rsidR="00FC469C">
        <w:t>Some sales suppression software is pre</w:t>
      </w:r>
      <w:r w:rsidR="003C1BE6">
        <w:noBreakHyphen/>
      </w:r>
      <w:r w:rsidR="00FC469C">
        <w:t>loaded onto the relevant devices and automatically makes adjustments to recognised sales as they are made, whereas others require the plug</w:t>
      </w:r>
      <w:r w:rsidR="003C1BE6">
        <w:noBreakHyphen/>
      </w:r>
      <w:r w:rsidR="00FC469C">
        <w:t>in of devices such as USB sticks combined with activating a hidden menu or combination of keystrokes to be activated and accessed</w:t>
      </w:r>
      <w:r w:rsidR="00DB20D9">
        <w:t xml:space="preserve">. </w:t>
      </w:r>
      <w:r w:rsidR="00FC469C">
        <w:t xml:space="preserve">As such, </w:t>
      </w:r>
      <w:r w:rsidR="00FC469C" w:rsidRPr="00FC469C">
        <w:t xml:space="preserve">business owners </w:t>
      </w:r>
      <w:r w:rsidR="00FC469C">
        <w:t>may</w:t>
      </w:r>
      <w:r w:rsidR="00FC469C" w:rsidRPr="00FC469C">
        <w:t xml:space="preserve"> not even need to change their observable behaviour</w:t>
      </w:r>
      <w:r w:rsidR="00FC469C">
        <w:t xml:space="preserve"> whilst engaged in illegal activity. </w:t>
      </w:r>
    </w:p>
    <w:p w14:paraId="09B5886F" w14:textId="1C7418F7" w:rsidR="006C3B7A" w:rsidRDefault="00FC469C" w:rsidP="00E35FC4">
      <w:r>
        <w:t xml:space="preserve">As with much in the technology field, </w:t>
      </w:r>
      <w:r w:rsidR="00F60F8B">
        <w:t>ESST</w:t>
      </w:r>
      <w:r>
        <w:t xml:space="preserve"> and the methods used to detect </w:t>
      </w:r>
      <w:r w:rsidR="00840290">
        <w:t>it</w:t>
      </w:r>
      <w:r>
        <w:t xml:space="preserve"> are in a constant struggle </w:t>
      </w:r>
      <w:r w:rsidR="004F164B">
        <w:t xml:space="preserve">for supremacy </w:t>
      </w:r>
      <w:r>
        <w:t>akin to an arms race</w:t>
      </w:r>
      <w:r w:rsidR="00FC5770">
        <w:t>; as</w:t>
      </w:r>
      <w:r>
        <w:t xml:space="preserve"> efforts to curtail use become more sophisticated</w:t>
      </w:r>
      <w:r w:rsidR="00FC5770">
        <w:t>, manufacturers innovate to overcome these detection methods, and so on</w:t>
      </w:r>
      <w:r>
        <w:t xml:space="preserve">. </w:t>
      </w:r>
    </w:p>
    <w:p w14:paraId="63B31B6C" w14:textId="2F5A027D" w:rsidR="006C3B7A" w:rsidRPr="00BC1636" w:rsidRDefault="00E35FC4" w:rsidP="00E35FC4">
      <w:r w:rsidRPr="00BC1636">
        <w:t xml:space="preserve">POS systems </w:t>
      </w:r>
      <w:r w:rsidR="006A638F" w:rsidRPr="00BC1636">
        <w:t xml:space="preserve">with </w:t>
      </w:r>
      <w:r w:rsidRPr="00BC1636">
        <w:t xml:space="preserve">ESST </w:t>
      </w:r>
      <w:r w:rsidR="006E69E0" w:rsidRPr="00BC1636">
        <w:t>typically comprise</w:t>
      </w:r>
      <w:r w:rsidR="00D57C2D">
        <w:t xml:space="preserve"> </w:t>
      </w:r>
      <w:r w:rsidRPr="00BC1636">
        <w:t>integrated business products and solutions such as online ordering, interactions with web content, registered and unregistered payment platforms, FinTech</w:t>
      </w:r>
      <w:r w:rsidR="0044638B" w:rsidRPr="00BC1636">
        <w:t>,</w:t>
      </w:r>
      <w:r w:rsidRPr="00BC1636">
        <w:t xml:space="preserve"> and marketing solutions.</w:t>
      </w:r>
      <w:r w:rsidR="0044638B" w:rsidRPr="00BC1636">
        <w:t xml:space="preserve"> A</w:t>
      </w:r>
      <w:r w:rsidRPr="00BC1636">
        <w:t xml:space="preserve">dvances in marketing and business models reflect an evolution of sophisticated and integrated business offerings in a digital environment. </w:t>
      </w:r>
      <w:r w:rsidR="005363B9" w:rsidRPr="00BC1636">
        <w:t xml:space="preserve">This </w:t>
      </w:r>
      <w:r w:rsidRPr="00BC1636">
        <w:t xml:space="preserve">integration of payment platforms supports the ability to supress sales </w:t>
      </w:r>
      <w:r w:rsidR="00572A23" w:rsidRPr="00BC1636">
        <w:t>and create</w:t>
      </w:r>
      <w:r w:rsidR="00AF311B">
        <w:t>s</w:t>
      </w:r>
      <w:r w:rsidR="00572A23" w:rsidRPr="00BC1636">
        <w:t xml:space="preserve"> </w:t>
      </w:r>
      <w:r w:rsidRPr="00BC1636">
        <w:t xml:space="preserve">a lack of transparency </w:t>
      </w:r>
      <w:r w:rsidR="004166FE" w:rsidRPr="00BC1636">
        <w:t>of</w:t>
      </w:r>
      <w:r w:rsidR="000345CB" w:rsidRPr="00BC1636">
        <w:t xml:space="preserve"> </w:t>
      </w:r>
      <w:r w:rsidRPr="00BC1636">
        <w:t>both cash and electronic records. The technology is constantly evolving</w:t>
      </w:r>
      <w:r w:rsidR="00757060" w:rsidRPr="00BC1636">
        <w:t>,</w:t>
      </w:r>
      <w:r w:rsidRPr="00BC1636">
        <w:t xml:space="preserve"> enabled by remote access, cloud</w:t>
      </w:r>
      <w:r w:rsidR="003C1BE6">
        <w:noBreakHyphen/>
      </w:r>
      <w:r w:rsidRPr="00BC1636">
        <w:t>based storage and various anti</w:t>
      </w:r>
      <w:r w:rsidR="003C1BE6">
        <w:noBreakHyphen/>
      </w:r>
      <w:r w:rsidRPr="00BC1636">
        <w:t xml:space="preserve">detection methodologies </w:t>
      </w:r>
      <w:r w:rsidR="00757060" w:rsidRPr="00BC1636">
        <w:t xml:space="preserve">that </w:t>
      </w:r>
      <w:r w:rsidRPr="00BC1636">
        <w:t>mak</w:t>
      </w:r>
      <w:r w:rsidR="00757060" w:rsidRPr="00BC1636">
        <w:t>e</w:t>
      </w:r>
      <w:r w:rsidRPr="00BC1636">
        <w:t xml:space="preserve"> it hard to identify. </w:t>
      </w:r>
    </w:p>
    <w:p w14:paraId="3B7EB8C1" w14:textId="35F419EC" w:rsidR="00E35FC4" w:rsidRPr="00BC1636" w:rsidDel="00E5543E" w:rsidRDefault="00E35FC4" w:rsidP="00C606D3">
      <w:r w:rsidRPr="00BC1636">
        <w:t>The technology has moved towards a service</w:t>
      </w:r>
      <w:r w:rsidR="003C1BE6">
        <w:noBreakHyphen/>
      </w:r>
      <w:r w:rsidRPr="00BC1636">
        <w:t xml:space="preserve">based format, typically with ongoing weekly or monthly service fee offerings. Manufacturers are taking deliberate steps to innovate their offerings and remove an audit trail of suppression being undertaken. </w:t>
      </w:r>
    </w:p>
    <w:p w14:paraId="477BB1BF" w14:textId="310D1D08" w:rsidR="00FC469C" w:rsidRPr="00FC469C" w:rsidRDefault="00FC469C" w:rsidP="00145F18">
      <w:pPr>
        <w:pStyle w:val="Heading3"/>
      </w:pPr>
      <w:bookmarkStart w:id="8" w:name="_Toc120009015"/>
      <w:r w:rsidRPr="00FC469C" w:rsidDel="0039656E">
        <w:lastRenderedPageBreak/>
        <w:t>G</w:t>
      </w:r>
      <w:r w:rsidRPr="00FC469C" w:rsidDel="00602F81">
        <w:t xml:space="preserve">rowing </w:t>
      </w:r>
      <w:r w:rsidRPr="00FC469C">
        <w:t>international concern</w:t>
      </w:r>
      <w:bookmarkEnd w:id="8"/>
    </w:p>
    <w:p w14:paraId="356A5864" w14:textId="2A250629" w:rsidR="00FC469C" w:rsidRDefault="00FC469C" w:rsidP="00C606D3">
      <w:r>
        <w:t>In the early 2000s, the OECD</w:t>
      </w:r>
      <w:r w:rsidR="009B70C7">
        <w:t>’</w:t>
      </w:r>
      <w:r>
        <w:t xml:space="preserve">s Taskforce on Taxation Crimes and Other Crimes began </w:t>
      </w:r>
      <w:r w:rsidR="00E22FD7">
        <w:t>to</w:t>
      </w:r>
      <w:r>
        <w:t xml:space="preserve"> work on the issue and spread awareness to revenue authorities</w:t>
      </w:r>
      <w:r w:rsidR="00DB20D9">
        <w:t xml:space="preserve">. </w:t>
      </w:r>
      <w:r>
        <w:t>Similar work was undertaken by the EU Commission</w:t>
      </w:r>
      <w:r w:rsidR="00DB20D9">
        <w:t xml:space="preserve">. </w:t>
      </w:r>
      <w:r>
        <w:t xml:space="preserve">Canada, Germany, the Netherlands and Sweden took early action, and their efforts helped inform a 2013 OECD report </w:t>
      </w:r>
      <w:r w:rsidRPr="00FC469C">
        <w:rPr>
          <w:i/>
          <w:iCs/>
        </w:rPr>
        <w:t>Electronic Sales Suppression – A threat to revenues</w:t>
      </w:r>
      <w:r w:rsidR="001C35DF">
        <w:t xml:space="preserve"> (the 2013 OECD </w:t>
      </w:r>
      <w:r w:rsidR="008658CF">
        <w:t>Report</w:t>
      </w:r>
      <w:r w:rsidR="001C35DF">
        <w:t>)</w:t>
      </w:r>
      <w:r w:rsidR="00DB20D9">
        <w:t xml:space="preserve">. </w:t>
      </w:r>
    </w:p>
    <w:p w14:paraId="40614BD1" w14:textId="74D0D6FF" w:rsidR="00FC469C" w:rsidRDefault="00602F81" w:rsidP="00FC469C">
      <w:r>
        <w:t>The 2013 OECD</w:t>
      </w:r>
      <w:r w:rsidR="00334C9B">
        <w:t xml:space="preserve"> </w:t>
      </w:r>
      <w:r w:rsidR="008658CF">
        <w:t>Report</w:t>
      </w:r>
      <w:r w:rsidR="00334C9B">
        <w:t xml:space="preserve"> noted that detecting </w:t>
      </w:r>
      <w:r w:rsidR="00FC469C">
        <w:t>the scale and prevalence of revenue loss arising from sales suppression software is inherently difficult</w:t>
      </w:r>
      <w:r w:rsidR="00FC5770">
        <w:t>, like most attempts to quantify illicit activity</w:t>
      </w:r>
      <w:r w:rsidR="00DB20D9">
        <w:t xml:space="preserve">. </w:t>
      </w:r>
      <w:r w:rsidR="00FC469C">
        <w:t>In the absence of broad</w:t>
      </w:r>
      <w:r w:rsidR="003C1BE6">
        <w:noBreakHyphen/>
      </w:r>
      <w:r w:rsidR="00FC469C">
        <w:t xml:space="preserve">based data sources, </w:t>
      </w:r>
      <w:r w:rsidR="005C7087">
        <w:t>it</w:t>
      </w:r>
      <w:r w:rsidR="00FC469C">
        <w:t xml:space="preserve"> cited a few examples </w:t>
      </w:r>
      <w:r w:rsidR="00522E76">
        <w:t>of countries</w:t>
      </w:r>
      <w:r w:rsidR="009B70C7">
        <w:t>’</w:t>
      </w:r>
      <w:r w:rsidR="00522E76">
        <w:t xml:space="preserve"> audits of then</w:t>
      </w:r>
      <w:r w:rsidR="003C1BE6">
        <w:noBreakHyphen/>
      </w:r>
      <w:r w:rsidR="00522E76">
        <w:t>recent tax evasion behaviours</w:t>
      </w:r>
      <w:r w:rsidR="008F194A">
        <w:t xml:space="preserve"> </w:t>
      </w:r>
      <w:r w:rsidR="00FC469C">
        <w:t xml:space="preserve">to highlight the scale of the issue: </w:t>
      </w:r>
    </w:p>
    <w:p w14:paraId="3F1FF4EC" w14:textId="57C252C9" w:rsidR="00FC469C" w:rsidRDefault="00FC469C" w:rsidP="002075FD">
      <w:pPr>
        <w:pStyle w:val="Bullet"/>
      </w:pPr>
      <w:r>
        <w:t>Revenu Quebec estimat</w:t>
      </w:r>
      <w:r w:rsidR="008912A2">
        <w:t>ed</w:t>
      </w:r>
      <w:r>
        <w:t xml:space="preserve"> tax losses </w:t>
      </w:r>
      <w:r w:rsidR="005E48FC">
        <w:t xml:space="preserve">from the use of ESST </w:t>
      </w:r>
      <w:r>
        <w:t>of C$417 million in 2007</w:t>
      </w:r>
      <w:r w:rsidR="003C1BE6">
        <w:t>–</w:t>
      </w:r>
      <w:r>
        <w:t>08,</w:t>
      </w:r>
      <w:r w:rsidR="001B644C">
        <w:t xml:space="preserve"> in 2008 charging the owners of </w:t>
      </w:r>
      <w:r w:rsidR="00AD4310">
        <w:t>four</w:t>
      </w:r>
      <w:r w:rsidR="001B644C">
        <w:t xml:space="preserve"> restaurants with evasion of nearly 200,000 cash transactions valued C$4.6 million</w:t>
      </w:r>
      <w:r>
        <w:t xml:space="preserve"> </w:t>
      </w:r>
    </w:p>
    <w:p w14:paraId="2F7BBA34" w14:textId="3E1480A9" w:rsidR="00FC469C" w:rsidRDefault="00FC469C" w:rsidP="002075FD">
      <w:pPr>
        <w:pStyle w:val="Bullet"/>
      </w:pPr>
      <w:r>
        <w:t xml:space="preserve">Sweden </w:t>
      </w:r>
      <w:r w:rsidR="008F194A">
        <w:t>detect</w:t>
      </w:r>
      <w:r w:rsidR="008912A2">
        <w:t>ed</w:t>
      </w:r>
      <w:r w:rsidR="008F194A">
        <w:t xml:space="preserve"> </w:t>
      </w:r>
      <w:r>
        <w:rPr>
          <w:rFonts w:cs="Calibri Light"/>
        </w:rPr>
        <w:t>€</w:t>
      </w:r>
      <w:r>
        <w:t xml:space="preserve">150 million in 2,000 audits </w:t>
      </w:r>
      <w:r w:rsidR="008F194A">
        <w:t xml:space="preserve">of general tax evasion </w:t>
      </w:r>
      <w:r>
        <w:t>over four years</w:t>
      </w:r>
      <w:r w:rsidR="008F194A">
        <w:t>, finding systematic under</w:t>
      </w:r>
      <w:r w:rsidR="003C1BE6">
        <w:noBreakHyphen/>
      </w:r>
      <w:r w:rsidR="008F194A">
        <w:t>reporting of turnover (in the order of 20</w:t>
      </w:r>
      <w:r w:rsidR="003C1BE6">
        <w:t>–</w:t>
      </w:r>
      <w:r w:rsidR="008F194A">
        <w:t>40%)</w:t>
      </w:r>
    </w:p>
    <w:p w14:paraId="23A1EDD0" w14:textId="2E23034F" w:rsidR="00FC469C" w:rsidRDefault="00FC469C" w:rsidP="002075FD">
      <w:pPr>
        <w:pStyle w:val="Bullet"/>
      </w:pPr>
      <w:r>
        <w:t>South Africa detect</w:t>
      </w:r>
      <w:r w:rsidR="008912A2">
        <w:t>ed</w:t>
      </w:r>
      <w:r w:rsidR="00D43136">
        <w:t xml:space="preserve"> the equivalent of</w:t>
      </w:r>
      <w:r>
        <w:t xml:space="preserve"> </w:t>
      </w:r>
      <w:r>
        <w:rPr>
          <w:rFonts w:cs="Calibri Light"/>
        </w:rPr>
        <w:t>€</w:t>
      </w:r>
      <w:r>
        <w:t xml:space="preserve">22 million </w:t>
      </w:r>
      <w:r w:rsidR="00D43136">
        <w:t>expatriated</w:t>
      </w:r>
      <w:r w:rsidR="00522E76">
        <w:t xml:space="preserve"> out of South Africa</w:t>
      </w:r>
      <w:r w:rsidR="00D43136">
        <w:t xml:space="preserve"> </w:t>
      </w:r>
      <w:r>
        <w:t>in a single case</w:t>
      </w:r>
      <w:r w:rsidR="00DB20D9">
        <w:t xml:space="preserve">. </w:t>
      </w:r>
    </w:p>
    <w:p w14:paraId="477E7607" w14:textId="049CECC5" w:rsidR="00AE7BF5" w:rsidRDefault="00AE7BF5" w:rsidP="00AE7BF5">
      <w:r>
        <w:t xml:space="preserve">The 2013 OECD </w:t>
      </w:r>
      <w:r w:rsidR="008658CF">
        <w:t>Report</w:t>
      </w:r>
      <w:r>
        <w:t xml:space="preserve"> also noted that, at publication, </w:t>
      </w:r>
      <w:r w:rsidR="00234921">
        <w:t>several</w:t>
      </w:r>
      <w:r>
        <w:t xml:space="preserve"> countries (including France, Ireland, Norway and the United Kingdom) had tested their retail sectors and found significant problems</w:t>
      </w:r>
      <w:r w:rsidR="00234921">
        <w:t>. It also noted Ireland and several United States states</w:t>
      </w:r>
      <w:r>
        <w:t xml:space="preserve"> had moved quickly to put in place legislation to help tackle this abuse</w:t>
      </w:r>
      <w:r w:rsidR="00234921">
        <w:t xml:space="preserve"> by specifically criminalising ESST</w:t>
      </w:r>
      <w:r w:rsidR="003C1BE6">
        <w:noBreakHyphen/>
      </w:r>
      <w:r w:rsidR="00234921">
        <w:t>related behaviour and support a strategic approach by tax administrations.</w:t>
      </w:r>
      <w:r w:rsidR="007250B8">
        <w:t xml:space="preserve"> Other approaches were also noted by various countries, such as the Netherlands creating a </w:t>
      </w:r>
      <w:r w:rsidR="009B70C7">
        <w:t>“</w:t>
      </w:r>
      <w:r w:rsidR="007250B8">
        <w:t>quality mark</w:t>
      </w:r>
      <w:r w:rsidR="009B70C7">
        <w:t>”</w:t>
      </w:r>
      <w:r w:rsidR="007250B8">
        <w:t xml:space="preserve"> certification system for approved POS set</w:t>
      </w:r>
      <w:r w:rsidR="003C1BE6">
        <w:noBreakHyphen/>
      </w:r>
      <w:r w:rsidR="007250B8">
        <w:t>ups, raising awareness, and using project</w:t>
      </w:r>
      <w:r w:rsidR="003C1BE6">
        <w:noBreakHyphen/>
      </w:r>
      <w:r w:rsidR="00D5572A">
        <w:t>, electronic</w:t>
      </w:r>
      <w:r w:rsidR="003C1BE6">
        <w:noBreakHyphen/>
      </w:r>
      <w:r w:rsidR="007250B8">
        <w:t xml:space="preserve"> and risk</w:t>
      </w:r>
      <w:r w:rsidR="003C1BE6">
        <w:noBreakHyphen/>
      </w:r>
      <w:r w:rsidR="007250B8">
        <w:t>based mass audits</w:t>
      </w:r>
      <w:r w:rsidR="00626A6C">
        <w:t>, in addition to criminal investigations</w:t>
      </w:r>
      <w:r w:rsidR="007250B8">
        <w:t>.</w:t>
      </w:r>
    </w:p>
    <w:p w14:paraId="43FEFC6E" w14:textId="60D953AC" w:rsidR="00FC469C" w:rsidRDefault="00FC469C" w:rsidP="00FC469C">
      <w:r w:rsidRPr="00FC469C">
        <w:t xml:space="preserve">The </w:t>
      </w:r>
      <w:r w:rsidR="001C35DF">
        <w:t xml:space="preserve">2013 </w:t>
      </w:r>
      <w:r w:rsidRPr="00FC469C">
        <w:t xml:space="preserve">OECD </w:t>
      </w:r>
      <w:r w:rsidR="008658CF">
        <w:t>Report</w:t>
      </w:r>
      <w:r w:rsidRPr="00FC469C">
        <w:t xml:space="preserve"> </w:t>
      </w:r>
      <w:r w:rsidR="00E966AA">
        <w:t>further</w:t>
      </w:r>
      <w:r w:rsidRPr="00FC469C">
        <w:t xml:space="preserve"> noted that while modern POS software can have built in features that could be used to falsify records, dedicated additional software was often designed as an </w:t>
      </w:r>
      <w:r w:rsidR="009B70C7">
        <w:t>“</w:t>
      </w:r>
      <w:r w:rsidRPr="00FC469C">
        <w:t>add on</w:t>
      </w:r>
      <w:r w:rsidR="009B70C7">
        <w:t>”</w:t>
      </w:r>
      <w:r w:rsidRPr="00FC469C">
        <w:t xml:space="preserve"> specifically to allow a user to falsify or edit records, even if its existence was not immediately apparent (for example, by being only accessible to a business owner who knew it was installed and not by employees processing day</w:t>
      </w:r>
      <w:r w:rsidR="003C1BE6">
        <w:noBreakHyphen/>
      </w:r>
      <w:r w:rsidRPr="00FC469C">
        <w:t>to</w:t>
      </w:r>
      <w:r w:rsidR="003C1BE6">
        <w:noBreakHyphen/>
      </w:r>
      <w:r w:rsidRPr="00FC469C">
        <w:t>day sales)</w:t>
      </w:r>
      <w:r w:rsidR="00DB20D9">
        <w:t xml:space="preserve">. </w:t>
      </w:r>
    </w:p>
    <w:p w14:paraId="6BDE0B81" w14:textId="1D9F050E" w:rsidR="00FC469C" w:rsidRDefault="008F194A" w:rsidP="00FC469C">
      <w:r>
        <w:t xml:space="preserve">In the Australian context, </w:t>
      </w:r>
      <w:r w:rsidR="00295CEF">
        <w:t>E</w:t>
      </w:r>
      <w:r w:rsidR="00840290">
        <w:t>S</w:t>
      </w:r>
      <w:r w:rsidR="00295CEF">
        <w:t xml:space="preserve">ST </w:t>
      </w:r>
      <w:r w:rsidR="00FC469C">
        <w:t xml:space="preserve">can be used most obviously to </w:t>
      </w:r>
      <w:r w:rsidR="00476163">
        <w:t>understate reported</w:t>
      </w:r>
      <w:r w:rsidR="00FC469C">
        <w:t xml:space="preserve"> GST liability</w:t>
      </w:r>
      <w:r w:rsidR="00DB4A71">
        <w:t xml:space="preserve"> – this was </w:t>
      </w:r>
      <w:r w:rsidR="00FC469C">
        <w:t>noted by the Black Economy Taskforce</w:t>
      </w:r>
      <w:r w:rsidR="00DB4A71">
        <w:t xml:space="preserve"> </w:t>
      </w:r>
      <w:r w:rsidR="00B820C2">
        <w:t>(below)</w:t>
      </w:r>
      <w:r w:rsidR="00DB4A71">
        <w:t xml:space="preserve"> </w:t>
      </w:r>
      <w:r w:rsidR="003816BA" w:rsidRPr="003816BA">
        <w:t>–</w:t>
      </w:r>
      <w:r w:rsidR="003816BA">
        <w:t xml:space="preserve"> a</w:t>
      </w:r>
      <w:r w:rsidR="00DB4A71">
        <w:t xml:space="preserve">lthough it can </w:t>
      </w:r>
      <w:r w:rsidR="00FC469C">
        <w:t>also be used to, for example, delete sales records associated with a person who was unlawfully employed.</w:t>
      </w:r>
    </w:p>
    <w:p w14:paraId="73CF21F8" w14:textId="4CC136C7" w:rsidR="00AE7BF5" w:rsidRDefault="00AE7BF5" w:rsidP="00AE7BF5">
      <w:r w:rsidRPr="00FC469C">
        <w:t xml:space="preserve">The </w:t>
      </w:r>
      <w:r w:rsidR="006C3B7A">
        <w:t xml:space="preserve">2013 </w:t>
      </w:r>
      <w:r w:rsidRPr="00FC469C">
        <w:t xml:space="preserve">OECD </w:t>
      </w:r>
      <w:r w:rsidR="008658CF">
        <w:t>Report</w:t>
      </w:r>
      <w:r w:rsidRPr="00FC469C">
        <w:t xml:space="preserve"> recommended, among other things, that tax administrations should </w:t>
      </w:r>
      <w:r w:rsidR="00DD1278">
        <w:t xml:space="preserve">review whether existing legal powers were adequate for audit and forensic examination of POS systems and ESST and </w:t>
      </w:r>
      <w:r w:rsidRPr="00FC469C">
        <w:t>consider recommending legislation criminalising the supply, possession and use of electronic sales suppression software</w:t>
      </w:r>
      <w:r w:rsidR="00DB20D9">
        <w:t xml:space="preserve">. </w:t>
      </w:r>
    </w:p>
    <w:p w14:paraId="2E973DF5" w14:textId="6C22A3F2" w:rsidR="00FC469C" w:rsidRPr="00145F18" w:rsidRDefault="00FC469C" w:rsidP="00145F18">
      <w:pPr>
        <w:pStyle w:val="Heading3"/>
      </w:pPr>
      <w:bookmarkStart w:id="9" w:name="_Toc120009016"/>
      <w:r w:rsidRPr="00145F18">
        <w:t>Australia</w:t>
      </w:r>
      <w:r w:rsidR="009B70C7">
        <w:t>’</w:t>
      </w:r>
      <w:r w:rsidRPr="00145F18">
        <w:t>s Black Economy Taskforce</w:t>
      </w:r>
      <w:bookmarkEnd w:id="9"/>
    </w:p>
    <w:p w14:paraId="19F623CB" w14:textId="1E822DDA" w:rsidR="00C606D3" w:rsidRDefault="00AF6270" w:rsidP="00C606D3">
      <w:r>
        <w:t>The</w:t>
      </w:r>
      <w:r w:rsidR="00C606D3" w:rsidRPr="00C606D3">
        <w:t xml:space="preserve"> Black Economy Taskforce (the Taskforce)</w:t>
      </w:r>
      <w:r>
        <w:t xml:space="preserve"> </w:t>
      </w:r>
      <w:r w:rsidR="00C606D3" w:rsidRPr="00C606D3">
        <w:t xml:space="preserve">was established by the </w:t>
      </w:r>
      <w:r>
        <w:t>previous</w:t>
      </w:r>
      <w:r w:rsidR="00C606D3" w:rsidRPr="00C606D3">
        <w:t xml:space="preserve"> Government in December 2016 to:</w:t>
      </w:r>
    </w:p>
    <w:p w14:paraId="4E2C9B31" w14:textId="0EA359AF" w:rsidR="00511815" w:rsidRPr="00511815" w:rsidRDefault="00511815" w:rsidP="002075FD">
      <w:pPr>
        <w:pStyle w:val="Bullet"/>
      </w:pPr>
      <w:r w:rsidRPr="00511815">
        <w:t>Examine evidence on the scope, revenue costs, risks and behavioural factors underpinning black economy activities</w:t>
      </w:r>
    </w:p>
    <w:p w14:paraId="204A8031" w14:textId="020E6B62" w:rsidR="00511815" w:rsidRPr="00511815" w:rsidRDefault="00511815" w:rsidP="009F7A0C">
      <w:pPr>
        <w:pStyle w:val="Bullet"/>
      </w:pPr>
      <w:r w:rsidRPr="00511815">
        <w:lastRenderedPageBreak/>
        <w:t xml:space="preserve">Consider the effectiveness, appropriateness and efficiency of existing policy </w:t>
      </w:r>
      <w:r w:rsidRPr="009F7A0C">
        <w:t>responses</w:t>
      </w:r>
    </w:p>
    <w:p w14:paraId="6524A606" w14:textId="2B5F5479" w:rsidR="00511815" w:rsidRPr="00511815" w:rsidRDefault="00511815" w:rsidP="002075FD">
      <w:pPr>
        <w:pStyle w:val="Bullet"/>
      </w:pPr>
      <w:r w:rsidRPr="00511815">
        <w:t>Review the black economy efforts of other countries, identifying best practice initiatives which could be applicable to Australia</w:t>
      </w:r>
    </w:p>
    <w:p w14:paraId="79D5A3CC" w14:textId="13F07002" w:rsidR="00C606D3" w:rsidRDefault="00511815" w:rsidP="009F7A0C">
      <w:pPr>
        <w:pStyle w:val="Bullet"/>
      </w:pPr>
      <w:r w:rsidRPr="00511815">
        <w:t>Outline an overarching policy strategy to guide current and future policy</w:t>
      </w:r>
      <w:r w:rsidR="003C1BE6">
        <w:noBreakHyphen/>
      </w:r>
      <w:r w:rsidRPr="00511815">
        <w:t>making efforts.</w:t>
      </w:r>
    </w:p>
    <w:p w14:paraId="118D7D6B" w14:textId="50ABD8D0" w:rsidR="00F525AA" w:rsidRDefault="00F525AA" w:rsidP="009F7A0C">
      <w:r>
        <w:t>In its Interim Report, published March 2017, the Taskforce made several initial recommendations or near</w:t>
      </w:r>
      <w:r w:rsidR="003C1BE6">
        <w:noBreakHyphen/>
      </w:r>
      <w:r>
        <w:t xml:space="preserve">term proposals. </w:t>
      </w:r>
      <w:r w:rsidR="000D07EF">
        <w:t xml:space="preserve">The Taskforce noted the 2013 OECD </w:t>
      </w:r>
      <w:r w:rsidR="008658CF">
        <w:t>Report</w:t>
      </w:r>
      <w:r w:rsidR="000D07EF">
        <w:t xml:space="preserve"> and recommended</w:t>
      </w:r>
      <w:r>
        <w:t xml:space="preserve"> an immediate ban on </w:t>
      </w:r>
      <w:r w:rsidR="0026721A">
        <w:t>ESST</w:t>
      </w:r>
      <w:r>
        <w:t xml:space="preserve">. </w:t>
      </w:r>
    </w:p>
    <w:p w14:paraId="41038403" w14:textId="0C19D40A" w:rsidR="00511815" w:rsidRPr="00364711" w:rsidRDefault="00F525AA" w:rsidP="00364711">
      <w:r w:rsidRPr="00364711">
        <w:t xml:space="preserve">The Taskforce noted that, at the </w:t>
      </w:r>
      <w:r w:rsidR="009A6B7E" w:rsidRPr="00364711">
        <w:t>time</w:t>
      </w:r>
      <w:r w:rsidRPr="00364711">
        <w:t>, the widespread availability and use of such software had been confirmed by a number of international tax jurisdictions and</w:t>
      </w:r>
      <w:r w:rsidR="00383DAB" w:rsidRPr="00364711">
        <w:t xml:space="preserve"> that</w:t>
      </w:r>
      <w:r w:rsidRPr="00364711">
        <w:t xml:space="preserve"> the OECD had noted legal and technological means to control the proliferation of this software were being used or considered by several</w:t>
      </w:r>
      <w:r w:rsidR="00364711" w:rsidRPr="00364711">
        <w:t> </w:t>
      </w:r>
      <w:r w:rsidRPr="00364711">
        <w:t>countries</w:t>
      </w:r>
      <w:r w:rsidR="00DB20D9" w:rsidRPr="00364711">
        <w:t xml:space="preserve">. </w:t>
      </w:r>
    </w:p>
    <w:p w14:paraId="035BFA60" w14:textId="3B158C68" w:rsidR="006A0323" w:rsidRDefault="006A0323" w:rsidP="00F8635F">
      <w:pPr>
        <w:pStyle w:val="Heading2"/>
      </w:pPr>
      <w:bookmarkStart w:id="10" w:name="_Toc120009017"/>
      <w:r>
        <w:t>Deficiencies in previous legislative framework</w:t>
      </w:r>
      <w:bookmarkEnd w:id="10"/>
    </w:p>
    <w:p w14:paraId="4AE043B9" w14:textId="11D28145" w:rsidR="00FC469C" w:rsidRDefault="00FC469C" w:rsidP="00FC469C">
      <w:r>
        <w:t xml:space="preserve">Before the amendments made by Schedule 1 </w:t>
      </w:r>
      <w:r w:rsidR="00187983">
        <w:t xml:space="preserve">to </w:t>
      </w:r>
      <w:r>
        <w:t xml:space="preserve">the </w:t>
      </w:r>
      <w:r w:rsidRPr="00DA7247">
        <w:rPr>
          <w:i/>
          <w:iCs/>
        </w:rPr>
        <w:t>Treasury Laws Amendment (Black Economy Taskforce Measures No.1) Act 2018</w:t>
      </w:r>
      <w:r>
        <w:t>, Australia</w:t>
      </w:r>
      <w:r w:rsidR="009B70C7">
        <w:t>’</w:t>
      </w:r>
      <w:r>
        <w:t>s taxation law contained a variety of offences as well as civil and administrative penalties relating to record keeping and tax evasion</w:t>
      </w:r>
      <w:r w:rsidR="005430DB">
        <w:t xml:space="preserve"> (which still exist as supplementary offences that may be relevant to ESST behaviour in particular cases)</w:t>
      </w:r>
      <w:r w:rsidR="00A74BC9">
        <w:t>.</w:t>
      </w:r>
    </w:p>
    <w:p w14:paraId="1818EAF3" w14:textId="701D654B" w:rsidR="00FC469C" w:rsidRDefault="00FC469C" w:rsidP="00FC469C">
      <w:r>
        <w:t xml:space="preserve">These penalties included providing false or misleading information to the Commissioner of Taxation (Division 284 </w:t>
      </w:r>
      <w:r w:rsidR="00AC67AC">
        <w:t xml:space="preserve">in </w:t>
      </w:r>
      <w:r w:rsidR="00FC5770">
        <w:t xml:space="preserve">Schedule 1 to </w:t>
      </w:r>
      <w:r>
        <w:t xml:space="preserve">the </w:t>
      </w:r>
      <w:r w:rsidRPr="00DA7247">
        <w:rPr>
          <w:i/>
          <w:iCs/>
        </w:rPr>
        <w:t>Taxation Administration Act 1953</w:t>
      </w:r>
      <w:r w:rsidR="008E5A6B">
        <w:t>, or TAA</w:t>
      </w:r>
      <w:r w:rsidR="00F042FF">
        <w:t> </w:t>
      </w:r>
      <w:r w:rsidR="008E5A6B">
        <w:t>1953</w:t>
      </w:r>
      <w:r>
        <w:t>) and incorrectly keeping records</w:t>
      </w:r>
      <w:r w:rsidR="0009026E">
        <w:t>, including</w:t>
      </w:r>
      <w:r>
        <w:t xml:space="preserve"> with the intent of misleading the Commissioner (</w:t>
      </w:r>
      <w:r w:rsidR="007612F5">
        <w:t xml:space="preserve">see for example </w:t>
      </w:r>
      <w:r w:rsidR="0009026E">
        <w:t>s</w:t>
      </w:r>
      <w:r>
        <w:t>ections 8L</w:t>
      </w:r>
      <w:r w:rsidR="004465E1">
        <w:t>, 8Q</w:t>
      </w:r>
      <w:r>
        <w:t xml:space="preserve"> and 8T</w:t>
      </w:r>
      <w:r w:rsidR="0009026E">
        <w:t>, with different fault elements applying to each</w:t>
      </w:r>
      <w:r>
        <w:t>)</w:t>
      </w:r>
      <w:r w:rsidR="00DB20D9">
        <w:t xml:space="preserve">. </w:t>
      </w:r>
    </w:p>
    <w:p w14:paraId="01EB35C5" w14:textId="3EB59920" w:rsidR="00FC469C" w:rsidRDefault="00FC469C" w:rsidP="00FC469C">
      <w:r>
        <w:t xml:space="preserve">However, the penalties under the </w:t>
      </w:r>
      <w:r w:rsidR="008E5A6B">
        <w:t>TAA</w:t>
      </w:r>
      <w:r w:rsidR="00F042FF">
        <w:t> </w:t>
      </w:r>
      <w:r w:rsidRPr="00E310CE">
        <w:t>1953</w:t>
      </w:r>
      <w:r>
        <w:t xml:space="preserve"> were not considered high enough to </w:t>
      </w:r>
      <w:r w:rsidR="003D444E">
        <w:t>adequately</w:t>
      </w:r>
      <w:r>
        <w:t xml:space="preserve"> reflect the seriousness of the issue – using a tool whose princip</w:t>
      </w:r>
      <w:r w:rsidR="00FC5770">
        <w:t>al</w:t>
      </w:r>
      <w:r>
        <w:t xml:space="preserve"> function was to misrepresent tax data</w:t>
      </w:r>
      <w:r w:rsidR="00DB20D9">
        <w:t xml:space="preserve">. </w:t>
      </w:r>
      <w:r w:rsidR="00FC5770">
        <w:t>For</w:t>
      </w:r>
      <w:r w:rsidR="003C1BE6">
        <w:t> </w:t>
      </w:r>
      <w:r w:rsidR="00FC5770">
        <w:t xml:space="preserve">example, an intentional false or misleading statement could </w:t>
      </w:r>
      <w:r w:rsidR="00035388">
        <w:t xml:space="preserve">under </w:t>
      </w:r>
      <w:r w:rsidR="00161BD6">
        <w:t>section </w:t>
      </w:r>
      <w:r w:rsidR="00035388">
        <w:t xml:space="preserve">8V </w:t>
      </w:r>
      <w:r w:rsidR="00FC5770">
        <w:t xml:space="preserve">attract a fine of only </w:t>
      </w:r>
      <w:r w:rsidR="00035388">
        <w:t>50</w:t>
      </w:r>
      <w:r w:rsidR="005255E6">
        <w:t> </w:t>
      </w:r>
      <w:r w:rsidR="00035388">
        <w:t xml:space="preserve">penalty </w:t>
      </w:r>
      <w:r w:rsidR="005255E6">
        <w:t>units</w:t>
      </w:r>
      <w:r w:rsidR="00035388" w:rsidDel="00035388">
        <w:t xml:space="preserve"> </w:t>
      </w:r>
      <w:r w:rsidR="00FC5770">
        <w:t>($12,600 in 2018</w:t>
      </w:r>
      <w:r w:rsidR="00A74BC9">
        <w:t xml:space="preserve">) </w:t>
      </w:r>
      <w:r w:rsidR="00D724D1">
        <w:t>relative to</w:t>
      </w:r>
      <w:r w:rsidR="00FC5770">
        <w:t xml:space="preserve"> potentially millions of dollars of unreported income</w:t>
      </w:r>
      <w:r w:rsidR="00DB20D9">
        <w:t xml:space="preserve">. </w:t>
      </w:r>
      <w:r>
        <w:t xml:space="preserve">These </w:t>
      </w:r>
      <w:r w:rsidR="00FC5770">
        <w:t xml:space="preserve">administrative </w:t>
      </w:r>
      <w:r>
        <w:t>penalties applied primarily to the users of the sales suppression software</w:t>
      </w:r>
      <w:r w:rsidR="00FC5770">
        <w:t>, and only if their activity was detected and investigated</w:t>
      </w:r>
      <w:r w:rsidR="00DB20D9">
        <w:t xml:space="preserve">. </w:t>
      </w:r>
    </w:p>
    <w:p w14:paraId="688ED367" w14:textId="176EDB75" w:rsidR="00FC469C" w:rsidRDefault="00711F0E" w:rsidP="00FC469C">
      <w:r>
        <w:t xml:space="preserve">Depending on specific circumstances, </w:t>
      </w:r>
      <w:r w:rsidR="00FC469C">
        <w:t xml:space="preserve">manufacturers of sales suppression software could have been prosecuted under other offences, including forgery </w:t>
      </w:r>
      <w:r>
        <w:t xml:space="preserve">or </w:t>
      </w:r>
      <w:r w:rsidR="00FC469C">
        <w:t>providing false documents to the Commonwealth, as well as possessing, making or adapting a device for making forgeries under section</w:t>
      </w:r>
      <w:r w:rsidR="00CA7BD6">
        <w:t> </w:t>
      </w:r>
      <w:r w:rsidR="00FC469C">
        <w:t>145.3 of the Criminal Code</w:t>
      </w:r>
      <w:r w:rsidR="00D73585">
        <w:rPr>
          <w:rStyle w:val="FootnoteReference"/>
        </w:rPr>
        <w:footnoteReference w:id="2"/>
      </w:r>
      <w:r w:rsidR="00FC469C">
        <w:t xml:space="preserve"> (punishable by imprisonment for up to 10 years)</w:t>
      </w:r>
      <w:r w:rsidR="00DB20D9">
        <w:t xml:space="preserve">. </w:t>
      </w:r>
    </w:p>
    <w:p w14:paraId="18EB75F5" w14:textId="48CBAB8E" w:rsidR="004C7DC1" w:rsidRDefault="00D73585" w:rsidP="00FC469C">
      <w:r>
        <w:t xml:space="preserve">The Criminal Code </w:t>
      </w:r>
      <w:r w:rsidR="001E166C">
        <w:t xml:space="preserve">also contains </w:t>
      </w:r>
      <w:r w:rsidR="00AB76CE">
        <w:t xml:space="preserve">more </w:t>
      </w:r>
      <w:r w:rsidR="004C7DC1">
        <w:t xml:space="preserve">general offences </w:t>
      </w:r>
      <w:r w:rsidR="00AB76CE">
        <w:t>criminalising</w:t>
      </w:r>
      <w:r w:rsidR="004C7DC1">
        <w:t>:</w:t>
      </w:r>
    </w:p>
    <w:p w14:paraId="265E75DA" w14:textId="43D035AF" w:rsidR="004C7DC1" w:rsidRDefault="00AB76CE" w:rsidP="002075FD">
      <w:pPr>
        <w:pStyle w:val="Bullet"/>
      </w:pPr>
      <w:r w:rsidRPr="00145F18">
        <w:rPr>
          <w:i/>
          <w:iCs/>
        </w:rPr>
        <w:t>General dishonesty</w:t>
      </w:r>
      <w:r>
        <w:t xml:space="preserve">: dishonestly obtaining a gain from or causing </w:t>
      </w:r>
      <w:r w:rsidRPr="003C1BE6">
        <w:t>loss</w:t>
      </w:r>
      <w:r>
        <w:t xml:space="preserve"> to a Commonwealth entity, </w:t>
      </w:r>
      <w:r w:rsidR="00E064F5">
        <w:t>(</w:t>
      </w:r>
      <w:r>
        <w:t>whether or not the person knew the entity was a Commonwealth entity</w:t>
      </w:r>
      <w:r w:rsidR="00E064F5">
        <w:t>)</w:t>
      </w:r>
      <w:r>
        <w:t xml:space="preserve"> (s 135.1)</w:t>
      </w:r>
    </w:p>
    <w:p w14:paraId="03D8BCB4" w14:textId="6044F46B" w:rsidR="00AB76CE" w:rsidRDefault="0044134E" w:rsidP="002075FD">
      <w:pPr>
        <w:pStyle w:val="Bullet"/>
      </w:pPr>
      <w:r w:rsidRPr="00145F18">
        <w:rPr>
          <w:i/>
          <w:iCs/>
        </w:rPr>
        <w:t>Obtaining financial advantage</w:t>
      </w:r>
      <w:r>
        <w:t xml:space="preserve">: engaging in conduct as a result of which </w:t>
      </w:r>
      <w:r w:rsidR="00E36FF8">
        <w:t>a</w:t>
      </w:r>
      <w:r>
        <w:t xml:space="preserve"> person obtains a financial advantage from the Commonwealth</w:t>
      </w:r>
      <w:r w:rsidR="00E064F5">
        <w:t xml:space="preserve"> (whether or not they knew they were receiving it from a Commonwealth entity)</w:t>
      </w:r>
      <w:r>
        <w:t>, which they knew or believed they were not entitled to</w:t>
      </w:r>
      <w:r w:rsidR="00A0647E">
        <w:t xml:space="preserve"> (s 135.2)</w:t>
      </w:r>
    </w:p>
    <w:p w14:paraId="4CB0A3C9" w14:textId="25CBD4F8" w:rsidR="00831857" w:rsidRDefault="005D1575" w:rsidP="002075FD">
      <w:pPr>
        <w:pStyle w:val="Bullet"/>
      </w:pPr>
      <w:r w:rsidRPr="00145F18">
        <w:rPr>
          <w:i/>
          <w:iCs/>
        </w:rPr>
        <w:t>Conspiring to defraud</w:t>
      </w:r>
      <w:r>
        <w:t xml:space="preserve">: </w:t>
      </w:r>
      <w:r w:rsidR="00E36FF8">
        <w:t xml:space="preserve">conspiring with another person with the intention </w:t>
      </w:r>
      <w:r w:rsidR="0070733C">
        <w:t>of causing a loss to a Commonwealth entity (whether or not they knew it was a Commonwealth entity)</w:t>
      </w:r>
      <w:r w:rsidR="00B04AD0">
        <w:t xml:space="preserve"> (s 135.4)</w:t>
      </w:r>
    </w:p>
    <w:p w14:paraId="66416BA9" w14:textId="3E7821EA" w:rsidR="0070733C" w:rsidRPr="00145F18" w:rsidRDefault="001C6900" w:rsidP="002075FD">
      <w:pPr>
        <w:pStyle w:val="Bullet"/>
      </w:pPr>
      <w:r w:rsidRPr="00145F18">
        <w:rPr>
          <w:i/>
          <w:iCs/>
        </w:rPr>
        <w:lastRenderedPageBreak/>
        <w:t>False or misleading information</w:t>
      </w:r>
      <w:r>
        <w:t>: knowingly giving false or misleading information either to a Commonwealth entity or a person e</w:t>
      </w:r>
      <w:r>
        <w:rPr>
          <w:shd w:val="clear" w:color="auto" w:fill="FFFFFF"/>
        </w:rPr>
        <w:t>xercising powers or performing functions under, or in connection with, a law of the Commonwealth, or in compliance or purported compliance with a law of the Commonwealth (s 137.1)</w:t>
      </w:r>
    </w:p>
    <w:p w14:paraId="21B9E3CE" w14:textId="55627E86" w:rsidR="00A21A3C" w:rsidRDefault="00A21A3C" w:rsidP="002075FD">
      <w:pPr>
        <w:pStyle w:val="Bullet"/>
      </w:pPr>
      <w:r w:rsidRPr="00145F18">
        <w:rPr>
          <w:i/>
          <w:iCs/>
          <w:shd w:val="clear" w:color="auto" w:fill="FFFFFF"/>
        </w:rPr>
        <w:t>Misleading documents</w:t>
      </w:r>
      <w:r>
        <w:rPr>
          <w:shd w:val="clear" w:color="auto" w:fill="FFFFFF"/>
        </w:rPr>
        <w:t xml:space="preserve">: producing documents in compliance or purported compliance with a law of the Commonwealth </w:t>
      </w:r>
      <w:r w:rsidR="006D594F">
        <w:rPr>
          <w:shd w:val="clear" w:color="auto" w:fill="FFFFFF"/>
        </w:rPr>
        <w:t>knowing the document is false or misleading (s 137.2)</w:t>
      </w:r>
    </w:p>
    <w:p w14:paraId="2D5A5AC3" w14:textId="2EF3F5A1" w:rsidR="00900E5C" w:rsidRDefault="00900E5C" w:rsidP="00D629D6">
      <w:r>
        <w:t>Th</w:t>
      </w:r>
      <w:r w:rsidR="00B631FF">
        <w:t>is</w:t>
      </w:r>
      <w:r>
        <w:t xml:space="preserve"> suite of offences would appear to provide the Commonwealth with considerable recourse to prosecute ESST</w:t>
      </w:r>
      <w:r w:rsidR="003C1BE6">
        <w:noBreakHyphen/>
      </w:r>
      <w:r>
        <w:t>related crimes; however, the practical experience was considerably different</w:t>
      </w:r>
      <w:r w:rsidR="00DB20D9">
        <w:t xml:space="preserve">. </w:t>
      </w:r>
    </w:p>
    <w:p w14:paraId="66A97B5D" w14:textId="604B9BC6" w:rsidR="00900E5C" w:rsidRDefault="00900E5C" w:rsidP="00D629D6">
      <w:r>
        <w:t xml:space="preserve">For instance, </w:t>
      </w:r>
      <w:r w:rsidR="00936E5E">
        <w:t>these offences have different elements that may or may not be present in a particular case</w:t>
      </w:r>
      <w:r>
        <w:t xml:space="preserve"> –</w:t>
      </w:r>
      <w:r w:rsidR="008132C5">
        <w:t xml:space="preserve"> </w:t>
      </w:r>
      <w:r w:rsidR="001055B5">
        <w:t xml:space="preserve">for instance, </w:t>
      </w:r>
      <w:r>
        <w:t>electronic point of sale records are not typically Commonwealth documents</w:t>
      </w:r>
      <w:r w:rsidR="00DB20D9">
        <w:t xml:space="preserve">. </w:t>
      </w:r>
      <w:r w:rsidR="008132C5">
        <w:t xml:space="preserve">These offences </w:t>
      </w:r>
      <w:r>
        <w:t>n</w:t>
      </w:r>
      <w:r w:rsidR="00936E5E">
        <w:t xml:space="preserve">ormally require the Commonwealth </w:t>
      </w:r>
      <w:r>
        <w:t>to present sufficient evidence to convict – which is challenging when a key design feature of ESST is the destruction of such evidence</w:t>
      </w:r>
      <w:r w:rsidR="00DB20D9">
        <w:t xml:space="preserve">. </w:t>
      </w:r>
      <w:r w:rsidR="008132C5">
        <w:t xml:space="preserve">Criminal convictions </w:t>
      </w:r>
      <w:r w:rsidR="00BE1F1B">
        <w:t xml:space="preserve">under these provisions </w:t>
      </w:r>
      <w:r w:rsidR="008132C5">
        <w:t>also</w:t>
      </w:r>
      <w:r w:rsidR="00D50C13">
        <w:t xml:space="preserve"> </w:t>
      </w:r>
      <w:r w:rsidR="00BE1F1B">
        <w:t xml:space="preserve">usually </w:t>
      </w:r>
      <w:r w:rsidR="008132C5">
        <w:t>require the Commonwealth</w:t>
      </w:r>
      <w:r>
        <w:t xml:space="preserve"> to </w:t>
      </w:r>
      <w:r w:rsidR="00936E5E">
        <w:t>establish some intention or dishonesty on the part of the person</w:t>
      </w:r>
      <w:r w:rsidR="00DB20D9">
        <w:t xml:space="preserve">. </w:t>
      </w:r>
    </w:p>
    <w:p w14:paraId="5A16B023" w14:textId="36052F24" w:rsidR="00CC69A2" w:rsidRDefault="00CC69A2" w:rsidP="00D629D6">
      <w:r w:rsidRPr="00A15256">
        <w:t>Further, the mere possession of an ESST was</w:t>
      </w:r>
      <w:r w:rsidR="00022435" w:rsidRPr="00A15256">
        <w:t xml:space="preserve"> not</w:t>
      </w:r>
      <w:r w:rsidRPr="00A15256">
        <w:t xml:space="preserve">, </w:t>
      </w:r>
      <w:r w:rsidR="007E5B1F">
        <w:t>prior to the reforms</w:t>
      </w:r>
      <w:r w:rsidRPr="00A15256">
        <w:t xml:space="preserve">, </w:t>
      </w:r>
      <w:r w:rsidR="00022435" w:rsidRPr="00A15256">
        <w:t>necessarily</w:t>
      </w:r>
      <w:r w:rsidRPr="00A15256">
        <w:t xml:space="preserve"> an offence until the point </w:t>
      </w:r>
      <w:r w:rsidR="00983E02">
        <w:t xml:space="preserve">that </w:t>
      </w:r>
      <w:r w:rsidR="00022435" w:rsidRPr="00A15256">
        <w:t>a</w:t>
      </w:r>
      <w:r w:rsidRPr="00A15256">
        <w:t xml:space="preserve"> person used the tool to falsify or destroy tax records, despite that the only function of an ESST by definition is to do this.</w:t>
      </w:r>
    </w:p>
    <w:p w14:paraId="03589341" w14:textId="77158335" w:rsidR="008132C5" w:rsidRDefault="008132C5" w:rsidP="00D629D6">
      <w:r>
        <w:t xml:space="preserve">Given the destruction of primary evidence, to successfully prosecute a case requires a material resource commitment and significant analysis to establish that a form lodged with the ATO was incorrect, essentially </w:t>
      </w:r>
      <w:r w:rsidR="00137DFB">
        <w:t>requir</w:t>
      </w:r>
      <w:r w:rsidR="00371B0A">
        <w:t>ing</w:t>
      </w:r>
      <w:r>
        <w:t xml:space="preserve"> an audit to forensically examine and analyse all relevant systems and financial records to reconstruct the activity, which requires considerable specialist expertise and technical capability</w:t>
      </w:r>
      <w:r w:rsidR="00DB20D9">
        <w:t xml:space="preserve">. </w:t>
      </w:r>
    </w:p>
    <w:p w14:paraId="7A2DEE00" w14:textId="0F578430" w:rsidR="00936E5E" w:rsidRDefault="004A3033" w:rsidP="00D629D6">
      <w:r>
        <w:t>W</w:t>
      </w:r>
      <w:r w:rsidR="008132C5" w:rsidRPr="008132C5">
        <w:t xml:space="preserve">here the manufacture and/or supply of an ESST is undertaken from a jurisdiction outside of Australia it is difficult for the ATO or Commonwealth authorities to investigate and apply prosecutions or penalties for those that reside and operate outside an Australian jurisdiction. It </w:t>
      </w:r>
      <w:r w:rsidR="009C61EE">
        <w:t>can be</w:t>
      </w:r>
      <w:r w:rsidR="008132C5" w:rsidRPr="008132C5">
        <w:t xml:space="preserve"> challeng</w:t>
      </w:r>
      <w:r w:rsidR="009C61EE">
        <w:t>ing</w:t>
      </w:r>
      <w:r w:rsidR="008132C5" w:rsidRPr="008132C5">
        <w:t xml:space="preserve"> to obtain evidence on electronic records involving data sources held in offshore jurisdictions or where the money flow involves jurisdictions outside of Australia. This is resource intensive and requires the support of international counterparts</w:t>
      </w:r>
      <w:r w:rsidR="00DB20D9">
        <w:t xml:space="preserve">. </w:t>
      </w:r>
    </w:p>
    <w:p w14:paraId="34056E1C" w14:textId="34F6CF54" w:rsidR="008132C5" w:rsidRDefault="008132C5" w:rsidP="00455C1B">
      <w:r w:rsidRPr="008132C5">
        <w:t>Different maximum penalties (as well as precedents for setting penalties) also apply to each offence in ways that may not always reflect the seriousness of possessing or distributing ESST; technology that has no other function than to evade taxation.</w:t>
      </w:r>
    </w:p>
    <w:p w14:paraId="23298B25" w14:textId="074A7AA2" w:rsidR="002D283E" w:rsidRPr="00A31EFA" w:rsidRDefault="008132C5" w:rsidP="002D283E">
      <w:r w:rsidRPr="00A31EFA">
        <w:t>But, ultimately, the most</w:t>
      </w:r>
      <w:r w:rsidR="002D283E" w:rsidRPr="00A31EFA">
        <w:t xml:space="preserve"> significant challenge when dealing with penalties associated with electronic sales suppression is the ability to detect. The evolving nature of technology within the shadow economy provides challenges to tax administrators, particularly around detection, which is intrinsically linked to ability to apply penalties. </w:t>
      </w:r>
      <w:r w:rsidR="007E6C86" w:rsidRPr="00A31EFA">
        <w:t>The magnitude of the penalty is less relevant if t</w:t>
      </w:r>
      <w:r w:rsidR="002D283E" w:rsidRPr="00A31EFA">
        <w:t xml:space="preserve">he public </w:t>
      </w:r>
      <w:r w:rsidR="007E6C86" w:rsidRPr="00A31EFA">
        <w:t>has</w:t>
      </w:r>
      <w:r w:rsidR="002D283E" w:rsidRPr="00A31EFA">
        <w:t xml:space="preserve"> </w:t>
      </w:r>
      <w:r w:rsidRPr="00A31EFA">
        <w:t xml:space="preserve">limited </w:t>
      </w:r>
      <w:r w:rsidR="002D283E" w:rsidRPr="00A31EFA">
        <w:t xml:space="preserve">confidence </w:t>
      </w:r>
      <w:r w:rsidR="007E6C86" w:rsidRPr="00A31EFA">
        <w:t>that it will be</w:t>
      </w:r>
      <w:r w:rsidR="002D283E" w:rsidRPr="00A31EFA">
        <w:t xml:space="preserve"> appl</w:t>
      </w:r>
      <w:r w:rsidR="007E6C86" w:rsidRPr="00A31EFA">
        <w:t>ied</w:t>
      </w:r>
      <w:r w:rsidR="002D283E" w:rsidRPr="00A31EFA">
        <w:t xml:space="preserve"> due to the inability to detect the </w:t>
      </w:r>
      <w:r w:rsidRPr="00A31EFA">
        <w:t>activity</w:t>
      </w:r>
      <w:r w:rsidR="002D283E" w:rsidRPr="00A31EFA">
        <w:t>. Further</w:t>
      </w:r>
      <w:r w:rsidR="007E6C86" w:rsidRPr="00A31EFA">
        <w:t>,</w:t>
      </w:r>
      <w:r w:rsidR="002D283E" w:rsidRPr="00A31EFA">
        <w:t xml:space="preserve"> the imposition of a penalty may have limited impact to deter others where the legislation is deficient in </w:t>
      </w:r>
      <w:r w:rsidR="004C75CB">
        <w:t>requiring</w:t>
      </w:r>
      <w:r w:rsidR="002D283E" w:rsidRPr="00A31EFA">
        <w:t xml:space="preserve"> the sales suppression functionality from </w:t>
      </w:r>
      <w:r w:rsidR="004C75CB">
        <w:t xml:space="preserve">ceasing or </w:t>
      </w:r>
      <w:r w:rsidR="002D283E" w:rsidRPr="00A31EFA">
        <w:t>being removed.</w:t>
      </w:r>
    </w:p>
    <w:p w14:paraId="33E6BE8B" w14:textId="77777777" w:rsidR="00364711" w:rsidRPr="003033F8" w:rsidRDefault="00364711" w:rsidP="003033F8">
      <w:bookmarkStart w:id="11" w:name="_Toc120009018"/>
      <w:r>
        <w:br w:type="page"/>
      </w:r>
    </w:p>
    <w:p w14:paraId="6C8D6448" w14:textId="70E59DE1" w:rsidR="00F8635F" w:rsidRDefault="00F8635F" w:rsidP="00F8635F">
      <w:pPr>
        <w:pStyle w:val="Heading2"/>
      </w:pPr>
      <w:r>
        <w:lastRenderedPageBreak/>
        <w:t>Government response and legislative amendment</w:t>
      </w:r>
      <w:bookmarkEnd w:id="11"/>
    </w:p>
    <w:p w14:paraId="35D34FE8" w14:textId="03D7CFE6" w:rsidR="007C7F10" w:rsidRDefault="007C7F10" w:rsidP="007C7F10">
      <w:r w:rsidRPr="007C7F10">
        <w:t>In the 2017</w:t>
      </w:r>
      <w:r w:rsidR="003C1BE6">
        <w:t>–</w:t>
      </w:r>
      <w:r w:rsidRPr="007C7F10">
        <w:t xml:space="preserve">18 Budget, the </w:t>
      </w:r>
      <w:r w:rsidR="00307A25">
        <w:t>previous</w:t>
      </w:r>
      <w:r w:rsidRPr="007C7F10">
        <w:t xml:space="preserve"> Government announced its decision to accept the Taskforce recommendation and </w:t>
      </w:r>
      <w:r w:rsidR="001B6D86">
        <w:t xml:space="preserve">specifically </w:t>
      </w:r>
      <w:r w:rsidRPr="007C7F10">
        <w:t xml:space="preserve">prohibit this technology and software. </w:t>
      </w:r>
      <w:r w:rsidR="00307A25">
        <w:t>On</w:t>
      </w:r>
      <w:r w:rsidRPr="007C7F10">
        <w:t xml:space="preserve"> 7 February 2018, the </w:t>
      </w:r>
      <w:r w:rsidRPr="00E310CE">
        <w:t>Treasury Laws Amendment (Black Economy Taskforce Measures No.</w:t>
      </w:r>
      <w:r w:rsidR="00F1638D" w:rsidRPr="00E310CE">
        <w:t> </w:t>
      </w:r>
      <w:r w:rsidRPr="00E310CE">
        <w:t>1) Bill</w:t>
      </w:r>
      <w:r w:rsidR="00F1638D" w:rsidRPr="00E310CE">
        <w:t> </w:t>
      </w:r>
      <w:r w:rsidRPr="00E310CE">
        <w:t>2018</w:t>
      </w:r>
      <w:r w:rsidRPr="007C7F10">
        <w:t xml:space="preserve"> (the Bill) was introduced to Parliament. Schedule 1</w:t>
      </w:r>
      <w:r w:rsidR="00307A25">
        <w:t xml:space="preserve"> </w:t>
      </w:r>
      <w:r w:rsidR="00942635">
        <w:t>to</w:t>
      </w:r>
      <w:r w:rsidR="00307A25">
        <w:t xml:space="preserve"> the Bill introduced</w:t>
      </w:r>
      <w:r w:rsidRPr="007C7F10">
        <w:t xml:space="preserve"> new offences specifically addressing the production, use and distribution of </w:t>
      </w:r>
      <w:r w:rsidR="00563598">
        <w:t>ESST</w:t>
      </w:r>
      <w:r w:rsidR="00A940CF">
        <w:t xml:space="preserve">, defined in the Bill as </w:t>
      </w:r>
      <w:r w:rsidR="009B70C7">
        <w:t>“</w:t>
      </w:r>
      <w:r w:rsidR="00A940CF">
        <w:t>electronic sales suppression tools</w:t>
      </w:r>
      <w:r w:rsidR="009B70C7">
        <w:t>”</w:t>
      </w:r>
      <w:r w:rsidRPr="007C7F10">
        <w:t>.</w:t>
      </w:r>
      <w:r w:rsidR="00A940CF" w:rsidRPr="009F7A0C">
        <w:rPr>
          <w:rStyle w:val="FootnoteReference"/>
        </w:rPr>
        <w:footnoteReference w:id="3"/>
      </w:r>
    </w:p>
    <w:p w14:paraId="39F24391" w14:textId="3BC470EF" w:rsidR="00A940CF" w:rsidRDefault="00A940CF" w:rsidP="007C7F10">
      <w:r>
        <w:t>Specifically, the Bill contained new offences criminalising:</w:t>
      </w:r>
    </w:p>
    <w:p w14:paraId="7A2D66F3" w14:textId="38BDA7F7" w:rsidR="00A940CF" w:rsidRDefault="00A940CF" w:rsidP="002075FD">
      <w:pPr>
        <w:pStyle w:val="Bullet"/>
      </w:pPr>
      <w:r>
        <w:t xml:space="preserve">manufacture, development or publication of </w:t>
      </w:r>
      <w:r w:rsidR="00242721">
        <w:t xml:space="preserve">electronic </w:t>
      </w:r>
      <w:r>
        <w:t>sales suppression software</w:t>
      </w:r>
      <w:r w:rsidR="006657FC">
        <w:t xml:space="preserve"> (</w:t>
      </w:r>
      <w:r w:rsidR="00A36AFD">
        <w:t xml:space="preserve">with a </w:t>
      </w:r>
      <w:r w:rsidR="008C3F2C">
        <w:t>maximum</w:t>
      </w:r>
      <w:r w:rsidR="00A36AFD">
        <w:t xml:space="preserve"> penalty of up to </w:t>
      </w:r>
      <w:r w:rsidR="006657FC">
        <w:t>5,000 penalty units</w:t>
      </w:r>
      <w:r w:rsidR="00327F66">
        <w:t>, or $1,050,000 in 2018</w:t>
      </w:r>
      <w:r w:rsidR="006657FC">
        <w:t>)</w:t>
      </w:r>
      <w:r w:rsidR="008132C5">
        <w:t>;</w:t>
      </w:r>
      <w:r w:rsidR="005C374F">
        <w:rPr>
          <w:rStyle w:val="FootnoteReference"/>
        </w:rPr>
        <w:footnoteReference w:id="4"/>
      </w:r>
      <w:r>
        <w:t xml:space="preserve"> </w:t>
      </w:r>
    </w:p>
    <w:p w14:paraId="25119293" w14:textId="3045CFB2" w:rsidR="000843CF" w:rsidRDefault="000843CF" w:rsidP="002075FD">
      <w:pPr>
        <w:pStyle w:val="Bullet"/>
      </w:pPr>
      <w:r>
        <w:t>acquisition, possession, or control of electronic sales suppression software</w:t>
      </w:r>
      <w:r w:rsidR="0083037B">
        <w:t xml:space="preserve"> (500 penalty units</w:t>
      </w:r>
      <w:r w:rsidR="002005B9">
        <w:t>, or</w:t>
      </w:r>
      <w:r w:rsidR="00210FD9">
        <w:t> </w:t>
      </w:r>
      <w:r w:rsidR="002005B9">
        <w:t>$1</w:t>
      </w:r>
      <w:r w:rsidR="0011064A">
        <w:t>0</w:t>
      </w:r>
      <w:r w:rsidR="002005B9">
        <w:t>5</w:t>
      </w:r>
      <w:r w:rsidR="0011064A">
        <w:t>,00</w:t>
      </w:r>
      <w:r w:rsidR="002005B9">
        <w:t>0</w:t>
      </w:r>
      <w:r w:rsidR="0083037B">
        <w:t>)</w:t>
      </w:r>
      <w:r w:rsidR="008132C5">
        <w:t>; and</w:t>
      </w:r>
    </w:p>
    <w:p w14:paraId="7F051360" w14:textId="3695D98E" w:rsidR="00C20D22" w:rsidRDefault="00C20D22" w:rsidP="002075FD">
      <w:pPr>
        <w:pStyle w:val="Bullet"/>
      </w:pPr>
      <w:r>
        <w:t xml:space="preserve">falsification of tax records using electronic sales </w:t>
      </w:r>
      <w:r w:rsidRPr="003C1BE6">
        <w:t>suppression</w:t>
      </w:r>
      <w:r>
        <w:t xml:space="preserve"> software</w:t>
      </w:r>
      <w:r w:rsidR="0083037B">
        <w:t xml:space="preserve"> (1,000 penalty units</w:t>
      </w:r>
      <w:r w:rsidR="004D1337">
        <w:t xml:space="preserve"> or</w:t>
      </w:r>
      <w:r w:rsidR="00210FD9">
        <w:t> </w:t>
      </w:r>
      <w:r w:rsidR="0011064A">
        <w:t>$210,000</w:t>
      </w:r>
      <w:r w:rsidR="0083037B">
        <w:t>)</w:t>
      </w:r>
      <w:r>
        <w:t>.</w:t>
      </w:r>
    </w:p>
    <w:p w14:paraId="28F83CB5" w14:textId="05B24005" w:rsidR="00F607AB" w:rsidRDefault="00152B11" w:rsidP="009318E1">
      <w:r>
        <w:t xml:space="preserve">Strict liability </w:t>
      </w:r>
      <w:r w:rsidR="0052260B">
        <w:t xml:space="preserve">was to </w:t>
      </w:r>
      <w:r>
        <w:t>attach to the above offences</w:t>
      </w:r>
      <w:r w:rsidR="00060647">
        <w:t xml:space="preserve">. </w:t>
      </w:r>
      <w:r>
        <w:t>This means</w:t>
      </w:r>
      <w:r w:rsidR="006B6CA6">
        <w:t xml:space="preserve"> proof of fault would not be necessary in making a prosecution under them, but a person </w:t>
      </w:r>
      <w:r w:rsidR="00267C74">
        <w:t>would not commit an offence if they could prove that they made an honest mistake of fact.</w:t>
      </w:r>
      <w:r w:rsidR="006B6CA6">
        <w:t xml:space="preserve"> </w:t>
      </w:r>
      <w:r w:rsidR="00F05E6E">
        <w:t xml:space="preserve">Someone who assisted the commission of an above offence could also be charged under the </w:t>
      </w:r>
      <w:r w:rsidR="00F05E6E" w:rsidRPr="00F05E6E">
        <w:t>Criminal Code</w:t>
      </w:r>
      <w:r w:rsidR="00F05E6E">
        <w:t>.</w:t>
      </w:r>
      <w:r w:rsidR="008E0567" w:rsidRPr="008E0567">
        <w:rPr>
          <w:rStyle w:val="FootnoteReference"/>
        </w:rPr>
        <w:t xml:space="preserve"> </w:t>
      </w:r>
      <w:r w:rsidR="008E0567">
        <w:rPr>
          <w:rStyle w:val="FootnoteReference"/>
        </w:rPr>
        <w:footnoteReference w:id="5"/>
      </w:r>
      <w:r w:rsidR="008E0567">
        <w:t xml:space="preserve"> </w:t>
      </w:r>
    </w:p>
    <w:p w14:paraId="4AC3BE26" w14:textId="3136BE5E" w:rsidR="00C20D22" w:rsidRDefault="009318E1" w:rsidP="009318E1">
      <w:r>
        <w:t xml:space="preserve">The Bill also </w:t>
      </w:r>
      <w:r w:rsidR="00F037DB">
        <w:t xml:space="preserve">proposed </w:t>
      </w:r>
      <w:r w:rsidR="006C57AD">
        <w:t>parallel a</w:t>
      </w:r>
      <w:r>
        <w:t xml:space="preserve">dministrative penalties </w:t>
      </w:r>
      <w:r w:rsidR="008504E7">
        <w:t>for manufacture, development o</w:t>
      </w:r>
      <w:r w:rsidR="00B36829">
        <w:t>r</w:t>
      </w:r>
      <w:r w:rsidR="008504E7">
        <w:t xml:space="preserve"> publication (60 penalty units</w:t>
      </w:r>
      <w:r w:rsidR="004E0E3C">
        <w:t xml:space="preserve"> or $12,600</w:t>
      </w:r>
      <w:r w:rsidR="008504E7">
        <w:t>)</w:t>
      </w:r>
      <w:r w:rsidR="006C57AD">
        <w:t>, possession and control (</w:t>
      </w:r>
      <w:r w:rsidR="00642A30">
        <w:t>30</w:t>
      </w:r>
      <w:r w:rsidR="008132C5">
        <w:t> </w:t>
      </w:r>
      <w:r w:rsidR="006C57AD">
        <w:t>penalty units</w:t>
      </w:r>
      <w:r w:rsidR="00E2295B">
        <w:t xml:space="preserve"> or $6,300</w:t>
      </w:r>
      <w:r w:rsidR="006C57AD">
        <w:t>), and falsification of tax records (</w:t>
      </w:r>
      <w:r w:rsidR="00152B11">
        <w:t>60</w:t>
      </w:r>
      <w:r w:rsidR="006C57AD">
        <w:t xml:space="preserve"> penalty units</w:t>
      </w:r>
      <w:r w:rsidR="00D45132">
        <w:t xml:space="preserve"> or $12,600</w:t>
      </w:r>
      <w:r w:rsidR="006C57AD">
        <w:t>)</w:t>
      </w:r>
      <w:r w:rsidR="00F05E6E">
        <w:t xml:space="preserve">, as well </w:t>
      </w:r>
      <w:r w:rsidR="00355FE8">
        <w:t xml:space="preserve">as aiding, abetting </w:t>
      </w:r>
      <w:r w:rsidR="00840290">
        <w:t>or</w:t>
      </w:r>
      <w:r w:rsidR="00355FE8">
        <w:t xml:space="preserve"> counselling the course of conduct that would result in an administrative penalty for production, supply, possession or use</w:t>
      </w:r>
      <w:r w:rsidR="00233D85">
        <w:t xml:space="preserve"> (with the same penalty as for that course of conduct).</w:t>
      </w:r>
    </w:p>
    <w:p w14:paraId="57106E24" w14:textId="73DD3876" w:rsidR="00307A25" w:rsidRPr="007C7F10" w:rsidRDefault="00780D2A" w:rsidP="00B26564">
      <w:r>
        <w:t>For further information</w:t>
      </w:r>
      <w:r w:rsidR="00DD3E59">
        <w:t xml:space="preserve"> on the provisions as enacted</w:t>
      </w:r>
      <w:r>
        <w:t>, please see</w:t>
      </w:r>
      <w:r w:rsidR="00100DDB">
        <w:t xml:space="preserve"> </w:t>
      </w:r>
      <w:r w:rsidR="00B26564">
        <w:fldChar w:fldCharType="begin"/>
      </w:r>
      <w:r w:rsidR="00B26564">
        <w:instrText xml:space="preserve"> REF _Ref120013281 \h </w:instrText>
      </w:r>
      <w:r w:rsidR="00B26564">
        <w:fldChar w:fldCharType="separate"/>
      </w:r>
      <w:r w:rsidR="00DF3793">
        <w:t>Appendix – Summary of relevant provisions</w:t>
      </w:r>
      <w:r w:rsidR="00B26564">
        <w:fldChar w:fldCharType="end"/>
      </w:r>
      <w:r w:rsidR="00B26564">
        <w:t xml:space="preserve"> </w:t>
      </w:r>
      <w:r w:rsidR="006024D0">
        <w:t>(page</w:t>
      </w:r>
      <w:r w:rsidR="00A152A6">
        <w:t> </w:t>
      </w:r>
      <w:r w:rsidR="001F697E">
        <w:fldChar w:fldCharType="begin"/>
      </w:r>
      <w:r w:rsidR="001F697E">
        <w:instrText xml:space="preserve"> PAGEREF _Ref113630704 \h </w:instrText>
      </w:r>
      <w:r w:rsidR="001F697E">
        <w:fldChar w:fldCharType="separate"/>
      </w:r>
      <w:r w:rsidR="00DF3793">
        <w:rPr>
          <w:noProof/>
        </w:rPr>
        <w:t>16</w:t>
      </w:r>
      <w:r w:rsidR="001F697E">
        <w:fldChar w:fldCharType="end"/>
      </w:r>
      <w:r w:rsidR="006024D0">
        <w:t>)</w:t>
      </w:r>
      <w:r>
        <w:t>.</w:t>
      </w:r>
    </w:p>
    <w:p w14:paraId="06AD36E6" w14:textId="5422CDA9" w:rsidR="007C7F10" w:rsidRPr="007C7F10" w:rsidRDefault="007C7F10" w:rsidP="007C7F10">
      <w:r w:rsidRPr="007C7F10">
        <w:t xml:space="preserve">The Senate Standing Committee for the Scrutiny of Bills raised concerns about the appropriateness of imposing strict liability </w:t>
      </w:r>
      <w:r w:rsidR="00E7657B">
        <w:t xml:space="preserve">for offences whose </w:t>
      </w:r>
      <w:r w:rsidRPr="007C7F10">
        <w:t xml:space="preserve">penalties </w:t>
      </w:r>
      <w:r w:rsidR="003829D6">
        <w:t>could reach $1,050</w:t>
      </w:r>
      <w:r w:rsidR="004C0C92">
        <w:t>,000</w:t>
      </w:r>
      <w:r w:rsidR="00307A25">
        <w:t>;</w:t>
      </w:r>
      <w:r w:rsidR="009B24FD" w:rsidRPr="009B24FD">
        <w:rPr>
          <w:vertAlign w:val="superscript"/>
        </w:rPr>
        <w:t xml:space="preserve"> </w:t>
      </w:r>
      <w:r w:rsidR="009B24FD" w:rsidRPr="003C1BE6">
        <w:rPr>
          <w:rStyle w:val="FootnoteReference"/>
        </w:rPr>
        <w:footnoteReference w:id="6"/>
      </w:r>
      <w:r w:rsidR="00307A25" w:rsidRPr="00F34948">
        <w:t xml:space="preserve"> </w:t>
      </w:r>
      <w:r w:rsidR="003D444E" w:rsidRPr="007C7F10">
        <w:t>however,</w:t>
      </w:r>
      <w:r w:rsidRPr="007C7F10">
        <w:t xml:space="preserve"> the Parliamentary Joint Committee on Human Rights, on receipt of a Ministerial response, considered these offences were compatible with the presumption of innocence.</w:t>
      </w:r>
      <w:r w:rsidRPr="003C1BE6">
        <w:rPr>
          <w:rStyle w:val="FootnoteReference"/>
        </w:rPr>
        <w:footnoteReference w:id="7"/>
      </w:r>
    </w:p>
    <w:p w14:paraId="0EBF7CB2" w14:textId="51DDB676" w:rsidR="002B5DEA" w:rsidRDefault="007C7F10" w:rsidP="002B5DEA">
      <w:r w:rsidRPr="007C7F10">
        <w:t xml:space="preserve">The </w:t>
      </w:r>
      <w:r w:rsidR="00307A25">
        <w:t>then</w:t>
      </w:r>
      <w:r w:rsidR="003C1BE6">
        <w:noBreakHyphen/>
      </w:r>
      <w:r w:rsidR="00307A25">
        <w:t>O</w:t>
      </w:r>
      <w:r w:rsidRPr="007C7F10">
        <w:t>pposition</w:t>
      </w:r>
      <w:r w:rsidR="000E1345">
        <w:t>, now the Government,</w:t>
      </w:r>
      <w:r w:rsidRPr="007C7F10">
        <w:t xml:space="preserve"> </w:t>
      </w:r>
      <w:r w:rsidR="00294DC7">
        <w:t>tabled</w:t>
      </w:r>
      <w:r w:rsidRPr="007C7F10">
        <w:t xml:space="preserve"> an amendment that create</w:t>
      </w:r>
      <w:r w:rsidR="00425D9E">
        <w:t>d</w:t>
      </w:r>
      <w:r w:rsidRPr="007C7F10">
        <w:t xml:space="preserve"> an obligation to conduct a review of the introduced provisions</w:t>
      </w:r>
      <w:r w:rsidR="000C0DA8">
        <w:t>, given the Parliamentary debate</w:t>
      </w:r>
      <w:r w:rsidR="00DB20D9">
        <w:t xml:space="preserve">. </w:t>
      </w:r>
      <w:r w:rsidR="002B5DEA">
        <w:t xml:space="preserve">This amendment was </w:t>
      </w:r>
      <w:r w:rsidR="00BA064C">
        <w:t>agreed to</w:t>
      </w:r>
      <w:r w:rsidR="002B5DEA">
        <w:t xml:space="preserve"> and incorporated into the final Bill. </w:t>
      </w:r>
    </w:p>
    <w:p w14:paraId="430C80E2" w14:textId="3F3C03F8" w:rsidR="006312CB" w:rsidRDefault="002B5DEA" w:rsidP="006312CB">
      <w:r>
        <w:t>The Bill as amended passed both Houses of Parliament on 18</w:t>
      </w:r>
      <w:r w:rsidR="00653C44">
        <w:t> </w:t>
      </w:r>
      <w:r>
        <w:t>September</w:t>
      </w:r>
      <w:r w:rsidR="00653C44">
        <w:t> </w:t>
      </w:r>
      <w:r>
        <w:t>2018 and received Royal Assent on 3</w:t>
      </w:r>
      <w:r w:rsidR="00653C44">
        <w:t> </w:t>
      </w:r>
      <w:r>
        <w:t>October</w:t>
      </w:r>
      <w:r w:rsidR="00653C44">
        <w:t> </w:t>
      </w:r>
      <w:r>
        <w:t xml:space="preserve">2018 as the </w:t>
      </w:r>
      <w:r w:rsidRPr="005255E6">
        <w:rPr>
          <w:i/>
        </w:rPr>
        <w:t>Treasury Laws Amendment (Black Economy Taskforce Measures No.</w:t>
      </w:r>
      <w:r w:rsidR="00862AE5" w:rsidRPr="005255E6">
        <w:rPr>
          <w:i/>
        </w:rPr>
        <w:t> </w:t>
      </w:r>
      <w:r w:rsidRPr="005255E6">
        <w:rPr>
          <w:i/>
        </w:rPr>
        <w:t>1)</w:t>
      </w:r>
      <w:r w:rsidR="005460E0" w:rsidRPr="005255E6">
        <w:rPr>
          <w:i/>
        </w:rPr>
        <w:t> </w:t>
      </w:r>
      <w:r w:rsidRPr="005255E6">
        <w:rPr>
          <w:i/>
        </w:rPr>
        <w:t>Act</w:t>
      </w:r>
      <w:r w:rsidR="005460E0" w:rsidRPr="005255E6">
        <w:rPr>
          <w:i/>
        </w:rPr>
        <w:t> </w:t>
      </w:r>
      <w:r w:rsidRPr="005255E6">
        <w:rPr>
          <w:i/>
        </w:rPr>
        <w:t>2018</w:t>
      </w:r>
      <w:r>
        <w:t xml:space="preserve"> (the Act). The Act commenced the day after Royal Assent, 4</w:t>
      </w:r>
      <w:r w:rsidR="00D24788">
        <w:t> </w:t>
      </w:r>
      <w:r>
        <w:t>October</w:t>
      </w:r>
      <w:r w:rsidR="00D24788">
        <w:t> </w:t>
      </w:r>
      <w:r>
        <w:t>2018.</w:t>
      </w:r>
    </w:p>
    <w:p w14:paraId="7C7125F2" w14:textId="0CFEBD0E" w:rsidR="006312CB" w:rsidRDefault="006312CB" w:rsidP="006312CB">
      <w:pPr>
        <w:pStyle w:val="Heading2"/>
      </w:pPr>
      <w:bookmarkStart w:id="12" w:name="_Toc120009019"/>
      <w:r>
        <w:lastRenderedPageBreak/>
        <w:t xml:space="preserve">The requirement for </w:t>
      </w:r>
      <w:r w:rsidR="009A5EAA">
        <w:t>this Report</w:t>
      </w:r>
      <w:bookmarkEnd w:id="12"/>
    </w:p>
    <w:p w14:paraId="3CFC8F4A" w14:textId="7139FF16" w:rsidR="00A4495D" w:rsidRDefault="00A4495D" w:rsidP="00A4495D">
      <w:r w:rsidRPr="000D1183">
        <w:t>Consistent with the amendments referred to above, section</w:t>
      </w:r>
      <w:r>
        <w:t> </w:t>
      </w:r>
      <w:r w:rsidRPr="000D1183">
        <w:t>4 of the Act requires the Minister to cause a review of the operation of Schedule</w:t>
      </w:r>
      <w:r>
        <w:t> </w:t>
      </w:r>
      <w:r w:rsidRPr="000D1183">
        <w:t>1</w:t>
      </w:r>
      <w:r w:rsidR="001B25BF">
        <w:t xml:space="preserve"> to the Act</w:t>
      </w:r>
      <w:r w:rsidR="00153053">
        <w:t>, which introduced these new offences and penalties</w:t>
      </w:r>
      <w:r w:rsidRPr="000D1183">
        <w:t xml:space="preserve">. The review </w:t>
      </w:r>
      <w:r>
        <w:t>wa</w:t>
      </w:r>
      <w:r w:rsidRPr="000D1183">
        <w:t xml:space="preserve">s to start as soon as practicable after </w:t>
      </w:r>
      <w:r>
        <w:t>two</w:t>
      </w:r>
      <w:r w:rsidRPr="000D1183">
        <w:t xml:space="preserve"> years after Royal Assent (that is, after 4</w:t>
      </w:r>
      <w:r>
        <w:t> </w:t>
      </w:r>
      <w:r w:rsidRPr="000D1183">
        <w:t>October</w:t>
      </w:r>
      <w:r>
        <w:t> </w:t>
      </w:r>
      <w:r w:rsidRPr="000D1183">
        <w:t xml:space="preserve">2020) with a written </w:t>
      </w:r>
      <w:r>
        <w:t>R</w:t>
      </w:r>
      <w:r w:rsidRPr="000D1183">
        <w:t xml:space="preserve">eport to be prepared. </w:t>
      </w:r>
    </w:p>
    <w:p w14:paraId="6A872EAB" w14:textId="0CCD9E92" w:rsidR="00E15157" w:rsidRPr="000D1183" w:rsidRDefault="0028744B" w:rsidP="00A4495D">
      <w:r>
        <w:t>Accordingly, t</w:t>
      </w:r>
      <w:r w:rsidR="00E15157">
        <w:t xml:space="preserve">his Report has been prepared </w:t>
      </w:r>
      <w:r w:rsidR="00F661C5">
        <w:t xml:space="preserve">jointly </w:t>
      </w:r>
      <w:r w:rsidR="00E15157">
        <w:t xml:space="preserve">by the Treasury and the Australian Taxation Office (ATO), </w:t>
      </w:r>
      <w:r>
        <w:t xml:space="preserve">following a review by both into </w:t>
      </w:r>
      <w:r w:rsidR="00495664">
        <w:t xml:space="preserve">the </w:t>
      </w:r>
      <w:r>
        <w:t>administration of the new offences and ATO enforcement action relating to ESST be</w:t>
      </w:r>
      <w:r w:rsidR="00F06F0E">
        <w:t>h</w:t>
      </w:r>
      <w:r>
        <w:t>aviour.</w:t>
      </w:r>
    </w:p>
    <w:p w14:paraId="4011CBBF" w14:textId="4466A3FD" w:rsidR="00A4495D" w:rsidRDefault="00A4495D" w:rsidP="00A4495D">
      <w:r w:rsidRPr="000D1183">
        <w:t xml:space="preserve">Commencement of the review has been unavoidably delayed </w:t>
      </w:r>
      <w:r w:rsidRPr="00737A2F">
        <w:t>alongside a large number of government activities in the context of the response to the COVID</w:t>
      </w:r>
      <w:r w:rsidR="003C1BE6">
        <w:noBreakHyphen/>
      </w:r>
      <w:r w:rsidRPr="00737A2F">
        <w:t>19 pandemic</w:t>
      </w:r>
      <w:r>
        <w:t xml:space="preserve">. This has </w:t>
      </w:r>
      <w:r w:rsidRPr="000D1183">
        <w:t>made it impracticable to conduct a review addressing the required topics until this point</w:t>
      </w:r>
      <w:r w:rsidR="00DB20D9">
        <w:t xml:space="preserve">. </w:t>
      </w:r>
      <w:r>
        <w:t>However, t</w:t>
      </w:r>
      <w:r w:rsidRPr="00737A2F">
        <w:t>his delay provided an opportunity to gather additional data that has been presented in this Report</w:t>
      </w:r>
      <w:r w:rsidR="00DB20D9">
        <w:t xml:space="preserve">. </w:t>
      </w:r>
    </w:p>
    <w:p w14:paraId="05C22B44" w14:textId="349F2D3C" w:rsidR="00A4495D" w:rsidRPr="00981753" w:rsidRDefault="00A4495D" w:rsidP="00A4495D">
      <w:r w:rsidRPr="000D1183">
        <w:t xml:space="preserve">The Minister is required to cause this </w:t>
      </w:r>
      <w:r>
        <w:t>Report</w:t>
      </w:r>
      <w:r w:rsidRPr="000D1183">
        <w:t xml:space="preserve"> to be tabled in each House of Parliament within 15 sitting days </w:t>
      </w:r>
      <w:r>
        <w:t xml:space="preserve">of each </w:t>
      </w:r>
      <w:r w:rsidRPr="000D1183">
        <w:t xml:space="preserve">after the day on which the </w:t>
      </w:r>
      <w:r w:rsidR="00F05D30">
        <w:t>final</w:t>
      </w:r>
      <w:r w:rsidRPr="000D1183">
        <w:t xml:space="preserve"> </w:t>
      </w:r>
      <w:r w:rsidR="008658CF">
        <w:t>Report</w:t>
      </w:r>
      <w:r w:rsidRPr="000D1183">
        <w:t xml:space="preserve"> is given to the Minister.</w:t>
      </w:r>
    </w:p>
    <w:p w14:paraId="7E126A3A" w14:textId="77777777" w:rsidR="003033F8" w:rsidRDefault="003033F8" w:rsidP="00701614">
      <w:pPr>
        <w:pStyle w:val="Heading1"/>
        <w:sectPr w:rsidR="003033F8" w:rsidSect="007D732B">
          <w:headerReference w:type="even" r:id="rId32"/>
          <w:headerReference w:type="default" r:id="rId33"/>
          <w:footerReference w:type="even" r:id="rId34"/>
          <w:footerReference w:type="default" r:id="rId35"/>
          <w:pgSz w:w="11906" w:h="16838" w:code="9"/>
          <w:pgMar w:top="1843" w:right="1418" w:bottom="1418" w:left="1418" w:header="709" w:footer="709" w:gutter="0"/>
          <w:cols w:space="708"/>
          <w:docGrid w:linePitch="360"/>
        </w:sectPr>
      </w:pPr>
      <w:bookmarkStart w:id="13" w:name="_Toc120009020"/>
    </w:p>
    <w:p w14:paraId="6D8895AF" w14:textId="30CFAE25" w:rsidR="00577D6E" w:rsidRDefault="006E79E3" w:rsidP="00701614">
      <w:pPr>
        <w:pStyle w:val="Heading1"/>
      </w:pPr>
      <w:r>
        <w:lastRenderedPageBreak/>
        <w:t>E</w:t>
      </w:r>
      <w:r w:rsidR="00577D6E">
        <w:t>nforcement action</w:t>
      </w:r>
      <w:bookmarkEnd w:id="13"/>
    </w:p>
    <w:p w14:paraId="2BE35AA1" w14:textId="50DA6EA5" w:rsidR="00577D6E" w:rsidRPr="0071063B" w:rsidRDefault="00577D6E" w:rsidP="00577D6E">
      <w:bookmarkStart w:id="14" w:name="_Hlk117264130"/>
      <w:r w:rsidRPr="0071063B">
        <w:t>Before the introduction of new laws, in 2017</w:t>
      </w:r>
      <w:r w:rsidR="003C1BE6">
        <w:t>–</w:t>
      </w:r>
      <w:r w:rsidRPr="0071063B">
        <w:t>18, the ATO conducted a pilot</w:t>
      </w:r>
      <w:r w:rsidR="00F661C5" w:rsidRPr="0071063B">
        <w:t xml:space="preserve"> program</w:t>
      </w:r>
      <w:r w:rsidR="00DB5410">
        <w:t xml:space="preserve"> which</w:t>
      </w:r>
      <w:r w:rsidRPr="0071063B">
        <w:t xml:space="preserve">, while very small, </w:t>
      </w:r>
      <w:r w:rsidR="00F661C5" w:rsidRPr="0071063B">
        <w:t>still</w:t>
      </w:r>
      <w:r w:rsidR="0040773F" w:rsidRPr="0071063B">
        <w:t xml:space="preserve"> </w:t>
      </w:r>
      <w:r w:rsidRPr="0071063B">
        <w:t xml:space="preserve">successfully confirmed that ESST was being used in Australia. </w:t>
      </w:r>
      <w:bookmarkEnd w:id="14"/>
      <w:r w:rsidR="00796D3F">
        <w:t>This pilot highlighted the importance of taking a tailored compliance approach to detect, engage with and prosecute ESST users, distributors and manufacturers given concerns regarding the preservation of evidence</w:t>
      </w:r>
      <w:r w:rsidR="00DB20D9">
        <w:t xml:space="preserve">. </w:t>
      </w:r>
    </w:p>
    <w:p w14:paraId="3FC28AB4" w14:textId="32E5E568" w:rsidR="000C05B2" w:rsidRPr="0071063B" w:rsidRDefault="00577D6E" w:rsidP="00577D6E">
      <w:r w:rsidRPr="0071063B">
        <w:t>Since the introduction of the new powers in the 2019</w:t>
      </w:r>
      <w:r w:rsidR="003C1BE6">
        <w:t>–</w:t>
      </w:r>
      <w:r w:rsidRPr="0071063B">
        <w:t xml:space="preserve">20 financial year, the ATO has focused its efforts in </w:t>
      </w:r>
      <w:r w:rsidR="00D572B1" w:rsidRPr="0071063B">
        <w:t xml:space="preserve">addressing </w:t>
      </w:r>
      <w:r w:rsidRPr="0071063B">
        <w:t xml:space="preserve">ESST </w:t>
      </w:r>
      <w:r w:rsidR="00D572B1" w:rsidRPr="0071063B">
        <w:t xml:space="preserve">behaviour as part of </w:t>
      </w:r>
      <w:r w:rsidRPr="0071063B">
        <w:t>the</w:t>
      </w:r>
      <w:r w:rsidR="001B5677" w:rsidRPr="0071063B">
        <w:t xml:space="preserve"> broader</w:t>
      </w:r>
      <w:r w:rsidRPr="0071063B">
        <w:t xml:space="preserve"> Shadow Economy Program</w:t>
      </w:r>
      <w:r w:rsidR="001B5677" w:rsidRPr="0071063B">
        <w:t>,</w:t>
      </w:r>
      <w:r w:rsidRPr="0071063B">
        <w:t xml:space="preserve"> with</w:t>
      </w:r>
      <w:r w:rsidR="001B5677" w:rsidRPr="0071063B">
        <w:t xml:space="preserve"> specific</w:t>
      </w:r>
      <w:r w:rsidRPr="0071063B">
        <w:t xml:space="preserve"> resources dedicated to address the risk.</w:t>
      </w:r>
      <w:r w:rsidR="00EF0D5B" w:rsidRPr="0071063B">
        <w:t xml:space="preserve"> </w:t>
      </w:r>
      <w:r w:rsidR="000C05B2" w:rsidRPr="0071063B">
        <w:t>In the 2022</w:t>
      </w:r>
      <w:r w:rsidR="003C1BE6">
        <w:t>–</w:t>
      </w:r>
      <w:r w:rsidR="000C05B2" w:rsidRPr="0071063B">
        <w:t>23 October Budget, t</w:t>
      </w:r>
      <w:r w:rsidR="00EF0D5B" w:rsidRPr="0071063B">
        <w:t xml:space="preserve">he Government extended this </w:t>
      </w:r>
      <w:r w:rsidR="000C05B2" w:rsidRPr="0071063B">
        <w:t xml:space="preserve">Program </w:t>
      </w:r>
      <w:r w:rsidR="00F661C5" w:rsidRPr="0071063B">
        <w:t>for three</w:t>
      </w:r>
      <w:r w:rsidR="000C05B2" w:rsidRPr="0071063B">
        <w:t xml:space="preserve"> years from 1 July 2023.</w:t>
      </w:r>
      <w:r w:rsidR="00EF0D5B" w:rsidRPr="0071063B">
        <w:t xml:space="preserve"> </w:t>
      </w:r>
    </w:p>
    <w:p w14:paraId="4C18964C" w14:textId="717E8C1C" w:rsidR="00577D6E" w:rsidRPr="0071063B" w:rsidRDefault="00577D6E" w:rsidP="00577D6E">
      <w:r w:rsidRPr="0071063B">
        <w:t xml:space="preserve">These resources have been applied </w:t>
      </w:r>
      <w:r w:rsidR="00332879">
        <w:t>given</w:t>
      </w:r>
      <w:r w:rsidRPr="0071063B">
        <w:t xml:space="preserve"> the strategic intent to address the ESST risk</w:t>
      </w:r>
      <w:r w:rsidR="00F32F72" w:rsidRPr="0071063B">
        <w:t>. This</w:t>
      </w:r>
      <w:r w:rsidR="00CA7F69" w:rsidRPr="0071063B">
        <w:t xml:space="preserve"> has</w:t>
      </w:r>
      <w:r w:rsidRPr="0071063B">
        <w:t xml:space="preserve"> not only support</w:t>
      </w:r>
      <w:r w:rsidR="001505D7" w:rsidRPr="0071063B">
        <w:t>ed</w:t>
      </w:r>
      <w:r w:rsidRPr="0071063B">
        <w:t xml:space="preserve"> delivery of compliance cases and tax adjustments but contribut</w:t>
      </w:r>
      <w:r w:rsidR="00CA7F69" w:rsidRPr="0071063B">
        <w:t>ed</w:t>
      </w:r>
      <w:r w:rsidRPr="0071063B">
        <w:t xml:space="preserve"> to a range of other tactics that focus on sustainable disruption of the entire ESST supply chain and changing behaviours</w:t>
      </w:r>
      <w:r w:rsidR="00DB20D9">
        <w:t xml:space="preserve">. </w:t>
      </w:r>
    </w:p>
    <w:p w14:paraId="042BB8A0" w14:textId="1BBD4548" w:rsidR="005F0652" w:rsidRPr="0071063B" w:rsidRDefault="00577D6E" w:rsidP="00577D6E">
      <w:r w:rsidRPr="0071063B">
        <w:t xml:space="preserve">To support these compliance activities, </w:t>
      </w:r>
      <w:r w:rsidR="00645A75" w:rsidRPr="0071063B">
        <w:t xml:space="preserve">the ATO has required </w:t>
      </w:r>
      <w:r w:rsidRPr="0071063B">
        <w:t xml:space="preserve">longer cycle times </w:t>
      </w:r>
      <w:r w:rsidR="00645A75" w:rsidRPr="0071063B">
        <w:t>for</w:t>
      </w:r>
      <w:r w:rsidR="00600E2E" w:rsidRPr="0071063B">
        <w:t xml:space="preserve"> </w:t>
      </w:r>
      <w:r w:rsidRPr="0071063B">
        <w:t>analysis to identify suppressed income and undertake the necessary examination to gather evidence of possession, use of</w:t>
      </w:r>
      <w:r w:rsidR="00F661C5" w:rsidRPr="0071063B">
        <w:t>,</w:t>
      </w:r>
      <w:r w:rsidRPr="0071063B">
        <w:t xml:space="preserve"> and aid/abetting the possession or use of sales suppression technology. </w:t>
      </w:r>
    </w:p>
    <w:p w14:paraId="25FD6E17" w14:textId="0835267E" w:rsidR="0021040E" w:rsidRDefault="005F0652" w:rsidP="00577D6E">
      <w:r w:rsidRPr="0071063B">
        <w:t>T</w:t>
      </w:r>
      <w:r w:rsidR="00577D6E" w:rsidRPr="0071063B">
        <w:t>he ATO</w:t>
      </w:r>
      <w:r w:rsidR="009B70C7">
        <w:t>’</w:t>
      </w:r>
      <w:r w:rsidR="00577D6E" w:rsidRPr="0071063B">
        <w:t>s compliance activities to date have identified and confirmed a range of shadow economy behaviours predominately across small businesses where POS systems have been identified as supporting suppression.</w:t>
      </w:r>
    </w:p>
    <w:p w14:paraId="15355958" w14:textId="1E59579F" w:rsidR="00A46B2B" w:rsidRPr="0071063B" w:rsidRDefault="00A46B2B" w:rsidP="00577D6E">
      <w:r>
        <w:t>However, t</w:t>
      </w:r>
      <w:r w:rsidRPr="00A46B2B">
        <w:t>raditional benchmarking and risk modelling alone cannot be relied on to identify highest</w:t>
      </w:r>
      <w:r w:rsidR="003C1BE6">
        <w:noBreakHyphen/>
      </w:r>
      <w:r w:rsidRPr="00A46B2B">
        <w:t>risk sectors as they provide a distorted view – that is, since the function of ESST is to alter sales records, widespread use can undermine the reliability of the very benchmarks used to assess particular businesses or industries to identify unusual or problematic behaviour</w:t>
      </w:r>
      <w:r w:rsidR="00DB20D9">
        <w:t xml:space="preserve">. </w:t>
      </w:r>
    </w:p>
    <w:p w14:paraId="236A80FB" w14:textId="374C8E9C" w:rsidR="000102A5" w:rsidRPr="000102A5" w:rsidRDefault="0021040E" w:rsidP="000102A5">
      <w:r w:rsidRPr="0071063B">
        <w:t>The below table breaks down the number and amount of penalties and prosecutions across each sub</w:t>
      </w:r>
      <w:r w:rsidR="003C1BE6">
        <w:noBreakHyphen/>
      </w:r>
      <w:r w:rsidRPr="0071063B">
        <w:t xml:space="preserve">category of offence. </w:t>
      </w:r>
      <w:r w:rsidR="006E79E3" w:rsidRPr="0071063B">
        <w:t>The</w:t>
      </w:r>
      <w:r w:rsidR="008370A5" w:rsidRPr="0071063B">
        <w:t xml:space="preserve"> </w:t>
      </w:r>
      <w:r w:rsidRPr="0071063B">
        <w:t>data focuses on the specific offences inserted by the Act, rather than the general pre</w:t>
      </w:r>
      <w:r w:rsidR="003C1BE6">
        <w:noBreakHyphen/>
      </w:r>
      <w:r w:rsidRPr="0071063B">
        <w:t xml:space="preserve">existing </w:t>
      </w:r>
      <w:r w:rsidR="00F661C5" w:rsidRPr="0071063B">
        <w:t xml:space="preserve">provisions </w:t>
      </w:r>
      <w:r w:rsidRPr="0071063B">
        <w:t>referred to above.</w:t>
      </w:r>
    </w:p>
    <w:p w14:paraId="5E3C42F8" w14:textId="384C71DA" w:rsidR="00577D6E" w:rsidRPr="0071063B" w:rsidRDefault="00BF3FAB" w:rsidP="009C5E6B">
      <w:pPr>
        <w:pStyle w:val="TableMainHeading"/>
      </w:pPr>
      <w:bookmarkStart w:id="15" w:name="_Toc120009021"/>
      <w:r>
        <w:t>Table</w:t>
      </w:r>
      <w:r w:rsidR="00577D6E" w:rsidRPr="0071063B">
        <w:t xml:space="preserve"> </w:t>
      </w:r>
      <w:r w:rsidR="0021040E" w:rsidRPr="0071063B">
        <w:t>1</w:t>
      </w:r>
      <w:r w:rsidR="00577D6E" w:rsidRPr="0071063B">
        <w:t xml:space="preserve">: </w:t>
      </w:r>
      <w:r w:rsidR="00577D6E" w:rsidRPr="009C5E6B">
        <w:t>Breakdown</w:t>
      </w:r>
      <w:r w:rsidR="00577D6E" w:rsidRPr="0071063B">
        <w:t xml:space="preserve"> in penalties and prosecutions for each sub</w:t>
      </w:r>
      <w:r w:rsidR="003C1BE6">
        <w:noBreakHyphen/>
      </w:r>
      <w:r w:rsidR="00577D6E" w:rsidRPr="0071063B">
        <w:t>category (2020</w:t>
      </w:r>
      <w:r w:rsidR="003C1BE6">
        <w:t>–</w:t>
      </w:r>
      <w:r w:rsidR="00577D6E" w:rsidRPr="0071063B">
        <w:t>21)</w:t>
      </w:r>
      <w:bookmarkEnd w:id="15"/>
    </w:p>
    <w:tbl>
      <w:tblPr>
        <w:tblStyle w:val="TableGrid"/>
        <w:tblW w:w="5000" w:type="pct"/>
        <w:tblLook w:val="0660" w:firstRow="1" w:lastRow="1" w:firstColumn="0" w:lastColumn="0" w:noHBand="1" w:noVBand="1"/>
      </w:tblPr>
      <w:tblGrid>
        <w:gridCol w:w="4536"/>
        <w:gridCol w:w="2268"/>
        <w:gridCol w:w="2268"/>
      </w:tblGrid>
      <w:tr w:rsidR="0071063B" w:rsidRPr="00024698" w14:paraId="440F6F0A" w14:textId="77777777" w:rsidTr="009C5E6B">
        <w:trPr>
          <w:cnfStyle w:val="100000000000" w:firstRow="1" w:lastRow="0" w:firstColumn="0" w:lastColumn="0" w:oddVBand="0" w:evenVBand="0" w:oddHBand="0" w:evenHBand="0" w:firstRowFirstColumn="0" w:firstRowLastColumn="0" w:lastRowFirstColumn="0" w:lastRowLastColumn="0"/>
          <w:tblHeader/>
        </w:trPr>
        <w:tc>
          <w:tcPr>
            <w:tcW w:w="2500" w:type="pct"/>
          </w:tcPr>
          <w:p w14:paraId="48E21DA1" w14:textId="77777777" w:rsidR="00B83901" w:rsidRPr="00024698" w:rsidRDefault="00B83901" w:rsidP="0071063B">
            <w:pPr>
              <w:pStyle w:val="TableColumnHeadingLeft"/>
              <w:rPr>
                <w:b/>
                <w:bCs/>
              </w:rPr>
            </w:pPr>
            <w:r w:rsidRPr="00024698">
              <w:rPr>
                <w:b/>
                <w:bCs/>
              </w:rPr>
              <w:t>Type</w:t>
            </w:r>
          </w:p>
        </w:tc>
        <w:tc>
          <w:tcPr>
            <w:tcW w:w="1250" w:type="pct"/>
          </w:tcPr>
          <w:p w14:paraId="259774CB" w14:textId="2B13CFC4" w:rsidR="00B83901" w:rsidRPr="00024698" w:rsidRDefault="00B83901" w:rsidP="0071063B">
            <w:pPr>
              <w:pStyle w:val="TableColumnHeadingLeft"/>
              <w:rPr>
                <w:b/>
                <w:bCs/>
              </w:rPr>
            </w:pPr>
            <w:r w:rsidRPr="00024698">
              <w:rPr>
                <w:b/>
                <w:bCs/>
              </w:rPr>
              <w:t>Number</w:t>
            </w:r>
          </w:p>
        </w:tc>
        <w:tc>
          <w:tcPr>
            <w:tcW w:w="1250" w:type="pct"/>
          </w:tcPr>
          <w:p w14:paraId="3E685847" w14:textId="4F2C84ED" w:rsidR="00B83901" w:rsidRPr="00024698" w:rsidRDefault="00B83901" w:rsidP="0071063B">
            <w:pPr>
              <w:pStyle w:val="TableColumnHeadingLeft"/>
              <w:rPr>
                <w:b/>
                <w:bCs/>
              </w:rPr>
            </w:pPr>
            <w:r w:rsidRPr="00024698">
              <w:rPr>
                <w:b/>
                <w:bCs/>
              </w:rPr>
              <w:t>Amount</w:t>
            </w:r>
            <w:r w:rsidR="00F661C5" w:rsidRPr="00024698">
              <w:rPr>
                <w:b/>
                <w:bCs/>
              </w:rPr>
              <w:t xml:space="preserve"> ($)</w:t>
            </w:r>
          </w:p>
        </w:tc>
      </w:tr>
      <w:tr w:rsidR="0071063B" w:rsidRPr="0071063B" w14:paraId="573D7D7C" w14:textId="77777777" w:rsidTr="00024698">
        <w:tc>
          <w:tcPr>
            <w:tcW w:w="2500" w:type="pct"/>
          </w:tcPr>
          <w:p w14:paraId="1F23A4E8" w14:textId="77777777" w:rsidR="00B83901" w:rsidRPr="0071063B" w:rsidRDefault="00B83901" w:rsidP="00145F18">
            <w:pPr>
              <w:pStyle w:val="TableTextLeft"/>
              <w:rPr>
                <w:color w:val="auto"/>
              </w:rPr>
            </w:pPr>
            <w:r w:rsidRPr="0071063B">
              <w:rPr>
                <w:color w:val="auto"/>
              </w:rPr>
              <w:t>Possession</w:t>
            </w:r>
          </w:p>
        </w:tc>
        <w:tc>
          <w:tcPr>
            <w:tcW w:w="1250" w:type="pct"/>
          </w:tcPr>
          <w:p w14:paraId="357A1CB1" w14:textId="00CFE2C5" w:rsidR="00B83901" w:rsidRPr="0071063B" w:rsidRDefault="00B83901" w:rsidP="00145F18">
            <w:pPr>
              <w:pStyle w:val="TableTextLeft"/>
              <w:rPr>
                <w:color w:val="auto"/>
              </w:rPr>
            </w:pPr>
            <w:r w:rsidRPr="0071063B">
              <w:rPr>
                <w:color w:val="auto"/>
              </w:rPr>
              <w:t>10</w:t>
            </w:r>
          </w:p>
        </w:tc>
        <w:tc>
          <w:tcPr>
            <w:tcW w:w="1250" w:type="pct"/>
          </w:tcPr>
          <w:p w14:paraId="28AB85EC" w14:textId="77777777" w:rsidR="00B83901" w:rsidRPr="0071063B" w:rsidRDefault="00B83901" w:rsidP="00145F18">
            <w:pPr>
              <w:pStyle w:val="TableTextLeft"/>
              <w:rPr>
                <w:color w:val="auto"/>
              </w:rPr>
            </w:pPr>
            <w:r w:rsidRPr="0071063B">
              <w:rPr>
                <w:color w:val="auto"/>
              </w:rPr>
              <w:t>63,000</w:t>
            </w:r>
          </w:p>
        </w:tc>
      </w:tr>
      <w:tr w:rsidR="0071063B" w:rsidRPr="0071063B" w14:paraId="6A6A50F7" w14:textId="77777777" w:rsidTr="00024698">
        <w:tc>
          <w:tcPr>
            <w:tcW w:w="2500" w:type="pct"/>
          </w:tcPr>
          <w:p w14:paraId="6D03D436" w14:textId="77777777" w:rsidR="00B83901" w:rsidRPr="0071063B" w:rsidRDefault="00B83901" w:rsidP="00145F18">
            <w:pPr>
              <w:pStyle w:val="TableTextLeft"/>
              <w:rPr>
                <w:color w:val="auto"/>
              </w:rPr>
            </w:pPr>
            <w:r w:rsidRPr="0071063B">
              <w:rPr>
                <w:color w:val="auto"/>
              </w:rPr>
              <w:t>Use</w:t>
            </w:r>
          </w:p>
        </w:tc>
        <w:tc>
          <w:tcPr>
            <w:tcW w:w="1250" w:type="pct"/>
          </w:tcPr>
          <w:p w14:paraId="46F11779" w14:textId="40118CE4" w:rsidR="00B83901" w:rsidRPr="0071063B" w:rsidRDefault="00B83901" w:rsidP="00145F18">
            <w:pPr>
              <w:pStyle w:val="TableTextLeft"/>
              <w:rPr>
                <w:color w:val="auto"/>
              </w:rPr>
            </w:pPr>
            <w:r w:rsidRPr="0071063B">
              <w:rPr>
                <w:color w:val="auto"/>
              </w:rPr>
              <w:t>8</w:t>
            </w:r>
          </w:p>
        </w:tc>
        <w:tc>
          <w:tcPr>
            <w:tcW w:w="1250" w:type="pct"/>
          </w:tcPr>
          <w:p w14:paraId="2A1E608A" w14:textId="77777777" w:rsidR="00B83901" w:rsidRPr="0071063B" w:rsidRDefault="00B83901" w:rsidP="00145F18">
            <w:pPr>
              <w:pStyle w:val="TableTextLeft"/>
              <w:rPr>
                <w:color w:val="auto"/>
              </w:rPr>
            </w:pPr>
            <w:r w:rsidRPr="0071063B">
              <w:rPr>
                <w:color w:val="auto"/>
              </w:rPr>
              <w:t>489,960</w:t>
            </w:r>
          </w:p>
        </w:tc>
      </w:tr>
      <w:tr w:rsidR="0071063B" w:rsidRPr="0071063B" w14:paraId="31C619B4" w14:textId="77777777" w:rsidTr="00024698">
        <w:tc>
          <w:tcPr>
            <w:tcW w:w="2500" w:type="pct"/>
          </w:tcPr>
          <w:p w14:paraId="0BB114D6" w14:textId="77777777" w:rsidR="00B83901" w:rsidRPr="0071063B" w:rsidRDefault="00B83901" w:rsidP="00145F18">
            <w:pPr>
              <w:pStyle w:val="TableTextLeft"/>
              <w:rPr>
                <w:color w:val="auto"/>
              </w:rPr>
            </w:pPr>
            <w:r w:rsidRPr="0071063B">
              <w:rPr>
                <w:color w:val="auto"/>
              </w:rPr>
              <w:t>Aid/Abet – Possessions</w:t>
            </w:r>
          </w:p>
        </w:tc>
        <w:tc>
          <w:tcPr>
            <w:tcW w:w="1250" w:type="pct"/>
          </w:tcPr>
          <w:p w14:paraId="237907F2" w14:textId="7E7098BE" w:rsidR="00B83901" w:rsidRPr="0071063B" w:rsidRDefault="00B83901" w:rsidP="00145F18">
            <w:pPr>
              <w:pStyle w:val="TableTextLeft"/>
              <w:rPr>
                <w:color w:val="auto"/>
              </w:rPr>
            </w:pPr>
            <w:r w:rsidRPr="0071063B">
              <w:rPr>
                <w:color w:val="auto"/>
              </w:rPr>
              <w:t>6</w:t>
            </w:r>
          </w:p>
        </w:tc>
        <w:tc>
          <w:tcPr>
            <w:tcW w:w="1250" w:type="pct"/>
          </w:tcPr>
          <w:p w14:paraId="75329D36" w14:textId="77777777" w:rsidR="00B83901" w:rsidRPr="0071063B" w:rsidRDefault="00B83901" w:rsidP="00145F18">
            <w:pPr>
              <w:pStyle w:val="TableTextLeft"/>
              <w:rPr>
                <w:color w:val="auto"/>
              </w:rPr>
            </w:pPr>
            <w:r w:rsidRPr="0071063B">
              <w:rPr>
                <w:color w:val="auto"/>
              </w:rPr>
              <w:t>175,960</w:t>
            </w:r>
          </w:p>
        </w:tc>
      </w:tr>
      <w:tr w:rsidR="0071063B" w:rsidRPr="0071063B" w14:paraId="37D9AC17" w14:textId="77777777" w:rsidTr="00024698">
        <w:tc>
          <w:tcPr>
            <w:tcW w:w="2500" w:type="pct"/>
          </w:tcPr>
          <w:p w14:paraId="17D4D640" w14:textId="77777777" w:rsidR="00B83901" w:rsidRPr="0071063B" w:rsidRDefault="00B83901" w:rsidP="00145F18">
            <w:pPr>
              <w:pStyle w:val="TableTextLeft"/>
              <w:rPr>
                <w:color w:val="auto"/>
              </w:rPr>
            </w:pPr>
            <w:r w:rsidRPr="0071063B">
              <w:rPr>
                <w:color w:val="auto"/>
              </w:rPr>
              <w:t>Aid/Abet – Use</w:t>
            </w:r>
          </w:p>
        </w:tc>
        <w:tc>
          <w:tcPr>
            <w:tcW w:w="1250" w:type="pct"/>
          </w:tcPr>
          <w:p w14:paraId="5B2C1024" w14:textId="5CDA6BC6" w:rsidR="00B83901" w:rsidRPr="0071063B" w:rsidRDefault="00B83901" w:rsidP="00145F18">
            <w:pPr>
              <w:pStyle w:val="TableTextLeft"/>
              <w:rPr>
                <w:color w:val="auto"/>
              </w:rPr>
            </w:pPr>
            <w:r w:rsidRPr="0071063B">
              <w:rPr>
                <w:color w:val="auto"/>
              </w:rPr>
              <w:t>7</w:t>
            </w:r>
          </w:p>
        </w:tc>
        <w:tc>
          <w:tcPr>
            <w:tcW w:w="1250" w:type="pct"/>
          </w:tcPr>
          <w:p w14:paraId="44742C70" w14:textId="77777777" w:rsidR="00B83901" w:rsidRPr="0071063B" w:rsidRDefault="00B83901" w:rsidP="00145F18">
            <w:pPr>
              <w:pStyle w:val="TableTextLeft"/>
              <w:rPr>
                <w:color w:val="auto"/>
              </w:rPr>
            </w:pPr>
            <w:r w:rsidRPr="0071063B">
              <w:rPr>
                <w:color w:val="auto"/>
              </w:rPr>
              <w:t>252,000</w:t>
            </w:r>
          </w:p>
        </w:tc>
      </w:tr>
      <w:tr w:rsidR="0071063B" w:rsidRPr="0071063B" w14:paraId="33DF51B4" w14:textId="77777777" w:rsidTr="00024698">
        <w:tc>
          <w:tcPr>
            <w:tcW w:w="2500" w:type="pct"/>
            <w:tcBorders>
              <w:bottom w:val="single" w:sz="4" w:space="0" w:color="EEEEEE" w:themeColor="background2"/>
            </w:tcBorders>
          </w:tcPr>
          <w:p w14:paraId="34ABBB4F" w14:textId="77777777" w:rsidR="00B83901" w:rsidRPr="0071063B" w:rsidRDefault="00B83901" w:rsidP="00145F18">
            <w:pPr>
              <w:pStyle w:val="TableTextLeft"/>
              <w:rPr>
                <w:b/>
                <w:color w:val="auto"/>
              </w:rPr>
            </w:pPr>
            <w:r w:rsidRPr="0071063B">
              <w:rPr>
                <w:b/>
                <w:color w:val="auto"/>
              </w:rPr>
              <w:t>TOTAL</w:t>
            </w:r>
          </w:p>
        </w:tc>
        <w:tc>
          <w:tcPr>
            <w:tcW w:w="1250" w:type="pct"/>
            <w:tcBorders>
              <w:bottom w:val="single" w:sz="4" w:space="0" w:color="EEEEEE" w:themeColor="background2"/>
            </w:tcBorders>
          </w:tcPr>
          <w:p w14:paraId="3B3D8E15" w14:textId="2D260C0F" w:rsidR="00B83901" w:rsidRPr="0071063B" w:rsidRDefault="00B83901" w:rsidP="00145F18">
            <w:pPr>
              <w:pStyle w:val="TableTextLeft"/>
              <w:rPr>
                <w:b/>
                <w:color w:val="auto"/>
              </w:rPr>
            </w:pPr>
            <w:r w:rsidRPr="0071063B">
              <w:rPr>
                <w:b/>
                <w:color w:val="auto"/>
              </w:rPr>
              <w:t>31</w:t>
            </w:r>
          </w:p>
        </w:tc>
        <w:tc>
          <w:tcPr>
            <w:tcW w:w="1250" w:type="pct"/>
            <w:tcBorders>
              <w:bottom w:val="single" w:sz="4" w:space="0" w:color="EEEEEE" w:themeColor="background2"/>
            </w:tcBorders>
          </w:tcPr>
          <w:p w14:paraId="438080F0" w14:textId="77777777" w:rsidR="00B83901" w:rsidRPr="0071063B" w:rsidRDefault="00B83901" w:rsidP="00145F18">
            <w:pPr>
              <w:pStyle w:val="TableTextLeft"/>
              <w:rPr>
                <w:b/>
                <w:color w:val="auto"/>
              </w:rPr>
            </w:pPr>
            <w:r w:rsidRPr="0071063B">
              <w:rPr>
                <w:b/>
                <w:color w:val="auto"/>
              </w:rPr>
              <w:t>971,920</w:t>
            </w:r>
          </w:p>
        </w:tc>
      </w:tr>
    </w:tbl>
    <w:p w14:paraId="1AE4E278" w14:textId="77777777" w:rsidR="000102A5" w:rsidRDefault="000102A5" w:rsidP="000102A5">
      <w:pPr>
        <w:pStyle w:val="SingleParagraph"/>
      </w:pPr>
    </w:p>
    <w:p w14:paraId="1084B5F4" w14:textId="3738D8E0" w:rsidR="00312982" w:rsidRDefault="008A0725" w:rsidP="00024698">
      <w:r w:rsidRPr="0071063B">
        <w:t xml:space="preserve">The ATO has found that </w:t>
      </w:r>
      <w:r w:rsidR="00577D6E" w:rsidRPr="0071063B">
        <w:t>successfully apply</w:t>
      </w:r>
      <w:r w:rsidRPr="0071063B">
        <w:t>ing</w:t>
      </w:r>
      <w:r w:rsidR="00577D6E" w:rsidRPr="0071063B">
        <w:t xml:space="preserve"> an ESST penalty requires a significant investment in resources and analysis of the </w:t>
      </w:r>
      <w:r w:rsidR="006E79E3" w:rsidRPr="0071063B">
        <w:t>taxpayer</w:t>
      </w:r>
      <w:r w:rsidR="00577D6E" w:rsidRPr="0071063B">
        <w:t>s</w:t>
      </w:r>
      <w:r w:rsidR="009B70C7">
        <w:t>’</w:t>
      </w:r>
      <w:r w:rsidR="00577D6E" w:rsidRPr="0071063B">
        <w:t xml:space="preserve"> affairs. There are </w:t>
      </w:r>
      <w:r w:rsidR="00B30A98" w:rsidRPr="0071063B">
        <w:t xml:space="preserve">significant </w:t>
      </w:r>
      <w:r w:rsidR="00577D6E" w:rsidRPr="0071063B">
        <w:t xml:space="preserve">difficulties in gathering sufficient evidence to support the </w:t>
      </w:r>
      <w:r w:rsidR="00F661C5" w:rsidRPr="0071063B">
        <w:t xml:space="preserve">enforcement </w:t>
      </w:r>
      <w:r w:rsidR="00577D6E" w:rsidRPr="0071063B">
        <w:t xml:space="preserve">decision, </w:t>
      </w:r>
      <w:r w:rsidR="00312982">
        <w:t>given</w:t>
      </w:r>
      <w:r w:rsidR="00577D6E" w:rsidRPr="0071063B">
        <w:t xml:space="preserve"> it is common for an ESST</w:t>
      </w:r>
      <w:r w:rsidR="00B30A98" w:rsidRPr="0071063B">
        <w:t xml:space="preserve"> itself</w:t>
      </w:r>
      <w:r w:rsidR="00577D6E" w:rsidRPr="0071063B">
        <w:t xml:space="preserve"> to delete the audit trail that </w:t>
      </w:r>
      <w:r w:rsidR="00B30A98" w:rsidRPr="0071063B">
        <w:t xml:space="preserve">the ATO </w:t>
      </w:r>
      <w:r w:rsidR="00577D6E" w:rsidRPr="0071063B">
        <w:t>would ordinarily rely on</w:t>
      </w:r>
      <w:r w:rsidR="00B30A98" w:rsidRPr="0071063B">
        <w:t xml:space="preserve"> to take and justify compliance action</w:t>
      </w:r>
      <w:r w:rsidR="00577D6E" w:rsidRPr="0071063B">
        <w:t xml:space="preserve">. Highly trained ATO officers are required to gather information from many sources to corroborate the existence, manufacture, sale and use of ESST. </w:t>
      </w:r>
    </w:p>
    <w:p w14:paraId="66B00F62" w14:textId="606C26F5" w:rsidR="00577D6E" w:rsidRDefault="00312982" w:rsidP="000D2E26">
      <w:r>
        <w:t>The ATO needs</w:t>
      </w:r>
      <w:r w:rsidR="005E65E4" w:rsidRPr="0071063B">
        <w:t xml:space="preserve"> to establish </w:t>
      </w:r>
      <w:r>
        <w:t xml:space="preserve">whether </w:t>
      </w:r>
      <w:r w:rsidR="005E65E4" w:rsidRPr="0071063B">
        <w:t xml:space="preserve">the software in question </w:t>
      </w:r>
      <w:r w:rsidR="00836020" w:rsidRPr="0071063B">
        <w:t xml:space="preserve">meets the </w:t>
      </w:r>
      <w:r w:rsidR="005E65E4" w:rsidRPr="0071063B">
        <w:t xml:space="preserve">threshold </w:t>
      </w:r>
      <w:r w:rsidR="00836020" w:rsidRPr="0071063B">
        <w:t xml:space="preserve">definition of </w:t>
      </w:r>
      <w:r w:rsidR="009B70C7">
        <w:t>“</w:t>
      </w:r>
      <w:r w:rsidR="00836020" w:rsidRPr="0071063B">
        <w:t>electronic sales suppression tool</w:t>
      </w:r>
      <w:r w:rsidR="009B70C7">
        <w:t>”</w:t>
      </w:r>
      <w:r w:rsidR="00836020" w:rsidRPr="0071063B">
        <w:t xml:space="preserve"> which the specific offences in question rely on</w:t>
      </w:r>
      <w:r w:rsidR="0020269C" w:rsidRPr="0071063B">
        <w:t xml:space="preserve"> – as is set out in more detail in </w:t>
      </w:r>
      <w:r w:rsidR="0020269C" w:rsidRPr="000D2E26">
        <w:t>Appendix A</w:t>
      </w:r>
      <w:r w:rsidR="00F661C5" w:rsidRPr="0071063B">
        <w:t>;</w:t>
      </w:r>
      <w:r w:rsidR="0020269C" w:rsidRPr="0071063B">
        <w:t xml:space="preserve"> </w:t>
      </w:r>
      <w:r w:rsidR="004F7E2A" w:rsidRPr="0071063B">
        <w:t>to meet the definition</w:t>
      </w:r>
      <w:r w:rsidR="00F661C5" w:rsidRPr="0071063B">
        <w:t>,</w:t>
      </w:r>
      <w:r w:rsidR="004F7E2A" w:rsidRPr="0071063B">
        <w:t xml:space="preserve"> the software must not only be capable of falsifying </w:t>
      </w:r>
      <w:r w:rsidR="004F7E2A" w:rsidRPr="0071063B">
        <w:lastRenderedPageBreak/>
        <w:t>relevant records but a reasonable person would conclude this is one of its functions.</w:t>
      </w:r>
      <w:r w:rsidR="00EB35C4" w:rsidRPr="003C1BE6">
        <w:rPr>
          <w:rStyle w:val="FootnoteReference"/>
        </w:rPr>
        <w:footnoteReference w:id="8"/>
      </w:r>
      <w:r w:rsidRPr="003C1BE6">
        <w:rPr>
          <w:rStyle w:val="FootnoteReference"/>
        </w:rPr>
        <w:t xml:space="preserve"> </w:t>
      </w:r>
      <w:r>
        <w:t xml:space="preserve"> This can require </w:t>
      </w:r>
      <w:r w:rsidRPr="00312982">
        <w:t>detailed forensic analysis and financial record comparison, which can involve computer programming and coding analysis, to identify whether the device, software program or other thing, a part of any such thing, or a combination of any such things or parts, have the capability and principal function of interfering with sales records electronically.</w:t>
      </w:r>
    </w:p>
    <w:p w14:paraId="15A85F6F" w14:textId="3591AD9D" w:rsidR="000566F9" w:rsidRPr="000D2E26" w:rsidRDefault="000566F9" w:rsidP="000D2E26">
      <w:r w:rsidRPr="000566F9">
        <w:t>Where the ATO identifies actual or suspected ESST use, detailed compliance action is undertaken to identify both cash and electronic sales suppression across businesses. The use of ESST not only supports the suppression of income across businesses and the individuals associated with them; ESST also can facilitate the payment of cash wages and the subsequent noncompliance with employer obligations such as PAYG withholding and payment of superannuation.</w:t>
      </w:r>
    </w:p>
    <w:p w14:paraId="76BA8665" w14:textId="5CC9FC92" w:rsidR="000102A5" w:rsidRPr="0071063B" w:rsidRDefault="00577D6E" w:rsidP="000102A5">
      <w:r w:rsidRPr="0071063B">
        <w:t xml:space="preserve">Where ESST </w:t>
      </w:r>
      <w:r w:rsidR="00C70267" w:rsidRPr="0071063B">
        <w:t xml:space="preserve">behaviour is </w:t>
      </w:r>
      <w:r w:rsidRPr="0071063B">
        <w:t xml:space="preserve">identified, </w:t>
      </w:r>
      <w:r w:rsidR="00C70267" w:rsidRPr="0071063B">
        <w:t xml:space="preserve">this makes it more likely </w:t>
      </w:r>
      <w:r w:rsidR="00F661C5" w:rsidRPr="0071063B">
        <w:t xml:space="preserve">that </w:t>
      </w:r>
      <w:r w:rsidR="00C70267" w:rsidRPr="0071063B">
        <w:t xml:space="preserve">the ATO will </w:t>
      </w:r>
      <w:r w:rsidRPr="0071063B">
        <w:t>identify omitted income risks and tax shortfalls compared to other shadow economy risks</w:t>
      </w:r>
      <w:r w:rsidR="00C70267" w:rsidRPr="0071063B">
        <w:t xml:space="preserve"> or behaviours</w:t>
      </w:r>
      <w:r w:rsidRPr="0071063B">
        <w:t xml:space="preserve">. Currently, the average expected return per case is also higher when compared to other shadow economy cases. </w:t>
      </w:r>
      <w:r w:rsidR="003427F5" w:rsidRPr="0071063B">
        <w:t xml:space="preserve">ESST compliance </w:t>
      </w:r>
      <w:r w:rsidRPr="0071063B">
        <w:t>does</w:t>
      </w:r>
      <w:r w:rsidR="00550D7C">
        <w:t>,</w:t>
      </w:r>
      <w:r w:rsidRPr="0071063B">
        <w:t xml:space="preserve"> however</w:t>
      </w:r>
      <w:r w:rsidR="00550D7C">
        <w:t>,</w:t>
      </w:r>
      <w:r w:rsidRPr="0071063B">
        <w:t xml:space="preserve"> involve longer cycle times</w:t>
      </w:r>
      <w:r w:rsidR="0097240F" w:rsidRPr="0071063B">
        <w:t xml:space="preserve"> for the ATO</w:t>
      </w:r>
      <w:r w:rsidRPr="0071063B">
        <w:t xml:space="preserve">, </w:t>
      </w:r>
      <w:r w:rsidR="00550D7C">
        <w:t>and require</w:t>
      </w:r>
      <w:r w:rsidR="00840290">
        <w:t>s</w:t>
      </w:r>
      <w:r w:rsidR="00550D7C">
        <w:t xml:space="preserve"> </w:t>
      </w:r>
      <w:r w:rsidRPr="0071063B">
        <w:t>more expertise and capability from audit staff and digital forensic/e</w:t>
      </w:r>
      <w:r w:rsidR="003C1BE6">
        <w:noBreakHyphen/>
      </w:r>
      <w:r w:rsidRPr="0071063B">
        <w:t>audit staff</w:t>
      </w:r>
      <w:r w:rsidR="00DB20D9">
        <w:t xml:space="preserve">. </w:t>
      </w:r>
      <w:r w:rsidRPr="0071063B">
        <w:t>There is also a greater workload and level of analysis required to support primary assessments and the application of ESST penalties</w:t>
      </w:r>
      <w:r w:rsidR="00DB20D9">
        <w:t xml:space="preserve">. </w:t>
      </w:r>
    </w:p>
    <w:p w14:paraId="5B46D8BB" w14:textId="7BDE5DBB" w:rsidR="00577D6E" w:rsidRPr="008A657B" w:rsidRDefault="00BF3FAB" w:rsidP="008A657B">
      <w:pPr>
        <w:pStyle w:val="TableMainHeading"/>
      </w:pPr>
      <w:bookmarkStart w:id="16" w:name="_Toc120009022"/>
      <w:r>
        <w:t>Table</w:t>
      </w:r>
      <w:r w:rsidR="00577D6E" w:rsidRPr="008A657B">
        <w:t xml:space="preserve"> </w:t>
      </w:r>
      <w:r w:rsidR="0024689F" w:rsidRPr="008A657B">
        <w:t>2</w:t>
      </w:r>
      <w:r w:rsidR="00577D6E" w:rsidRPr="008A657B">
        <w:t xml:space="preserve">: Estimate </w:t>
      </w:r>
      <w:r w:rsidR="00F07FB0" w:rsidRPr="008A657B">
        <w:t xml:space="preserve">of </w:t>
      </w:r>
      <w:r w:rsidR="00577D6E" w:rsidRPr="008A657B">
        <w:t>amount of revenue recovered or preserved</w:t>
      </w:r>
      <w:r w:rsidR="003D5386">
        <w:t xml:space="preserve"> (2021</w:t>
      </w:r>
      <w:r w:rsidR="003C1BE6">
        <w:t>–</w:t>
      </w:r>
      <w:r w:rsidR="003D5386">
        <w:t>22)</w:t>
      </w:r>
      <w:bookmarkEnd w:id="16"/>
    </w:p>
    <w:tbl>
      <w:tblPr>
        <w:tblStyle w:val="TableGrid"/>
        <w:tblW w:w="5000" w:type="pct"/>
        <w:tblLook w:val="0620" w:firstRow="1" w:lastRow="0" w:firstColumn="0" w:lastColumn="0" w:noHBand="1" w:noVBand="1"/>
      </w:tblPr>
      <w:tblGrid>
        <w:gridCol w:w="4536"/>
        <w:gridCol w:w="4536"/>
      </w:tblGrid>
      <w:tr w:rsidR="0071063B" w:rsidRPr="00024698" w14:paraId="4B50104A" w14:textId="77777777" w:rsidTr="00024698">
        <w:trPr>
          <w:cnfStyle w:val="100000000000" w:firstRow="1" w:lastRow="0" w:firstColumn="0" w:lastColumn="0" w:oddVBand="0" w:evenVBand="0" w:oddHBand="0" w:evenHBand="0" w:firstRowFirstColumn="0" w:firstRowLastColumn="0" w:lastRowFirstColumn="0" w:lastRowLastColumn="0"/>
        </w:trPr>
        <w:tc>
          <w:tcPr>
            <w:tcW w:w="4536" w:type="dxa"/>
          </w:tcPr>
          <w:p w14:paraId="47F576A5" w14:textId="77777777" w:rsidR="00577D6E" w:rsidRPr="00024698" w:rsidRDefault="00577D6E" w:rsidP="00024698">
            <w:pPr>
              <w:pStyle w:val="TableColumnHeadingLeft"/>
              <w:rPr>
                <w:b/>
                <w:bCs/>
              </w:rPr>
            </w:pPr>
            <w:r w:rsidRPr="00024698">
              <w:rPr>
                <w:b/>
                <w:bCs/>
              </w:rPr>
              <w:t>Completed cases</w:t>
            </w:r>
          </w:p>
        </w:tc>
        <w:tc>
          <w:tcPr>
            <w:tcW w:w="4536" w:type="dxa"/>
          </w:tcPr>
          <w:p w14:paraId="2ED56352" w14:textId="1AEE0EE7" w:rsidR="00577D6E" w:rsidRPr="00024698" w:rsidRDefault="00577D6E" w:rsidP="00024698">
            <w:pPr>
              <w:pStyle w:val="TableColumnHeadingLeft"/>
              <w:rPr>
                <w:b/>
                <w:bCs/>
              </w:rPr>
            </w:pPr>
            <w:r w:rsidRPr="00024698">
              <w:rPr>
                <w:b/>
                <w:bCs/>
              </w:rPr>
              <w:t>Liabilities raised</w:t>
            </w:r>
            <w:r w:rsidR="00F661C5" w:rsidRPr="00024698">
              <w:rPr>
                <w:b/>
                <w:bCs/>
              </w:rPr>
              <w:t xml:space="preserve"> ($)</w:t>
            </w:r>
          </w:p>
        </w:tc>
      </w:tr>
      <w:tr w:rsidR="0071063B" w:rsidRPr="0071063B" w14:paraId="1B1B4CC4" w14:textId="77777777" w:rsidTr="00024698">
        <w:tc>
          <w:tcPr>
            <w:tcW w:w="4536" w:type="dxa"/>
            <w:tcBorders>
              <w:bottom w:val="single" w:sz="4" w:space="0" w:color="EEEEEE" w:themeColor="background2"/>
            </w:tcBorders>
          </w:tcPr>
          <w:p w14:paraId="598DB601" w14:textId="77777777" w:rsidR="00577D6E" w:rsidRPr="0071063B" w:rsidRDefault="00577D6E" w:rsidP="00145F18">
            <w:pPr>
              <w:pStyle w:val="TableTextLeft"/>
              <w:rPr>
                <w:color w:val="auto"/>
              </w:rPr>
            </w:pPr>
            <w:r w:rsidRPr="0071063B">
              <w:rPr>
                <w:color w:val="auto"/>
              </w:rPr>
              <w:t>46</w:t>
            </w:r>
          </w:p>
        </w:tc>
        <w:tc>
          <w:tcPr>
            <w:tcW w:w="4536" w:type="dxa"/>
            <w:tcBorders>
              <w:bottom w:val="single" w:sz="4" w:space="0" w:color="EEEEEE" w:themeColor="background2"/>
            </w:tcBorders>
          </w:tcPr>
          <w:p w14:paraId="2C8C3D60" w14:textId="77777777" w:rsidR="00577D6E" w:rsidRPr="0071063B" w:rsidRDefault="00577D6E" w:rsidP="00145F18">
            <w:pPr>
              <w:pStyle w:val="TableTextLeft"/>
              <w:rPr>
                <w:color w:val="auto"/>
              </w:rPr>
            </w:pPr>
            <w:r w:rsidRPr="0071063B">
              <w:rPr>
                <w:color w:val="auto"/>
              </w:rPr>
              <w:t>7,356,000</w:t>
            </w:r>
          </w:p>
        </w:tc>
      </w:tr>
    </w:tbl>
    <w:p w14:paraId="2875A799" w14:textId="77777777" w:rsidR="000102A5" w:rsidRDefault="000102A5" w:rsidP="000102A5">
      <w:pPr>
        <w:pStyle w:val="SingleParagraph"/>
      </w:pPr>
    </w:p>
    <w:p w14:paraId="015CBA39" w14:textId="7EB2B278" w:rsidR="00577D6E" w:rsidRPr="0071063B" w:rsidRDefault="001662A0" w:rsidP="00577D6E">
      <w:r w:rsidRPr="0071063B">
        <w:t xml:space="preserve">The ATO </w:t>
      </w:r>
      <w:r w:rsidR="00577D6E" w:rsidRPr="0071063B">
        <w:t xml:space="preserve">has </w:t>
      </w:r>
      <w:r w:rsidR="003536B6" w:rsidRPr="0071063B">
        <w:t xml:space="preserve">also </w:t>
      </w:r>
      <w:r w:rsidR="00577D6E" w:rsidRPr="0071063B">
        <w:t xml:space="preserve">identified </w:t>
      </w:r>
      <w:r w:rsidR="00CE4BEA" w:rsidRPr="0071063B">
        <w:t xml:space="preserve">that </w:t>
      </w:r>
      <w:r w:rsidR="00577D6E" w:rsidRPr="0071063B">
        <w:t xml:space="preserve">businesses possessing or using </w:t>
      </w:r>
      <w:r w:rsidR="00102B18" w:rsidRPr="0071063B">
        <w:t>ESST</w:t>
      </w:r>
      <w:r w:rsidR="00577D6E" w:rsidRPr="0071063B">
        <w:t xml:space="preserve"> have a higher propensity, when provided with advance notice of ATO action, to destroy or hide records (</w:t>
      </w:r>
      <w:r w:rsidR="003253D5" w:rsidRPr="0071063B">
        <w:t xml:space="preserve">e.g. </w:t>
      </w:r>
      <w:r w:rsidR="00577D6E" w:rsidRPr="0071063B">
        <w:t xml:space="preserve">updates to systems are undertaken with a lack of an audit trail) and a higher propensity to exhibit behaviour to dissipate assets. The </w:t>
      </w:r>
      <w:r w:rsidR="006F1D1B" w:rsidRPr="0071063B">
        <w:t>ATO</w:t>
      </w:r>
      <w:r w:rsidR="009B70C7">
        <w:t>’</w:t>
      </w:r>
      <w:r w:rsidR="006F1D1B" w:rsidRPr="0071063B">
        <w:t xml:space="preserve">s </w:t>
      </w:r>
      <w:r w:rsidR="00577D6E" w:rsidRPr="0071063B">
        <w:t xml:space="preserve">methodology and approaches therefore have evolved to ensure that </w:t>
      </w:r>
      <w:r w:rsidR="006F1D1B" w:rsidRPr="0071063B">
        <w:t xml:space="preserve">they </w:t>
      </w:r>
      <w:r w:rsidR="00577D6E" w:rsidRPr="0071063B">
        <w:t>assess risk factors and adapt methodologies and approaches accordingly</w:t>
      </w:r>
      <w:r w:rsidR="00DB20D9">
        <w:t xml:space="preserve">. </w:t>
      </w:r>
    </w:p>
    <w:p w14:paraId="5D60C6F7" w14:textId="6894D82A" w:rsidR="00577D6E" w:rsidRPr="00981753" w:rsidRDefault="00577D6E" w:rsidP="00577D6E">
      <w:r w:rsidRPr="0071063B">
        <w:t xml:space="preserve">The </w:t>
      </w:r>
      <w:r w:rsidR="00661F99" w:rsidRPr="0071063B">
        <w:t xml:space="preserve">ATO can find it difficult to </w:t>
      </w:r>
      <w:r w:rsidRPr="0071063B">
        <w:t xml:space="preserve">recover tax revenue with current limitations on </w:t>
      </w:r>
      <w:r w:rsidR="00661F99" w:rsidRPr="0071063B">
        <w:t xml:space="preserve">its </w:t>
      </w:r>
      <w:r w:rsidRPr="0071063B">
        <w:t xml:space="preserve">ability to secure and recover debt. Insights across some case work has identified assets held offshore contributing to the complexity and </w:t>
      </w:r>
      <w:r w:rsidR="003D5580" w:rsidRPr="0071063B">
        <w:t xml:space="preserve">their </w:t>
      </w:r>
      <w:r w:rsidRPr="0071063B">
        <w:t xml:space="preserve">ability to recover. Further, due to the deliberate </w:t>
      </w:r>
      <w:r w:rsidR="00CC444B">
        <w:t>efforts</w:t>
      </w:r>
      <w:r w:rsidR="00CC444B" w:rsidRPr="0071063B">
        <w:t xml:space="preserve"> </w:t>
      </w:r>
      <w:r w:rsidRPr="0071063B">
        <w:t xml:space="preserve">to suppress sales, there has been a higher propensity to wind up companies and dissipate assets. </w:t>
      </w:r>
    </w:p>
    <w:p w14:paraId="4FB801AF" w14:textId="77777777" w:rsidR="003033F8" w:rsidRDefault="003033F8" w:rsidP="00701614">
      <w:pPr>
        <w:pStyle w:val="Heading1"/>
        <w:sectPr w:rsidR="003033F8" w:rsidSect="00295B30">
          <w:pgSz w:w="11906" w:h="16838" w:code="9"/>
          <w:pgMar w:top="1843" w:right="1417" w:bottom="1417" w:left="1417" w:header="709" w:footer="709" w:gutter="0"/>
          <w:cols w:space="708"/>
          <w:docGrid w:linePitch="360"/>
        </w:sectPr>
      </w:pPr>
      <w:bookmarkStart w:id="17" w:name="_Toc120009023"/>
    </w:p>
    <w:p w14:paraId="476EA249" w14:textId="0BD66E84" w:rsidR="00671E7D" w:rsidRDefault="00806BDB" w:rsidP="00701614">
      <w:pPr>
        <w:pStyle w:val="Heading1"/>
      </w:pPr>
      <w:r>
        <w:lastRenderedPageBreak/>
        <w:t xml:space="preserve">Australian </w:t>
      </w:r>
      <w:r w:rsidR="00671E7D">
        <w:t>Observations</w:t>
      </w:r>
      <w:bookmarkEnd w:id="17"/>
    </w:p>
    <w:p w14:paraId="4C9C3274" w14:textId="18616D16" w:rsidR="00324540" w:rsidRPr="00324540" w:rsidRDefault="00324540" w:rsidP="00701614">
      <w:pPr>
        <w:pStyle w:val="Heading2"/>
        <w:spacing w:before="240"/>
      </w:pPr>
      <w:bookmarkStart w:id="18" w:name="_Toc120009024"/>
      <w:r w:rsidRPr="00324540">
        <w:t>Evolution of ESST</w:t>
      </w:r>
      <w:bookmarkEnd w:id="18"/>
    </w:p>
    <w:p w14:paraId="1F48586C" w14:textId="639287CE" w:rsidR="00324540" w:rsidRPr="00152553" w:rsidRDefault="0038785E" w:rsidP="00324540">
      <w:r>
        <w:t>Traditionally, ESST has been embedded in and focused on manipulating POS software; however, t</w:t>
      </w:r>
      <w:r w:rsidR="004B2ADA" w:rsidRPr="00152553">
        <w:t xml:space="preserve">he ATO has </w:t>
      </w:r>
      <w:r w:rsidR="00324540" w:rsidRPr="00152553">
        <w:t xml:space="preserve">also </w:t>
      </w:r>
      <w:r w:rsidR="004B2ADA" w:rsidRPr="00152553">
        <w:t xml:space="preserve">observed </w:t>
      </w:r>
      <w:r w:rsidR="008D2061">
        <w:t>ESST</w:t>
      </w:r>
      <w:r w:rsidR="00324540" w:rsidRPr="00152553">
        <w:t xml:space="preserve"> which </w:t>
      </w:r>
      <w:r w:rsidR="00840290">
        <w:t>is</w:t>
      </w:r>
      <w:r w:rsidR="00324540" w:rsidRPr="00152553">
        <w:t xml:space="preserve"> embedded into other parts of client</w:t>
      </w:r>
      <w:r w:rsidR="00B03AF7" w:rsidRPr="00152553">
        <w:t>s</w:t>
      </w:r>
      <w:r w:rsidR="009B70C7">
        <w:t>’</w:t>
      </w:r>
      <w:r w:rsidR="00324540" w:rsidRPr="00152553">
        <w:t xml:space="preserve"> electronic </w:t>
      </w:r>
      <w:r>
        <w:t>systems</w:t>
      </w:r>
      <w:r w:rsidR="0035299F" w:rsidRPr="00152553">
        <w:t>,</w:t>
      </w:r>
      <w:r w:rsidR="00324540" w:rsidRPr="00152553">
        <w:t xml:space="preserve"> including very sophisticated components and coding to hide the technology that requires </w:t>
      </w:r>
      <w:r w:rsidR="00F661C5" w:rsidRPr="00152553">
        <w:t xml:space="preserve">analysis of </w:t>
      </w:r>
      <w:r>
        <w:t>the taxpayer</w:t>
      </w:r>
      <w:r w:rsidR="009B70C7">
        <w:t>’</w:t>
      </w:r>
      <w:r>
        <w:t xml:space="preserve">s broader computer architecture and countering </w:t>
      </w:r>
      <w:r w:rsidR="00F661C5" w:rsidRPr="00152553">
        <w:t>the ESST</w:t>
      </w:r>
      <w:r w:rsidR="009B70C7">
        <w:t>’</w:t>
      </w:r>
      <w:r w:rsidR="00F661C5" w:rsidRPr="00152553">
        <w:t xml:space="preserve">s </w:t>
      </w:r>
      <w:r>
        <w:t>in</w:t>
      </w:r>
      <w:r w:rsidR="003C1BE6">
        <w:noBreakHyphen/>
      </w:r>
      <w:r>
        <w:t>built anti</w:t>
      </w:r>
      <w:r w:rsidR="003C1BE6">
        <w:noBreakHyphen/>
      </w:r>
      <w:r>
        <w:t xml:space="preserve">detection and </w:t>
      </w:r>
      <w:r w:rsidR="00324540" w:rsidRPr="00152553">
        <w:t>anti</w:t>
      </w:r>
      <w:r w:rsidR="003C1BE6">
        <w:noBreakHyphen/>
      </w:r>
      <w:r w:rsidR="00324540" w:rsidRPr="00152553">
        <w:t xml:space="preserve">forensic </w:t>
      </w:r>
      <w:r>
        <w:t>mechanisms</w:t>
      </w:r>
      <w:r w:rsidR="00324540" w:rsidRPr="00152553">
        <w:t xml:space="preserve">. </w:t>
      </w:r>
    </w:p>
    <w:p w14:paraId="3574D744" w14:textId="1F62C040" w:rsidR="00324540" w:rsidRPr="00152553" w:rsidRDefault="0038785E" w:rsidP="00324540">
      <w:r>
        <w:t xml:space="preserve">More broadly, </w:t>
      </w:r>
      <w:r w:rsidR="008D2061">
        <w:t>ESST</w:t>
      </w:r>
      <w:r w:rsidR="00324540" w:rsidRPr="00152553">
        <w:t xml:space="preserve"> </w:t>
      </w:r>
      <w:r>
        <w:t>is</w:t>
      </w:r>
      <w:r w:rsidR="00324540" w:rsidRPr="00152553">
        <w:t xml:space="preserve"> constantly evolving and can include:</w:t>
      </w:r>
    </w:p>
    <w:p w14:paraId="5E730FBD" w14:textId="3135A7E3" w:rsidR="00324540" w:rsidRPr="00324540" w:rsidRDefault="00324540" w:rsidP="002075FD">
      <w:pPr>
        <w:pStyle w:val="Bullet"/>
      </w:pPr>
      <w:r w:rsidRPr="00324540">
        <w:t>cloud based software that works with the POS system</w:t>
      </w:r>
    </w:p>
    <w:p w14:paraId="7F2F9CCC" w14:textId="72768721" w:rsidR="00324540" w:rsidRPr="00324540" w:rsidRDefault="00324540" w:rsidP="002075FD">
      <w:pPr>
        <w:pStyle w:val="Bullet"/>
      </w:pPr>
      <w:r w:rsidRPr="00324540">
        <w:t>use of encryption software to conceal documents from the Commissioner</w:t>
      </w:r>
    </w:p>
    <w:p w14:paraId="609F47D3" w14:textId="482AEAC2" w:rsidR="00324540" w:rsidRPr="00324540" w:rsidRDefault="00324540" w:rsidP="002075FD">
      <w:pPr>
        <w:pStyle w:val="Bullet"/>
      </w:pPr>
      <w:r w:rsidRPr="00324540">
        <w:t>remote access that can facilitate individual and bulk deletions from mobile devices</w:t>
      </w:r>
      <w:r w:rsidR="00BA0932">
        <w:t>,</w:t>
      </w:r>
      <w:r w:rsidRPr="00324540">
        <w:t xml:space="preserve"> such as phones</w:t>
      </w:r>
      <w:r w:rsidR="00BA0932">
        <w:t>,</w:t>
      </w:r>
      <w:r w:rsidRPr="00324540">
        <w:t xml:space="preserve"> from anywhere in the world in real time</w:t>
      </w:r>
    </w:p>
    <w:p w14:paraId="59936475" w14:textId="6A887A9B" w:rsidR="00324540" w:rsidRPr="00324540" w:rsidRDefault="00324540" w:rsidP="002075FD">
      <w:pPr>
        <w:pStyle w:val="Bullet"/>
      </w:pPr>
      <w:r w:rsidRPr="00324540">
        <w:t xml:space="preserve">concealed phantomware and programs that enable rapid removal or alteration of data by either a portable device (USB) or </w:t>
      </w:r>
      <w:r w:rsidR="00336DA9">
        <w:t xml:space="preserve">an </w:t>
      </w:r>
      <w:r w:rsidRPr="00324540">
        <w:t>external/cloud</w:t>
      </w:r>
      <w:r w:rsidR="003C1BE6">
        <w:noBreakHyphen/>
      </w:r>
      <w:r w:rsidRPr="00324540">
        <w:t>based service</w:t>
      </w:r>
    </w:p>
    <w:p w14:paraId="1BA3B3E3" w14:textId="3BC2E3C1" w:rsidR="00DF70DD" w:rsidRDefault="00324540" w:rsidP="002075FD">
      <w:pPr>
        <w:pStyle w:val="Bullet"/>
      </w:pPr>
      <w:r w:rsidRPr="00324540">
        <w:t>suppression of HR and payroll data (for example within HRIS Systems) which enables falsifying employee and wage records</w:t>
      </w:r>
    </w:p>
    <w:p w14:paraId="3D5090B2" w14:textId="6C28BE4C" w:rsidR="00324540" w:rsidRPr="00324540" w:rsidRDefault="00324540" w:rsidP="002075FD">
      <w:pPr>
        <w:pStyle w:val="Bullet"/>
      </w:pPr>
      <w:r w:rsidRPr="00324540">
        <w:t xml:space="preserve">digital sources relating to ESST </w:t>
      </w:r>
      <w:r w:rsidR="00EA3D50">
        <w:t xml:space="preserve">which </w:t>
      </w:r>
      <w:r w:rsidRPr="00324540">
        <w:t>can be located in computer hard drives, operating systems, servers, software, program coding, log entries</w:t>
      </w:r>
      <w:r w:rsidR="00840290">
        <w:t>,</w:t>
      </w:r>
      <w:r w:rsidRPr="00324540">
        <w:t xml:space="preserve"> POS Systems, communication, and external devices where most can only be identified by digital forensics experts undertaking imaging activities.</w:t>
      </w:r>
    </w:p>
    <w:p w14:paraId="56CBD647" w14:textId="7899D864" w:rsidR="00324540" w:rsidRPr="00701614" w:rsidRDefault="000A70FF" w:rsidP="00324540">
      <w:pPr>
        <w:rPr>
          <w:spacing w:val="-2"/>
        </w:rPr>
      </w:pPr>
      <w:r w:rsidRPr="00701614">
        <w:rPr>
          <w:spacing w:val="-2"/>
        </w:rPr>
        <w:t xml:space="preserve">We are particularly </w:t>
      </w:r>
      <w:r w:rsidR="00324540" w:rsidRPr="00701614">
        <w:rPr>
          <w:spacing w:val="-2"/>
        </w:rPr>
        <w:t>concern</w:t>
      </w:r>
      <w:r w:rsidRPr="00701614">
        <w:rPr>
          <w:spacing w:val="-2"/>
        </w:rPr>
        <w:t>ed</w:t>
      </w:r>
      <w:r w:rsidR="00324540" w:rsidRPr="00701614">
        <w:rPr>
          <w:spacing w:val="-2"/>
        </w:rPr>
        <w:t xml:space="preserve"> </w:t>
      </w:r>
      <w:r w:rsidR="000A403E" w:rsidRPr="00701614">
        <w:rPr>
          <w:spacing w:val="-2"/>
        </w:rPr>
        <w:t xml:space="preserve">with </w:t>
      </w:r>
      <w:r w:rsidR="00324540" w:rsidRPr="00701614">
        <w:rPr>
          <w:spacing w:val="-2"/>
        </w:rPr>
        <w:t>new sales suppression techniques that have emerged</w:t>
      </w:r>
      <w:r w:rsidR="0026661A" w:rsidRPr="00701614">
        <w:rPr>
          <w:spacing w:val="-2"/>
        </w:rPr>
        <w:t xml:space="preserve"> that </w:t>
      </w:r>
      <w:r w:rsidR="00324540" w:rsidRPr="00701614">
        <w:rPr>
          <w:spacing w:val="-2"/>
        </w:rPr>
        <w:t xml:space="preserve">allow for sales suppression through a foreign </w:t>
      </w:r>
      <w:r w:rsidR="009B70C7" w:rsidRPr="00701614">
        <w:rPr>
          <w:spacing w:val="-2"/>
        </w:rPr>
        <w:t>‘</w:t>
      </w:r>
      <w:r w:rsidR="00324540" w:rsidRPr="00701614">
        <w:rPr>
          <w:spacing w:val="-2"/>
        </w:rPr>
        <w:t>zapper</w:t>
      </w:r>
      <w:r w:rsidR="009B70C7" w:rsidRPr="00701614">
        <w:rPr>
          <w:spacing w:val="-2"/>
        </w:rPr>
        <w:t>’</w:t>
      </w:r>
      <w:r w:rsidR="00324540" w:rsidRPr="00701614">
        <w:rPr>
          <w:spacing w:val="-2"/>
        </w:rPr>
        <w:t xml:space="preserve"> </w:t>
      </w:r>
      <w:r w:rsidR="00A50D1F" w:rsidRPr="00701614">
        <w:rPr>
          <w:spacing w:val="-2"/>
        </w:rPr>
        <w:t xml:space="preserve">to operate over the internet, and which allow for the same activities of alteration, deletion, replacement, and manipulation of sales data </w:t>
      </w:r>
      <w:r w:rsidR="00F661C5" w:rsidRPr="00701614">
        <w:rPr>
          <w:spacing w:val="-2"/>
        </w:rPr>
        <w:t>(</w:t>
      </w:r>
      <w:r w:rsidR="00A50D1F" w:rsidRPr="00701614">
        <w:rPr>
          <w:spacing w:val="-2"/>
        </w:rPr>
        <w:t xml:space="preserve">zappers are a form of ESST but </w:t>
      </w:r>
      <w:r w:rsidR="003D451D" w:rsidRPr="00701614">
        <w:rPr>
          <w:spacing w:val="-2"/>
        </w:rPr>
        <w:t>are not installed on the machine but are stored on removeable media or in this case through the internet</w:t>
      </w:r>
      <w:r w:rsidR="008D1891" w:rsidRPr="00701614">
        <w:rPr>
          <w:spacing w:val="-2"/>
        </w:rPr>
        <w:t>, so are not present during normal use</w:t>
      </w:r>
      <w:r w:rsidR="00F661C5" w:rsidRPr="00701614">
        <w:rPr>
          <w:spacing w:val="-2"/>
        </w:rPr>
        <w:t>)</w:t>
      </w:r>
      <w:r w:rsidR="00DB20D9" w:rsidRPr="00701614">
        <w:rPr>
          <w:spacing w:val="-2"/>
        </w:rPr>
        <w:t xml:space="preserve">. </w:t>
      </w:r>
      <w:r w:rsidR="00324540" w:rsidRPr="00701614">
        <w:rPr>
          <w:spacing w:val="-2"/>
        </w:rPr>
        <w:t>This software also allows for remote crashing of hard drives</w:t>
      </w:r>
      <w:r w:rsidR="00304954" w:rsidRPr="00701614">
        <w:rPr>
          <w:spacing w:val="-2"/>
        </w:rPr>
        <w:t>,</w:t>
      </w:r>
      <w:r w:rsidR="00324540" w:rsidRPr="00701614">
        <w:rPr>
          <w:spacing w:val="-2"/>
        </w:rPr>
        <w:t xml:space="preserve"> making the verification of accurate records extremely difficult for taxation officials</w:t>
      </w:r>
      <w:r w:rsidR="00633754" w:rsidRPr="00701614">
        <w:rPr>
          <w:spacing w:val="-2"/>
        </w:rPr>
        <w:t>.</w:t>
      </w:r>
    </w:p>
    <w:p w14:paraId="26098DB2" w14:textId="590BD863" w:rsidR="00633754" w:rsidRPr="002F237A" w:rsidRDefault="00633754" w:rsidP="00324540">
      <w:r w:rsidRPr="002F237A">
        <w:t xml:space="preserve">However, </w:t>
      </w:r>
      <w:r w:rsidR="007F5F72" w:rsidRPr="002F237A">
        <w:t xml:space="preserve">it is evident that these developments represent ongoing and deliberate action by software developers to frustrate the proper administration of </w:t>
      </w:r>
      <w:r w:rsidR="00F661C5" w:rsidRPr="002F237A">
        <w:t>the tax system</w:t>
      </w:r>
      <w:r w:rsidR="007F5F72" w:rsidRPr="002F237A">
        <w:t>. This is consistent with a</w:t>
      </w:r>
      <w:r w:rsidRPr="002F237A">
        <w:t xml:space="preserve"> premise that ESST is inherently designed to commit tax frau</w:t>
      </w:r>
      <w:r w:rsidR="00DF388D" w:rsidRPr="002F237A">
        <w:t>d</w:t>
      </w:r>
      <w:r w:rsidR="00F661C5" w:rsidRPr="002F237A">
        <w:t>, and therefore it is reasonable that the onus of proof has been reversed</w:t>
      </w:r>
      <w:r w:rsidR="00DF388D" w:rsidRPr="002F237A">
        <w:t xml:space="preserve"> such that </w:t>
      </w:r>
      <w:r w:rsidR="00F661C5" w:rsidRPr="002F237A">
        <w:t xml:space="preserve">the </w:t>
      </w:r>
      <w:r w:rsidR="00DF388D" w:rsidRPr="002F237A">
        <w:t xml:space="preserve">manufacture, distribution, possession or use of this software is </w:t>
      </w:r>
      <w:r w:rsidR="00F661C5" w:rsidRPr="002F237A">
        <w:t>due to</w:t>
      </w:r>
      <w:r w:rsidR="00DF388D" w:rsidRPr="002F237A">
        <w:t xml:space="preserve"> a general intention to commit tax fraud</w:t>
      </w:r>
      <w:r w:rsidR="00F661C5" w:rsidRPr="002F237A">
        <w:t>,</w:t>
      </w:r>
      <w:r w:rsidR="00DF388D" w:rsidRPr="002F237A">
        <w:t xml:space="preserve"> unless the taxpayer provides evidence otherwise.</w:t>
      </w:r>
    </w:p>
    <w:p w14:paraId="64E844EC" w14:textId="362FB142" w:rsidR="00324540" w:rsidRPr="00324540" w:rsidRDefault="00324540" w:rsidP="002F237A">
      <w:pPr>
        <w:pStyle w:val="Heading2"/>
      </w:pPr>
      <w:bookmarkStart w:id="19" w:name="_Toc120009025"/>
      <w:r w:rsidRPr="00324540">
        <w:t xml:space="preserve">Shadow </w:t>
      </w:r>
      <w:r w:rsidR="00DE30A3">
        <w:t>e</w:t>
      </w:r>
      <w:r w:rsidR="00DE30A3" w:rsidRPr="00324540">
        <w:t xml:space="preserve">conomy </w:t>
      </w:r>
      <w:r w:rsidRPr="002F237A">
        <w:t>behaviours</w:t>
      </w:r>
      <w:r w:rsidRPr="00324540">
        <w:t xml:space="preserve"> observed</w:t>
      </w:r>
      <w:bookmarkEnd w:id="19"/>
    </w:p>
    <w:p w14:paraId="3DA8F77D" w14:textId="00ADC223" w:rsidR="00324540" w:rsidRPr="008D1891" w:rsidRDefault="00DE30A3" w:rsidP="00324540">
      <w:r w:rsidRPr="008D1891">
        <w:t xml:space="preserve">Unfortunately, the ATO has observed </w:t>
      </w:r>
      <w:r w:rsidR="00324540" w:rsidRPr="008D1891">
        <w:t>a greater use of sales suppression technology</w:t>
      </w:r>
      <w:r w:rsidRPr="008D1891">
        <w:t xml:space="preserve"> generally,</w:t>
      </w:r>
      <w:r w:rsidR="00324540" w:rsidRPr="008D1891">
        <w:t xml:space="preserve"> and instances of rapid growth in the number of </w:t>
      </w:r>
      <w:r w:rsidRPr="008D1891">
        <w:t>businesses</w:t>
      </w:r>
      <w:r w:rsidR="00324540" w:rsidRPr="008D1891">
        <w:t xml:space="preserve"> being supplied and using this technology. The</w:t>
      </w:r>
      <w:r w:rsidR="003C1BE6">
        <w:t> </w:t>
      </w:r>
      <w:r w:rsidR="00324540" w:rsidRPr="008D1891">
        <w:t xml:space="preserve">technology facilitates other shadow economy behaviours where the correct amount of tax is not being reported. </w:t>
      </w:r>
      <w:r w:rsidR="002316E4">
        <w:t>Such b</w:t>
      </w:r>
      <w:r w:rsidR="00C95B43" w:rsidRPr="008D1891">
        <w:t xml:space="preserve">ehaviours observed by the ATO </w:t>
      </w:r>
      <w:r w:rsidR="00324540" w:rsidRPr="008D1891">
        <w:t>include:</w:t>
      </w:r>
    </w:p>
    <w:p w14:paraId="162B4384" w14:textId="43727673" w:rsidR="00324540" w:rsidRPr="00260A2F" w:rsidRDefault="00C95B43" w:rsidP="002075FD">
      <w:pPr>
        <w:pStyle w:val="Bullet"/>
      </w:pPr>
      <w:r>
        <w:t>L</w:t>
      </w:r>
      <w:r w:rsidRPr="00260A2F">
        <w:t xml:space="preserve">ow </w:t>
      </w:r>
      <w:r w:rsidR="00324540" w:rsidRPr="00260A2F">
        <w:t>household income reported for associates (public officers/family members) that is not commensurate with lifestyle expenditure</w:t>
      </w:r>
    </w:p>
    <w:p w14:paraId="1D137DB7" w14:textId="1936EBFA" w:rsidR="00324540" w:rsidRDefault="00C95B43" w:rsidP="002075FD">
      <w:pPr>
        <w:pStyle w:val="Bullet"/>
      </w:pPr>
      <w:r>
        <w:lastRenderedPageBreak/>
        <w:t>A</w:t>
      </w:r>
      <w:r w:rsidRPr="00260A2F">
        <w:t xml:space="preserve">sset </w:t>
      </w:r>
      <w:r w:rsidR="00324540" w:rsidRPr="00260A2F">
        <w:t>accumulation of associates (public officers/family members) not corresponding with income reported</w:t>
      </w:r>
    </w:p>
    <w:p w14:paraId="1321E343" w14:textId="6B079342" w:rsidR="00260A2F" w:rsidRPr="00260A2F" w:rsidRDefault="00260A2F" w:rsidP="002075FD">
      <w:pPr>
        <w:pStyle w:val="Bullet"/>
      </w:pPr>
      <w:r w:rsidRPr="00260A2F">
        <w:t>Very low cash sales and wages reported compared to income identified through analysis of financial information</w:t>
      </w:r>
    </w:p>
    <w:p w14:paraId="501CE764" w14:textId="1CA94915" w:rsidR="003A103A" w:rsidRDefault="005C4659" w:rsidP="002075FD">
      <w:pPr>
        <w:pStyle w:val="Bullet"/>
      </w:pPr>
      <w:r>
        <w:t>P</w:t>
      </w:r>
      <w:r w:rsidRPr="00260A2F">
        <w:t xml:space="preserve">urchase </w:t>
      </w:r>
      <w:r w:rsidR="00324540" w:rsidRPr="00260A2F">
        <w:t>and/or fit out of new businesses where business income was insufficient to afford costs of upgrades/purchases</w:t>
      </w:r>
    </w:p>
    <w:p w14:paraId="682B8E37" w14:textId="25657915" w:rsidR="00324540" w:rsidRPr="00364711" w:rsidRDefault="00324540" w:rsidP="008633B7">
      <w:pPr>
        <w:pStyle w:val="Dash"/>
        <w:rPr>
          <w:spacing w:val="-2"/>
        </w:rPr>
      </w:pPr>
      <w:r w:rsidRPr="00364711">
        <w:rPr>
          <w:spacing w:val="-2"/>
        </w:rPr>
        <w:t>Some cases included purchases of two or more businesses within a short time period, for example within a year</w:t>
      </w:r>
      <w:r w:rsidR="003A103A" w:rsidRPr="00364711">
        <w:rPr>
          <w:spacing w:val="-2"/>
        </w:rPr>
        <w:t>, and i</w:t>
      </w:r>
      <w:r w:rsidRPr="00364711">
        <w:rPr>
          <w:spacing w:val="-2"/>
        </w:rPr>
        <w:t>n many of th</w:t>
      </w:r>
      <w:r w:rsidR="003A103A" w:rsidRPr="00364711">
        <w:rPr>
          <w:spacing w:val="-2"/>
        </w:rPr>
        <w:t>os</w:t>
      </w:r>
      <w:r w:rsidRPr="00364711">
        <w:rPr>
          <w:spacing w:val="-2"/>
        </w:rPr>
        <w:t xml:space="preserve">e cases, </w:t>
      </w:r>
      <w:r w:rsidR="00260A2F" w:rsidRPr="00364711">
        <w:rPr>
          <w:spacing w:val="-2"/>
        </w:rPr>
        <w:t xml:space="preserve">where </w:t>
      </w:r>
      <w:r w:rsidRPr="00364711">
        <w:rPr>
          <w:spacing w:val="-2"/>
        </w:rPr>
        <w:t xml:space="preserve">the business owner had </w:t>
      </w:r>
      <w:r w:rsidR="00260A2F" w:rsidRPr="00364711">
        <w:rPr>
          <w:spacing w:val="-2"/>
        </w:rPr>
        <w:t xml:space="preserve">recently </w:t>
      </w:r>
      <w:r w:rsidRPr="00364711">
        <w:rPr>
          <w:spacing w:val="-2"/>
        </w:rPr>
        <w:t xml:space="preserve">arrived in Australia and </w:t>
      </w:r>
      <w:r w:rsidR="00260A2F" w:rsidRPr="00364711">
        <w:rPr>
          <w:spacing w:val="-2"/>
        </w:rPr>
        <w:t xml:space="preserve">then rapidly </w:t>
      </w:r>
      <w:r w:rsidRPr="00364711">
        <w:rPr>
          <w:spacing w:val="-2"/>
        </w:rPr>
        <w:t xml:space="preserve">purchased a business </w:t>
      </w:r>
      <w:r w:rsidR="00260A2F" w:rsidRPr="00364711">
        <w:rPr>
          <w:spacing w:val="-2"/>
        </w:rPr>
        <w:t>without</w:t>
      </w:r>
      <w:r w:rsidRPr="00364711">
        <w:rPr>
          <w:spacing w:val="-2"/>
        </w:rPr>
        <w:t xml:space="preserve"> any</w:t>
      </w:r>
      <w:r w:rsidR="004E622E" w:rsidRPr="00364711">
        <w:rPr>
          <w:spacing w:val="-2"/>
        </w:rPr>
        <w:t>/</w:t>
      </w:r>
      <w:r w:rsidR="00260A2F" w:rsidRPr="00364711">
        <w:rPr>
          <w:spacing w:val="-2"/>
        </w:rPr>
        <w:t xml:space="preserve">sufficient </w:t>
      </w:r>
      <w:r w:rsidRPr="00364711">
        <w:rPr>
          <w:spacing w:val="-2"/>
        </w:rPr>
        <w:t>financial assistance</w:t>
      </w:r>
    </w:p>
    <w:p w14:paraId="69FBD228" w14:textId="590F47B6" w:rsidR="00324540" w:rsidRPr="008D1891" w:rsidRDefault="00324540" w:rsidP="002075FD">
      <w:pPr>
        <w:pStyle w:val="Bullet"/>
      </w:pPr>
      <w:r w:rsidRPr="008D1891">
        <w:t>Some businesses report</w:t>
      </w:r>
      <w:r w:rsidR="00206F41">
        <w:t>ing</w:t>
      </w:r>
      <w:r w:rsidRPr="008D1891">
        <w:t xml:space="preserve"> nil to low levels of cash when industry standards and business operating models support higher levels of cash takings</w:t>
      </w:r>
      <w:r w:rsidR="005C4659" w:rsidRPr="008D1891">
        <w:t>.</w:t>
      </w:r>
    </w:p>
    <w:p w14:paraId="10D8ADBB" w14:textId="0E4FBF5E" w:rsidR="00324540" w:rsidRPr="008D1891" w:rsidRDefault="00621C0A" w:rsidP="00145F18">
      <w:r>
        <w:t xml:space="preserve">Beyond shadow economy behaviours, </w:t>
      </w:r>
      <w:r w:rsidR="005C4659" w:rsidRPr="008D1891">
        <w:t xml:space="preserve">ATO analysis has </w:t>
      </w:r>
      <w:r w:rsidR="00324540" w:rsidRPr="008D1891">
        <w:t xml:space="preserve">also identified </w:t>
      </w:r>
      <w:r>
        <w:t xml:space="preserve">indications of more serious criminal activity, including </w:t>
      </w:r>
      <w:r w:rsidR="00324540" w:rsidRPr="008D1891">
        <w:t>some business</w:t>
      </w:r>
      <w:r w:rsidR="002316E4">
        <w:t>es</w:t>
      </w:r>
      <w:r w:rsidR="00324540" w:rsidRPr="008D1891">
        <w:t xml:space="preserve"> which are suspected </w:t>
      </w:r>
      <w:r w:rsidR="00840290">
        <w:t>of</w:t>
      </w:r>
      <w:r w:rsidR="00324540" w:rsidRPr="008D1891">
        <w:t xml:space="preserve"> being involved in money laundering activities across multiple related entities</w:t>
      </w:r>
      <w:r>
        <w:t xml:space="preserve">, and </w:t>
      </w:r>
      <w:r w:rsidR="00324540" w:rsidRPr="008D1891">
        <w:t xml:space="preserve">the </w:t>
      </w:r>
      <w:r w:rsidR="00D527B5">
        <w:t xml:space="preserve">questionable </w:t>
      </w:r>
      <w:r w:rsidR="00324540" w:rsidRPr="008D1891">
        <w:t>movement of funds to and from overseas</w:t>
      </w:r>
      <w:r w:rsidR="00DB20D9">
        <w:t xml:space="preserve">. </w:t>
      </w:r>
      <w:r>
        <w:t>In such instances, the ATO has taken appropriate enforcement action</w:t>
      </w:r>
      <w:r w:rsidR="00DB20D9">
        <w:t xml:space="preserve">. </w:t>
      </w:r>
    </w:p>
    <w:p w14:paraId="4BBA7AD9" w14:textId="4A15C831" w:rsidR="00324540" w:rsidRPr="00324540" w:rsidRDefault="00324540" w:rsidP="00145F18">
      <w:pPr>
        <w:pStyle w:val="Heading2"/>
      </w:pPr>
      <w:bookmarkStart w:id="20" w:name="_Toc120009026"/>
      <w:r w:rsidRPr="00324540">
        <w:t>Impacts of COVID</w:t>
      </w:r>
      <w:r w:rsidR="003C1BE6">
        <w:noBreakHyphen/>
      </w:r>
      <w:r w:rsidRPr="00324540">
        <w:t xml:space="preserve">19 </w:t>
      </w:r>
      <w:r w:rsidR="00840290">
        <w:t>p</w:t>
      </w:r>
      <w:r w:rsidRPr="00324540">
        <w:t>andemic</w:t>
      </w:r>
      <w:bookmarkEnd w:id="20"/>
      <w:r w:rsidRPr="00324540">
        <w:t xml:space="preserve"> </w:t>
      </w:r>
    </w:p>
    <w:p w14:paraId="35D416D0" w14:textId="640F07DF" w:rsidR="00EC0CA7" w:rsidRPr="008D1891" w:rsidRDefault="00393369" w:rsidP="00EC0CA7">
      <w:r w:rsidRPr="008D1891">
        <w:t>The COVID</w:t>
      </w:r>
      <w:r w:rsidR="003C1BE6">
        <w:noBreakHyphen/>
      </w:r>
      <w:r w:rsidRPr="008D1891">
        <w:t>19 pandemic has had specific effects both on shadow economy behaviour generally within the Australian community, but also on the uptake and use of ESST.</w:t>
      </w:r>
    </w:p>
    <w:p w14:paraId="1D10C60A" w14:textId="133C8EB1" w:rsidR="004E622E" w:rsidRPr="008D1891" w:rsidRDefault="004E622E" w:rsidP="00EC0CA7">
      <w:r w:rsidRPr="008D1891">
        <w:t xml:space="preserve">Anecdotally, </w:t>
      </w:r>
      <w:r w:rsidR="00E678BB">
        <w:t xml:space="preserve">and </w:t>
      </w:r>
      <w:r w:rsidRPr="008D1891">
        <w:t xml:space="preserve">working with OECD partners, the ATO is aware of a </w:t>
      </w:r>
      <w:r w:rsidR="00317F0F">
        <w:t>4</w:t>
      </w:r>
      <w:r w:rsidR="003C1BE6">
        <w:noBreakHyphen/>
      </w:r>
      <w:r w:rsidRPr="008D1891">
        <w:t xml:space="preserve">fold increase in the use of </w:t>
      </w:r>
      <w:r w:rsidR="00A311A7">
        <w:t>ESST</w:t>
      </w:r>
      <w:r w:rsidRPr="008D1891">
        <w:t xml:space="preserve"> since the pandemic.</w:t>
      </w:r>
    </w:p>
    <w:p w14:paraId="2ACCC364" w14:textId="00DC06DF" w:rsidR="00BE5817" w:rsidRDefault="00BE5817" w:rsidP="00EC0CA7">
      <w:r>
        <w:t>Despite</w:t>
      </w:r>
      <w:r w:rsidRPr="008D1891">
        <w:t xml:space="preserve"> </w:t>
      </w:r>
      <w:r w:rsidR="004E622E" w:rsidRPr="008D1891">
        <w:t>lockdown periods</w:t>
      </w:r>
      <w:r w:rsidR="00324540" w:rsidRPr="008D1891">
        <w:t xml:space="preserve"> where cash was used less and electronic payment methods were preferred, </w:t>
      </w:r>
      <w:r w:rsidR="003C17D0" w:rsidRPr="008D1891">
        <w:t xml:space="preserve">the ATO </w:t>
      </w:r>
      <w:r w:rsidR="00324540" w:rsidRPr="008D1891">
        <w:t>still find</w:t>
      </w:r>
      <w:r w:rsidR="004E622E" w:rsidRPr="008D1891">
        <w:t>s</w:t>
      </w:r>
      <w:r w:rsidR="00324540" w:rsidRPr="008D1891">
        <w:t xml:space="preserve"> </w:t>
      </w:r>
      <w:r w:rsidR="003C17D0" w:rsidRPr="008D1891">
        <w:t xml:space="preserve">cash is </w:t>
      </w:r>
      <w:r w:rsidR="00324540" w:rsidRPr="008D1891">
        <w:t>prevalen</w:t>
      </w:r>
      <w:r w:rsidR="003C17D0" w:rsidRPr="008D1891">
        <w:t>t in the economy.</w:t>
      </w:r>
      <w:r w:rsidR="00324540" w:rsidRPr="008D1891">
        <w:t xml:space="preserve"> </w:t>
      </w:r>
    </w:p>
    <w:p w14:paraId="6BD7CDBB" w14:textId="21D666F1" w:rsidR="00BE5817" w:rsidRDefault="00BE5817" w:rsidP="00EC0CA7">
      <w:r>
        <w:t>Still, t</w:t>
      </w:r>
      <w:r w:rsidR="00324540" w:rsidRPr="008D1891">
        <w:t xml:space="preserve">he pandemic caused businesses to become more agile by operating in different ways to remain </w:t>
      </w:r>
      <w:r>
        <w:t xml:space="preserve">operational or </w:t>
      </w:r>
      <w:r w:rsidR="00324540" w:rsidRPr="008D1891">
        <w:t xml:space="preserve">competitive. </w:t>
      </w:r>
      <w:r>
        <w:t>In particular, t</w:t>
      </w:r>
      <w:r w:rsidR="00324540" w:rsidRPr="008D1891">
        <w:t xml:space="preserve">he pandemic shifted </w:t>
      </w:r>
      <w:r w:rsidR="008268C6">
        <w:t xml:space="preserve">many </w:t>
      </w:r>
      <w:r w:rsidR="00324540" w:rsidRPr="008D1891">
        <w:t>business operating models to a digital environment</w:t>
      </w:r>
      <w:r w:rsidR="00DB20D9">
        <w:t xml:space="preserve">. </w:t>
      </w:r>
      <w:r>
        <w:t>This provided ESST more opportunities by</w:t>
      </w:r>
      <w:r w:rsidR="00E678BB">
        <w:t xml:space="preserve"> creating more avenues to</w:t>
      </w:r>
      <w:r w:rsidR="00324540" w:rsidRPr="008D1891">
        <w:t xml:space="preserve"> suppress electronic transactions. </w:t>
      </w:r>
    </w:p>
    <w:p w14:paraId="5296F4F1" w14:textId="6DD99D92" w:rsidR="004E622E" w:rsidRPr="008D1891" w:rsidRDefault="00BE5817" w:rsidP="00E678BB">
      <w:r>
        <w:t>Interestingly,</w:t>
      </w:r>
      <w:r w:rsidR="00324540" w:rsidRPr="008D1891">
        <w:t xml:space="preserve"> ESST</w:t>
      </w:r>
      <w:r>
        <w:t xml:space="preserve"> manufacturers also adapted to the post</w:t>
      </w:r>
      <w:r w:rsidR="003C1BE6">
        <w:noBreakHyphen/>
      </w:r>
      <w:r>
        <w:t>pandemic operating model</w:t>
      </w:r>
      <w:r w:rsidR="00E678BB">
        <w:t xml:space="preserve"> by offering more </w:t>
      </w:r>
      <w:r w:rsidR="008268C6">
        <w:t>(</w:t>
      </w:r>
      <w:r w:rsidR="00E678BB">
        <w:t>and more sophisticated</w:t>
      </w:r>
      <w:r w:rsidR="008268C6">
        <w:t>)</w:t>
      </w:r>
      <w:r w:rsidR="00E678BB">
        <w:t xml:space="preserve"> technology that takes advantage of the clients</w:t>
      </w:r>
      <w:r w:rsidR="009B70C7">
        <w:t>’</w:t>
      </w:r>
      <w:r w:rsidR="00E678BB">
        <w:t xml:space="preserve"> increased </w:t>
      </w:r>
      <w:r w:rsidR="009B70C7">
        <w:t>use</w:t>
      </w:r>
      <w:r w:rsidR="00E678BB">
        <w:t xml:space="preserve"> of electronic payment platforms and their digital operating model. </w:t>
      </w:r>
    </w:p>
    <w:p w14:paraId="4C07ADD3" w14:textId="51FE4DA7" w:rsidR="00324540" w:rsidRPr="008D1891" w:rsidRDefault="00324540" w:rsidP="00B24DDD">
      <w:r w:rsidRPr="008D1891">
        <w:t xml:space="preserve">Overall, </w:t>
      </w:r>
      <w:r w:rsidR="00E678BB">
        <w:t>particularly since the COVID</w:t>
      </w:r>
      <w:r w:rsidR="003C1BE6">
        <w:noBreakHyphen/>
      </w:r>
      <w:r w:rsidR="00E678BB">
        <w:t xml:space="preserve">19 pandemic, </w:t>
      </w:r>
      <w:r w:rsidRPr="008D1891">
        <w:t>the</w:t>
      </w:r>
      <w:r w:rsidR="00542AC6" w:rsidRPr="008D1891">
        <w:t xml:space="preserve"> general risk to tax collection posed by</w:t>
      </w:r>
      <w:r w:rsidRPr="008D1891">
        <w:t xml:space="preserve"> ESST </w:t>
      </w:r>
      <w:r w:rsidR="00542AC6" w:rsidRPr="008D1891">
        <w:t xml:space="preserve">is outside </w:t>
      </w:r>
      <w:r w:rsidR="00E678BB">
        <w:t>the ATO</w:t>
      </w:r>
      <w:r w:rsidR="009B70C7">
        <w:t>’</w:t>
      </w:r>
      <w:r w:rsidR="00E678BB">
        <w:t>s</w:t>
      </w:r>
      <w:r w:rsidR="00E678BB" w:rsidRPr="008D1891">
        <w:t xml:space="preserve"> </w:t>
      </w:r>
      <w:r w:rsidR="00542AC6" w:rsidRPr="008D1891">
        <w:t>risk tolerance</w:t>
      </w:r>
      <w:r w:rsidRPr="008D1891">
        <w:t>.</w:t>
      </w:r>
    </w:p>
    <w:p w14:paraId="5DA44D12" w14:textId="77777777" w:rsidR="00324540" w:rsidRPr="00324540" w:rsidRDefault="00324540" w:rsidP="00145F18">
      <w:pPr>
        <w:pStyle w:val="Heading2"/>
      </w:pPr>
      <w:bookmarkStart w:id="21" w:name="_Toc120009027"/>
      <w:r w:rsidRPr="00324540">
        <w:t>Appropriateness of criminal vs. civil penalties</w:t>
      </w:r>
      <w:bookmarkEnd w:id="21"/>
    </w:p>
    <w:p w14:paraId="35F8BA3C" w14:textId="7F72ACFC" w:rsidR="00A4321B" w:rsidRDefault="00A4321B" w:rsidP="00324540">
      <w:r>
        <w:t>When confronting shadow economy risks, including those posed by ESST,</w:t>
      </w:r>
      <w:r w:rsidR="00EA1040" w:rsidRPr="002E5701">
        <w:t xml:space="preserve"> there is</w:t>
      </w:r>
      <w:r w:rsidR="00324540" w:rsidRPr="002E5701">
        <w:t xml:space="preserve"> a critical need to ensure there </w:t>
      </w:r>
      <w:r w:rsidR="00840290">
        <w:t xml:space="preserve">is </w:t>
      </w:r>
      <w:r w:rsidR="00324540" w:rsidRPr="002E5701">
        <w:t xml:space="preserve">a level playing field </w:t>
      </w:r>
      <w:r>
        <w:t xml:space="preserve">in order </w:t>
      </w:r>
      <w:r w:rsidR="00324540" w:rsidRPr="002E5701">
        <w:t xml:space="preserve">to build confidence </w:t>
      </w:r>
      <w:r>
        <w:t xml:space="preserve">that the tax system is fair and applied equally </w:t>
      </w:r>
      <w:r w:rsidR="00324540" w:rsidRPr="002E5701">
        <w:t>within the community</w:t>
      </w:r>
      <w:r w:rsidR="00DB20D9">
        <w:t xml:space="preserve">. </w:t>
      </w:r>
    </w:p>
    <w:p w14:paraId="79B36EC8" w14:textId="5F961878" w:rsidR="00A4321B" w:rsidRDefault="00A4321B" w:rsidP="00324540">
      <w:r>
        <w:t>T</w:t>
      </w:r>
      <w:r w:rsidR="004E622E" w:rsidRPr="002E5701">
        <w:t>he ATO</w:t>
      </w:r>
      <w:r w:rsidR="00910BB3" w:rsidRPr="002E5701">
        <w:t xml:space="preserve"> consider</w:t>
      </w:r>
      <w:r w:rsidR="004E622E" w:rsidRPr="002E5701">
        <w:t>s</w:t>
      </w:r>
      <w:r w:rsidR="00910BB3" w:rsidRPr="002E5701">
        <w:t xml:space="preserve"> it </w:t>
      </w:r>
      <w:r w:rsidR="00324540" w:rsidRPr="002E5701">
        <w:t xml:space="preserve">remains important that </w:t>
      </w:r>
      <w:r>
        <w:t>the ESST</w:t>
      </w:r>
      <w:r w:rsidRPr="002E5701">
        <w:t xml:space="preserve"> </w:t>
      </w:r>
      <w:r w:rsidR="00324540" w:rsidRPr="002E5701">
        <w:t xml:space="preserve">risk is </w:t>
      </w:r>
      <w:r>
        <w:t>addressed</w:t>
      </w:r>
      <w:r w:rsidRPr="002E5701">
        <w:t xml:space="preserve"> </w:t>
      </w:r>
      <w:r w:rsidR="00910BB3" w:rsidRPr="002E5701">
        <w:t>by</w:t>
      </w:r>
      <w:r w:rsidR="00324540" w:rsidRPr="002E5701">
        <w:t xml:space="preserve"> traditional civil compliance action</w:t>
      </w:r>
      <w:r>
        <w:t xml:space="preserve"> as well as criminal penalties where appropriate</w:t>
      </w:r>
      <w:r w:rsidR="00DB20D9">
        <w:t xml:space="preserve">. </w:t>
      </w:r>
      <w:r w:rsidR="00324540" w:rsidRPr="002E5701">
        <w:t>Not only does a traditional compliance strategy ensure the correct amount of tax is paid, it provides leverage to deter others from involve</w:t>
      </w:r>
      <w:r w:rsidR="00040ACE" w:rsidRPr="002E5701">
        <w:t>ment</w:t>
      </w:r>
      <w:r w:rsidR="00324540" w:rsidRPr="002E5701">
        <w:t xml:space="preserve"> in such behaviours. </w:t>
      </w:r>
    </w:p>
    <w:p w14:paraId="032D8814" w14:textId="73B173C6" w:rsidR="00324540" w:rsidRPr="00364711" w:rsidRDefault="00324540" w:rsidP="00324540">
      <w:pPr>
        <w:rPr>
          <w:spacing w:val="-2"/>
        </w:rPr>
      </w:pPr>
      <w:r w:rsidRPr="00364711">
        <w:rPr>
          <w:spacing w:val="-2"/>
        </w:rPr>
        <w:lastRenderedPageBreak/>
        <w:t xml:space="preserve">Civil action </w:t>
      </w:r>
      <w:r w:rsidR="00E1734C" w:rsidRPr="00364711">
        <w:rPr>
          <w:spacing w:val="-2"/>
        </w:rPr>
        <w:t xml:space="preserve">still </w:t>
      </w:r>
      <w:r w:rsidRPr="00364711">
        <w:rPr>
          <w:spacing w:val="-2"/>
        </w:rPr>
        <w:t xml:space="preserve">deals with those that have used sales suppression and provides valuable insights on vulnerabilities in risk detection, compliance actions, understanding </w:t>
      </w:r>
      <w:r w:rsidR="00E743DA" w:rsidRPr="00364711">
        <w:rPr>
          <w:spacing w:val="-2"/>
        </w:rPr>
        <w:t xml:space="preserve">of </w:t>
      </w:r>
      <w:r w:rsidRPr="00364711">
        <w:rPr>
          <w:spacing w:val="-2"/>
        </w:rPr>
        <w:t>the rate of growth, the size/scale of the market and aids in developing effective treatment strategies. In more egregious and deliberate situations a complimentary criminal treatment pathway is required to disrupt the entire ESST supply chain to sustainably change behaviours of taxpayers and those who facilitate sales suppression.</w:t>
      </w:r>
    </w:p>
    <w:p w14:paraId="27D2B250" w14:textId="49C6528B" w:rsidR="00CF53CF" w:rsidRPr="00364711" w:rsidRDefault="00A448EA" w:rsidP="00324540">
      <w:pPr>
        <w:rPr>
          <w:spacing w:val="-2"/>
        </w:rPr>
      </w:pPr>
      <w:r w:rsidRPr="00364711">
        <w:rPr>
          <w:spacing w:val="-2"/>
        </w:rPr>
        <w:t xml:space="preserve">This means </w:t>
      </w:r>
      <w:r w:rsidR="00971DF3" w:rsidRPr="00364711">
        <w:rPr>
          <w:spacing w:val="-2"/>
        </w:rPr>
        <w:t xml:space="preserve">the ATO </w:t>
      </w:r>
      <w:r w:rsidRPr="00364711">
        <w:rPr>
          <w:spacing w:val="-2"/>
        </w:rPr>
        <w:t>consider</w:t>
      </w:r>
      <w:r w:rsidR="00971DF3" w:rsidRPr="00364711">
        <w:rPr>
          <w:spacing w:val="-2"/>
        </w:rPr>
        <w:t>s</w:t>
      </w:r>
      <w:r w:rsidRPr="00364711">
        <w:rPr>
          <w:spacing w:val="-2"/>
        </w:rPr>
        <w:t xml:space="preserve"> the administrative penalties accompanying the </w:t>
      </w:r>
      <w:r w:rsidR="00C25287" w:rsidRPr="00364711">
        <w:rPr>
          <w:spacing w:val="-2"/>
        </w:rPr>
        <w:t>ESST</w:t>
      </w:r>
      <w:r w:rsidRPr="00364711">
        <w:rPr>
          <w:spacing w:val="-2"/>
        </w:rPr>
        <w:t xml:space="preserve"> </w:t>
      </w:r>
      <w:r w:rsidR="00B952B2" w:rsidRPr="00364711">
        <w:rPr>
          <w:spacing w:val="-2"/>
        </w:rPr>
        <w:t xml:space="preserve">criminal </w:t>
      </w:r>
      <w:r w:rsidRPr="00364711">
        <w:rPr>
          <w:spacing w:val="-2"/>
        </w:rPr>
        <w:t>offences play a</w:t>
      </w:r>
      <w:r w:rsidR="00C25287" w:rsidRPr="00364711">
        <w:rPr>
          <w:spacing w:val="-2"/>
        </w:rPr>
        <w:t xml:space="preserve"> crucial </w:t>
      </w:r>
      <w:r w:rsidRPr="00364711">
        <w:rPr>
          <w:spacing w:val="-2"/>
        </w:rPr>
        <w:t xml:space="preserve">role in </w:t>
      </w:r>
      <w:r w:rsidR="00C25287" w:rsidRPr="00364711">
        <w:rPr>
          <w:spacing w:val="-2"/>
        </w:rPr>
        <w:t>properly and proportionally managing ESST behaviour and disrupting the supply chain for this technology</w:t>
      </w:r>
      <w:r w:rsidR="008E4AB7" w:rsidRPr="00364711">
        <w:rPr>
          <w:spacing w:val="-2"/>
        </w:rPr>
        <w:t>, by giving the ATO the ability to apply traditional compliance and tax recovery strategies as part of its suite of enforcement tools in a manner targeted to this specific technology.</w:t>
      </w:r>
    </w:p>
    <w:p w14:paraId="696D4F05" w14:textId="77777777" w:rsidR="007A3930" w:rsidRDefault="007A3930" w:rsidP="00145F18">
      <w:pPr>
        <w:pStyle w:val="Heading2"/>
      </w:pPr>
      <w:bookmarkStart w:id="22" w:name="_Toc120009028"/>
      <w:r>
        <w:t>Penalty effectiveness</w:t>
      </w:r>
      <w:bookmarkEnd w:id="22"/>
    </w:p>
    <w:p w14:paraId="217D726C" w14:textId="74D83896" w:rsidR="007A3930" w:rsidRPr="002E5701" w:rsidRDefault="007A3930" w:rsidP="00145F18">
      <w:pPr>
        <w:rPr>
          <w:bCs/>
        </w:rPr>
      </w:pPr>
      <w:r w:rsidRPr="002E5701">
        <w:rPr>
          <w:bCs/>
        </w:rPr>
        <w:t xml:space="preserve">To be effective, ESST penalties need to be applied against those supplying, manufacturing, possessing, and using ESST consistently and at all levels throughout the ESST supply chain. As </w:t>
      </w:r>
      <w:r w:rsidR="009B70C7" w:rsidRPr="002E5701">
        <w:rPr>
          <w:bCs/>
        </w:rPr>
        <w:t>emphasised</w:t>
      </w:r>
      <w:r w:rsidRPr="002E5701">
        <w:rPr>
          <w:bCs/>
        </w:rPr>
        <w:t xml:space="preserve"> earlier, a penalty will only be effective if sales suppression can be detected</w:t>
      </w:r>
      <w:r w:rsidR="00DB20D9">
        <w:rPr>
          <w:bCs/>
        </w:rPr>
        <w:t xml:space="preserve">. </w:t>
      </w:r>
      <w:r w:rsidRPr="002E5701">
        <w:rPr>
          <w:bCs/>
        </w:rPr>
        <w:t xml:space="preserve">If there is low community confidence regarding detection, then the deterrence effect of a penalty will be diminished. </w:t>
      </w:r>
    </w:p>
    <w:p w14:paraId="210539A5" w14:textId="40C10A8A" w:rsidR="007A3930" w:rsidRPr="002E5701" w:rsidRDefault="007A3930" w:rsidP="00145F18">
      <w:pPr>
        <w:rPr>
          <w:bCs/>
        </w:rPr>
      </w:pPr>
      <w:r w:rsidRPr="002E5701">
        <w:rPr>
          <w:bCs/>
        </w:rPr>
        <w:t>A traditional administrative compliance response is not sufficient nor effective in disrupting the entire supply chain or deterring others from engaging in such behaviour alone. The manufacture and supply chain of ESST is well</w:t>
      </w:r>
      <w:r w:rsidR="003C1BE6">
        <w:rPr>
          <w:bCs/>
        </w:rPr>
        <w:noBreakHyphen/>
      </w:r>
      <w:r w:rsidRPr="002E5701">
        <w:rPr>
          <w:bCs/>
        </w:rPr>
        <w:t>organised and well</w:t>
      </w:r>
      <w:r w:rsidR="003C1BE6">
        <w:rPr>
          <w:bCs/>
        </w:rPr>
        <w:noBreakHyphen/>
      </w:r>
      <w:r w:rsidRPr="002E5701">
        <w:rPr>
          <w:bCs/>
        </w:rPr>
        <w:t xml:space="preserve">connected. When the ATO considers enforcement action and penalties, therefore, the ATO will generally seek to apply the ESST criminal penalties (as distinct from administrative penalties), but also consider other </w:t>
      </w:r>
      <w:r w:rsidR="00463EEB">
        <w:rPr>
          <w:bCs/>
        </w:rPr>
        <w:t>C</w:t>
      </w:r>
      <w:r w:rsidRPr="002E5701">
        <w:rPr>
          <w:bCs/>
        </w:rPr>
        <w:t xml:space="preserve">riminal </w:t>
      </w:r>
      <w:r w:rsidR="00463EEB">
        <w:rPr>
          <w:bCs/>
        </w:rPr>
        <w:t>C</w:t>
      </w:r>
      <w:r w:rsidRPr="002E5701">
        <w:rPr>
          <w:bCs/>
        </w:rPr>
        <w:t>ode offences to deal with more serious behaviour and offending. Therefore, a simple compliance response where ESST penalties alone are imposed is not sufficient to deal with the overall risk</w:t>
      </w:r>
      <w:r w:rsidR="00DB20D9">
        <w:rPr>
          <w:bCs/>
        </w:rPr>
        <w:t xml:space="preserve">. </w:t>
      </w:r>
    </w:p>
    <w:p w14:paraId="5A50C719" w14:textId="213AC266" w:rsidR="00324540" w:rsidRPr="00324540" w:rsidRDefault="00CF53CF" w:rsidP="00145F18">
      <w:pPr>
        <w:pStyle w:val="Heading2"/>
      </w:pPr>
      <w:bookmarkStart w:id="23" w:name="_Toc120009029"/>
      <w:r>
        <w:t xml:space="preserve">Use of the </w:t>
      </w:r>
      <w:r w:rsidR="00324540" w:rsidRPr="00324540">
        <w:t>Commissioners</w:t>
      </w:r>
      <w:r w:rsidR="009B70C7">
        <w:t>’</w:t>
      </w:r>
      <w:r w:rsidR="00324540" w:rsidRPr="00324540">
        <w:t xml:space="preserve"> discretion</w:t>
      </w:r>
      <w:bookmarkEnd w:id="23"/>
    </w:p>
    <w:p w14:paraId="429D3E6C" w14:textId="31F2609F" w:rsidR="000529BB" w:rsidRPr="00FB58E8" w:rsidRDefault="000529BB" w:rsidP="00324540">
      <w:r w:rsidRPr="00FB58E8">
        <w:t xml:space="preserve">The ATO has </w:t>
      </w:r>
      <w:r w:rsidR="004D0DB0">
        <w:t xml:space="preserve">a </w:t>
      </w:r>
      <w:r w:rsidRPr="00FB58E8">
        <w:t xml:space="preserve">general discretion to not </w:t>
      </w:r>
      <w:r w:rsidR="004D0DB0">
        <w:t>seek</w:t>
      </w:r>
      <w:r w:rsidR="00617EB5">
        <w:t xml:space="preserve"> that</w:t>
      </w:r>
      <w:r w:rsidR="004D0DB0">
        <w:t xml:space="preserve"> </w:t>
      </w:r>
      <w:r w:rsidRPr="00FB58E8">
        <w:t>civil penalties</w:t>
      </w:r>
      <w:r w:rsidR="005255E6">
        <w:t xml:space="preserve"> are imposed by the Courts,</w:t>
      </w:r>
      <w:r w:rsidRPr="00FB58E8">
        <w:t xml:space="preserve"> as well as </w:t>
      </w:r>
      <w:r w:rsidR="004D0DB0">
        <w:t xml:space="preserve">the power </w:t>
      </w:r>
      <w:r w:rsidRPr="00FB58E8">
        <w:t xml:space="preserve">to </w:t>
      </w:r>
      <w:r w:rsidR="001D7C2C" w:rsidRPr="00FB58E8">
        <w:t xml:space="preserve">remit </w:t>
      </w:r>
      <w:r w:rsidR="004D0DB0">
        <w:t xml:space="preserve">administrative </w:t>
      </w:r>
      <w:r w:rsidR="001D7C2C" w:rsidRPr="00FB58E8">
        <w:t xml:space="preserve">penalties </w:t>
      </w:r>
      <w:r w:rsidR="004D0DB0">
        <w:t xml:space="preserve">imposed by law </w:t>
      </w:r>
      <w:r w:rsidR="001D7C2C" w:rsidRPr="00FB58E8">
        <w:t xml:space="preserve">in certain cases, for example </w:t>
      </w:r>
      <w:r w:rsidR="004E622E" w:rsidRPr="00FB58E8">
        <w:t xml:space="preserve">in circumstances </w:t>
      </w:r>
      <w:r w:rsidR="001D7C2C" w:rsidRPr="00FB58E8">
        <w:t>of genuine mistake.</w:t>
      </w:r>
    </w:p>
    <w:p w14:paraId="630BDDC6" w14:textId="2E93F9FF" w:rsidR="00240838" w:rsidRPr="00FB58E8" w:rsidRDefault="002B1D34" w:rsidP="00324540">
      <w:r w:rsidRPr="00FB58E8">
        <w:t>In the context of ESST, t</w:t>
      </w:r>
      <w:r w:rsidR="00324540" w:rsidRPr="00FB58E8">
        <w:t xml:space="preserve">he ATO has not applied </w:t>
      </w:r>
      <w:r w:rsidR="00607846" w:rsidRPr="00FB58E8">
        <w:t xml:space="preserve">its </w:t>
      </w:r>
      <w:r w:rsidR="00324540" w:rsidRPr="00FB58E8">
        <w:t>discretion to date</w:t>
      </w:r>
      <w:r w:rsidR="00240838" w:rsidRPr="00FB58E8">
        <w:t xml:space="preserve"> (whether because of genuine mistake or otherwise)</w:t>
      </w:r>
      <w:r w:rsidR="001D7C2C" w:rsidRPr="00FB58E8">
        <w:t xml:space="preserve">. However, we consider it important that </w:t>
      </w:r>
      <w:r w:rsidRPr="00FB58E8">
        <w:t>the ATO</w:t>
      </w:r>
      <w:r w:rsidR="001D7C2C" w:rsidRPr="00FB58E8">
        <w:t xml:space="preserve"> can</w:t>
      </w:r>
      <w:r w:rsidR="00324540" w:rsidRPr="00FB58E8">
        <w:t xml:space="preserve"> assess each situation based on the individual circumstances presented</w:t>
      </w:r>
      <w:r w:rsidR="001D7C2C" w:rsidRPr="00FB58E8">
        <w:t xml:space="preserve">. The ATO </w:t>
      </w:r>
      <w:r w:rsidR="00324540" w:rsidRPr="00FB58E8">
        <w:t>may apply the discretion in the future where it is warranted as supported by the associated</w:t>
      </w:r>
      <w:r w:rsidR="002E5701" w:rsidRPr="00FB58E8">
        <w:t xml:space="preserve"> Practice Statement Law Administration (</w:t>
      </w:r>
      <w:r w:rsidR="00324540" w:rsidRPr="00FB58E8">
        <w:t>PSLA</w:t>
      </w:r>
      <w:r w:rsidR="002E5701" w:rsidRPr="00FB58E8">
        <w:t>)</w:t>
      </w:r>
      <w:r w:rsidR="00324540" w:rsidRPr="00FB58E8">
        <w:t xml:space="preserve">. </w:t>
      </w:r>
    </w:p>
    <w:p w14:paraId="67F2FCC9" w14:textId="0AD10DA2" w:rsidR="00324540" w:rsidRPr="00FB58E8" w:rsidRDefault="002B1D34" w:rsidP="00145F18">
      <w:pPr>
        <w:pStyle w:val="SingleParagraph"/>
      </w:pPr>
      <w:r w:rsidRPr="00FB58E8">
        <w:t>T</w:t>
      </w:r>
      <w:r w:rsidR="00240838" w:rsidRPr="00FB58E8">
        <w:t xml:space="preserve">he ATO has not received any complaints about penalties being applied despite </w:t>
      </w:r>
      <w:r w:rsidR="009B70C7">
        <w:t>“</w:t>
      </w:r>
      <w:r w:rsidR="00240838" w:rsidRPr="00FB58E8">
        <w:t>accidental</w:t>
      </w:r>
      <w:r w:rsidR="009B70C7">
        <w:t>”</w:t>
      </w:r>
      <w:r w:rsidR="00240838" w:rsidRPr="00FB58E8">
        <w:t xml:space="preserve"> possession or use of ESST software.</w:t>
      </w:r>
    </w:p>
    <w:p w14:paraId="6FD89F75" w14:textId="77777777" w:rsidR="00324540" w:rsidRPr="00324540" w:rsidRDefault="00324540" w:rsidP="00145F18">
      <w:pPr>
        <w:pStyle w:val="Heading2"/>
      </w:pPr>
      <w:bookmarkStart w:id="24" w:name="_Toc120009030"/>
      <w:r w:rsidRPr="00324540">
        <w:t>Regulatory support</w:t>
      </w:r>
      <w:bookmarkEnd w:id="24"/>
    </w:p>
    <w:p w14:paraId="02E50893" w14:textId="2E47CDE2" w:rsidR="006F612F" w:rsidRPr="00FB58E8" w:rsidRDefault="00FD3F36" w:rsidP="00324540">
      <w:r w:rsidRPr="00FB58E8">
        <w:t>The ATO has in place</w:t>
      </w:r>
      <w:r w:rsidR="00324540" w:rsidRPr="00FB58E8">
        <w:t xml:space="preserve"> ongoing regulatory strategies </w:t>
      </w:r>
      <w:r w:rsidR="00BF2964" w:rsidRPr="00FB58E8">
        <w:t xml:space="preserve">that </w:t>
      </w:r>
      <w:r w:rsidR="00324540" w:rsidRPr="00FB58E8">
        <w:t>support the prevention of falsifying software</w:t>
      </w:r>
      <w:r w:rsidR="00BF2964" w:rsidRPr="00FB58E8">
        <w:t xml:space="preserve"> and ESST</w:t>
      </w:r>
      <w:r w:rsidR="00324540" w:rsidRPr="00FB58E8">
        <w:t xml:space="preserve">, such as innovative administrative action and consumer messaging campaigns. </w:t>
      </w:r>
    </w:p>
    <w:p w14:paraId="2BF5130E" w14:textId="7A7D069C" w:rsidR="000D44CA" w:rsidRPr="00981753" w:rsidRDefault="00324540" w:rsidP="00324540">
      <w:r w:rsidRPr="00FB58E8">
        <w:t xml:space="preserve">ATO web content has been reviewed and updated to provide further awareness and guidance on ESST penalties and the publishing of a PSLA. In addition, a media and communication strategy has been developed and implemented to work with various industry bodies and groups to raise awareness and </w:t>
      </w:r>
      <w:r w:rsidR="00740687">
        <w:t xml:space="preserve">provide </w:t>
      </w:r>
      <w:r w:rsidRPr="00FB58E8">
        <w:t xml:space="preserve">support to the community on where to seek assistance if they suspect a POS </w:t>
      </w:r>
      <w:r w:rsidR="002B1D34" w:rsidRPr="00FB58E8">
        <w:t xml:space="preserve">system </w:t>
      </w:r>
      <w:r w:rsidRPr="00FB58E8">
        <w:t>has sales suppression functionality</w:t>
      </w:r>
      <w:r w:rsidR="00DB20D9">
        <w:t xml:space="preserve">. </w:t>
      </w:r>
    </w:p>
    <w:p w14:paraId="2D473881" w14:textId="77777777" w:rsidR="003033F8" w:rsidRDefault="003033F8" w:rsidP="00701614">
      <w:pPr>
        <w:pStyle w:val="Heading1"/>
        <w:sectPr w:rsidR="003033F8" w:rsidSect="00295B30">
          <w:pgSz w:w="11906" w:h="16838" w:code="9"/>
          <w:pgMar w:top="1843" w:right="1417" w:bottom="1417" w:left="1417" w:header="709" w:footer="709" w:gutter="0"/>
          <w:cols w:space="708"/>
          <w:docGrid w:linePitch="360"/>
        </w:sectPr>
      </w:pPr>
      <w:bookmarkStart w:id="25" w:name="_Ref117681291"/>
      <w:bookmarkStart w:id="26" w:name="_Ref117681316"/>
      <w:bookmarkStart w:id="27" w:name="_Toc120009031"/>
    </w:p>
    <w:p w14:paraId="0B064835" w14:textId="3BC9A636" w:rsidR="00037752" w:rsidRDefault="00037752" w:rsidP="00701614">
      <w:pPr>
        <w:pStyle w:val="Heading1"/>
      </w:pPr>
      <w:r>
        <w:lastRenderedPageBreak/>
        <w:t>International Developments</w:t>
      </w:r>
      <w:bookmarkEnd w:id="25"/>
      <w:bookmarkEnd w:id="26"/>
      <w:bookmarkEnd w:id="27"/>
    </w:p>
    <w:p w14:paraId="54FE56F2" w14:textId="548CCBD9" w:rsidR="00EE33E4" w:rsidRDefault="00EE33E4" w:rsidP="00701614">
      <w:pPr>
        <w:pStyle w:val="Heading2"/>
      </w:pPr>
      <w:bookmarkStart w:id="28" w:name="_Toc120009032"/>
      <w:r>
        <w:t>International Action</w:t>
      </w:r>
      <w:bookmarkEnd w:id="28"/>
    </w:p>
    <w:p w14:paraId="15ECDF63" w14:textId="722B689E" w:rsidR="003D444E" w:rsidRPr="000011A4" w:rsidRDefault="003D444E" w:rsidP="003D444E">
      <w:r w:rsidRPr="000011A4">
        <w:t>Since the OECD</w:t>
      </w:r>
      <w:r w:rsidR="009B70C7">
        <w:t>’</w:t>
      </w:r>
      <w:r w:rsidRPr="000011A4">
        <w:t>s early reporting of this issue, many countries have since implemented new laws, increased penalties and enhanced enforcement</w:t>
      </w:r>
      <w:r w:rsidR="00DB20D9">
        <w:t xml:space="preserve">. </w:t>
      </w:r>
    </w:p>
    <w:p w14:paraId="4D8774B7" w14:textId="22A6B6EB" w:rsidR="002933E3" w:rsidRPr="000011A4" w:rsidRDefault="002933E3" w:rsidP="003D444E">
      <w:r w:rsidRPr="000011A4">
        <w:t>For example, following advice from Australia and the United Kingdom that a UK</w:t>
      </w:r>
      <w:r w:rsidR="003C1BE6">
        <w:noBreakHyphen/>
      </w:r>
      <w:r w:rsidRPr="000011A4">
        <w:t xml:space="preserve">based company may have been selling this software into the New Zealand market, </w:t>
      </w:r>
      <w:r w:rsidR="007C7B21" w:rsidRPr="000011A4">
        <w:t xml:space="preserve">in 2022 New Zealand introduced a suite of new offence provisions </w:t>
      </w:r>
      <w:r w:rsidR="006A4FCE" w:rsidRPr="000011A4">
        <w:t>impos</w:t>
      </w:r>
      <w:r w:rsidR="000A626B" w:rsidRPr="000011A4">
        <w:t>ing</w:t>
      </w:r>
      <w:r w:rsidR="006A4FCE" w:rsidRPr="000011A4">
        <w:t xml:space="preserve"> criminal penalties on making, selling, or supplying software of up to NZ$250,000, </w:t>
      </w:r>
      <w:r w:rsidR="000A626B" w:rsidRPr="000011A4">
        <w:t>as well as</w:t>
      </w:r>
      <w:r w:rsidR="006A4FCE" w:rsidRPr="000011A4">
        <w:t xml:space="preserve"> criminal and civil penalties for possession of up to NZ$50,000 and NZ$5,000 respectively. </w:t>
      </w:r>
      <w:r w:rsidR="008A1920" w:rsidRPr="000011A4">
        <w:t>These offences commenced 30 March 2022.</w:t>
      </w:r>
      <w:r w:rsidR="008A1920" w:rsidRPr="000011A4">
        <w:rPr>
          <w:rStyle w:val="FootnoteReference"/>
        </w:rPr>
        <w:footnoteReference w:id="9"/>
      </w:r>
    </w:p>
    <w:p w14:paraId="7756EDCB" w14:textId="178D27C5" w:rsidR="00957F3B" w:rsidRPr="000011A4" w:rsidRDefault="00957F3B" w:rsidP="003D444E">
      <w:r w:rsidRPr="000011A4">
        <w:t>The NZ provisions were explicitly based on the Australia</w:t>
      </w:r>
      <w:r w:rsidR="00EE33E4" w:rsidRPr="000011A4">
        <w:t>n</w:t>
      </w:r>
      <w:r w:rsidRPr="000011A4">
        <w:t xml:space="preserve"> model and the ATO</w:t>
      </w:r>
      <w:r w:rsidR="009B70C7">
        <w:t>’</w:t>
      </w:r>
      <w:r w:rsidRPr="000011A4">
        <w:t>s experience finding users of sales suppression software, charging them with criminal penalties, tracing the software back to the seller, charging the sellers, and then tracing other purchasers of the software.</w:t>
      </w:r>
      <w:r w:rsidRPr="000011A4">
        <w:rPr>
          <w:rStyle w:val="FootnoteReference"/>
        </w:rPr>
        <w:footnoteReference w:id="10"/>
      </w:r>
      <w:r w:rsidR="00F45F0D" w:rsidRPr="000011A4">
        <w:t xml:space="preserve"> </w:t>
      </w:r>
      <w:r w:rsidR="00777510" w:rsidRPr="000011A4">
        <w:rPr>
          <w:rFonts w:cs="Calibri Light"/>
          <w:szCs w:val="22"/>
        </w:rPr>
        <w:t xml:space="preserve">From an Australian perspective, </w:t>
      </w:r>
      <w:r w:rsidR="00A642E7" w:rsidRPr="000011A4">
        <w:rPr>
          <w:rFonts w:cs="Calibri Light"/>
          <w:szCs w:val="22"/>
        </w:rPr>
        <w:t xml:space="preserve">this </w:t>
      </w:r>
      <w:r w:rsidR="00777510" w:rsidRPr="000011A4">
        <w:rPr>
          <w:rFonts w:cs="Calibri Light"/>
          <w:szCs w:val="22"/>
        </w:rPr>
        <w:t>is a resource intensive investment but is essential to gather the necessary evidence to undertake either a civil and/or criminal prosecution. Detailed analysis is required to audit businesses suspected or identified as using sales suppression, including analysis of the financial flow of funds for those who have benefited, successful extraction of relevant electronic records (</w:t>
      </w:r>
      <w:r w:rsidR="00BD4310" w:rsidRPr="000011A4">
        <w:rPr>
          <w:rFonts w:cs="Calibri Light"/>
          <w:szCs w:val="22"/>
        </w:rPr>
        <w:t xml:space="preserve">cloud </w:t>
      </w:r>
      <w:r w:rsidR="00777510" w:rsidRPr="000011A4">
        <w:rPr>
          <w:rFonts w:cs="Calibri Light"/>
          <w:szCs w:val="22"/>
        </w:rPr>
        <w:t>based, remote access and password protected) and subsequent complex and detailed analysis of POS records.</w:t>
      </w:r>
      <w:r w:rsidR="00BD4310" w:rsidRPr="000011A4">
        <w:rPr>
          <w:rFonts w:cs="Calibri Light"/>
          <w:szCs w:val="22"/>
        </w:rPr>
        <w:t xml:space="preserve"> This also must take place despite </w:t>
      </w:r>
      <w:r w:rsidR="00777510" w:rsidRPr="000011A4">
        <w:rPr>
          <w:rFonts w:cs="Calibri Light"/>
          <w:szCs w:val="22"/>
        </w:rPr>
        <w:t xml:space="preserve">the audit trail </w:t>
      </w:r>
      <w:r w:rsidR="00BD4310" w:rsidRPr="000011A4">
        <w:rPr>
          <w:rFonts w:cs="Calibri Light"/>
          <w:szCs w:val="22"/>
        </w:rPr>
        <w:t xml:space="preserve">of </w:t>
      </w:r>
      <w:r w:rsidR="00777510" w:rsidRPr="000011A4">
        <w:rPr>
          <w:rFonts w:cs="Calibri Light"/>
          <w:szCs w:val="22"/>
        </w:rPr>
        <w:t>suppress</w:t>
      </w:r>
      <w:r w:rsidR="00BD4310" w:rsidRPr="000011A4">
        <w:rPr>
          <w:rFonts w:cs="Calibri Light"/>
          <w:szCs w:val="22"/>
        </w:rPr>
        <w:t>ed</w:t>
      </w:r>
      <w:r w:rsidR="00777510" w:rsidRPr="000011A4">
        <w:rPr>
          <w:rFonts w:cs="Calibri Light"/>
          <w:szCs w:val="22"/>
        </w:rPr>
        <w:t xml:space="preserve"> records often</w:t>
      </w:r>
      <w:r w:rsidR="00740687">
        <w:rPr>
          <w:rFonts w:cs="Calibri Light"/>
          <w:szCs w:val="22"/>
        </w:rPr>
        <w:t xml:space="preserve"> being</w:t>
      </w:r>
      <w:r w:rsidR="00777510" w:rsidRPr="000011A4">
        <w:rPr>
          <w:rFonts w:cs="Calibri Light"/>
          <w:szCs w:val="22"/>
        </w:rPr>
        <w:t xml:space="preserve"> missing, </w:t>
      </w:r>
      <w:r w:rsidR="00BD4310" w:rsidRPr="000011A4">
        <w:rPr>
          <w:rFonts w:cs="Calibri Light"/>
          <w:szCs w:val="22"/>
        </w:rPr>
        <w:t xml:space="preserve">which makes it </w:t>
      </w:r>
      <w:r w:rsidR="00777510" w:rsidRPr="000011A4">
        <w:rPr>
          <w:rFonts w:cs="Calibri Light"/>
          <w:szCs w:val="22"/>
        </w:rPr>
        <w:t xml:space="preserve">more difficult </w:t>
      </w:r>
      <w:r w:rsidR="00BD4310" w:rsidRPr="000011A4">
        <w:rPr>
          <w:rFonts w:cs="Calibri Light"/>
          <w:szCs w:val="22"/>
        </w:rPr>
        <w:t xml:space="preserve">for regulators </w:t>
      </w:r>
      <w:r w:rsidR="00777510" w:rsidRPr="000011A4">
        <w:rPr>
          <w:rFonts w:cs="Calibri Light"/>
          <w:szCs w:val="22"/>
        </w:rPr>
        <w:t xml:space="preserve">to </w:t>
      </w:r>
      <w:r w:rsidR="00BD4310" w:rsidRPr="000011A4">
        <w:rPr>
          <w:rFonts w:cs="Calibri Light"/>
          <w:szCs w:val="22"/>
        </w:rPr>
        <w:t xml:space="preserve">pursue criminal </w:t>
      </w:r>
      <w:r w:rsidR="00777510" w:rsidRPr="000011A4">
        <w:rPr>
          <w:rFonts w:cs="Calibri Light"/>
          <w:szCs w:val="22"/>
        </w:rPr>
        <w:t>charge</w:t>
      </w:r>
      <w:r w:rsidR="00BD4310" w:rsidRPr="000011A4">
        <w:rPr>
          <w:rFonts w:cs="Calibri Light"/>
          <w:szCs w:val="22"/>
        </w:rPr>
        <w:t>s</w:t>
      </w:r>
      <w:r w:rsidR="00777510" w:rsidRPr="000011A4">
        <w:rPr>
          <w:rFonts w:cs="Calibri Light"/>
          <w:szCs w:val="22"/>
        </w:rPr>
        <w:t xml:space="preserve"> </w:t>
      </w:r>
      <w:r w:rsidR="00BD4310" w:rsidRPr="000011A4">
        <w:rPr>
          <w:rFonts w:cs="Calibri Light"/>
          <w:szCs w:val="22"/>
        </w:rPr>
        <w:t xml:space="preserve">or commence </w:t>
      </w:r>
      <w:r w:rsidR="00777510" w:rsidRPr="000011A4">
        <w:rPr>
          <w:rFonts w:cs="Calibri Light"/>
          <w:szCs w:val="22"/>
        </w:rPr>
        <w:t>civil actions.</w:t>
      </w:r>
    </w:p>
    <w:p w14:paraId="4E0C00BF" w14:textId="087F2828" w:rsidR="003D444E" w:rsidRPr="000011A4" w:rsidRDefault="003D444E" w:rsidP="003D444E">
      <w:r w:rsidRPr="000011A4">
        <w:t>Given the international dimension of the sales suppression software industry</w:t>
      </w:r>
      <w:r w:rsidR="00BD38FC" w:rsidRPr="000011A4">
        <w:t>,</w:t>
      </w:r>
      <w:r w:rsidRPr="000011A4">
        <w:t xml:space="preserve"> there is </w:t>
      </w:r>
      <w:r w:rsidR="007E0B3E" w:rsidRPr="000011A4">
        <w:t xml:space="preserve">accordingly </w:t>
      </w:r>
      <w:r w:rsidRPr="000011A4">
        <w:t xml:space="preserve">particular benefit in the ATO </w:t>
      </w:r>
      <w:r w:rsidR="00A0211D" w:rsidRPr="000011A4">
        <w:t xml:space="preserve">continuing to </w:t>
      </w:r>
      <w:r w:rsidRPr="000011A4">
        <w:t xml:space="preserve">work with likeminded countries in investigating and charging offenders who supply such software into Australia. </w:t>
      </w:r>
      <w:r w:rsidR="0072608E" w:rsidRPr="000011A4">
        <w:t>F</w:t>
      </w:r>
      <w:r w:rsidR="0072608E" w:rsidRPr="000011A4">
        <w:rPr>
          <w:rFonts w:cs="Calibri Light"/>
          <w:szCs w:val="22"/>
        </w:rPr>
        <w:t xml:space="preserve">or instance, </w:t>
      </w:r>
      <w:r w:rsidR="00117DD1" w:rsidRPr="000011A4">
        <w:rPr>
          <w:rFonts w:cs="Calibri Light"/>
          <w:szCs w:val="22"/>
        </w:rPr>
        <w:t xml:space="preserve">the ATO </w:t>
      </w:r>
      <w:r w:rsidR="0072608E" w:rsidRPr="000011A4">
        <w:rPr>
          <w:rFonts w:cs="Calibri Light"/>
          <w:szCs w:val="22"/>
        </w:rPr>
        <w:t>ha</w:t>
      </w:r>
      <w:r w:rsidR="00117DD1" w:rsidRPr="000011A4">
        <w:rPr>
          <w:rFonts w:cs="Calibri Light"/>
          <w:szCs w:val="22"/>
        </w:rPr>
        <w:t>s</w:t>
      </w:r>
      <w:r w:rsidR="0072608E" w:rsidRPr="000011A4">
        <w:rPr>
          <w:rFonts w:cs="Calibri Light"/>
          <w:szCs w:val="22"/>
        </w:rPr>
        <w:t xml:space="preserve"> seen the facilitation of sales suppression technology across borders</w:t>
      </w:r>
      <w:r w:rsidR="0046712A" w:rsidRPr="000011A4">
        <w:rPr>
          <w:rFonts w:cs="Calibri Light"/>
          <w:szCs w:val="22"/>
        </w:rPr>
        <w:t xml:space="preserve">, covering </w:t>
      </w:r>
      <w:r w:rsidR="0072608E" w:rsidRPr="000011A4">
        <w:rPr>
          <w:rFonts w:cs="Calibri Light"/>
          <w:szCs w:val="22"/>
        </w:rPr>
        <w:t>manufacture and/or supply occurring or being supported from overseas. The facilitation of electronic funds transfer suppression often involves the movement of money across borders</w:t>
      </w:r>
      <w:r w:rsidR="0046712A" w:rsidRPr="000011A4">
        <w:rPr>
          <w:rFonts w:cs="Calibri Light"/>
          <w:szCs w:val="22"/>
        </w:rPr>
        <w:t>. This</w:t>
      </w:r>
      <w:r w:rsidR="0072608E" w:rsidRPr="000011A4">
        <w:rPr>
          <w:rFonts w:cs="Calibri Light"/>
          <w:szCs w:val="22"/>
        </w:rPr>
        <w:t xml:space="preserve"> </w:t>
      </w:r>
      <w:r w:rsidR="0046712A" w:rsidRPr="000011A4">
        <w:rPr>
          <w:rFonts w:cs="Calibri Light"/>
          <w:szCs w:val="22"/>
        </w:rPr>
        <w:t xml:space="preserve">demonstrates </w:t>
      </w:r>
      <w:r w:rsidR="0072608E" w:rsidRPr="000011A4">
        <w:rPr>
          <w:rFonts w:cs="Calibri Light"/>
          <w:szCs w:val="22"/>
        </w:rPr>
        <w:t xml:space="preserve">a global impact and </w:t>
      </w:r>
      <w:r w:rsidR="0046712A" w:rsidRPr="000011A4">
        <w:rPr>
          <w:rFonts w:cs="Calibri Light"/>
          <w:szCs w:val="22"/>
        </w:rPr>
        <w:t xml:space="preserve">approach required to </w:t>
      </w:r>
      <w:r w:rsidR="0072608E" w:rsidRPr="000011A4">
        <w:rPr>
          <w:rFonts w:cs="Calibri Light"/>
          <w:szCs w:val="22"/>
        </w:rPr>
        <w:t>disrupt</w:t>
      </w:r>
      <w:r w:rsidR="0046712A" w:rsidRPr="000011A4">
        <w:rPr>
          <w:rFonts w:cs="Calibri Light"/>
          <w:szCs w:val="22"/>
        </w:rPr>
        <w:t xml:space="preserve"> the </w:t>
      </w:r>
      <w:r w:rsidR="0072608E" w:rsidRPr="000011A4">
        <w:rPr>
          <w:rFonts w:cs="Calibri Light"/>
          <w:szCs w:val="22"/>
        </w:rPr>
        <w:t>entire supply chain</w:t>
      </w:r>
      <w:r w:rsidR="00DB20D9">
        <w:rPr>
          <w:rFonts w:cs="Calibri Light"/>
          <w:szCs w:val="22"/>
        </w:rPr>
        <w:t xml:space="preserve">. </w:t>
      </w:r>
      <w:r w:rsidRPr="000011A4">
        <w:t>However, such operations are particularly sensitive given the</w:t>
      </w:r>
      <w:r w:rsidR="002833E5" w:rsidRPr="000011A4">
        <w:t xml:space="preserve"> technical</w:t>
      </w:r>
      <w:r w:rsidRPr="000011A4">
        <w:t xml:space="preserve"> sophistication of the manufacturers</w:t>
      </w:r>
      <w:r w:rsidR="00DB20D9">
        <w:t xml:space="preserve">. </w:t>
      </w:r>
    </w:p>
    <w:p w14:paraId="0A85BAE8" w14:textId="20771E81" w:rsidR="00E531B2" w:rsidRPr="000011A4" w:rsidRDefault="00E531B2" w:rsidP="00740687">
      <w:r w:rsidRPr="000011A4">
        <w:t xml:space="preserve">Many countries have adapted to the risk presented by ESST and we are aware </w:t>
      </w:r>
      <w:r w:rsidR="003E7D76" w:rsidRPr="000011A4">
        <w:t xml:space="preserve">that </w:t>
      </w:r>
      <w:r w:rsidRPr="000011A4">
        <w:t xml:space="preserve">a number of other OECD jurisdictions have introduced legislation specifically to ban the use of </w:t>
      </w:r>
      <w:r w:rsidR="008D2061">
        <w:t>ESST</w:t>
      </w:r>
      <w:r w:rsidRPr="000011A4">
        <w:t xml:space="preserve"> including:</w:t>
      </w:r>
    </w:p>
    <w:p w14:paraId="476015AC" w14:textId="39D3EAD4" w:rsidR="00E531B2" w:rsidRPr="000011A4" w:rsidRDefault="002B1D34" w:rsidP="00740687">
      <w:pPr>
        <w:pStyle w:val="Bullet"/>
        <w:spacing w:line="240" w:lineRule="auto"/>
      </w:pPr>
      <w:r w:rsidRPr="000011A4">
        <w:t>New Zealand –</w:t>
      </w:r>
      <w:r w:rsidR="00E531B2" w:rsidRPr="000011A4">
        <w:t xml:space="preserve"> </w:t>
      </w:r>
      <w:r w:rsidRPr="000011A4">
        <w:t xml:space="preserve">introduced new </w:t>
      </w:r>
      <w:r w:rsidR="00A236E2" w:rsidRPr="000011A4">
        <w:t>legislation referred to above</w:t>
      </w:r>
    </w:p>
    <w:p w14:paraId="4C2C3496" w14:textId="582605E1" w:rsidR="00E531B2" w:rsidRPr="002075FD" w:rsidRDefault="002B1D34" w:rsidP="00740687">
      <w:pPr>
        <w:pStyle w:val="Bullet"/>
        <w:spacing w:line="240" w:lineRule="auto"/>
      </w:pPr>
      <w:r w:rsidRPr="002075FD">
        <w:t xml:space="preserve">United States – the IRS </w:t>
      </w:r>
      <w:r w:rsidR="005D3019" w:rsidRPr="002075FD">
        <w:t>is now supported by recently</w:t>
      </w:r>
      <w:r w:rsidR="003C1BE6" w:rsidRPr="002075FD">
        <w:noBreakHyphen/>
      </w:r>
      <w:r w:rsidR="00E531B2" w:rsidRPr="002075FD">
        <w:t xml:space="preserve">introduced legislation </w:t>
      </w:r>
      <w:r w:rsidR="00CD02DD" w:rsidRPr="002075FD">
        <w:t>creating</w:t>
      </w:r>
      <w:r w:rsidRPr="002075FD">
        <w:t xml:space="preserve"> </w:t>
      </w:r>
      <w:r w:rsidR="00E531B2" w:rsidRPr="002075FD">
        <w:t>monetary penalties, a custodial component and orders to have the technology replaced with a POS that does not contain ESST functionality</w:t>
      </w:r>
      <w:r w:rsidR="00DB20D9" w:rsidRPr="002075FD">
        <w:t xml:space="preserve">. </w:t>
      </w:r>
    </w:p>
    <w:p w14:paraId="56EA34CF" w14:textId="38BACA0A" w:rsidR="00E531B2" w:rsidRPr="000011A4" w:rsidRDefault="002B1D34" w:rsidP="00740687">
      <w:pPr>
        <w:pStyle w:val="Bullet"/>
        <w:spacing w:line="240" w:lineRule="auto"/>
      </w:pPr>
      <w:r w:rsidRPr="000011A4">
        <w:t>Canada –</w:t>
      </w:r>
      <w:r w:rsidR="00E531B2" w:rsidRPr="000011A4">
        <w:t xml:space="preserve"> </w:t>
      </w:r>
      <w:r w:rsidRPr="000011A4">
        <w:t xml:space="preserve">the CRA </w:t>
      </w:r>
      <w:r w:rsidR="003B798D" w:rsidRPr="000011A4">
        <w:t>has</w:t>
      </w:r>
      <w:r w:rsidRPr="000011A4">
        <w:t xml:space="preserve"> </w:t>
      </w:r>
      <w:r w:rsidR="00E531B2" w:rsidRPr="000011A4">
        <w:t xml:space="preserve">moved to real </w:t>
      </w:r>
      <w:r w:rsidR="00E531B2" w:rsidRPr="003C1BE6">
        <w:t>time</w:t>
      </w:r>
      <w:r w:rsidR="00E531B2" w:rsidRPr="000011A4">
        <w:t xml:space="preserve"> monitoring rather than ESST penalties. Since implementation</w:t>
      </w:r>
      <w:r w:rsidRPr="000011A4">
        <w:t>,</w:t>
      </w:r>
      <w:r w:rsidR="00E531B2" w:rsidRPr="000011A4">
        <w:t xml:space="preserve"> they have collected </w:t>
      </w:r>
      <w:r w:rsidRPr="000011A4">
        <w:t>C</w:t>
      </w:r>
      <w:r w:rsidR="00E531B2" w:rsidRPr="000011A4">
        <w:t>$2</w:t>
      </w:r>
      <w:r w:rsidRPr="000011A4">
        <w:t> </w:t>
      </w:r>
      <w:r w:rsidR="00E531B2" w:rsidRPr="000011A4">
        <w:t>billion</w:t>
      </w:r>
      <w:r w:rsidR="000011A4">
        <w:t xml:space="preserve"> (about </w:t>
      </w:r>
      <w:r w:rsidR="00846C90">
        <w:t>A</w:t>
      </w:r>
      <w:r w:rsidR="000011A4">
        <w:t xml:space="preserve">$2.3 billion) </w:t>
      </w:r>
      <w:r w:rsidR="00E531B2" w:rsidRPr="000011A4">
        <w:t>from the restaurant sector over 8 years with the introduction of sales recording modules.</w:t>
      </w:r>
    </w:p>
    <w:p w14:paraId="71F8CCA0" w14:textId="4CBAA98B" w:rsidR="00E531B2" w:rsidRPr="002075FD" w:rsidRDefault="002B1D34" w:rsidP="00740687">
      <w:pPr>
        <w:pStyle w:val="Bullet"/>
        <w:spacing w:after="0" w:line="240" w:lineRule="auto"/>
        <w:rPr>
          <w:spacing w:val="-4"/>
        </w:rPr>
      </w:pPr>
      <w:r w:rsidRPr="002075FD">
        <w:rPr>
          <w:spacing w:val="-4"/>
        </w:rPr>
        <w:t>United Kingdom</w:t>
      </w:r>
      <w:r w:rsidR="00E531B2" w:rsidRPr="002075FD">
        <w:rPr>
          <w:spacing w:val="-4"/>
        </w:rPr>
        <w:t xml:space="preserve"> – civil based legislation has been introduced that penalise</w:t>
      </w:r>
      <w:r w:rsidR="00740687">
        <w:rPr>
          <w:spacing w:val="-4"/>
        </w:rPr>
        <w:t>s</w:t>
      </w:r>
      <w:r w:rsidR="00E531B2" w:rsidRPr="002075FD">
        <w:rPr>
          <w:spacing w:val="-4"/>
        </w:rPr>
        <w:t xml:space="preserve"> where an ESST is identified. </w:t>
      </w:r>
    </w:p>
    <w:p w14:paraId="57F26E7E" w14:textId="1A3DC070" w:rsidR="00E531B2" w:rsidRPr="000011A4" w:rsidRDefault="004967B4" w:rsidP="00E531B2">
      <w:r w:rsidRPr="000011A4">
        <w:rPr>
          <w:rFonts w:cs="Calibri Light"/>
          <w:szCs w:val="22"/>
        </w:rPr>
        <w:lastRenderedPageBreak/>
        <w:t xml:space="preserve">The ATO </w:t>
      </w:r>
      <w:r w:rsidR="00E531B2" w:rsidRPr="000011A4">
        <w:rPr>
          <w:rFonts w:cs="Calibri Light"/>
          <w:szCs w:val="22"/>
        </w:rPr>
        <w:t>ha</w:t>
      </w:r>
      <w:r w:rsidRPr="000011A4">
        <w:rPr>
          <w:rFonts w:cs="Calibri Light"/>
          <w:szCs w:val="22"/>
        </w:rPr>
        <w:t>s</w:t>
      </w:r>
      <w:r w:rsidR="00E531B2" w:rsidRPr="000011A4">
        <w:rPr>
          <w:rFonts w:cs="Calibri Light"/>
          <w:szCs w:val="22"/>
        </w:rPr>
        <w:t xml:space="preserve"> been working closely with several OECD partners sharing concerns regarding the growing and global impacts of digital fraud facilitated through </w:t>
      </w:r>
      <w:r w:rsidR="00890ED2" w:rsidRPr="000011A4">
        <w:rPr>
          <w:rFonts w:cs="Calibri Light"/>
          <w:szCs w:val="22"/>
        </w:rPr>
        <w:t>ESST</w:t>
      </w:r>
      <w:r w:rsidR="00DB20D9">
        <w:rPr>
          <w:rFonts w:cs="Calibri Light"/>
          <w:szCs w:val="22"/>
        </w:rPr>
        <w:t xml:space="preserve">. </w:t>
      </w:r>
      <w:r w:rsidR="00E531B2" w:rsidRPr="000011A4">
        <w:rPr>
          <w:rFonts w:cs="Calibri Light"/>
          <w:szCs w:val="22"/>
        </w:rPr>
        <w:t xml:space="preserve">It is </w:t>
      </w:r>
      <w:r w:rsidR="00D45705" w:rsidRPr="000011A4">
        <w:rPr>
          <w:rFonts w:cs="Calibri Light"/>
          <w:szCs w:val="22"/>
        </w:rPr>
        <w:t xml:space="preserve">a </w:t>
      </w:r>
      <w:r w:rsidR="00E531B2" w:rsidRPr="000011A4">
        <w:rPr>
          <w:rFonts w:cs="Calibri Light"/>
          <w:szCs w:val="22"/>
        </w:rPr>
        <w:t xml:space="preserve">shared </w:t>
      </w:r>
      <w:r w:rsidR="00D45705" w:rsidRPr="000011A4">
        <w:rPr>
          <w:rFonts w:cs="Calibri Light"/>
          <w:szCs w:val="22"/>
        </w:rPr>
        <w:t xml:space="preserve">view of </w:t>
      </w:r>
      <w:r w:rsidR="00E531B2" w:rsidRPr="000011A4">
        <w:rPr>
          <w:rFonts w:cs="Calibri Light"/>
          <w:szCs w:val="22"/>
        </w:rPr>
        <w:t>OECD partner agencies that the complexity and size of the problem is growing as technology rapidly adapts making it harder to detect. It is also evident</w:t>
      </w:r>
      <w:r w:rsidR="005C57A8" w:rsidRPr="000011A4">
        <w:rPr>
          <w:rFonts w:cs="Calibri Light"/>
          <w:szCs w:val="22"/>
        </w:rPr>
        <w:t xml:space="preserve"> that</w:t>
      </w:r>
      <w:r w:rsidR="00E531B2" w:rsidRPr="000011A4">
        <w:rPr>
          <w:rFonts w:cs="Calibri Light"/>
          <w:szCs w:val="22"/>
        </w:rPr>
        <w:t xml:space="preserve">, </w:t>
      </w:r>
      <w:r w:rsidR="005C57A8" w:rsidRPr="000011A4">
        <w:rPr>
          <w:rFonts w:cs="Calibri Light"/>
          <w:szCs w:val="22"/>
        </w:rPr>
        <w:t>despite inherent difficulties detecting general use of ESST</w:t>
      </w:r>
      <w:r w:rsidR="00E531B2" w:rsidRPr="000011A4">
        <w:rPr>
          <w:rFonts w:cs="Calibri Light"/>
          <w:szCs w:val="22"/>
        </w:rPr>
        <w:t xml:space="preserve">, there is a rate of growth in the number of businesses using the technology. It is </w:t>
      </w:r>
      <w:r w:rsidR="00EE33E4" w:rsidRPr="000011A4">
        <w:rPr>
          <w:rFonts w:cs="Calibri Light"/>
          <w:szCs w:val="22"/>
        </w:rPr>
        <w:t>also</w:t>
      </w:r>
      <w:r w:rsidR="00E531B2" w:rsidRPr="000011A4">
        <w:rPr>
          <w:rFonts w:cs="Calibri Light"/>
          <w:szCs w:val="22"/>
        </w:rPr>
        <w:t xml:space="preserve"> recognised amongst OECD partners that specific skill set</w:t>
      </w:r>
      <w:r w:rsidR="00AE65EB" w:rsidRPr="000011A4">
        <w:rPr>
          <w:rFonts w:cs="Calibri Light"/>
          <w:szCs w:val="22"/>
        </w:rPr>
        <w:t>s</w:t>
      </w:r>
      <w:r w:rsidR="00E531B2" w:rsidRPr="000011A4">
        <w:rPr>
          <w:rFonts w:cs="Calibri Light"/>
          <w:szCs w:val="22"/>
        </w:rPr>
        <w:t xml:space="preserve"> and capabilities are required deal with </w:t>
      </w:r>
      <w:r w:rsidR="00C553D7" w:rsidRPr="000011A4">
        <w:rPr>
          <w:rFonts w:cs="Calibri Light"/>
          <w:szCs w:val="22"/>
        </w:rPr>
        <w:t xml:space="preserve">ESST </w:t>
      </w:r>
      <w:r w:rsidR="00E531B2" w:rsidRPr="000011A4">
        <w:rPr>
          <w:rFonts w:cs="Calibri Light"/>
          <w:szCs w:val="22"/>
        </w:rPr>
        <w:t>risk. That includes specialist support and capability with digital forensic staff and audit expertise to effectively identify and deal with sales suppression technology</w:t>
      </w:r>
      <w:r w:rsidR="00C553D7" w:rsidRPr="000011A4">
        <w:rPr>
          <w:rFonts w:cs="Calibri Light"/>
          <w:szCs w:val="22"/>
        </w:rPr>
        <w:t xml:space="preserve">. </w:t>
      </w:r>
      <w:r w:rsidR="00E531B2" w:rsidRPr="000011A4">
        <w:rPr>
          <w:rFonts w:cs="Calibri Light"/>
          <w:szCs w:val="22"/>
        </w:rPr>
        <w:t>Shared amongst OECD partners is the growing impact of sales suppression on the respective tax gap.</w:t>
      </w:r>
    </w:p>
    <w:p w14:paraId="1EBB8D8A" w14:textId="797D6303" w:rsidR="00B6520A" w:rsidRDefault="00A81060" w:rsidP="00145F18">
      <w:pPr>
        <w:pStyle w:val="Heading2"/>
      </w:pPr>
      <w:bookmarkStart w:id="29" w:name="_Toc120009033"/>
      <w:r>
        <w:t>Subsequent OECD research</w:t>
      </w:r>
      <w:bookmarkEnd w:id="29"/>
    </w:p>
    <w:p w14:paraId="2C22DAEF" w14:textId="4294665D" w:rsidR="00141D8C" w:rsidRDefault="00141D8C" w:rsidP="00B6520A">
      <w:r>
        <w:t xml:space="preserve">OECD research since the 2013 OECD </w:t>
      </w:r>
      <w:r w:rsidR="00CB5DD4">
        <w:t>R</w:t>
      </w:r>
      <w:r>
        <w:t>eport has focused predominantly on other non</w:t>
      </w:r>
      <w:r w:rsidR="003C1BE6">
        <w:noBreakHyphen/>
      </w:r>
      <w:r>
        <w:t>legislative and innovative technological strategies to address ESST risk.</w:t>
      </w:r>
    </w:p>
    <w:p w14:paraId="6401EF0E" w14:textId="22F17D69" w:rsidR="00141D8C" w:rsidRDefault="00141D8C" w:rsidP="0074526E">
      <w:r>
        <w:t>For example, the OECD</w:t>
      </w:r>
      <w:r w:rsidR="009B70C7">
        <w:t>’</w:t>
      </w:r>
      <w:r>
        <w:t>s Technology Tools to Tackle Tax Evasion and Tax Fraud,</w:t>
      </w:r>
      <w:r w:rsidR="00D275C2">
        <w:rPr>
          <w:rStyle w:val="FootnoteReference"/>
        </w:rPr>
        <w:footnoteReference w:id="11"/>
      </w:r>
      <w:r>
        <w:t xml:space="preserve"> published on 31 March 2017, </w:t>
      </w:r>
      <w:r w:rsidR="00D80E4D">
        <w:t xml:space="preserve">focused on technological solutions. Based on </w:t>
      </w:r>
      <w:r w:rsidR="00CA07F8">
        <w:t xml:space="preserve">the principle </w:t>
      </w:r>
      <w:r w:rsidR="002B1D34">
        <w:t xml:space="preserve">that </w:t>
      </w:r>
      <w:r w:rsidR="00CA07F8">
        <w:t xml:space="preserve">tax crime facilitated by technology requires a technology response, this </w:t>
      </w:r>
      <w:r w:rsidR="002548E1">
        <w:t>r</w:t>
      </w:r>
      <w:r w:rsidR="008658CF">
        <w:t>eport</w:t>
      </w:r>
      <w:r w:rsidR="00CA07F8">
        <w:t xml:space="preserve"> notes the particular utility of data recording technology</w:t>
      </w:r>
      <w:r w:rsidR="00777E33">
        <w:t>, such as fiscal devices, sales data controllers, or sales recording modules</w:t>
      </w:r>
      <w:r w:rsidR="00A97ED4">
        <w:t xml:space="preserve">. </w:t>
      </w:r>
      <w:r w:rsidR="00CA07F8">
        <w:t>Th</w:t>
      </w:r>
      <w:r w:rsidR="00ED2FDA">
        <w:t>is technology</w:t>
      </w:r>
      <w:r w:rsidR="0074526E">
        <w:t xml:space="preserve"> </w:t>
      </w:r>
      <w:r w:rsidR="00ED2FDA">
        <w:t>generally connec</w:t>
      </w:r>
      <w:r w:rsidR="0074526E">
        <w:t>ts</w:t>
      </w:r>
      <w:r w:rsidR="00ED2FDA">
        <w:t xml:space="preserve"> directly to </w:t>
      </w:r>
      <w:r w:rsidR="00FB3BA7">
        <w:t>or integrate</w:t>
      </w:r>
      <w:r w:rsidR="00A27776">
        <w:t>s</w:t>
      </w:r>
      <w:r w:rsidR="00FB3BA7">
        <w:t xml:space="preserve"> directly with </w:t>
      </w:r>
      <w:r w:rsidR="00ED2FDA">
        <w:t xml:space="preserve">POS </w:t>
      </w:r>
      <w:r w:rsidR="00333227">
        <w:t>systems and</w:t>
      </w:r>
      <w:r w:rsidR="00ED2FDA">
        <w:t xml:space="preserve"> records and secures sales data immediately as the transaction occurs and in a manner that is tamper proof</w:t>
      </w:r>
      <w:r w:rsidR="00417B71">
        <w:t>, with different types available.</w:t>
      </w:r>
      <w:r w:rsidR="00DA6538">
        <w:t xml:space="preserve"> This technology has potential to raise significant revenue. This </w:t>
      </w:r>
      <w:r w:rsidR="00BA5B13">
        <w:t>r</w:t>
      </w:r>
      <w:r w:rsidR="008658CF">
        <w:t>eport</w:t>
      </w:r>
      <w:r w:rsidR="00DA6538">
        <w:t xml:space="preserve"> gives several </w:t>
      </w:r>
      <w:r w:rsidR="00DD6908">
        <w:t xml:space="preserve">international </w:t>
      </w:r>
      <w:r w:rsidR="00DA6538">
        <w:t xml:space="preserve">examples, </w:t>
      </w:r>
      <w:r w:rsidR="00DD6908">
        <w:t>some notable examples including</w:t>
      </w:r>
      <w:r w:rsidR="00DA6538">
        <w:t>:</w:t>
      </w:r>
    </w:p>
    <w:p w14:paraId="3B4FF7F0" w14:textId="35CA937C" w:rsidR="00DA6538" w:rsidRDefault="00F47FB0" w:rsidP="002075FD">
      <w:pPr>
        <w:pStyle w:val="Bullet"/>
      </w:pPr>
      <w:r>
        <w:t>In Canada, the introduction of sales recording modules in the restaurant industry</w:t>
      </w:r>
      <w:r w:rsidR="00333227">
        <w:t xml:space="preserve"> (see above)</w:t>
      </w:r>
    </w:p>
    <w:p w14:paraId="058E949E" w14:textId="29F8A185" w:rsidR="00F47FB0" w:rsidRDefault="001F5C48" w:rsidP="002075FD">
      <w:pPr>
        <w:pStyle w:val="Bullet"/>
      </w:pPr>
      <w:r>
        <w:t xml:space="preserve">In </w:t>
      </w:r>
      <w:r w:rsidR="00425FF5">
        <w:t>Sweden, since 2010 until publication, 135,000 registers had been connected to a fiscal control unit</w:t>
      </w:r>
      <w:r w:rsidR="00A97ED4">
        <w:t xml:space="preserve"> (supported by legislation)</w:t>
      </w:r>
      <w:r w:rsidR="00425FF5">
        <w:t xml:space="preserve">, </w:t>
      </w:r>
      <w:r w:rsidR="00B84D03">
        <w:t>causing increased VAT and income tax revenues of SEK3 billion</w:t>
      </w:r>
      <w:r w:rsidR="00A97ED4">
        <w:t xml:space="preserve"> </w:t>
      </w:r>
      <w:r w:rsidR="00EC3B91">
        <w:t xml:space="preserve">(about A$425 million) </w:t>
      </w:r>
      <w:r w:rsidR="00A97ED4">
        <w:t>per annum</w:t>
      </w:r>
      <w:r w:rsidR="00EC3B91">
        <w:t>,</w:t>
      </w:r>
      <w:r w:rsidR="00A97ED4">
        <w:t xml:space="preserve"> as well as reportedly leading to better control measures for the Swedish Tax Agency.</w:t>
      </w:r>
    </w:p>
    <w:p w14:paraId="38604532" w14:textId="28C01E78" w:rsidR="00EC3B91" w:rsidRDefault="00126A8E" w:rsidP="00A97ED4">
      <w:r>
        <w:t>On 28 March 2019, the OECD</w:t>
      </w:r>
      <w:r w:rsidR="009B70C7">
        <w:t>’</w:t>
      </w:r>
      <w:r>
        <w:t>s Forum on Tax Administration followed up the above with a report Implementing Online Cash Registers: Benefits, Considerations and Guidance.</w:t>
      </w:r>
      <w:r>
        <w:rPr>
          <w:rStyle w:val="FootnoteReference"/>
        </w:rPr>
        <w:footnoteReference w:id="12"/>
      </w:r>
      <w:r w:rsidR="00801987">
        <w:t xml:space="preserve"> </w:t>
      </w:r>
      <w:r w:rsidR="00CE3F26">
        <w:t>The more limited objective of this report was to</w:t>
      </w:r>
      <w:r w:rsidR="00801987">
        <w:t xml:space="preserve"> provide insight </w:t>
      </w:r>
      <w:r w:rsidR="00CE3F26">
        <w:t>for</w:t>
      </w:r>
      <w:r w:rsidR="00801987">
        <w:t xml:space="preserve"> tax administrators in</w:t>
      </w:r>
      <w:r w:rsidR="00CE3F26">
        <w:t>to</w:t>
      </w:r>
      <w:r w:rsidR="00801987">
        <w:t xml:space="preserve"> implementing </w:t>
      </w:r>
      <w:r w:rsidR="00CE3F26">
        <w:t xml:space="preserve">online </w:t>
      </w:r>
      <w:r w:rsidR="00801987">
        <w:t xml:space="preserve">cash registers </w:t>
      </w:r>
      <w:r w:rsidR="00DF0DD2">
        <w:t>and</w:t>
      </w:r>
      <w:r w:rsidR="00801987">
        <w:t xml:space="preserve"> other POS software that has direct online connectivity with the tax administration, so sales data is shared in an automated and systematic manner with the tax administration, either pushed by the sales system itself or by the tax administration on demand.</w:t>
      </w:r>
      <w:r w:rsidR="00134443">
        <w:t xml:space="preserve"> </w:t>
      </w:r>
    </w:p>
    <w:p w14:paraId="3FD8E24C" w14:textId="0B271744" w:rsidR="0074526E" w:rsidRPr="00981753" w:rsidRDefault="00134443" w:rsidP="00A97ED4">
      <w:r>
        <w:t>This report</w:t>
      </w:r>
      <w:r w:rsidR="00DF0DD2">
        <w:t>, like the previous report,</w:t>
      </w:r>
      <w:r>
        <w:t xml:space="preserve"> also </w:t>
      </w:r>
      <w:r w:rsidR="00CC4F2C">
        <w:t>sets out</w:t>
      </w:r>
      <w:r>
        <w:t xml:space="preserve"> examples of countries</w:t>
      </w:r>
      <w:r w:rsidR="009B70C7">
        <w:t>’</w:t>
      </w:r>
      <w:r>
        <w:t xml:space="preserve"> </w:t>
      </w:r>
      <w:r w:rsidR="00D22BFB">
        <w:t>similar approaches, such as</w:t>
      </w:r>
      <w:r w:rsidR="00CC4F2C">
        <w:t xml:space="preserve"> compulsory certification and registration of cash registers (Belgium),</w:t>
      </w:r>
      <w:r w:rsidR="00D22BFB">
        <w:t xml:space="preserve"> voluntary quality</w:t>
      </w:r>
      <w:r w:rsidR="003C1BE6">
        <w:noBreakHyphen/>
      </w:r>
      <w:r w:rsidR="00D22BFB">
        <w:t xml:space="preserve">marks signifying cash registers meet regulatory requirements (Netherlands), </w:t>
      </w:r>
      <w:r w:rsidR="00CC4F2C">
        <w:t xml:space="preserve">and </w:t>
      </w:r>
      <w:r w:rsidR="00D22BFB">
        <w:t>compulsorily upload of sales data to central registers accompanied by QR codes on receipts that enable customers to cross</w:t>
      </w:r>
      <w:r w:rsidR="003C1BE6">
        <w:noBreakHyphen/>
      </w:r>
      <w:r w:rsidR="00D22BFB">
        <w:t>check transactions (Russia)</w:t>
      </w:r>
      <w:r w:rsidR="009A2365">
        <w:t xml:space="preserve">. The report </w:t>
      </w:r>
      <w:r w:rsidR="00A426BB">
        <w:t>details some of the</w:t>
      </w:r>
      <w:r w:rsidR="009A2365">
        <w:t xml:space="preserve"> costs accompanying the</w:t>
      </w:r>
      <w:r w:rsidR="00A426BB">
        <w:t xml:space="preserve"> considerable potential benefits</w:t>
      </w:r>
      <w:r w:rsidR="009A2365">
        <w:t>, particularly privacy risks and</w:t>
      </w:r>
      <w:r w:rsidR="00A426BB">
        <w:t xml:space="preserve"> administrative</w:t>
      </w:r>
      <w:r w:rsidR="009A2365">
        <w:t xml:space="preserve"> costs for both business and administrators.</w:t>
      </w:r>
    </w:p>
    <w:p w14:paraId="06EAA988" w14:textId="77777777" w:rsidR="003033F8" w:rsidRDefault="003033F8" w:rsidP="00701614">
      <w:pPr>
        <w:pStyle w:val="Heading1"/>
        <w:sectPr w:rsidR="003033F8" w:rsidSect="00295B30">
          <w:pgSz w:w="11906" w:h="16838" w:code="9"/>
          <w:pgMar w:top="1843" w:right="1417" w:bottom="1417" w:left="1417" w:header="709" w:footer="709" w:gutter="0"/>
          <w:cols w:space="708"/>
          <w:docGrid w:linePitch="360"/>
        </w:sectPr>
      </w:pPr>
      <w:bookmarkStart w:id="30" w:name="_Toc120009034"/>
    </w:p>
    <w:p w14:paraId="2A20AD57" w14:textId="02D81B16" w:rsidR="00037752" w:rsidRDefault="00780D2A" w:rsidP="00701614">
      <w:pPr>
        <w:pStyle w:val="Heading1"/>
      </w:pPr>
      <w:r>
        <w:lastRenderedPageBreak/>
        <w:t>Summary and Key Findings</w:t>
      </w:r>
      <w:bookmarkEnd w:id="30"/>
    </w:p>
    <w:p w14:paraId="25F0E1C8" w14:textId="62AD2CF3" w:rsidR="00780D2A" w:rsidRDefault="00780D2A" w:rsidP="00780D2A">
      <w:r>
        <w:t>In conclusion, this Report has outlined that the introduction of stronger penalties for possessing, manufacturing or distributing sales suppression software arose from growing international concern about the potential scale of tax avoidance, as well as concern of the adequacy of Australia</w:t>
      </w:r>
      <w:r w:rsidR="009B70C7">
        <w:t>’</w:t>
      </w:r>
      <w:r>
        <w:t>s relevant enforcement laws and mechanisms</w:t>
      </w:r>
      <w:r w:rsidR="00DB20D9">
        <w:t xml:space="preserve">. </w:t>
      </w:r>
    </w:p>
    <w:p w14:paraId="79A40BA3" w14:textId="4B3E9F51" w:rsidR="00780D2A" w:rsidRDefault="00780D2A" w:rsidP="00780D2A">
      <w:r>
        <w:t xml:space="preserve">This Report finds that, since the introduction of significantly stronger penalties and relevant law change via </w:t>
      </w:r>
      <w:r w:rsidR="00ED113D">
        <w:t xml:space="preserve">the </w:t>
      </w:r>
      <w:r w:rsidR="00317373" w:rsidRPr="00EA5EC0">
        <w:t>Act</w:t>
      </w:r>
      <w:r>
        <w:t>, the ATO has conducted significant effective compliance action</w:t>
      </w:r>
      <w:r w:rsidR="00DB20D9">
        <w:t xml:space="preserve">. </w:t>
      </w:r>
      <w:r>
        <w:t>As at late 2022, 46</w:t>
      </w:r>
      <w:r w:rsidR="003B4C21">
        <w:t> </w:t>
      </w:r>
      <w:r>
        <w:t xml:space="preserve">cases have been completed, </w:t>
      </w:r>
      <w:r w:rsidR="00EC3B91">
        <w:t xml:space="preserve">applying </w:t>
      </w:r>
      <w:r w:rsidR="00FE624B">
        <w:t xml:space="preserve">around </w:t>
      </w:r>
      <w:r w:rsidR="00EC3B91">
        <w:t>$1</w:t>
      </w:r>
      <w:r w:rsidR="009D49E8">
        <w:t> </w:t>
      </w:r>
      <w:r w:rsidR="00EC3B91">
        <w:t xml:space="preserve">million in penalties and </w:t>
      </w:r>
      <w:r>
        <w:t>raising some $7.4</w:t>
      </w:r>
      <w:r w:rsidR="009D49E8">
        <w:t> </w:t>
      </w:r>
      <w:r>
        <w:t>million in liabilities</w:t>
      </w:r>
      <w:r w:rsidR="00DB20D9">
        <w:t xml:space="preserve">. </w:t>
      </w:r>
      <w:r>
        <w:t>Additional cases are still underway and further enforcement activity is planned</w:t>
      </w:r>
      <w:r w:rsidR="00DB20D9">
        <w:t xml:space="preserve">. </w:t>
      </w:r>
    </w:p>
    <w:p w14:paraId="734F2BD3" w14:textId="735ECA78" w:rsidR="00A54A03" w:rsidRPr="006A70B3" w:rsidRDefault="009D49E8" w:rsidP="00A54A03">
      <w:pPr>
        <w:rPr>
          <w:rFonts w:cs="Calibri Light"/>
          <w:szCs w:val="22"/>
        </w:rPr>
      </w:pPr>
      <w:r>
        <w:rPr>
          <w:rFonts w:cs="Calibri Light"/>
          <w:szCs w:val="22"/>
        </w:rPr>
        <w:t>Despite concerns raised during the parliamentary debate, t</w:t>
      </w:r>
      <w:r w:rsidR="00A54A03" w:rsidRPr="006A70B3">
        <w:rPr>
          <w:rFonts w:cs="Calibri Light"/>
          <w:szCs w:val="22"/>
        </w:rPr>
        <w:t xml:space="preserve">he ATO has not </w:t>
      </w:r>
      <w:r>
        <w:rPr>
          <w:rFonts w:cs="Calibri Light"/>
          <w:szCs w:val="22"/>
        </w:rPr>
        <w:t xml:space="preserve">detected any instances, nor </w:t>
      </w:r>
      <w:r w:rsidR="00A54A03" w:rsidRPr="006A70B3">
        <w:rPr>
          <w:rFonts w:cs="Calibri Light"/>
          <w:szCs w:val="22"/>
        </w:rPr>
        <w:t>received any complaints about</w:t>
      </w:r>
      <w:r>
        <w:rPr>
          <w:rFonts w:cs="Calibri Light"/>
          <w:szCs w:val="22"/>
        </w:rPr>
        <w:t>,</w:t>
      </w:r>
      <w:r w:rsidR="00A54A03" w:rsidRPr="006A70B3">
        <w:rPr>
          <w:rFonts w:cs="Calibri Light"/>
          <w:szCs w:val="22"/>
        </w:rPr>
        <w:t xml:space="preserve"> </w:t>
      </w:r>
      <w:r w:rsidR="009B70C7">
        <w:rPr>
          <w:rFonts w:cs="Calibri Light"/>
          <w:szCs w:val="22"/>
        </w:rPr>
        <w:t>“</w:t>
      </w:r>
      <w:r w:rsidR="00A54A03" w:rsidRPr="006A70B3">
        <w:rPr>
          <w:rFonts w:cs="Calibri Light"/>
          <w:szCs w:val="22"/>
        </w:rPr>
        <w:t>accidental</w:t>
      </w:r>
      <w:r w:rsidR="009B70C7">
        <w:rPr>
          <w:rFonts w:cs="Calibri Light"/>
          <w:szCs w:val="22"/>
        </w:rPr>
        <w:t>”</w:t>
      </w:r>
      <w:r w:rsidR="00A54A03" w:rsidRPr="006A70B3">
        <w:rPr>
          <w:rFonts w:cs="Calibri Light"/>
          <w:szCs w:val="22"/>
        </w:rPr>
        <w:t xml:space="preserve"> possession of sales suppression software.</w:t>
      </w:r>
    </w:p>
    <w:p w14:paraId="29DF6B45" w14:textId="49147E74" w:rsidR="00B85817" w:rsidRDefault="00197E82" w:rsidP="00A54A03">
      <w:pPr>
        <w:pStyle w:val="CommentText"/>
        <w:rPr>
          <w:rFonts w:ascii="Calibri Light" w:hAnsi="Calibri Light" w:cs="Calibri Light"/>
          <w:sz w:val="22"/>
          <w:szCs w:val="22"/>
        </w:rPr>
      </w:pPr>
      <w:r w:rsidRPr="00197E82">
        <w:rPr>
          <w:rFonts w:ascii="Calibri Light" w:hAnsi="Calibri Light" w:cs="Calibri Light"/>
          <w:sz w:val="22"/>
          <w:szCs w:val="22"/>
        </w:rPr>
        <w:t>Further compliance action is required to bring this risk within tolerance, that includes disrupting entire supply chains, dealing with those who are involved in developing sales suppression technology, providing help and guidance for those who want to do the right thing and influenc</w:t>
      </w:r>
      <w:r w:rsidR="00AE6442">
        <w:rPr>
          <w:rFonts w:ascii="Calibri Light" w:hAnsi="Calibri Light" w:cs="Calibri Light"/>
          <w:sz w:val="22"/>
          <w:szCs w:val="22"/>
        </w:rPr>
        <w:t>ing</w:t>
      </w:r>
      <w:r w:rsidRPr="00197E82">
        <w:rPr>
          <w:rFonts w:ascii="Calibri Light" w:hAnsi="Calibri Light" w:cs="Calibri Light"/>
          <w:sz w:val="22"/>
          <w:szCs w:val="22"/>
        </w:rPr>
        <w:t>/shap</w:t>
      </w:r>
      <w:r w:rsidR="00AE6442">
        <w:rPr>
          <w:rFonts w:ascii="Calibri Light" w:hAnsi="Calibri Light" w:cs="Calibri Light"/>
          <w:sz w:val="22"/>
          <w:szCs w:val="22"/>
        </w:rPr>
        <w:t>ing</w:t>
      </w:r>
      <w:r w:rsidRPr="00197E82">
        <w:rPr>
          <w:rFonts w:ascii="Calibri Light" w:hAnsi="Calibri Light" w:cs="Calibri Light"/>
          <w:sz w:val="22"/>
          <w:szCs w:val="22"/>
        </w:rPr>
        <w:t xml:space="preserve"> behaviour away from use</w:t>
      </w:r>
      <w:r w:rsidR="00DB20D9">
        <w:rPr>
          <w:rFonts w:ascii="Calibri Light" w:hAnsi="Calibri Light" w:cs="Calibri Light"/>
          <w:sz w:val="22"/>
          <w:szCs w:val="22"/>
        </w:rPr>
        <w:t xml:space="preserve">. </w:t>
      </w:r>
      <w:r w:rsidR="00B85817" w:rsidRPr="00B85817">
        <w:rPr>
          <w:rFonts w:ascii="Calibri Light" w:hAnsi="Calibri Light" w:cs="Calibri Light"/>
          <w:sz w:val="22"/>
          <w:szCs w:val="22"/>
        </w:rPr>
        <w:t>The ATO will continue to work proactively with OECD partners to manage and disrupt international behaviour driving ESST manufacture</w:t>
      </w:r>
      <w:r w:rsidR="00B85817">
        <w:rPr>
          <w:rFonts w:ascii="Calibri Light" w:hAnsi="Calibri Light" w:cs="Calibri Light"/>
          <w:sz w:val="22"/>
          <w:szCs w:val="22"/>
        </w:rPr>
        <w:t>, distribution</w:t>
      </w:r>
      <w:r w:rsidR="00B85817" w:rsidRPr="00B85817">
        <w:rPr>
          <w:rFonts w:ascii="Calibri Light" w:hAnsi="Calibri Light" w:cs="Calibri Light"/>
          <w:sz w:val="22"/>
          <w:szCs w:val="22"/>
        </w:rPr>
        <w:t xml:space="preserve"> and use</w:t>
      </w:r>
      <w:r w:rsidR="00DB20D9">
        <w:rPr>
          <w:rFonts w:ascii="Calibri Light" w:hAnsi="Calibri Light" w:cs="Calibri Light"/>
          <w:sz w:val="22"/>
          <w:szCs w:val="22"/>
        </w:rPr>
        <w:t xml:space="preserve">. </w:t>
      </w:r>
    </w:p>
    <w:p w14:paraId="3F512547" w14:textId="5E97390A" w:rsidR="00A54A03" w:rsidRDefault="00A54A03" w:rsidP="00A54A03">
      <w:pPr>
        <w:pStyle w:val="CommentText"/>
        <w:rPr>
          <w:rFonts w:ascii="Calibri Light" w:hAnsi="Calibri Light" w:cs="Calibri Light"/>
          <w:sz w:val="22"/>
          <w:szCs w:val="22"/>
        </w:rPr>
      </w:pPr>
      <w:r w:rsidRPr="006A70B3">
        <w:rPr>
          <w:rFonts w:ascii="Calibri Light" w:hAnsi="Calibri Light" w:cs="Calibri Light"/>
          <w:sz w:val="22"/>
          <w:szCs w:val="22"/>
        </w:rPr>
        <w:t xml:space="preserve">The risk and impacts of sales suppression technology continues to exist </w:t>
      </w:r>
      <w:r>
        <w:rPr>
          <w:rFonts w:ascii="Calibri Light" w:hAnsi="Calibri Light" w:cs="Calibri Light"/>
          <w:sz w:val="22"/>
          <w:szCs w:val="22"/>
        </w:rPr>
        <w:t xml:space="preserve">in the shadow economy and is a contributor to the </w:t>
      </w:r>
      <w:r w:rsidRPr="006A70B3">
        <w:rPr>
          <w:rFonts w:ascii="Calibri Light" w:hAnsi="Calibri Light" w:cs="Calibri Light"/>
          <w:sz w:val="22"/>
          <w:szCs w:val="22"/>
        </w:rPr>
        <w:t>tax gap</w:t>
      </w:r>
      <w:r w:rsidR="00DB20D9">
        <w:rPr>
          <w:rFonts w:ascii="Calibri Light" w:hAnsi="Calibri Light" w:cs="Calibri Light"/>
          <w:sz w:val="22"/>
          <w:szCs w:val="22"/>
        </w:rPr>
        <w:t xml:space="preserve">. </w:t>
      </w:r>
      <w:r w:rsidRPr="006A70B3">
        <w:rPr>
          <w:rFonts w:ascii="Calibri Light" w:hAnsi="Calibri Light" w:cs="Calibri Light"/>
          <w:sz w:val="22"/>
          <w:szCs w:val="22"/>
        </w:rPr>
        <w:t xml:space="preserve">Since the </w:t>
      </w:r>
      <w:r w:rsidR="0064792A">
        <w:rPr>
          <w:rFonts w:ascii="Calibri Light" w:hAnsi="Calibri Light" w:cs="Calibri Light"/>
          <w:sz w:val="22"/>
          <w:szCs w:val="22"/>
        </w:rPr>
        <w:t>Act</w:t>
      </w:r>
      <w:r w:rsidRPr="006A70B3">
        <w:rPr>
          <w:rFonts w:ascii="Calibri Light" w:hAnsi="Calibri Light" w:cs="Calibri Light"/>
          <w:sz w:val="22"/>
          <w:szCs w:val="22"/>
        </w:rPr>
        <w:t xml:space="preserve"> was introduced in October 2018</w:t>
      </w:r>
      <w:r w:rsidR="00197E82">
        <w:rPr>
          <w:rFonts w:ascii="Calibri Light" w:hAnsi="Calibri Light" w:cs="Calibri Light"/>
          <w:sz w:val="22"/>
          <w:szCs w:val="22"/>
        </w:rPr>
        <w:t>,</w:t>
      </w:r>
      <w:r w:rsidRPr="006A70B3">
        <w:rPr>
          <w:rFonts w:ascii="Calibri Light" w:hAnsi="Calibri Light" w:cs="Calibri Light"/>
          <w:sz w:val="22"/>
          <w:szCs w:val="22"/>
        </w:rPr>
        <w:t xml:space="preserve"> the scale </w:t>
      </w:r>
      <w:r w:rsidR="008D76A4">
        <w:rPr>
          <w:rFonts w:ascii="Calibri Light" w:hAnsi="Calibri Light" w:cs="Calibri Light"/>
          <w:sz w:val="22"/>
          <w:szCs w:val="22"/>
        </w:rPr>
        <w:t xml:space="preserve">and complexity </w:t>
      </w:r>
      <w:r w:rsidRPr="006A70B3">
        <w:rPr>
          <w:rFonts w:ascii="Calibri Light" w:hAnsi="Calibri Light" w:cs="Calibri Light"/>
          <w:sz w:val="22"/>
          <w:szCs w:val="22"/>
        </w:rPr>
        <w:t xml:space="preserve">of ESST </w:t>
      </w:r>
      <w:r w:rsidR="008D76A4">
        <w:rPr>
          <w:rFonts w:ascii="Calibri Light" w:hAnsi="Calibri Light" w:cs="Calibri Light"/>
          <w:sz w:val="22"/>
          <w:szCs w:val="22"/>
        </w:rPr>
        <w:t xml:space="preserve">use </w:t>
      </w:r>
      <w:r w:rsidRPr="006A70B3">
        <w:rPr>
          <w:rFonts w:ascii="Calibri Light" w:hAnsi="Calibri Light" w:cs="Calibri Light"/>
          <w:sz w:val="22"/>
          <w:szCs w:val="22"/>
        </w:rPr>
        <w:t>h</w:t>
      </w:r>
      <w:r w:rsidRPr="006416CD">
        <w:rPr>
          <w:rFonts w:ascii="Calibri Light" w:hAnsi="Calibri Light" w:cs="Calibri Light"/>
          <w:sz w:val="22"/>
          <w:szCs w:val="22"/>
        </w:rPr>
        <w:t xml:space="preserve">as grown. </w:t>
      </w:r>
      <w:r>
        <w:rPr>
          <w:rFonts w:ascii="Calibri Light" w:hAnsi="Calibri Light" w:cs="Calibri Light"/>
          <w:sz w:val="22"/>
          <w:szCs w:val="22"/>
        </w:rPr>
        <w:t>There is difficulty in investigating ESST</w:t>
      </w:r>
      <w:r w:rsidR="00197E82">
        <w:rPr>
          <w:rFonts w:ascii="Calibri Light" w:hAnsi="Calibri Light" w:cs="Calibri Light"/>
          <w:sz w:val="22"/>
          <w:szCs w:val="22"/>
        </w:rPr>
        <w:t>;</w:t>
      </w:r>
      <w:r>
        <w:rPr>
          <w:rFonts w:ascii="Calibri Light" w:hAnsi="Calibri Light" w:cs="Calibri Light"/>
          <w:sz w:val="22"/>
          <w:szCs w:val="22"/>
        </w:rPr>
        <w:t xml:space="preserve"> treatment covers prevention through to correction and there needs to be a mix of many tactics to </w:t>
      </w:r>
      <w:r w:rsidR="00895371">
        <w:rPr>
          <w:rFonts w:ascii="Calibri Light" w:hAnsi="Calibri Light" w:cs="Calibri Light"/>
          <w:sz w:val="22"/>
          <w:szCs w:val="22"/>
        </w:rPr>
        <w:t xml:space="preserve">underpin </w:t>
      </w:r>
      <w:r>
        <w:rPr>
          <w:rFonts w:ascii="Calibri Light" w:hAnsi="Calibri Light" w:cs="Calibri Light"/>
          <w:sz w:val="22"/>
          <w:szCs w:val="22"/>
        </w:rPr>
        <w:t>proactive</w:t>
      </w:r>
      <w:r w:rsidR="00C62188">
        <w:rPr>
          <w:rFonts w:ascii="Calibri Light" w:hAnsi="Calibri Light" w:cs="Calibri Light"/>
          <w:sz w:val="22"/>
          <w:szCs w:val="22"/>
        </w:rPr>
        <w:t xml:space="preserve"> enforcement</w:t>
      </w:r>
      <w:r w:rsidR="00DB20D9">
        <w:rPr>
          <w:rFonts w:ascii="Calibri Light" w:hAnsi="Calibri Light" w:cs="Calibri Light"/>
          <w:sz w:val="22"/>
          <w:szCs w:val="22"/>
        </w:rPr>
        <w:t xml:space="preserve">. </w:t>
      </w:r>
    </w:p>
    <w:p w14:paraId="5E5980BA" w14:textId="6A741B95" w:rsidR="000D6579" w:rsidRDefault="00145214" w:rsidP="00A54A03">
      <w:pPr>
        <w:pStyle w:val="CommentText"/>
        <w:rPr>
          <w:rFonts w:ascii="Calibri Light" w:hAnsi="Calibri Light" w:cs="Calibri Light"/>
          <w:sz w:val="22"/>
          <w:szCs w:val="22"/>
        </w:rPr>
      </w:pPr>
      <w:r>
        <w:rPr>
          <w:rFonts w:ascii="Calibri Light" w:hAnsi="Calibri Light" w:cs="Calibri Light"/>
          <w:sz w:val="22"/>
          <w:szCs w:val="22"/>
        </w:rPr>
        <w:t>International research and develop</w:t>
      </w:r>
      <w:r w:rsidR="00197E82">
        <w:rPr>
          <w:rFonts w:ascii="Calibri Light" w:hAnsi="Calibri Light" w:cs="Calibri Light"/>
          <w:sz w:val="22"/>
          <w:szCs w:val="22"/>
        </w:rPr>
        <w:t>ment</w:t>
      </w:r>
      <w:r>
        <w:rPr>
          <w:rFonts w:ascii="Calibri Light" w:hAnsi="Calibri Light" w:cs="Calibri Light"/>
          <w:sz w:val="22"/>
          <w:szCs w:val="22"/>
        </w:rPr>
        <w:t xml:space="preserve">s have also focused on </w:t>
      </w:r>
      <w:r w:rsidR="00197E82">
        <w:rPr>
          <w:rFonts w:ascii="Calibri Light" w:hAnsi="Calibri Light" w:cs="Calibri Light"/>
          <w:sz w:val="22"/>
          <w:szCs w:val="22"/>
        </w:rPr>
        <w:t>additional</w:t>
      </w:r>
      <w:r w:rsidR="000D6579">
        <w:rPr>
          <w:rFonts w:ascii="Calibri Light" w:hAnsi="Calibri Light" w:cs="Calibri Light"/>
          <w:sz w:val="22"/>
          <w:szCs w:val="22"/>
        </w:rPr>
        <w:t xml:space="preserve"> technological solutions</w:t>
      </w:r>
      <w:r w:rsidR="00197E82">
        <w:rPr>
          <w:rFonts w:ascii="Calibri Light" w:hAnsi="Calibri Light" w:cs="Calibri Light"/>
          <w:sz w:val="22"/>
          <w:szCs w:val="22"/>
        </w:rPr>
        <w:t xml:space="preserve"> to address ESST risks, and as other countries begin implementing these approaches their experiences will be followed closely</w:t>
      </w:r>
      <w:r w:rsidR="00DB20D9">
        <w:rPr>
          <w:rFonts w:ascii="Calibri Light" w:hAnsi="Calibri Light" w:cs="Calibri Light"/>
          <w:sz w:val="22"/>
          <w:szCs w:val="22"/>
        </w:rPr>
        <w:t xml:space="preserve">. </w:t>
      </w:r>
    </w:p>
    <w:p w14:paraId="660A156E" w14:textId="77777777" w:rsidR="00100DDB" w:rsidRDefault="00100DDB" w:rsidP="00100DDB">
      <w:bookmarkStart w:id="31" w:name="_Ref113630704"/>
      <w:bookmarkStart w:id="32" w:name="_Toc120009035"/>
    </w:p>
    <w:p w14:paraId="04A37F3E" w14:textId="5C488B05" w:rsidR="00100DDB" w:rsidRPr="00981753" w:rsidRDefault="00100DDB" w:rsidP="00981753">
      <w:pPr>
        <w:sectPr w:rsidR="00100DDB" w:rsidRPr="00981753" w:rsidSect="00295B30">
          <w:pgSz w:w="11906" w:h="16838" w:code="9"/>
          <w:pgMar w:top="1843" w:right="1417" w:bottom="1417" w:left="1417" w:header="709" w:footer="709" w:gutter="0"/>
          <w:cols w:space="708"/>
          <w:docGrid w:linePitch="360"/>
        </w:sectPr>
      </w:pPr>
    </w:p>
    <w:p w14:paraId="1F859F2A" w14:textId="590F0BDE" w:rsidR="00DF7375" w:rsidRDefault="00DF7375" w:rsidP="00701614">
      <w:pPr>
        <w:pStyle w:val="Heading1"/>
      </w:pPr>
      <w:bookmarkStart w:id="33" w:name="_Ref120013281"/>
      <w:r>
        <w:lastRenderedPageBreak/>
        <w:t>Appendix</w:t>
      </w:r>
      <w:r w:rsidR="00DD55C7">
        <w:t xml:space="preserve"> </w:t>
      </w:r>
      <w:r>
        <w:t>– Summary of relevant provisions</w:t>
      </w:r>
      <w:bookmarkEnd w:id="31"/>
      <w:bookmarkEnd w:id="32"/>
      <w:bookmarkEnd w:id="33"/>
    </w:p>
    <w:p w14:paraId="7A51F474" w14:textId="0AABA252" w:rsidR="00BC0A64" w:rsidRPr="00BC0A64" w:rsidRDefault="00BC0A64" w:rsidP="00145F18">
      <w:r>
        <w:t xml:space="preserve">The offences were inserted into the </w:t>
      </w:r>
      <w:r w:rsidRPr="005255E6">
        <w:rPr>
          <w:i/>
        </w:rPr>
        <w:t>Taxation Administration Act 1953</w:t>
      </w:r>
      <w:r>
        <w:t xml:space="preserve"> (TAA 1953), with minor consequential amendments to the </w:t>
      </w:r>
      <w:r w:rsidRPr="005255E6">
        <w:rPr>
          <w:i/>
        </w:rPr>
        <w:t>Income Tax Assessment Act 1997</w:t>
      </w:r>
      <w:r>
        <w:t>. References to sections are to the TAA 1953.</w:t>
      </w:r>
      <w:r w:rsidR="002B78DC">
        <w:t xml:space="preserve"> For more information, see the Act and </w:t>
      </w:r>
      <w:r w:rsidR="0040739D">
        <w:t>the Explanatory Memorandum (EM)</w:t>
      </w:r>
      <w:r w:rsidR="002B78DC">
        <w:t xml:space="preserve"> for the Bill on the Federal Register of Legislation</w:t>
      </w:r>
      <w:r w:rsidR="00373E24">
        <w:t>:</w:t>
      </w:r>
      <w:r w:rsidR="002B78DC">
        <w:t xml:space="preserve"> </w:t>
      </w:r>
      <w:hyperlink r:id="rId36" w:history="1">
        <w:r w:rsidR="00290B99" w:rsidRPr="00290B99">
          <w:rPr>
            <w:rStyle w:val="Hyperlink"/>
          </w:rPr>
          <w:t>www.l</w:t>
        </w:r>
        <w:r w:rsidR="00290B99" w:rsidRPr="002A738F">
          <w:rPr>
            <w:rStyle w:val="Hyperlink"/>
          </w:rPr>
          <w:t>e</w:t>
        </w:r>
        <w:r w:rsidR="00290B99" w:rsidRPr="002D637E">
          <w:rPr>
            <w:rStyle w:val="Hyperlink"/>
          </w:rPr>
          <w:t>gislation.gov.au</w:t>
        </w:r>
      </w:hyperlink>
      <w:r w:rsidR="002B78DC">
        <w:t>.</w:t>
      </w:r>
    </w:p>
    <w:p w14:paraId="5C16E74E" w14:textId="7EF39CFD" w:rsidR="004248E7" w:rsidRDefault="00B27534" w:rsidP="00435FE8">
      <w:pPr>
        <w:pStyle w:val="Heading2"/>
      </w:pPr>
      <w:bookmarkStart w:id="34" w:name="_Toc120009036"/>
      <w:r>
        <w:t>Definition of e</w:t>
      </w:r>
      <w:r w:rsidR="00BC0A64">
        <w:t>lectronic sales suppression tools</w:t>
      </w:r>
      <w:bookmarkEnd w:id="34"/>
    </w:p>
    <w:p w14:paraId="044D4EEB" w14:textId="09E73570" w:rsidR="004248E7" w:rsidRDefault="00C86215" w:rsidP="00BC0A64">
      <w:r>
        <w:t xml:space="preserve">The offences and penalties relate to the production, </w:t>
      </w:r>
      <w:r w:rsidR="002B78DC">
        <w:t xml:space="preserve">supply, possession and use of </w:t>
      </w:r>
      <w:r w:rsidR="009B70C7">
        <w:t>“</w:t>
      </w:r>
      <w:r w:rsidR="002B78DC">
        <w:t>electronic sales suppression tools</w:t>
      </w:r>
      <w:r w:rsidR="009B70C7">
        <w:t>”</w:t>
      </w:r>
      <w:r w:rsidR="00DD34A9">
        <w:t xml:space="preserve"> (</w:t>
      </w:r>
      <w:r w:rsidR="008D2061">
        <w:t>ESST</w:t>
      </w:r>
      <w:r w:rsidR="00DD34A9">
        <w:t>)</w:t>
      </w:r>
      <w:r w:rsidR="002B78DC">
        <w:t xml:space="preserve">. </w:t>
      </w:r>
    </w:p>
    <w:p w14:paraId="21CACF2F" w14:textId="24C27521" w:rsidR="00D81AD6" w:rsidRDefault="002D637E" w:rsidP="00D81AD6">
      <w:r>
        <w:t>Section 8WAB defines this</w:t>
      </w:r>
      <w:r w:rsidR="00412641">
        <w:t>,</w:t>
      </w:r>
      <w:r>
        <w:t xml:space="preserve"> for the purposes of the inserted offences or penalties</w:t>
      </w:r>
      <w:r w:rsidR="00412641">
        <w:t>,</w:t>
      </w:r>
      <w:r>
        <w:t xml:space="preserve"> as devices</w:t>
      </w:r>
      <w:r w:rsidR="00D81AD6">
        <w:t>, software programs or other things (or parts of things, or a combinations of any such things or parts), that meet the following conditions:</w:t>
      </w:r>
    </w:p>
    <w:p w14:paraId="751F40D4" w14:textId="41F3FC7C" w:rsidR="00D81AD6" w:rsidRDefault="00D81AD6" w:rsidP="002075FD">
      <w:pPr>
        <w:pStyle w:val="Bullet"/>
      </w:pPr>
      <w:r>
        <w:t>it is capable of falsifying, manipulating, hiding, obfuscating, destroying, or preventing the creation of, a record that</w:t>
      </w:r>
      <w:r w:rsidR="000E2288">
        <w:t xml:space="preserve"> </w:t>
      </w:r>
      <w:r>
        <w:t>an entity is required by a taxation law to keep or make</w:t>
      </w:r>
      <w:r w:rsidR="000E2288">
        <w:t>,</w:t>
      </w:r>
      <w:r>
        <w:t xml:space="preserve"> and</w:t>
      </w:r>
      <w:r w:rsidR="000E2288">
        <w:t xml:space="preserve"> </w:t>
      </w:r>
      <w:r>
        <w:t>is, or would be, created by a system that is or includes an electronic point of sale system;</w:t>
      </w:r>
      <w:r w:rsidR="00D81016">
        <w:t xml:space="preserve"> and</w:t>
      </w:r>
    </w:p>
    <w:p w14:paraId="35504444" w14:textId="357979F2" w:rsidR="00D81AD6" w:rsidRDefault="00D81AD6" w:rsidP="002075FD">
      <w:pPr>
        <w:pStyle w:val="Bullet"/>
      </w:pPr>
      <w:r>
        <w:t>a reasonable person would conclude that one of its principal functions is to falsify, manipulate, hide, obfuscate, destroy, or prevent the creation of, such records.</w:t>
      </w:r>
    </w:p>
    <w:p w14:paraId="13481526" w14:textId="389B5931" w:rsidR="00F85A9A" w:rsidRPr="00364711" w:rsidRDefault="004D3467" w:rsidP="00145F18">
      <w:pPr>
        <w:rPr>
          <w:spacing w:val="-2"/>
        </w:rPr>
      </w:pPr>
      <w:r w:rsidRPr="00364711">
        <w:rPr>
          <w:spacing w:val="-2"/>
        </w:rPr>
        <w:t xml:space="preserve">As is explained more fully in the EM, this provision is carefully drafted to ensure that component parts of software </w:t>
      </w:r>
      <w:r w:rsidR="00C44C1B" w:rsidRPr="00364711">
        <w:rPr>
          <w:spacing w:val="-2"/>
        </w:rPr>
        <w:t xml:space="preserve">with the primary or principal function of falsifying (etc) tax records are </w:t>
      </w:r>
      <w:r w:rsidR="00153273" w:rsidRPr="00364711">
        <w:rPr>
          <w:spacing w:val="-2"/>
        </w:rPr>
        <w:t xml:space="preserve">considered </w:t>
      </w:r>
      <w:r w:rsidR="008D2061" w:rsidRPr="00364711">
        <w:rPr>
          <w:spacing w:val="-2"/>
        </w:rPr>
        <w:t>ESST</w:t>
      </w:r>
      <w:r w:rsidR="00C44C1B" w:rsidRPr="00364711">
        <w:rPr>
          <w:spacing w:val="-2"/>
        </w:rPr>
        <w:t xml:space="preserve">, while </w:t>
      </w:r>
      <w:r w:rsidR="00815CA9" w:rsidRPr="00364711">
        <w:rPr>
          <w:spacing w:val="-2"/>
        </w:rPr>
        <w:t>ordinary parts or components of software which could be used to falsify (etc)</w:t>
      </w:r>
      <w:r w:rsidR="00153273" w:rsidRPr="00364711">
        <w:rPr>
          <w:spacing w:val="-2"/>
        </w:rPr>
        <w:t xml:space="preserve"> with effort</w:t>
      </w:r>
      <w:r w:rsidR="00F21B72" w:rsidRPr="00364711">
        <w:rPr>
          <w:spacing w:val="-2"/>
        </w:rPr>
        <w:t>,</w:t>
      </w:r>
      <w:r w:rsidR="00815CA9" w:rsidRPr="00364711">
        <w:rPr>
          <w:spacing w:val="-2"/>
        </w:rPr>
        <w:t xml:space="preserve"> but whose primary function </w:t>
      </w:r>
      <w:r w:rsidR="009C0C22" w:rsidRPr="00364711">
        <w:rPr>
          <w:spacing w:val="-2"/>
        </w:rPr>
        <w:t xml:space="preserve">was not ordinarily </w:t>
      </w:r>
      <w:r w:rsidR="00E277E4" w:rsidRPr="00364711">
        <w:rPr>
          <w:spacing w:val="-2"/>
        </w:rPr>
        <w:t xml:space="preserve">to </w:t>
      </w:r>
      <w:r w:rsidR="00815CA9" w:rsidRPr="00364711">
        <w:rPr>
          <w:spacing w:val="-2"/>
        </w:rPr>
        <w:t>be used that way</w:t>
      </w:r>
      <w:r w:rsidR="00F21B72" w:rsidRPr="00364711">
        <w:rPr>
          <w:spacing w:val="-2"/>
        </w:rPr>
        <w:t>,</w:t>
      </w:r>
      <w:r w:rsidR="00815CA9" w:rsidRPr="00364711">
        <w:rPr>
          <w:spacing w:val="-2"/>
        </w:rPr>
        <w:t xml:space="preserve"> were not </w:t>
      </w:r>
      <w:r w:rsidR="00E346C8" w:rsidRPr="00364711">
        <w:rPr>
          <w:spacing w:val="-2"/>
        </w:rPr>
        <w:t>(noting this use</w:t>
      </w:r>
      <w:r w:rsidR="003D3018" w:rsidRPr="00364711">
        <w:rPr>
          <w:spacing w:val="-2"/>
        </w:rPr>
        <w:t xml:space="preserve"> </w:t>
      </w:r>
      <w:r w:rsidR="00390A1E" w:rsidRPr="00364711">
        <w:rPr>
          <w:spacing w:val="-2"/>
        </w:rPr>
        <w:t xml:space="preserve">may </w:t>
      </w:r>
      <w:r w:rsidR="002B254B" w:rsidRPr="00364711">
        <w:rPr>
          <w:spacing w:val="-2"/>
        </w:rPr>
        <w:t>be captured by other</w:t>
      </w:r>
      <w:r w:rsidR="00E346C8" w:rsidRPr="00364711">
        <w:rPr>
          <w:spacing w:val="-2"/>
        </w:rPr>
        <w:t xml:space="preserve"> offences</w:t>
      </w:r>
      <w:r w:rsidR="002B254B" w:rsidRPr="00364711">
        <w:rPr>
          <w:spacing w:val="-2"/>
        </w:rPr>
        <w:t>)</w:t>
      </w:r>
      <w:r w:rsidR="00815CA9" w:rsidRPr="00364711">
        <w:rPr>
          <w:spacing w:val="-2"/>
        </w:rPr>
        <w:t>.</w:t>
      </w:r>
      <w:r w:rsidR="004C09D6" w:rsidRPr="00364711">
        <w:rPr>
          <w:spacing w:val="-2"/>
        </w:rPr>
        <w:t xml:space="preserve"> The definition </w:t>
      </w:r>
      <w:r w:rsidR="000B5B33" w:rsidRPr="00364711">
        <w:rPr>
          <w:spacing w:val="-2"/>
        </w:rPr>
        <w:t>also captures tools that modif</w:t>
      </w:r>
      <w:r w:rsidR="00740687">
        <w:rPr>
          <w:spacing w:val="-2"/>
        </w:rPr>
        <w:t>y</w:t>
      </w:r>
      <w:r w:rsidR="000B5B33" w:rsidRPr="00364711">
        <w:rPr>
          <w:spacing w:val="-2"/>
        </w:rPr>
        <w:t xml:space="preserve"> records that are used as inputs in making tax records, for example modifying individual sales records used to aggregate sales data.</w:t>
      </w:r>
    </w:p>
    <w:p w14:paraId="63637E42" w14:textId="2DFF4BA1" w:rsidR="00BB2BB0" w:rsidRDefault="00AE074A" w:rsidP="00435FE8">
      <w:pPr>
        <w:pStyle w:val="Heading2"/>
      </w:pPr>
      <w:bookmarkStart w:id="35" w:name="_Toc120009037"/>
      <w:r>
        <w:t>Offences</w:t>
      </w:r>
      <w:bookmarkEnd w:id="35"/>
    </w:p>
    <w:p w14:paraId="36053D99" w14:textId="1B0B253E" w:rsidR="0054457D" w:rsidRDefault="00435FE8" w:rsidP="00435FE8">
      <w:pPr>
        <w:pStyle w:val="Heading3"/>
      </w:pPr>
      <w:bookmarkStart w:id="36" w:name="_Ref118205540"/>
      <w:bookmarkStart w:id="37" w:name="_Toc120009038"/>
      <w:r>
        <w:t>Production and supply</w:t>
      </w:r>
      <w:bookmarkEnd w:id="36"/>
      <w:bookmarkEnd w:id="37"/>
    </w:p>
    <w:p w14:paraId="044BC3E2" w14:textId="5F311E95" w:rsidR="00060108" w:rsidRDefault="00852126" w:rsidP="00435FE8">
      <w:r>
        <w:t>Section</w:t>
      </w:r>
      <w:r w:rsidR="00063C56">
        <w:t> </w:t>
      </w:r>
      <w:r>
        <w:t xml:space="preserve">8WAC </w:t>
      </w:r>
      <w:r w:rsidR="00CC7E6A">
        <w:t>ma</w:t>
      </w:r>
      <w:r w:rsidR="00EA6C8D">
        <w:t>kes</w:t>
      </w:r>
      <w:r w:rsidR="00CC7E6A">
        <w:t xml:space="preserve"> it an offence to manufacture, develop, or publish an </w:t>
      </w:r>
      <w:r w:rsidR="00E64EDB">
        <w:t>ESST</w:t>
      </w:r>
      <w:r w:rsidR="00CC7E6A">
        <w:t xml:space="preserve">. </w:t>
      </w:r>
      <w:r w:rsidR="001A6A1C">
        <w:t>Given the definition o</w:t>
      </w:r>
      <w:r w:rsidR="0057025A">
        <w:t>f</w:t>
      </w:r>
      <w:r w:rsidR="001A6A1C">
        <w:t xml:space="preserve"> </w:t>
      </w:r>
      <w:r w:rsidR="008D2061">
        <w:t>ESST</w:t>
      </w:r>
      <w:r w:rsidR="001A6A1C">
        <w:t xml:space="preserve">, this </w:t>
      </w:r>
      <w:r w:rsidR="00DD34A9">
        <w:t xml:space="preserve">also </w:t>
      </w:r>
      <w:r w:rsidR="001A6A1C">
        <w:t xml:space="preserve">captures </w:t>
      </w:r>
      <w:r w:rsidR="00DD34A9">
        <w:t xml:space="preserve">the manufacture </w:t>
      </w:r>
      <w:r w:rsidR="00855391">
        <w:t xml:space="preserve">(etc) </w:t>
      </w:r>
      <w:r w:rsidR="00060108">
        <w:t>or enhancement, e.g. updating,</w:t>
      </w:r>
      <w:r w:rsidR="00DD34A9">
        <w:t xml:space="preserve"> of component parts of </w:t>
      </w:r>
      <w:r w:rsidR="008D2061">
        <w:t>ESST</w:t>
      </w:r>
      <w:r w:rsidR="00060108">
        <w:t xml:space="preserve">. </w:t>
      </w:r>
      <w:r w:rsidR="00EB0099">
        <w:t>The section</w:t>
      </w:r>
      <w:r w:rsidR="00060108">
        <w:t xml:space="preserve"> also </w:t>
      </w:r>
      <w:r w:rsidR="00EB0099">
        <w:t xml:space="preserve">makes it </w:t>
      </w:r>
      <w:r w:rsidR="00060108">
        <w:t>an offence to supply</w:t>
      </w:r>
      <w:r w:rsidR="00800227">
        <w:t xml:space="preserve">, make available for use, or provide a service involving the use of </w:t>
      </w:r>
      <w:r w:rsidR="008D2061">
        <w:t>ESST</w:t>
      </w:r>
      <w:r w:rsidR="00800227">
        <w:t xml:space="preserve">. This is intended to capture various actions </w:t>
      </w:r>
      <w:r w:rsidR="00E02503">
        <w:t xml:space="preserve">that </w:t>
      </w:r>
      <w:r w:rsidR="00800227">
        <w:t xml:space="preserve">facilitate the use of </w:t>
      </w:r>
      <w:r w:rsidR="008D2061">
        <w:t>ESST</w:t>
      </w:r>
      <w:r w:rsidR="00800227">
        <w:t xml:space="preserve"> (for example, to make </w:t>
      </w:r>
      <w:r w:rsidR="008D2061">
        <w:t>ESST</w:t>
      </w:r>
      <w:r w:rsidR="001A6A1C">
        <w:t xml:space="preserve"> available on a website as a </w:t>
      </w:r>
      <w:r w:rsidR="009B70C7">
        <w:t>‘</w:t>
      </w:r>
      <w:r w:rsidR="001A6A1C">
        <w:t>zapper</w:t>
      </w:r>
      <w:r w:rsidR="009B70C7">
        <w:t>’</w:t>
      </w:r>
      <w:r w:rsidR="0057025A">
        <w:t>)</w:t>
      </w:r>
      <w:r w:rsidR="001A6A1C">
        <w:t>.</w:t>
      </w:r>
    </w:p>
    <w:p w14:paraId="15A07F69" w14:textId="2F4200A8" w:rsidR="00435FE8" w:rsidRPr="005E1A06" w:rsidRDefault="00874458" w:rsidP="00435FE8">
      <w:r w:rsidRPr="008F5EAD">
        <w:t xml:space="preserve">The maximum penalty that can be imposed </w:t>
      </w:r>
      <w:r w:rsidR="00FD33A0">
        <w:t>for this offence</w:t>
      </w:r>
      <w:r w:rsidR="009B4436">
        <w:t xml:space="preserve"> is</w:t>
      </w:r>
      <w:r w:rsidRPr="008F5EAD">
        <w:t xml:space="preserve"> 5</w:t>
      </w:r>
      <w:r>
        <w:t>,0</w:t>
      </w:r>
      <w:r w:rsidRPr="008F5EAD">
        <w:t>00 penalty units. The</w:t>
      </w:r>
      <w:r w:rsidR="00A462D2">
        <w:t xml:space="preserve"> current</w:t>
      </w:r>
      <w:r w:rsidRPr="008F5EAD">
        <w:t xml:space="preserve"> </w:t>
      </w:r>
      <w:r w:rsidR="00E156CF">
        <w:t>value</w:t>
      </w:r>
      <w:r w:rsidR="005106BA">
        <w:t xml:space="preserve"> </w:t>
      </w:r>
      <w:r w:rsidRPr="008F5EAD">
        <w:t>of a penalty unit is set out in section</w:t>
      </w:r>
      <w:r w:rsidR="003417BE">
        <w:t> </w:t>
      </w:r>
      <w:r w:rsidRPr="008F5EAD">
        <w:t xml:space="preserve">4AA of the </w:t>
      </w:r>
      <w:r w:rsidRPr="005255E6">
        <w:rPr>
          <w:i/>
        </w:rPr>
        <w:t>Crimes Act</w:t>
      </w:r>
      <w:r w:rsidR="002102AC" w:rsidRPr="005255E6">
        <w:rPr>
          <w:i/>
        </w:rPr>
        <w:t> </w:t>
      </w:r>
      <w:r w:rsidRPr="005255E6">
        <w:rPr>
          <w:i/>
        </w:rPr>
        <w:t>1914</w:t>
      </w:r>
      <w:r w:rsidRPr="008F5EAD">
        <w:t>, as indexed</w:t>
      </w:r>
      <w:r>
        <w:t>, and</w:t>
      </w:r>
      <w:r w:rsidRPr="008F5EAD">
        <w:t xml:space="preserve"> </w:t>
      </w:r>
      <w:r w:rsidR="00A462D2">
        <w:t>is $222 per unit</w:t>
      </w:r>
      <w:r w:rsidR="008B576A">
        <w:t>;</w:t>
      </w:r>
      <w:r w:rsidR="00A462D2">
        <w:t xml:space="preserve"> however</w:t>
      </w:r>
      <w:r w:rsidR="008B576A">
        <w:t>, the</w:t>
      </w:r>
      <w:r w:rsidR="00A462D2">
        <w:t xml:space="preserve"> 2022</w:t>
      </w:r>
      <w:r w:rsidR="003C1BE6">
        <w:t>–</w:t>
      </w:r>
      <w:r w:rsidR="00A462D2">
        <w:t xml:space="preserve">23 </w:t>
      </w:r>
      <w:r w:rsidR="00CF434B">
        <w:t xml:space="preserve">October Budget </w:t>
      </w:r>
      <w:r w:rsidR="008B576A">
        <w:t xml:space="preserve">announced an </w:t>
      </w:r>
      <w:r w:rsidR="00CF434B">
        <w:t>increase</w:t>
      </w:r>
      <w:r w:rsidR="008B576A">
        <w:t xml:space="preserve"> </w:t>
      </w:r>
      <w:r w:rsidR="00CF434B">
        <w:t>to $275.</w:t>
      </w:r>
      <w:r w:rsidR="007D732E">
        <w:rPr>
          <w:rStyle w:val="FootnoteReference"/>
        </w:rPr>
        <w:footnoteReference w:id="13"/>
      </w:r>
      <w:r w:rsidR="00CF434B">
        <w:t xml:space="preserve"> </w:t>
      </w:r>
      <w:r w:rsidR="008B576A">
        <w:t>Using that amount</w:t>
      </w:r>
      <w:r w:rsidR="00034318">
        <w:t>, therefore, the maximum penalty under section 8WAC is $1,375,000.</w:t>
      </w:r>
      <w:r w:rsidRPr="008F5EAD">
        <w:t xml:space="preserve"> </w:t>
      </w:r>
      <w:r w:rsidR="005E1A06">
        <w:t xml:space="preserve">This is aligned with the maximum </w:t>
      </w:r>
      <w:r w:rsidR="00983E5C" w:rsidRPr="00EA5EC0">
        <w:t>penalty</w:t>
      </w:r>
      <w:r w:rsidR="00983E5C">
        <w:t xml:space="preserve"> </w:t>
      </w:r>
      <w:r w:rsidR="005E1A06">
        <w:t xml:space="preserve">for tax exploitation schemes under </w:t>
      </w:r>
      <w:r w:rsidR="002102AC">
        <w:t>Div </w:t>
      </w:r>
      <w:r w:rsidR="005E1A06">
        <w:t>290 of the TAA</w:t>
      </w:r>
      <w:r w:rsidR="002102AC">
        <w:t> </w:t>
      </w:r>
      <w:r w:rsidR="005E1A06">
        <w:t>1953</w:t>
      </w:r>
      <w:r w:rsidR="00115261">
        <w:t xml:space="preserve"> (for individuals</w:t>
      </w:r>
      <w:r w:rsidR="006237A6">
        <w:t xml:space="preserve">; the maximum for </w:t>
      </w:r>
      <w:r w:rsidR="006237A6">
        <w:lastRenderedPageBreak/>
        <w:t>companies is 25,000 penalty units, or $6,875,000</w:t>
      </w:r>
      <w:r w:rsidR="00115261">
        <w:t>)</w:t>
      </w:r>
      <w:r w:rsidR="005E1A06">
        <w:t>, and for breaches of directors</w:t>
      </w:r>
      <w:r w:rsidR="009B70C7">
        <w:t>’</w:t>
      </w:r>
      <w:r w:rsidR="005E1A06">
        <w:t xml:space="preserve"> duties under the </w:t>
      </w:r>
      <w:r w:rsidR="005E1A06" w:rsidRPr="005255E6">
        <w:rPr>
          <w:i/>
        </w:rPr>
        <w:t xml:space="preserve">Corporations </w:t>
      </w:r>
      <w:r w:rsidR="009F59F6" w:rsidRPr="005255E6">
        <w:rPr>
          <w:i/>
        </w:rPr>
        <w:t>Act </w:t>
      </w:r>
      <w:r w:rsidR="005E1A06" w:rsidRPr="005255E6">
        <w:rPr>
          <w:i/>
        </w:rPr>
        <w:t>2001</w:t>
      </w:r>
      <w:r w:rsidR="005E1A06">
        <w:t>.</w:t>
      </w:r>
    </w:p>
    <w:p w14:paraId="11B8BFCB" w14:textId="5B29FC92" w:rsidR="00C96532" w:rsidRDefault="00C96532" w:rsidP="00435FE8">
      <w:r>
        <w:t>The offence applies to persons or entities outside Australia if the ESST is used to modified records required to be kept under Australian law or supplied (etc) to an entity required to keep records under Australian law</w:t>
      </w:r>
      <w:r w:rsidR="008A47C4">
        <w:t xml:space="preserve">. For reasons discussed in this </w:t>
      </w:r>
      <w:r w:rsidR="008658CF">
        <w:t>Report</w:t>
      </w:r>
      <w:r w:rsidR="008A47C4">
        <w:t xml:space="preserve">, it is important for the ATO to </w:t>
      </w:r>
      <w:r w:rsidR="00F47740">
        <w:t xml:space="preserve">be able to </w:t>
      </w:r>
      <w:r w:rsidR="008A47C4">
        <w:t xml:space="preserve">trace </w:t>
      </w:r>
      <w:r w:rsidR="008D2061">
        <w:t>ESST</w:t>
      </w:r>
      <w:r w:rsidR="008A47C4">
        <w:t xml:space="preserve"> discovered back </w:t>
      </w:r>
      <w:r w:rsidR="009B70C7">
        <w:t>“</w:t>
      </w:r>
      <w:r w:rsidR="008A47C4">
        <w:t>to the source</w:t>
      </w:r>
      <w:r w:rsidR="009B70C7">
        <w:t>”</w:t>
      </w:r>
      <w:r w:rsidR="008A47C4">
        <w:t xml:space="preserve">, in order to identify and prosecute other users </w:t>
      </w:r>
      <w:r w:rsidR="00983E5C">
        <w:t>and/</w:t>
      </w:r>
      <w:r w:rsidR="008A47C4">
        <w:t>or notify OECD partners.</w:t>
      </w:r>
    </w:p>
    <w:p w14:paraId="17BEBC19" w14:textId="434F19D5" w:rsidR="00907D79" w:rsidRDefault="00907D79" w:rsidP="00435FE8">
      <w:r w:rsidRPr="00907D79">
        <w:t xml:space="preserve">Under the general criminal law (specifically section 12 of the </w:t>
      </w:r>
      <w:r w:rsidRPr="00EA5EC0">
        <w:t>Criminal Code</w:t>
      </w:r>
      <w:r w:rsidRPr="00907D79">
        <w:t>), someone who assists someone</w:t>
      </w:r>
      <w:r w:rsidR="00261F3E">
        <w:t xml:space="preserve"> else</w:t>
      </w:r>
      <w:r w:rsidRPr="00907D79">
        <w:t xml:space="preserve"> to </w:t>
      </w:r>
      <w:r>
        <w:t>commit the above offence themselves commits the offence.</w:t>
      </w:r>
    </w:p>
    <w:p w14:paraId="0F9B0582" w14:textId="2E92A17B" w:rsidR="00F7779E" w:rsidRDefault="00F7779E" w:rsidP="00F7779E">
      <w:r>
        <w:t xml:space="preserve">Strict liability applies to both offences. This means, in any prosecution, it is not necessary </w:t>
      </w:r>
      <w:r w:rsidR="008B54B0">
        <w:t xml:space="preserve">for the ATO </w:t>
      </w:r>
      <w:r>
        <w:t xml:space="preserve">to establish fault if a person has manufactured (etc) or supplied (etc) ESST or a component part, or knowledge about the intended falsifying or fraudulent use of the ESST or component part. </w:t>
      </w:r>
    </w:p>
    <w:p w14:paraId="30FEED00" w14:textId="72E86F0C" w:rsidR="00CC69A2" w:rsidRDefault="00E33CEE" w:rsidP="00E33CEE">
      <w:pPr>
        <w:pStyle w:val="Heading3"/>
      </w:pPr>
      <w:bookmarkStart w:id="38" w:name="_Toc120009039"/>
      <w:r>
        <w:t>Acquisition, Possession or Control</w:t>
      </w:r>
      <w:bookmarkEnd w:id="38"/>
    </w:p>
    <w:p w14:paraId="59F91093" w14:textId="3243F9D0" w:rsidR="00E33CEE" w:rsidRDefault="000A600D" w:rsidP="00E33CEE">
      <w:r>
        <w:t>Under section 8WA</w:t>
      </w:r>
      <w:r w:rsidR="00A2598A">
        <w:t>D</w:t>
      </w:r>
      <w:r>
        <w:t>, a person commits an offence i</w:t>
      </w:r>
      <w:r w:rsidR="00AD6DAD">
        <w:t>f</w:t>
      </w:r>
      <w:r>
        <w:t xml:space="preserve"> they</w:t>
      </w:r>
      <w:r w:rsidR="0012509F">
        <w:t xml:space="preserve"> both</w:t>
      </w:r>
      <w:r>
        <w:t>:</w:t>
      </w:r>
    </w:p>
    <w:p w14:paraId="036D3091" w14:textId="37A69229" w:rsidR="000A600D" w:rsidRDefault="0012509F" w:rsidP="009F7A0C">
      <w:pPr>
        <w:pStyle w:val="OutlineNumbered1"/>
      </w:pPr>
      <w:r>
        <w:t xml:space="preserve">are </w:t>
      </w:r>
      <w:r w:rsidR="000A600D" w:rsidRPr="000A600D">
        <w:t>required under, or pursuant to, a taxation law to keep or make a recor</w:t>
      </w:r>
      <w:r>
        <w:t>d; and</w:t>
      </w:r>
    </w:p>
    <w:p w14:paraId="10EFB7AA" w14:textId="59EE3F07" w:rsidR="000A600D" w:rsidRDefault="00C02843" w:rsidP="0087419B">
      <w:pPr>
        <w:pStyle w:val="OutlineNumbered1"/>
      </w:pPr>
      <w:r w:rsidRPr="00C02843">
        <w:t>acquire or ha</w:t>
      </w:r>
      <w:r w:rsidR="00401330">
        <w:t>ve</w:t>
      </w:r>
      <w:r w:rsidRPr="00C02843">
        <w:t xml:space="preserve"> possession or control of an </w:t>
      </w:r>
      <w:r w:rsidR="00C652C0">
        <w:t>ESST</w:t>
      </w:r>
      <w:r w:rsidRPr="00C02843">
        <w:t xml:space="preserve"> or </w:t>
      </w:r>
      <w:r w:rsidR="00401330">
        <w:t xml:space="preserve">have </w:t>
      </w:r>
      <w:r w:rsidRPr="00C02843">
        <w:t xml:space="preserve">a right to use </w:t>
      </w:r>
      <w:r w:rsidR="00C652C0">
        <w:t>one.</w:t>
      </w:r>
    </w:p>
    <w:p w14:paraId="2C06118A" w14:textId="37E13A4F" w:rsidR="0087419B" w:rsidRDefault="0087419B" w:rsidP="00C652C0">
      <w:r>
        <w:t xml:space="preserve">For (1) above, </w:t>
      </w:r>
      <w:r w:rsidR="009B70C7">
        <w:t>“</w:t>
      </w:r>
      <w:r w:rsidR="00FD74FC">
        <w:t>taxation law</w:t>
      </w:r>
      <w:r w:rsidR="009B70C7">
        <w:t>”</w:t>
      </w:r>
      <w:r w:rsidR="00FD74FC">
        <w:t xml:space="preserve"> </w:t>
      </w:r>
      <w:r w:rsidR="00F126F3">
        <w:t>means under the TAA</w:t>
      </w:r>
      <w:r w:rsidR="003417BE">
        <w:t> </w:t>
      </w:r>
      <w:r w:rsidR="00F126F3">
        <w:t>1953</w:t>
      </w:r>
      <w:r w:rsidR="00FD74FC">
        <w:t xml:space="preserve"> any law that the ATO has general administration of, with the exception of excise laws</w:t>
      </w:r>
      <w:r w:rsidR="00F126F3">
        <w:t xml:space="preserve"> (as excise is levied at the point of manufacture and distribution, not sale).</w:t>
      </w:r>
    </w:p>
    <w:p w14:paraId="7AE515F2" w14:textId="07892655" w:rsidR="008F5EAD" w:rsidRPr="009F7A0C" w:rsidRDefault="008F5EAD" w:rsidP="008F5EAD">
      <w:r w:rsidRPr="008F5EAD">
        <w:t xml:space="preserve">The maximum penalty that can be imposed is 500 penalty units. </w:t>
      </w:r>
      <w:r w:rsidR="00D06D40">
        <w:t>The maximum</w:t>
      </w:r>
      <w:r w:rsidR="001A2260">
        <w:t xml:space="preserve"> penalty is lower </w:t>
      </w:r>
      <w:r w:rsidR="00895B22">
        <w:t xml:space="preserve">for this offence </w:t>
      </w:r>
      <w:r w:rsidR="00D06D40">
        <w:t>than for</w:t>
      </w:r>
      <w:r w:rsidR="001A2260">
        <w:t xml:space="preserve"> production and supply </w:t>
      </w:r>
      <w:r w:rsidR="00D06D40">
        <w:t xml:space="preserve">as the latter </w:t>
      </w:r>
      <w:r w:rsidR="00AE1086">
        <w:t>facilitates</w:t>
      </w:r>
      <w:r w:rsidR="00895B22">
        <w:t xml:space="preserve"> the commission of multiple offences.</w:t>
      </w:r>
    </w:p>
    <w:p w14:paraId="189D3F28" w14:textId="77777777" w:rsidR="00CC26BB" w:rsidRDefault="009D4675" w:rsidP="009D4675">
      <w:r>
        <w:t xml:space="preserve">As with the production and supply offences, someone who assists someone else to commit this offence themselves commits the offence. </w:t>
      </w:r>
    </w:p>
    <w:p w14:paraId="6EBC762C" w14:textId="5FF36CAE" w:rsidR="009D4675" w:rsidRDefault="009D4675" w:rsidP="009D4675">
      <w:r>
        <w:t>Strict liability also applies to this offence.</w:t>
      </w:r>
    </w:p>
    <w:p w14:paraId="61803266" w14:textId="768E695E" w:rsidR="00E33CEE" w:rsidRDefault="00E33CEE" w:rsidP="00E33CEE">
      <w:pPr>
        <w:pStyle w:val="Heading3"/>
      </w:pPr>
      <w:bookmarkStart w:id="39" w:name="_Toc120009040"/>
      <w:r>
        <w:t>Use</w:t>
      </w:r>
      <w:bookmarkEnd w:id="39"/>
    </w:p>
    <w:p w14:paraId="506D23E6" w14:textId="3C254E95" w:rsidR="009C50D0" w:rsidRDefault="001563FE" w:rsidP="009C50D0">
      <w:r>
        <w:t>Section 8WAE makes it an offence where:</w:t>
      </w:r>
    </w:p>
    <w:p w14:paraId="266DD680" w14:textId="64D3A6FE" w:rsidR="001563FE" w:rsidRDefault="001563FE" w:rsidP="003C1BE6">
      <w:pPr>
        <w:pStyle w:val="OutlineNumbered1"/>
        <w:numPr>
          <w:ilvl w:val="0"/>
          <w:numId w:val="34"/>
        </w:numPr>
      </w:pPr>
      <w:r>
        <w:t xml:space="preserve">a person is required under, or pursuant to, a taxation law to </w:t>
      </w:r>
      <w:r w:rsidRPr="003C1BE6">
        <w:t>keep</w:t>
      </w:r>
      <w:r>
        <w:t xml:space="preserve"> or make a record; and</w:t>
      </w:r>
    </w:p>
    <w:p w14:paraId="5ECABE18" w14:textId="2D8B2BD5" w:rsidR="001563FE" w:rsidRDefault="001563FE" w:rsidP="003C1BE6">
      <w:pPr>
        <w:pStyle w:val="OutlineNumbered1"/>
      </w:pPr>
      <w:r>
        <w:t xml:space="preserve">the record is kept, </w:t>
      </w:r>
      <w:r w:rsidRPr="003C1BE6">
        <w:t>made</w:t>
      </w:r>
      <w:r>
        <w:t xml:space="preserve"> or altered with the use of an ESST, or is prevented by the use of an ESST from being kept, made or altered; and</w:t>
      </w:r>
    </w:p>
    <w:p w14:paraId="7E447EB8" w14:textId="298C22C9" w:rsidR="001563FE" w:rsidRDefault="001563FE" w:rsidP="003C1BE6">
      <w:pPr>
        <w:pStyle w:val="OutlineNumbered1"/>
      </w:pPr>
      <w:r>
        <w:t xml:space="preserve">as a result of the use, the record does not correctly record and explain the matter, transaction, act or </w:t>
      </w:r>
      <w:r w:rsidRPr="003C1BE6">
        <w:t>operation</w:t>
      </w:r>
      <w:r>
        <w:t xml:space="preserve"> to which it relates; or the person does not keep or make the record in accordance with the taxation law.</w:t>
      </w:r>
    </w:p>
    <w:p w14:paraId="1D50E2F2" w14:textId="1193D903" w:rsidR="00F70A66" w:rsidRDefault="00F70A66" w:rsidP="001563FE">
      <w:r>
        <w:t xml:space="preserve">As the EM explains, this offence is designed so that someone else other than the person who is required to keep records </w:t>
      </w:r>
      <w:r w:rsidR="00233BE1">
        <w:t xml:space="preserve">under a taxation law </w:t>
      </w:r>
      <w:r>
        <w:t xml:space="preserve">can be the one who actually used the tool to falsify those records. For example, a </w:t>
      </w:r>
      <w:r w:rsidR="00233BE1">
        <w:t xml:space="preserve">company under an obligation </w:t>
      </w:r>
      <w:r>
        <w:t xml:space="preserve">to keep the records could be charged even if an employee or third party actually caused the tool to falsify the records (although that employee or third party </w:t>
      </w:r>
      <w:r w:rsidR="002F2BD5">
        <w:t>may be captured as well</w:t>
      </w:r>
      <w:r>
        <w:t>).</w:t>
      </w:r>
    </w:p>
    <w:p w14:paraId="001F4C0B" w14:textId="48C8B306" w:rsidR="001563FE" w:rsidRDefault="001563FE" w:rsidP="001563FE">
      <w:r>
        <w:t>As noted above</w:t>
      </w:r>
      <w:r w:rsidR="00CF736B">
        <w:t xml:space="preserve"> concerning acquisition, possession or control</w:t>
      </w:r>
      <w:r>
        <w:t xml:space="preserve">, </w:t>
      </w:r>
      <w:r w:rsidR="009B70C7">
        <w:t>“</w:t>
      </w:r>
      <w:r w:rsidRPr="001563FE">
        <w:t>taxation law</w:t>
      </w:r>
      <w:r w:rsidR="009B70C7">
        <w:t>”</w:t>
      </w:r>
      <w:r w:rsidRPr="001563FE">
        <w:t xml:space="preserve"> means under the TAA</w:t>
      </w:r>
      <w:r w:rsidR="00E93AA4">
        <w:t> </w:t>
      </w:r>
      <w:r w:rsidRPr="001563FE">
        <w:t>1953 any law that the ATO has general administration of, with the exception of excise laws.</w:t>
      </w:r>
    </w:p>
    <w:p w14:paraId="1EAB0000" w14:textId="695B080A" w:rsidR="002A2888" w:rsidRDefault="002A2888" w:rsidP="002A2888">
      <w:r w:rsidRPr="008F5EAD">
        <w:lastRenderedPageBreak/>
        <w:t xml:space="preserve">The maximum penalty that can be imposed is </w:t>
      </w:r>
      <w:r>
        <w:t>1,000</w:t>
      </w:r>
      <w:r w:rsidRPr="008F5EAD">
        <w:t xml:space="preserve"> penalty units. </w:t>
      </w:r>
      <w:r w:rsidR="00E12673">
        <w:t>This is higher than the acquisition, possession or control offence above as this offence involves actual use of ESSTs to falsify tax records.</w:t>
      </w:r>
    </w:p>
    <w:p w14:paraId="53F21C6C" w14:textId="7473BE18" w:rsidR="00D459FC" w:rsidRDefault="00D459FC" w:rsidP="00D459FC">
      <w:pPr>
        <w:rPr>
          <w:b/>
        </w:rPr>
      </w:pPr>
      <w:r>
        <w:t>This offence operates alongside other general offences in the TAA 1953, including sections 8L, 8Q, 8T and section</w:t>
      </w:r>
      <w:r w:rsidR="00E93AA4">
        <w:t> </w:t>
      </w:r>
      <w:r>
        <w:t>382</w:t>
      </w:r>
      <w:r w:rsidR="003C1BE6">
        <w:noBreakHyphen/>
      </w:r>
      <w:r>
        <w:t>5 in Schedule</w:t>
      </w:r>
      <w:r w:rsidR="00E93AA4">
        <w:t> </w:t>
      </w:r>
      <w:r>
        <w:t>1, but with a higher maximum penalty</w:t>
      </w:r>
      <w:r w:rsidR="00AC7463">
        <w:t xml:space="preserve">. This better </w:t>
      </w:r>
      <w:r>
        <w:t>reflect</w:t>
      </w:r>
      <w:r w:rsidR="00AC7463">
        <w:t>s</w:t>
      </w:r>
      <w:r>
        <w:t xml:space="preserve"> the seriousness of using software designed to falsify tax records and to supply an increased deterrent effect against acquiring, possessing and using these tools.</w:t>
      </w:r>
    </w:p>
    <w:p w14:paraId="5E6122B6" w14:textId="4E8530CD" w:rsidR="00D459FC" w:rsidRDefault="00D459FC" w:rsidP="00D459FC">
      <w:r>
        <w:t xml:space="preserve">As with the other above offences, someone who assists someone else to commit this offence themselves commits the offence. </w:t>
      </w:r>
    </w:p>
    <w:p w14:paraId="66AE0203" w14:textId="6420865A" w:rsidR="007D2EA8" w:rsidRDefault="007D2EA8" w:rsidP="00D459FC">
      <w:r>
        <w:t>Strict liability also applies to this offence.</w:t>
      </w:r>
    </w:p>
    <w:p w14:paraId="3AB3F616" w14:textId="0876AB67" w:rsidR="00AE074A" w:rsidRDefault="00F61F93" w:rsidP="00E33CEE">
      <w:pPr>
        <w:pStyle w:val="Heading2"/>
      </w:pPr>
      <w:bookmarkStart w:id="40" w:name="_Toc120009041"/>
      <w:r>
        <w:t>Defences</w:t>
      </w:r>
      <w:bookmarkEnd w:id="40"/>
    </w:p>
    <w:p w14:paraId="62C528F4" w14:textId="102DB719" w:rsidR="0089239D" w:rsidRDefault="00323505" w:rsidP="004253E0">
      <w:r>
        <w:t xml:space="preserve">As noted above, all </w:t>
      </w:r>
      <w:r w:rsidR="00FB5EEB">
        <w:t>the</w:t>
      </w:r>
      <w:r>
        <w:t>se</w:t>
      </w:r>
      <w:r w:rsidR="00FB5EEB">
        <w:t xml:space="preserve"> offences are strict liability offences. This means that </w:t>
      </w:r>
      <w:r w:rsidR="00584141">
        <w:t>it is not necessary for the prosecution to establish fault (intention, knowledge, recklessness, negligence, or otherwise)</w:t>
      </w:r>
      <w:r w:rsidR="00996A92">
        <w:t xml:space="preserve"> – for example, that a person knew that tax records that they </w:t>
      </w:r>
      <w:r w:rsidR="008A4FAB">
        <w:t xml:space="preserve">were required to keep had been modified </w:t>
      </w:r>
      <w:r w:rsidR="00C75D3C">
        <w:t xml:space="preserve">with an ESST </w:t>
      </w:r>
      <w:r w:rsidR="008A4FAB">
        <w:t>by someone else.</w:t>
      </w:r>
    </w:p>
    <w:p w14:paraId="04A7E68A" w14:textId="2F88A7E3" w:rsidR="008E3D1A" w:rsidRDefault="00C75D3C" w:rsidP="00C75D3C">
      <w:r>
        <w:t xml:space="preserve">However, a person would not be criminally responsible if they were able to prove an honest mistake of fact under section 9.2 of the </w:t>
      </w:r>
      <w:r w:rsidRPr="00EA5EC0">
        <w:t>Criminal Code</w:t>
      </w:r>
      <w:r w:rsidR="007E5F8C">
        <w:t>. This would include (section</w:t>
      </w:r>
      <w:r w:rsidR="005215A0">
        <w:t> </w:t>
      </w:r>
      <w:r w:rsidR="007E5F8C">
        <w:t>9.2(1)</w:t>
      </w:r>
      <w:r w:rsidR="00303569">
        <w:t>)</w:t>
      </w:r>
      <w:r>
        <w:t xml:space="preserve"> </w:t>
      </w:r>
      <w:r w:rsidR="005215A0">
        <w:t>where</w:t>
      </w:r>
      <w:r>
        <w:t xml:space="preserve"> although they were in fact obliged by a taxation law to keep tax records and they physically possessed an ESST (for example, for the purposes of </w:t>
      </w:r>
      <w:r w:rsidR="002B7BF5">
        <w:t>section 8WAD)</w:t>
      </w:r>
      <w:r>
        <w:t>, they had considered whether or not this was the case, and were under a mistake</w:t>
      </w:r>
      <w:r w:rsidR="002B7BF5">
        <w:t>n but reasonable belief that either of those facts weren</w:t>
      </w:r>
      <w:r w:rsidR="009B70C7">
        <w:t>’</w:t>
      </w:r>
      <w:r w:rsidR="002B7BF5">
        <w:t>t the case (in this example, either possessing an ESST or being obliged to keep records).</w:t>
      </w:r>
    </w:p>
    <w:p w14:paraId="320ED2BD" w14:textId="60B729E8" w:rsidR="00DE1547" w:rsidRDefault="00F56280" w:rsidP="00C75D3C">
      <w:r>
        <w:t>There is also a</w:t>
      </w:r>
      <w:r w:rsidR="008E3D1A" w:rsidRPr="008E3D1A">
        <w:t xml:space="preserve"> defence intended to </w:t>
      </w:r>
      <w:r w:rsidR="00D4731F">
        <w:t>apply</w:t>
      </w:r>
      <w:r w:rsidR="008E3D1A" w:rsidRPr="008E3D1A">
        <w:t xml:space="preserve"> where</w:t>
      </w:r>
      <w:r w:rsidR="008E3D1A">
        <w:t>, for example,</w:t>
      </w:r>
      <w:r w:rsidR="008E3D1A" w:rsidRPr="008E3D1A">
        <w:t xml:space="preserve"> a person had reasonably thought their recordkeeping was correct (for instance, following a recent audit of their computer software) but</w:t>
      </w:r>
      <w:r w:rsidR="00EA5EC0">
        <w:t xml:space="preserve"> it</w:t>
      </w:r>
      <w:r w:rsidR="008E3D1A" w:rsidRPr="008E3D1A">
        <w:t xml:space="preserve"> was ultimately incorrect due to events </w:t>
      </w:r>
      <w:r w:rsidR="00AE1086" w:rsidRPr="008E3D1A">
        <w:t>occurring</w:t>
      </w:r>
      <w:r w:rsidR="008E3D1A" w:rsidRPr="008E3D1A">
        <w:t xml:space="preserve"> without their knowledge (such as an employee installing ESST) and there was no reason to believe</w:t>
      </w:r>
      <w:r w:rsidR="00ED4631">
        <w:t xml:space="preserve">, </w:t>
      </w:r>
      <w:r w:rsidR="008E3D1A" w:rsidRPr="008E3D1A">
        <w:t>and nothing to suggest</w:t>
      </w:r>
      <w:r w:rsidR="00ED4631">
        <w:t>,</w:t>
      </w:r>
      <w:r w:rsidR="008E3D1A" w:rsidRPr="008E3D1A">
        <w:t xml:space="preserve"> that things had changed since the audit (for instance, the business</w:t>
      </w:r>
      <w:r w:rsidR="009B70C7">
        <w:t>’</w:t>
      </w:r>
      <w:r w:rsidR="008E3D1A" w:rsidRPr="008E3D1A">
        <w:t xml:space="preserve"> accounts seemed consistent with real activity).</w:t>
      </w:r>
      <w:r w:rsidR="008E3D1A">
        <w:t xml:space="preserve"> This is because </w:t>
      </w:r>
      <w:r w:rsidR="00AA66EA">
        <w:t xml:space="preserve">of the </w:t>
      </w:r>
      <w:r w:rsidR="008E3D1A">
        <w:t xml:space="preserve">general defence in </w:t>
      </w:r>
      <w:r w:rsidR="00AA66EA">
        <w:t>section 9.2(</w:t>
      </w:r>
      <w:r w:rsidR="0034245D">
        <w:t>2</w:t>
      </w:r>
      <w:r w:rsidR="00AA66EA">
        <w:t>) of the</w:t>
      </w:r>
      <w:r w:rsidR="008E3D1A">
        <w:t xml:space="preserve"> Criminal Code where</w:t>
      </w:r>
      <w:r w:rsidR="00007839">
        <w:t>, in brief,</w:t>
      </w:r>
      <w:r w:rsidR="008E3D1A">
        <w:t xml:space="preserve"> someone considered circumstances earlier, and thought wrongly that circumstances were the same when the underlying offending occurred.</w:t>
      </w:r>
    </w:p>
    <w:p w14:paraId="0C4EF16C" w14:textId="5612C39E" w:rsidR="002F604C" w:rsidRDefault="002F604C" w:rsidP="00C75D3C">
      <w:r>
        <w:t xml:space="preserve">There are also specific defences against the production, supply or possession offences where the underlying conduct was done for the purpose of preventing or deterring tax evasion or for the enforcing </w:t>
      </w:r>
      <w:r w:rsidR="00740687">
        <w:t xml:space="preserve">of </w:t>
      </w:r>
      <w:r>
        <w:t xml:space="preserve">a taxation law. This is intended to capture where, for example, a third party software developer develops and supplies ESST solely for </w:t>
      </w:r>
      <w:r w:rsidR="002A3987">
        <w:t>law enforcement to use</w:t>
      </w:r>
      <w:r>
        <w:t xml:space="preserve"> for training exercises.</w:t>
      </w:r>
    </w:p>
    <w:p w14:paraId="146FB387" w14:textId="6E83C764" w:rsidR="00BB2BB0" w:rsidRDefault="004248E7" w:rsidP="00E33CEE">
      <w:pPr>
        <w:pStyle w:val="Heading2"/>
      </w:pPr>
      <w:bookmarkStart w:id="41" w:name="_Toc120009042"/>
      <w:r>
        <w:t xml:space="preserve">Civil </w:t>
      </w:r>
      <w:r w:rsidR="000E5ED0">
        <w:t>p</w:t>
      </w:r>
      <w:r>
        <w:t>enalties</w:t>
      </w:r>
      <w:bookmarkEnd w:id="41"/>
    </w:p>
    <w:p w14:paraId="50853E63" w14:textId="6D85EF75" w:rsidR="004862FA" w:rsidRDefault="004862FA" w:rsidP="004862FA">
      <w:r>
        <w:t xml:space="preserve">The Act also added administrative penalties </w:t>
      </w:r>
      <w:r w:rsidR="00A53E38">
        <w:t>that parallel the above offences</w:t>
      </w:r>
      <w:r w:rsidR="00553596">
        <w:t xml:space="preserve">, </w:t>
      </w:r>
      <w:r w:rsidR="008B05E2">
        <w:t>specifically applying</w:t>
      </w:r>
      <w:r w:rsidR="00553596">
        <w:t xml:space="preserve"> where people:</w:t>
      </w:r>
    </w:p>
    <w:p w14:paraId="40AD1164" w14:textId="2AB2670B" w:rsidR="00553596" w:rsidRDefault="00994CD8" w:rsidP="00553596">
      <w:pPr>
        <w:pStyle w:val="OutlineNumbered1"/>
        <w:numPr>
          <w:ilvl w:val="0"/>
          <w:numId w:val="31"/>
        </w:numPr>
      </w:pPr>
      <w:r>
        <w:t>manufacture, develop or publish ESSTs or supply or make tools or services involving those tools</w:t>
      </w:r>
      <w:r w:rsidR="00661A62">
        <w:t xml:space="preserve"> (</w:t>
      </w:r>
      <w:r w:rsidR="00A719AA">
        <w:t>up</w:t>
      </w:r>
      <w:r w:rsidR="001833D7">
        <w:t xml:space="preserve"> to</w:t>
      </w:r>
      <w:r w:rsidR="00A719AA">
        <w:t xml:space="preserve"> </w:t>
      </w:r>
      <w:r w:rsidR="00661A62">
        <w:t>60 penalty units</w:t>
      </w:r>
      <w:r w:rsidR="00A719AA">
        <w:t>, or $</w:t>
      </w:r>
      <w:r w:rsidR="00F6719B">
        <w:t>16,500</w:t>
      </w:r>
      <w:r w:rsidR="00A719AA">
        <w:t xml:space="preserve"> at </w:t>
      </w:r>
      <w:r w:rsidR="003A64CC">
        <w:t>1 January</w:t>
      </w:r>
      <w:r w:rsidR="00B451AF">
        <w:t> </w:t>
      </w:r>
      <w:r w:rsidR="003A64CC">
        <w:t>2023</w:t>
      </w:r>
      <w:r w:rsidR="00661A62">
        <w:t>)</w:t>
      </w:r>
    </w:p>
    <w:p w14:paraId="634DC364" w14:textId="33E6BCD2" w:rsidR="00994CD8" w:rsidRDefault="00994CD8" w:rsidP="00A719AA">
      <w:pPr>
        <w:pStyle w:val="OutlineNumbered1"/>
        <w:numPr>
          <w:ilvl w:val="0"/>
          <w:numId w:val="31"/>
        </w:numPr>
      </w:pPr>
      <w:r>
        <w:t>are required to keep records under a taxation law</w:t>
      </w:r>
      <w:r w:rsidR="00C31B43">
        <w:t>,</w:t>
      </w:r>
      <w:r>
        <w:t xml:space="preserve"> and </w:t>
      </w:r>
      <w:r w:rsidR="00A719AA">
        <w:t xml:space="preserve">either </w:t>
      </w:r>
      <w:r>
        <w:t>acquire, possess or control an ESST</w:t>
      </w:r>
      <w:r w:rsidR="00661A62">
        <w:t xml:space="preserve"> (</w:t>
      </w:r>
      <w:r w:rsidR="001833D7">
        <w:t xml:space="preserve">up to </w:t>
      </w:r>
      <w:r w:rsidR="00661A62">
        <w:t>30 penalty units</w:t>
      </w:r>
      <w:r w:rsidR="001833D7">
        <w:t>, or $</w:t>
      </w:r>
      <w:r w:rsidR="00A06231">
        <w:t>8,250</w:t>
      </w:r>
      <w:r w:rsidR="001833D7">
        <w:t xml:space="preserve"> at </w:t>
      </w:r>
      <w:r w:rsidR="003A64CC">
        <w:t>1</w:t>
      </w:r>
      <w:r w:rsidR="00B451AF">
        <w:t> </w:t>
      </w:r>
      <w:r w:rsidR="003A64CC">
        <w:t>January 2023</w:t>
      </w:r>
      <w:r w:rsidR="00661A62">
        <w:t>)</w:t>
      </w:r>
      <w:r w:rsidR="00A719AA">
        <w:t xml:space="preserve"> or keep, make or alter such a record with the use of an ESST in a way that results in the record being incorrectly kept or not being made or kept (</w:t>
      </w:r>
      <w:r w:rsidR="0069020E">
        <w:t xml:space="preserve">up to </w:t>
      </w:r>
      <w:r w:rsidR="00A719AA">
        <w:t>60 penalty units</w:t>
      </w:r>
      <w:r w:rsidR="0069020E">
        <w:t>, or $</w:t>
      </w:r>
      <w:r w:rsidR="00E353F2">
        <w:t>16,500</w:t>
      </w:r>
      <w:r w:rsidR="0069020E">
        <w:t xml:space="preserve"> at </w:t>
      </w:r>
      <w:r w:rsidR="000173A4" w:rsidRPr="000173A4">
        <w:t>1</w:t>
      </w:r>
      <w:r w:rsidR="000173A4">
        <w:t> </w:t>
      </w:r>
      <w:r w:rsidR="000173A4" w:rsidRPr="000173A4">
        <w:t>January</w:t>
      </w:r>
      <w:r w:rsidR="000173A4">
        <w:t> </w:t>
      </w:r>
      <w:r w:rsidR="000173A4" w:rsidRPr="000173A4">
        <w:t>2023</w:t>
      </w:r>
      <w:r w:rsidR="00A719AA">
        <w:t>).</w:t>
      </w:r>
    </w:p>
    <w:p w14:paraId="0F9ACC50" w14:textId="5D7C9799" w:rsidR="00D73A39" w:rsidRDefault="00D73A39">
      <w:r>
        <w:lastRenderedPageBreak/>
        <w:t xml:space="preserve">Section 8ZE of the TAA 1953 applies to these penalties such that if </w:t>
      </w:r>
      <w:r w:rsidR="003203DE">
        <w:t>a</w:t>
      </w:r>
      <w:r>
        <w:t xml:space="preserve"> criminal prosecution commences in respect of the underlying conduct, these penalties can be applied. </w:t>
      </w:r>
    </w:p>
    <w:p w14:paraId="43238488" w14:textId="4445A314" w:rsidR="00994CD8" w:rsidRDefault="00C31B43" w:rsidP="00C31B43">
      <w:r>
        <w:t>These penalties are higher than pre</w:t>
      </w:r>
      <w:r w:rsidR="003C1BE6">
        <w:noBreakHyphen/>
      </w:r>
      <w:r>
        <w:t>existing penalty units that continue to operate alongside the above. The maximum penalty unit for these was only 20 penalty units (only $</w:t>
      </w:r>
      <w:r w:rsidR="009C1E93">
        <w:t>5,500</w:t>
      </w:r>
      <w:r>
        <w:t xml:space="preserve"> at </w:t>
      </w:r>
      <w:r w:rsidR="009C1E93">
        <w:t>1 January 2023</w:t>
      </w:r>
      <w:r>
        <w:t xml:space="preserve">), which for the reasons above did not provide sufficient deterrent effect. </w:t>
      </w:r>
    </w:p>
    <w:p w14:paraId="2905B39D" w14:textId="217A57D4" w:rsidR="00EE15FE" w:rsidRDefault="00D50AAE" w:rsidP="00C31B43">
      <w:r>
        <w:t xml:space="preserve">The above defence in relation to preventing or deterring tax evasion or enforcing a taxation law </w:t>
      </w:r>
      <w:r w:rsidR="00B251C5">
        <w:t xml:space="preserve">also </w:t>
      </w:r>
      <w:r>
        <w:t>appl</w:t>
      </w:r>
      <w:r w:rsidR="00B251C5">
        <w:t>ies to these penalties</w:t>
      </w:r>
      <w:r w:rsidR="00E913E6">
        <w:t>.</w:t>
      </w:r>
      <w:r w:rsidR="00B251C5">
        <w:t xml:space="preserve"> There is no defence of honest mistake of fact as with the criminal offences, however the ATO </w:t>
      </w:r>
      <w:r w:rsidR="00525236">
        <w:t>has a general discretion not to impose penalties in these cases</w:t>
      </w:r>
      <w:r w:rsidR="00E913E6">
        <w:t>.</w:t>
      </w:r>
    </w:p>
    <w:p w14:paraId="240D444A" w14:textId="4429ACBF" w:rsidR="000014F4" w:rsidRDefault="000014F4" w:rsidP="00C31B43">
      <w:r>
        <w:t>Penalties can also apply to aiding, abetting, or counselling another entity in undertaking conduct that would result in an administrative penalty for the production, supply, possession or use of an ESST</w:t>
      </w:r>
      <w:r w:rsidR="007D2EA8">
        <w:t xml:space="preserve">, in a way analogous to </w:t>
      </w:r>
      <w:r w:rsidR="00F7779E">
        <w:t>how people assisting others to commit the criminal offences can themselves be liable for those criminal offences.</w:t>
      </w:r>
    </w:p>
    <w:p w14:paraId="0DD4E9FD" w14:textId="27FDB982" w:rsidR="00920093" w:rsidRDefault="00920093" w:rsidP="00920093">
      <w:pPr>
        <w:pStyle w:val="Heading2"/>
      </w:pPr>
      <w:bookmarkStart w:id="42" w:name="_Toc120009043"/>
      <w:r>
        <w:t>Transitional provisions</w:t>
      </w:r>
      <w:bookmarkEnd w:id="42"/>
    </w:p>
    <w:p w14:paraId="379FA21E" w14:textId="6D8823D3" w:rsidR="008A5571" w:rsidRPr="00364711" w:rsidRDefault="00920093" w:rsidP="00364711">
      <w:r w:rsidRPr="00364711">
        <w:t xml:space="preserve">The Act contained transitional provisions to provide persons the opportunity to avoid liability for these offences and administrative penalties if they notified the ATO that they had an ESST as soon as practicable after the Act commenced </w:t>
      </w:r>
      <w:r w:rsidR="00D34404" w:rsidRPr="00364711">
        <w:t xml:space="preserve">and complied with any ATO direction about how to deal with the tool. </w:t>
      </w:r>
    </w:p>
    <w:p w14:paraId="064CC64D" w14:textId="307D26E4" w:rsidR="00E913E6" w:rsidRPr="004862FA" w:rsidRDefault="00D34404" w:rsidP="00C31B43">
      <w:r>
        <w:t>These people may have been liable for any previous offending against pre</w:t>
      </w:r>
      <w:r w:rsidR="003C1BE6">
        <w:noBreakHyphen/>
      </w:r>
      <w:r>
        <w:t>existing offence provisions; these transitional provisions were only intended to provide an opportunity to avoid liability under the new offences and penalties if they took reasonable steps after the measure was announced in the 2017</w:t>
      </w:r>
      <w:r w:rsidR="003C1BE6">
        <w:t>–</w:t>
      </w:r>
      <w:r>
        <w:t>18 Budget.</w:t>
      </w:r>
    </w:p>
    <w:sectPr w:rsidR="00E913E6" w:rsidRPr="004862FA" w:rsidSect="00295B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E897" w14:textId="77777777" w:rsidR="003C35BE" w:rsidRDefault="003C35BE">
      <w:pPr>
        <w:spacing w:before="0" w:after="0"/>
      </w:pPr>
      <w:r>
        <w:separator/>
      </w:r>
    </w:p>
  </w:endnote>
  <w:endnote w:type="continuationSeparator" w:id="0">
    <w:p w14:paraId="500F41E8" w14:textId="77777777" w:rsidR="003C35BE" w:rsidRDefault="003C35BE">
      <w:pPr>
        <w:spacing w:before="0" w:after="0"/>
      </w:pPr>
      <w:r>
        <w:continuationSeparator/>
      </w:r>
    </w:p>
  </w:endnote>
  <w:endnote w:type="continuationNotice" w:id="1">
    <w:p w14:paraId="2A6CEA13" w14:textId="77777777" w:rsidR="003C35BE" w:rsidRDefault="003C35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C8AC" w14:textId="1215FD1F" w:rsidR="0070176F" w:rsidRPr="00BC6E69" w:rsidRDefault="0070176F" w:rsidP="00EF03E1">
    <w:pPr>
      <w:pStyle w:val="FooterEven"/>
      <w:tabs>
        <w:tab w:val="center" w:pos="9072"/>
      </w:tabs>
      <w:jc w:val="both"/>
      <w:rPr>
        <w:b/>
        <w:bCs/>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DF3793">
        <w:t>Contents</w:t>
      </w:r>
    </w:fldSimple>
    <w:r>
      <w:tab/>
    </w:r>
    <w:r w:rsidRPr="00EF03E1">
      <w:rPr>
        <w:position w:val="-10"/>
      </w:rPr>
      <w:drawing>
        <wp:inline distT="0" distB="0" distL="0" distR="0" wp14:anchorId="62483C2F" wp14:editId="0839BEC7">
          <wp:extent cx="1324800" cy="201600"/>
          <wp:effectExtent l="0" t="0" r="0" b="8255"/>
          <wp:docPr id="34" name="Picture 3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p w14:paraId="28ECA7ED" w14:textId="77777777" w:rsidR="0070176F" w:rsidRDefault="00701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36A1" w14:textId="35988113" w:rsidR="00B55B04" w:rsidRDefault="00B55B04" w:rsidP="00EE1447">
    <w:pPr>
      <w:pStyle w:val="FooterEven"/>
    </w:pPr>
    <w:r>
      <w:drawing>
        <wp:anchor distT="0" distB="0" distL="114300" distR="114300" simplePos="0" relativeHeight="251658240" behindDoc="1" locked="0" layoutInCell="1" allowOverlap="0" wp14:anchorId="2D9F5A56" wp14:editId="5559544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 STYLEREF  &quot;Heading 1&quot;  \* MERGEFORMAT ">
      <w:r w:rsidR="00DF3793">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5ED0" w14:textId="540CAACF" w:rsidR="00DE0B00" w:rsidRPr="00DE0B00" w:rsidRDefault="00DE0B00" w:rsidP="00DE0B00">
    <w:pPr>
      <w:pStyle w:val="FooterEven"/>
      <w:tabs>
        <w:tab w:val="center" w:pos="9072"/>
      </w:tabs>
      <w:jc w:val="right"/>
    </w:pPr>
    <w:r w:rsidRPr="00742366">
      <w:drawing>
        <wp:anchor distT="0" distB="0" distL="114300" distR="114300" simplePos="0" relativeHeight="251660289" behindDoc="1" locked="1" layoutInCell="1" allowOverlap="1" wp14:anchorId="508736B7" wp14:editId="6E4AFD58">
          <wp:simplePos x="0" y="0"/>
          <wp:positionH relativeFrom="margin">
            <wp:posOffset>5459095</wp:posOffset>
          </wp:positionH>
          <wp:positionV relativeFrom="page">
            <wp:posOffset>3280410</wp:posOffset>
          </wp:positionV>
          <wp:extent cx="7574280" cy="1043940"/>
          <wp:effectExtent l="762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4DE60444" wp14:editId="0C3E82BE">
          <wp:extent cx="1324800" cy="201600"/>
          <wp:effectExtent l="0" t="0" r="0" b="8255"/>
          <wp:docPr id="13" name="Picture 1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A504BB">
        <w:t>Contents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11FA" w14:textId="1A8E22CB" w:rsidR="00B55B04" w:rsidRDefault="00B55B04" w:rsidP="00962ACF">
    <w:pPr>
      <w:pStyle w:val="FooterOdd"/>
    </w:pPr>
    <w:r w:rsidRPr="00103F3C">
      <w:rPr>
        <w:noProof/>
        <w:position w:val="-8"/>
      </w:rPr>
      <w:drawing>
        <wp:inline distT="0" distB="0" distL="0" distR="0" wp14:anchorId="5F023899" wp14:editId="73423080">
          <wp:extent cx="1324800" cy="201600"/>
          <wp:effectExtent l="0" t="0" r="0" b="8255"/>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 STYLEREF  &quot;Heading 1&quot;  \* MERGEFORMAT ">
      <w:r w:rsidR="00DF3793">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E659" w14:textId="08AA3EC2" w:rsidR="00672B5D" w:rsidRDefault="00672B5D" w:rsidP="00BC6E69">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DF3793">
        <w:t>Contents</w:t>
      </w:r>
    </w:fldSimple>
    <w:r w:rsidR="00103F3C">
      <w:tab/>
    </w:r>
    <w:r w:rsidR="00103F3C" w:rsidRPr="00103F3C">
      <w:rPr>
        <w:position w:val="-8"/>
      </w:rPr>
      <w:drawing>
        <wp:inline distT="0" distB="0" distL="0" distR="0" wp14:anchorId="22D19D8C" wp14:editId="5E95D18F">
          <wp:extent cx="1324800" cy="201600"/>
          <wp:effectExtent l="0" t="0" r="0" b="8255"/>
          <wp:docPr id="17"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9199" w14:textId="6F093EE9" w:rsidR="0015216D" w:rsidRPr="00DE0B00" w:rsidRDefault="0015216D" w:rsidP="00DE0B00">
    <w:pPr>
      <w:pStyle w:val="FooterEven"/>
      <w:tabs>
        <w:tab w:val="center" w:pos="9072"/>
      </w:tabs>
      <w:jc w:val="right"/>
    </w:pPr>
    <w:r w:rsidRPr="00742366">
      <w:drawing>
        <wp:anchor distT="0" distB="0" distL="114300" distR="114300" simplePos="0" relativeHeight="251668481" behindDoc="1" locked="1" layoutInCell="1" allowOverlap="1" wp14:anchorId="0BF293E5" wp14:editId="74206EA9">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B424B9F" wp14:editId="595BE0E9">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F3793">
        <w:t>Contents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B634" w14:textId="2BA86181" w:rsidR="00095D88" w:rsidRPr="00095D88" w:rsidRDefault="0015216D" w:rsidP="0015216D">
    <w:pPr>
      <w:pStyle w:val="FooterEven"/>
      <w:tabs>
        <w:tab w:val="center" w:pos="9072"/>
      </w:tabs>
      <w:jc w:val="right"/>
    </w:pPr>
    <w:r w:rsidRPr="00742366">
      <w:drawing>
        <wp:anchor distT="0" distB="0" distL="114300" distR="114300" simplePos="0" relativeHeight="251670529" behindDoc="1" locked="1" layoutInCell="1" allowOverlap="1" wp14:anchorId="46688142" wp14:editId="3233AB87">
          <wp:simplePos x="0" y="0"/>
          <wp:positionH relativeFrom="margin">
            <wp:posOffset>5459095</wp:posOffset>
          </wp:positionH>
          <wp:positionV relativeFrom="page">
            <wp:posOffset>3280410</wp:posOffset>
          </wp:positionV>
          <wp:extent cx="7574280" cy="1043940"/>
          <wp:effectExtent l="762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34818C3" wp14:editId="7FEAA596">
          <wp:extent cx="1324800" cy="201600"/>
          <wp:effectExtent l="0" t="0" r="0" b="8255"/>
          <wp:docPr id="23" name="Picture 2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A504BB">
        <w:t>Foreword</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C70A" w14:textId="5AD6B2A5" w:rsidR="00DE0B00" w:rsidRPr="00F1017A" w:rsidRDefault="00F1017A" w:rsidP="00F1017A">
    <w:pPr>
      <w:pStyle w:val="FooterEven"/>
      <w:tabs>
        <w:tab w:val="center" w:pos="9072"/>
      </w:tabs>
      <w:jc w:val="both"/>
      <w:rPr>
        <w:b/>
        <w:bCs/>
      </w:rPr>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A504BB">
        <w:t>Appendix – Summary of relevant provisions</w:t>
      </w:r>
    </w:fldSimple>
    <w:r>
      <w:tab/>
    </w:r>
    <w:r w:rsidRPr="00EF03E1">
      <w:rPr>
        <w:position w:val="-10"/>
      </w:rPr>
      <w:drawing>
        <wp:inline distT="0" distB="0" distL="0" distR="0" wp14:anchorId="6EDB75EE" wp14:editId="74482418">
          <wp:extent cx="1324800" cy="201600"/>
          <wp:effectExtent l="0" t="0" r="0" b="8255"/>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A94A" w14:textId="5AB9F8B0" w:rsidR="00DE0B00" w:rsidRPr="00F1017A" w:rsidRDefault="00F1017A" w:rsidP="00F1017A">
    <w:pPr>
      <w:pStyle w:val="FooterEven"/>
      <w:tabs>
        <w:tab w:val="center" w:pos="9072"/>
      </w:tabs>
      <w:jc w:val="right"/>
    </w:pPr>
    <w:r w:rsidRPr="00742366">
      <w:drawing>
        <wp:anchor distT="0" distB="0" distL="114300" distR="114300" simplePos="0" relativeHeight="251676673" behindDoc="1" locked="1" layoutInCell="1" allowOverlap="1" wp14:anchorId="1D4970A1" wp14:editId="257290A1">
          <wp:simplePos x="0" y="0"/>
          <wp:positionH relativeFrom="margin">
            <wp:posOffset>5459095</wp:posOffset>
          </wp:positionH>
          <wp:positionV relativeFrom="page">
            <wp:posOffset>3280410</wp:posOffset>
          </wp:positionV>
          <wp:extent cx="7574280" cy="1043940"/>
          <wp:effectExtent l="762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723368C" wp14:editId="5CF06C54">
          <wp:extent cx="1324800" cy="201600"/>
          <wp:effectExtent l="0" t="0" r="0" b="8255"/>
          <wp:docPr id="28" name="Picture 2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A504BB">
        <w:t>Appendix – Summary of relevant provisions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54BA" w14:textId="77777777" w:rsidR="003C35BE" w:rsidRPr="00ED5A20" w:rsidRDefault="003C35BE" w:rsidP="000F6233">
      <w:pPr>
        <w:rPr>
          <w:color w:val="4D7861" w:themeColor="accent2"/>
        </w:rPr>
      </w:pPr>
      <w:r w:rsidRPr="00ED5A20">
        <w:rPr>
          <w:color w:val="4D7861" w:themeColor="accent2"/>
        </w:rPr>
        <w:separator/>
      </w:r>
    </w:p>
  </w:footnote>
  <w:footnote w:type="continuationSeparator" w:id="0">
    <w:p w14:paraId="7A285258" w14:textId="77777777" w:rsidR="003C35BE" w:rsidRPr="00B737EB" w:rsidRDefault="003C35BE">
      <w:pPr>
        <w:spacing w:before="0" w:after="0"/>
        <w:rPr>
          <w:color w:val="2C384A" w:themeColor="accent1"/>
        </w:rPr>
      </w:pPr>
      <w:r w:rsidRPr="00B737EB">
        <w:rPr>
          <w:color w:val="2C384A" w:themeColor="accent1"/>
        </w:rPr>
        <w:continuationSeparator/>
      </w:r>
    </w:p>
  </w:footnote>
  <w:footnote w:type="continuationNotice" w:id="1">
    <w:p w14:paraId="3128CFE8" w14:textId="77777777" w:rsidR="003C35BE" w:rsidRDefault="003C35BE">
      <w:pPr>
        <w:spacing w:before="0" w:after="0"/>
      </w:pPr>
    </w:p>
  </w:footnote>
  <w:footnote w:id="2">
    <w:p w14:paraId="79B90658" w14:textId="4BE2B62F" w:rsidR="00D73585" w:rsidRPr="00210FD9" w:rsidRDefault="00D73585" w:rsidP="00210FD9">
      <w:pPr>
        <w:pStyle w:val="FootnoteText"/>
      </w:pPr>
      <w:r w:rsidRPr="00210FD9">
        <w:rPr>
          <w:rStyle w:val="FootnoteReference"/>
          <w:sz w:val="20"/>
          <w:vertAlign w:val="baseline"/>
        </w:rPr>
        <w:footnoteRef/>
      </w:r>
      <w:r w:rsidRPr="00210FD9">
        <w:t xml:space="preserve"> </w:t>
      </w:r>
      <w:r w:rsidR="00024698" w:rsidRPr="00210FD9">
        <w:tab/>
      </w:r>
      <w:r w:rsidRPr="00210FD9">
        <w:t xml:space="preserve">Contained in Schedule 1 </w:t>
      </w:r>
      <w:r w:rsidR="004E38F7" w:rsidRPr="00210FD9">
        <w:t xml:space="preserve">to </w:t>
      </w:r>
      <w:r w:rsidRPr="00210FD9">
        <w:t xml:space="preserve">the </w:t>
      </w:r>
      <w:r w:rsidRPr="00DA7247">
        <w:rPr>
          <w:i/>
          <w:iCs/>
        </w:rPr>
        <w:t>Criminal Code Act 1995</w:t>
      </w:r>
      <w:r w:rsidRPr="00210FD9">
        <w:t>.</w:t>
      </w:r>
    </w:p>
  </w:footnote>
  <w:footnote w:id="3">
    <w:p w14:paraId="495C0936" w14:textId="73FAC160" w:rsidR="00A940CF" w:rsidRPr="00210FD9" w:rsidRDefault="00A940CF" w:rsidP="00210FD9">
      <w:pPr>
        <w:pStyle w:val="FootnoteText"/>
      </w:pPr>
      <w:r w:rsidRPr="00210FD9">
        <w:footnoteRef/>
      </w:r>
      <w:r w:rsidRPr="00210FD9">
        <w:t xml:space="preserve"> </w:t>
      </w:r>
      <w:r w:rsidR="00024698" w:rsidRPr="00210FD9">
        <w:tab/>
      </w:r>
      <w:r w:rsidRPr="00210FD9">
        <w:t xml:space="preserve">Now contained in section 8WAB of the </w:t>
      </w:r>
      <w:r w:rsidR="00DD0F2C" w:rsidRPr="00210FD9">
        <w:t xml:space="preserve">TAA </w:t>
      </w:r>
      <w:r w:rsidR="006E03FB" w:rsidRPr="00210FD9">
        <w:t>1953</w:t>
      </w:r>
      <w:r w:rsidR="00DD0F2C" w:rsidRPr="00210FD9">
        <w:t>.</w:t>
      </w:r>
    </w:p>
  </w:footnote>
  <w:footnote w:id="4">
    <w:p w14:paraId="6B5FA728" w14:textId="2B5B4A31" w:rsidR="005C374F" w:rsidRPr="00210FD9" w:rsidRDefault="005C374F" w:rsidP="00210FD9">
      <w:pPr>
        <w:pStyle w:val="FootnoteText"/>
      </w:pPr>
      <w:r w:rsidRPr="00210FD9">
        <w:rPr>
          <w:rStyle w:val="FootnoteReference"/>
          <w:sz w:val="20"/>
          <w:vertAlign w:val="baseline"/>
        </w:rPr>
        <w:footnoteRef/>
      </w:r>
      <w:r w:rsidRPr="00210FD9">
        <w:t xml:space="preserve"> </w:t>
      </w:r>
      <w:r w:rsidR="00024698" w:rsidRPr="00210FD9">
        <w:tab/>
      </w:r>
      <w:r w:rsidRPr="00210FD9">
        <w:t>In 2018, the value of a penalty unit was $210.</w:t>
      </w:r>
    </w:p>
  </w:footnote>
  <w:footnote w:id="5">
    <w:p w14:paraId="765AA003" w14:textId="13935878" w:rsidR="008E0567" w:rsidRPr="00210FD9" w:rsidRDefault="008E0567" w:rsidP="00210FD9">
      <w:pPr>
        <w:pStyle w:val="FootnoteText"/>
      </w:pPr>
      <w:r w:rsidRPr="00210FD9">
        <w:rPr>
          <w:rStyle w:val="FootnoteReference"/>
          <w:sz w:val="20"/>
          <w:vertAlign w:val="baseline"/>
        </w:rPr>
        <w:footnoteRef/>
      </w:r>
      <w:r w:rsidRPr="00210FD9">
        <w:t xml:space="preserve"> </w:t>
      </w:r>
      <w:r w:rsidR="00024698" w:rsidRPr="00210FD9">
        <w:tab/>
      </w:r>
      <w:r w:rsidRPr="00210FD9">
        <w:t xml:space="preserve">Contained in schedule 1 </w:t>
      </w:r>
      <w:r w:rsidR="00B32D30" w:rsidRPr="00210FD9">
        <w:t>to</w:t>
      </w:r>
      <w:r w:rsidRPr="00210FD9">
        <w:t xml:space="preserve"> the </w:t>
      </w:r>
      <w:r w:rsidRPr="00DA7247">
        <w:rPr>
          <w:i/>
          <w:iCs/>
        </w:rPr>
        <w:t>Criminal Code Act 1995</w:t>
      </w:r>
      <w:r w:rsidRPr="00210FD9">
        <w:t>.</w:t>
      </w:r>
    </w:p>
  </w:footnote>
  <w:footnote w:id="6">
    <w:p w14:paraId="70FFA854" w14:textId="5BA926FD" w:rsidR="009B24FD" w:rsidRPr="00210FD9" w:rsidRDefault="009B24FD" w:rsidP="00210FD9">
      <w:pPr>
        <w:pStyle w:val="FootnoteText"/>
      </w:pPr>
      <w:r w:rsidRPr="00210FD9">
        <w:rPr>
          <w:rStyle w:val="FootnoteReference"/>
          <w:sz w:val="20"/>
          <w:vertAlign w:val="baseline"/>
        </w:rPr>
        <w:footnoteRef/>
      </w:r>
      <w:r w:rsidRPr="00210FD9">
        <w:t xml:space="preserve"> </w:t>
      </w:r>
      <w:r w:rsidR="00024698" w:rsidRPr="00210FD9">
        <w:tab/>
      </w:r>
      <w:r w:rsidRPr="00210FD9">
        <w:t xml:space="preserve">Senate Standing Committee on the Scrutiny </w:t>
      </w:r>
      <w:r w:rsidR="00C56FBD" w:rsidRPr="00210FD9">
        <w:t>of Bills,</w:t>
      </w:r>
      <w:r w:rsidRPr="00210FD9">
        <w:t xml:space="preserve"> Digest 3 of 2018.</w:t>
      </w:r>
    </w:p>
  </w:footnote>
  <w:footnote w:id="7">
    <w:p w14:paraId="2D27623D" w14:textId="7951061F" w:rsidR="007C7F10" w:rsidRPr="00210FD9" w:rsidRDefault="007C7F10" w:rsidP="00210FD9">
      <w:pPr>
        <w:pStyle w:val="FootnoteText"/>
      </w:pPr>
      <w:r w:rsidRPr="00210FD9">
        <w:rPr>
          <w:rStyle w:val="FootnoteReference"/>
          <w:sz w:val="20"/>
          <w:vertAlign w:val="baseline"/>
        </w:rPr>
        <w:footnoteRef/>
      </w:r>
      <w:r w:rsidRPr="00210FD9">
        <w:t xml:space="preserve"> </w:t>
      </w:r>
      <w:r w:rsidR="00024698" w:rsidRPr="00210FD9">
        <w:tab/>
      </w:r>
      <w:r w:rsidRPr="00210FD9">
        <w:t>Human Rights Scrutiny Report, Report 4 of 2018 [2.230]</w:t>
      </w:r>
      <w:r w:rsidR="003C1BE6">
        <w:noBreakHyphen/>
      </w:r>
      <w:r w:rsidRPr="00210FD9">
        <w:t>[2.231].</w:t>
      </w:r>
    </w:p>
  </w:footnote>
  <w:footnote w:id="8">
    <w:p w14:paraId="0DF7B329" w14:textId="56BFA05C" w:rsidR="00EB35C4" w:rsidRPr="00210FD9" w:rsidRDefault="00EB35C4" w:rsidP="00210FD9">
      <w:pPr>
        <w:pStyle w:val="FootnoteText"/>
      </w:pPr>
      <w:r w:rsidRPr="00210FD9">
        <w:rPr>
          <w:rStyle w:val="FootnoteReference"/>
          <w:sz w:val="20"/>
          <w:vertAlign w:val="baseline"/>
        </w:rPr>
        <w:footnoteRef/>
      </w:r>
      <w:r w:rsidRPr="00210FD9">
        <w:t xml:space="preserve"> </w:t>
      </w:r>
      <w:r w:rsidR="00024698" w:rsidRPr="00210FD9">
        <w:tab/>
      </w:r>
      <w:r w:rsidRPr="00210FD9">
        <w:t>See s</w:t>
      </w:r>
      <w:r w:rsidR="005828C2" w:rsidRPr="00210FD9">
        <w:t>ection</w:t>
      </w:r>
      <w:r w:rsidRPr="00210FD9">
        <w:t> 8WAB</w:t>
      </w:r>
      <w:r w:rsidR="004D5F05" w:rsidRPr="00210FD9">
        <w:t xml:space="preserve"> of the TAA 195</w:t>
      </w:r>
      <w:r w:rsidR="00B20B18" w:rsidRPr="00210FD9">
        <w:t>3</w:t>
      </w:r>
      <w:r w:rsidR="004D5F05" w:rsidRPr="00210FD9">
        <w:t xml:space="preserve"> </w:t>
      </w:r>
      <w:r w:rsidRPr="00210FD9">
        <w:t>as inserted by the Act</w:t>
      </w:r>
      <w:r w:rsidR="007A7314" w:rsidRPr="00210FD9">
        <w:t>.</w:t>
      </w:r>
    </w:p>
  </w:footnote>
  <w:footnote w:id="9">
    <w:p w14:paraId="54BBAFA6" w14:textId="2FD194C0" w:rsidR="008A1920" w:rsidRPr="00210FD9" w:rsidRDefault="008A1920" w:rsidP="00210FD9">
      <w:pPr>
        <w:pStyle w:val="FootnoteText"/>
      </w:pPr>
      <w:r w:rsidRPr="00210FD9">
        <w:rPr>
          <w:rStyle w:val="FootnoteReference"/>
          <w:sz w:val="20"/>
          <w:vertAlign w:val="baseline"/>
        </w:rPr>
        <w:footnoteRef/>
      </w:r>
      <w:r w:rsidRPr="00210FD9">
        <w:t xml:space="preserve"> </w:t>
      </w:r>
      <w:r w:rsidR="00024698" w:rsidRPr="00210FD9">
        <w:tab/>
      </w:r>
      <w:r w:rsidR="009F1B6D" w:rsidRPr="00210FD9">
        <w:t xml:space="preserve">See </w:t>
      </w:r>
      <w:r w:rsidRPr="00DA7247">
        <w:rPr>
          <w:i/>
          <w:iCs/>
        </w:rPr>
        <w:t>Taxation (Annual Rates for 2021–22, GST, and Remedial Matters) Act 2022</w:t>
      </w:r>
      <w:r w:rsidR="009F1B6D" w:rsidRPr="00210FD9">
        <w:t xml:space="preserve"> (NZ)</w:t>
      </w:r>
      <w:r w:rsidRPr="00210FD9">
        <w:t>.</w:t>
      </w:r>
    </w:p>
  </w:footnote>
  <w:footnote w:id="10">
    <w:p w14:paraId="4869BF0E" w14:textId="4C44D3D2" w:rsidR="00957F3B" w:rsidRPr="00210FD9" w:rsidRDefault="00957F3B" w:rsidP="00210FD9">
      <w:pPr>
        <w:pStyle w:val="FootnoteText"/>
      </w:pPr>
      <w:r w:rsidRPr="00210FD9">
        <w:rPr>
          <w:rStyle w:val="FootnoteReference"/>
          <w:sz w:val="20"/>
          <w:vertAlign w:val="baseline"/>
        </w:rPr>
        <w:footnoteRef/>
      </w:r>
      <w:r w:rsidRPr="00210FD9">
        <w:t xml:space="preserve"> </w:t>
      </w:r>
      <w:r w:rsidR="00024698" w:rsidRPr="00210FD9">
        <w:tab/>
      </w:r>
      <w:r w:rsidRPr="00210FD9">
        <w:t>New Zealand Inland Revenue, Regulatory Impact Statement: Sales suppression software, 1 June 2021 at [21]</w:t>
      </w:r>
      <w:r w:rsidR="003C1BE6">
        <w:noBreakHyphen/>
      </w:r>
      <w:r w:rsidRPr="00210FD9">
        <w:t>[22].</w:t>
      </w:r>
    </w:p>
  </w:footnote>
  <w:footnote w:id="11">
    <w:p w14:paraId="2F89E1E1" w14:textId="72309947" w:rsidR="00D275C2" w:rsidRDefault="00D275C2">
      <w:pPr>
        <w:pStyle w:val="FootnoteText"/>
      </w:pPr>
      <w:r w:rsidRPr="003C1BE6">
        <w:footnoteRef/>
      </w:r>
      <w:r w:rsidRPr="003C1BE6">
        <w:t xml:space="preserve"> </w:t>
      </w:r>
      <w:r w:rsidR="00024698" w:rsidRPr="003C1BE6">
        <w:tab/>
      </w:r>
      <w:r w:rsidRPr="003C1BE6">
        <w:t>Available</w:t>
      </w:r>
      <w:r>
        <w:t xml:space="preserve"> at </w:t>
      </w:r>
      <w:hyperlink r:id="rId1" w:history="1">
        <w:r w:rsidR="00E679C3" w:rsidRPr="0003248F">
          <w:rPr>
            <w:rStyle w:val="Hyperlink"/>
          </w:rPr>
          <w:t>https://www.oecd.org/tax/crime/technology</w:t>
        </w:r>
        <w:r w:rsidR="009B70C7">
          <w:rPr>
            <w:rStyle w:val="Hyperlink"/>
          </w:rPr>
          <w:noBreakHyphen/>
        </w:r>
        <w:r w:rsidR="00E679C3" w:rsidRPr="0003248F">
          <w:rPr>
            <w:rStyle w:val="Hyperlink"/>
          </w:rPr>
          <w:t>tools</w:t>
        </w:r>
        <w:r w:rsidR="009B70C7">
          <w:rPr>
            <w:rStyle w:val="Hyperlink"/>
          </w:rPr>
          <w:noBreakHyphen/>
        </w:r>
        <w:r w:rsidR="00E679C3" w:rsidRPr="0003248F">
          <w:rPr>
            <w:rStyle w:val="Hyperlink"/>
          </w:rPr>
          <w:t>to</w:t>
        </w:r>
        <w:r w:rsidR="009B70C7">
          <w:rPr>
            <w:rStyle w:val="Hyperlink"/>
          </w:rPr>
          <w:noBreakHyphen/>
        </w:r>
        <w:r w:rsidR="00E679C3" w:rsidRPr="0003248F">
          <w:rPr>
            <w:rStyle w:val="Hyperlink"/>
          </w:rPr>
          <w:t>tackle</w:t>
        </w:r>
        <w:r w:rsidR="009B70C7">
          <w:rPr>
            <w:rStyle w:val="Hyperlink"/>
          </w:rPr>
          <w:noBreakHyphen/>
        </w:r>
        <w:r w:rsidR="00E679C3" w:rsidRPr="0003248F">
          <w:rPr>
            <w:rStyle w:val="Hyperlink"/>
          </w:rPr>
          <w:t>tax</w:t>
        </w:r>
        <w:r w:rsidR="009B70C7">
          <w:rPr>
            <w:rStyle w:val="Hyperlink"/>
          </w:rPr>
          <w:noBreakHyphen/>
        </w:r>
        <w:r w:rsidR="00E679C3" w:rsidRPr="0003248F">
          <w:rPr>
            <w:rStyle w:val="Hyperlink"/>
          </w:rPr>
          <w:t>evasion</w:t>
        </w:r>
        <w:r w:rsidR="009B70C7">
          <w:rPr>
            <w:rStyle w:val="Hyperlink"/>
          </w:rPr>
          <w:noBreakHyphen/>
        </w:r>
        <w:r w:rsidR="00E679C3" w:rsidRPr="0003248F">
          <w:rPr>
            <w:rStyle w:val="Hyperlink"/>
          </w:rPr>
          <w:t>and</w:t>
        </w:r>
        <w:r w:rsidR="009B70C7">
          <w:rPr>
            <w:rStyle w:val="Hyperlink"/>
          </w:rPr>
          <w:noBreakHyphen/>
        </w:r>
        <w:r w:rsidR="00E679C3" w:rsidRPr="0003248F">
          <w:rPr>
            <w:rStyle w:val="Hyperlink"/>
          </w:rPr>
          <w:t>tax</w:t>
        </w:r>
        <w:r w:rsidR="009B70C7">
          <w:rPr>
            <w:rStyle w:val="Hyperlink"/>
          </w:rPr>
          <w:noBreakHyphen/>
        </w:r>
        <w:r w:rsidR="00E679C3" w:rsidRPr="0003248F">
          <w:rPr>
            <w:rStyle w:val="Hyperlink"/>
          </w:rPr>
          <w:t>fraud.htm</w:t>
        </w:r>
      </w:hyperlink>
      <w:r w:rsidR="00E679C3">
        <w:t xml:space="preserve">. </w:t>
      </w:r>
    </w:p>
  </w:footnote>
  <w:footnote w:id="12">
    <w:p w14:paraId="586A2ED5" w14:textId="3B350053" w:rsidR="00126A8E" w:rsidRDefault="00126A8E">
      <w:pPr>
        <w:pStyle w:val="FootnoteText"/>
      </w:pPr>
      <w:r w:rsidRPr="003C1BE6">
        <w:footnoteRef/>
      </w:r>
      <w:r w:rsidRPr="003C1BE6">
        <w:t xml:space="preserve"> </w:t>
      </w:r>
      <w:r w:rsidR="00024698" w:rsidRPr="003C1BE6">
        <w:tab/>
      </w:r>
      <w:r w:rsidRPr="003C1BE6">
        <w:t>Available</w:t>
      </w:r>
      <w:r>
        <w:t xml:space="preserve"> at </w:t>
      </w:r>
      <w:hyperlink r:id="rId2" w:history="1">
        <w:r w:rsidR="00E679C3" w:rsidRPr="0003248F">
          <w:rPr>
            <w:rStyle w:val="Hyperlink"/>
          </w:rPr>
          <w:t>https://www.oecd.org/ctp/implementing</w:t>
        </w:r>
        <w:r w:rsidR="009B70C7">
          <w:rPr>
            <w:rStyle w:val="Hyperlink"/>
          </w:rPr>
          <w:noBreakHyphen/>
        </w:r>
        <w:r w:rsidR="00E679C3" w:rsidRPr="0003248F">
          <w:rPr>
            <w:rStyle w:val="Hyperlink"/>
          </w:rPr>
          <w:t>online</w:t>
        </w:r>
        <w:r w:rsidR="009B70C7">
          <w:rPr>
            <w:rStyle w:val="Hyperlink"/>
          </w:rPr>
          <w:noBreakHyphen/>
        </w:r>
        <w:r w:rsidR="00E679C3" w:rsidRPr="0003248F">
          <w:rPr>
            <w:rStyle w:val="Hyperlink"/>
          </w:rPr>
          <w:t>cash</w:t>
        </w:r>
        <w:r w:rsidR="009B70C7">
          <w:rPr>
            <w:rStyle w:val="Hyperlink"/>
          </w:rPr>
          <w:noBreakHyphen/>
        </w:r>
        <w:r w:rsidR="00E679C3" w:rsidRPr="0003248F">
          <w:rPr>
            <w:rStyle w:val="Hyperlink"/>
          </w:rPr>
          <w:t>registers</w:t>
        </w:r>
        <w:r w:rsidR="009B70C7">
          <w:rPr>
            <w:rStyle w:val="Hyperlink"/>
          </w:rPr>
          <w:noBreakHyphen/>
        </w:r>
        <w:r w:rsidR="00E679C3" w:rsidRPr="0003248F">
          <w:rPr>
            <w:rStyle w:val="Hyperlink"/>
          </w:rPr>
          <w:t>benefits</w:t>
        </w:r>
        <w:r w:rsidR="009B70C7">
          <w:rPr>
            <w:rStyle w:val="Hyperlink"/>
          </w:rPr>
          <w:noBreakHyphen/>
        </w:r>
        <w:r w:rsidR="00E679C3" w:rsidRPr="0003248F">
          <w:rPr>
            <w:rStyle w:val="Hyperlink"/>
          </w:rPr>
          <w:t>considerations</w:t>
        </w:r>
        <w:r w:rsidR="009B70C7">
          <w:rPr>
            <w:rStyle w:val="Hyperlink"/>
          </w:rPr>
          <w:noBreakHyphen/>
        </w:r>
        <w:r w:rsidR="00E679C3" w:rsidRPr="0003248F">
          <w:rPr>
            <w:rStyle w:val="Hyperlink"/>
          </w:rPr>
          <w:t>and</w:t>
        </w:r>
        <w:r w:rsidR="009B70C7">
          <w:rPr>
            <w:rStyle w:val="Hyperlink"/>
          </w:rPr>
          <w:noBreakHyphen/>
        </w:r>
        <w:r w:rsidR="00E679C3" w:rsidRPr="0003248F">
          <w:rPr>
            <w:rStyle w:val="Hyperlink"/>
          </w:rPr>
          <w:t>guidance.htm</w:t>
        </w:r>
      </w:hyperlink>
      <w:r w:rsidR="00E679C3">
        <w:t xml:space="preserve">. </w:t>
      </w:r>
    </w:p>
  </w:footnote>
  <w:footnote w:id="13">
    <w:p w14:paraId="6F03D0BC" w14:textId="2D1ED081" w:rsidR="007D732E" w:rsidRPr="00210FD9" w:rsidRDefault="007D732E" w:rsidP="00210FD9">
      <w:pPr>
        <w:pStyle w:val="FootnoteText"/>
      </w:pPr>
      <w:r w:rsidRPr="00210FD9">
        <w:rPr>
          <w:rStyle w:val="FootnoteReference"/>
          <w:sz w:val="20"/>
          <w:vertAlign w:val="baseline"/>
        </w:rPr>
        <w:footnoteRef/>
      </w:r>
      <w:r w:rsidRPr="00210FD9">
        <w:t xml:space="preserve"> </w:t>
      </w:r>
      <w:r w:rsidR="00024698" w:rsidRPr="00210FD9">
        <w:tab/>
      </w:r>
      <w:r w:rsidRPr="00210FD9">
        <w:t xml:space="preserve">See the measure, </w:t>
      </w:r>
      <w:r w:rsidR="009B70C7">
        <w:t>“</w:t>
      </w:r>
      <w:r w:rsidRPr="00210FD9">
        <w:t>Commonwealth Penalty Unit – increase in amount</w:t>
      </w:r>
      <w:r w:rsidR="009B70C7">
        <w:t>”</w:t>
      </w:r>
      <w:r w:rsidRPr="00210FD9">
        <w:t xml:space="preserve"> in the 2022</w:t>
      </w:r>
      <w:r w:rsidR="003C1BE6">
        <w:t>–</w:t>
      </w:r>
      <w:r w:rsidRPr="00210FD9">
        <w:t xml:space="preserve">23 October Budget, Budget Paper 2, page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9498"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4FEF"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8C79"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B487" w14:textId="77777777" w:rsidR="00672B5D" w:rsidRPr="00AC75E2" w:rsidRDefault="00AC75E2" w:rsidP="00AC75E2">
    <w:pPr>
      <w:pStyle w:val="HeaderEven"/>
    </w:pPr>
    <w:r>
      <w:rPr>
        <w:noProof/>
      </w:rPr>
      <w:drawing>
        <wp:anchor distT="0" distB="0" distL="114300" distR="114300" simplePos="0" relativeHeight="251658241" behindDoc="1" locked="1" layoutInCell="1" allowOverlap="1" wp14:anchorId="69BA9310" wp14:editId="35A8ABBF">
          <wp:simplePos x="0" y="0"/>
          <wp:positionH relativeFrom="page">
            <wp:posOffset>-635</wp:posOffset>
          </wp:positionH>
          <wp:positionV relativeFrom="page">
            <wp:align>top</wp:align>
          </wp:positionV>
          <wp:extent cx="7570800" cy="104400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74F9" w14:textId="77777777" w:rsidR="0015216D" w:rsidRPr="00095D88" w:rsidRDefault="0015216D" w:rsidP="00095D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9A3F" w14:textId="59497292" w:rsidR="00095D88" w:rsidRPr="00095D88" w:rsidRDefault="00095D88" w:rsidP="00095D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586E" w14:textId="77777777" w:rsidR="00C53397" w:rsidRPr="00AC75E2" w:rsidRDefault="00C53397" w:rsidP="00AC75E2">
    <w:pPr>
      <w:pStyle w:val="HeaderEven"/>
    </w:pPr>
    <w:r>
      <w:rPr>
        <w:noProof/>
      </w:rPr>
      <w:drawing>
        <wp:anchor distT="0" distB="0" distL="114300" distR="114300" simplePos="0" relativeHeight="251678721" behindDoc="1" locked="1" layoutInCell="1" allowOverlap="1" wp14:anchorId="29F671CD" wp14:editId="6E789E1C">
          <wp:simplePos x="0" y="0"/>
          <wp:positionH relativeFrom="page">
            <wp:posOffset>-635</wp:posOffset>
          </wp:positionH>
          <wp:positionV relativeFrom="page">
            <wp:align>top</wp:align>
          </wp:positionV>
          <wp:extent cx="7570800" cy="1044000"/>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7985" w14:textId="348AFC87" w:rsidR="00F1017A" w:rsidRPr="00095D88" w:rsidRDefault="00F1017A" w:rsidP="00095D88">
    <w:pPr>
      <w:pStyle w:val="Header"/>
    </w:pPr>
    <w:r>
      <w:rPr>
        <w:noProof/>
      </w:rPr>
      <w:drawing>
        <wp:anchor distT="0" distB="0" distL="114300" distR="114300" simplePos="0" relativeHeight="251674625" behindDoc="1" locked="1" layoutInCell="1" allowOverlap="1" wp14:anchorId="53068B4D" wp14:editId="3D1AF505">
          <wp:simplePos x="0" y="0"/>
          <wp:positionH relativeFrom="margin">
            <wp:posOffset>-897890</wp:posOffset>
          </wp:positionH>
          <wp:positionV relativeFrom="page">
            <wp:posOffset>10160</wp:posOffset>
          </wp:positionV>
          <wp:extent cx="7569835" cy="10439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Logo&#10;&#10;Description automatically generated with medium confidence" style="width:108pt;height:14.5pt;visibility:visible;mso-wrap-style:square" o:bullet="t">
        <v:imagedata r:id="rId1" o:title="Logo&#10;&#10;Description automatically generated with medium confidence"/>
      </v:shape>
    </w:pict>
  </w:numPicBullet>
  <w:abstractNum w:abstractNumId="0" w15:restartNumberingAfterBreak="0">
    <w:nsid w:val="03F3261B"/>
    <w:multiLevelType w:val="hybridMultilevel"/>
    <w:tmpl w:val="4754F5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A6092"/>
    <w:multiLevelType w:val="hybridMultilevel"/>
    <w:tmpl w:val="9D3EEA20"/>
    <w:lvl w:ilvl="0" w:tplc="B4BE79E2">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003AC"/>
    <w:multiLevelType w:val="hybridMultilevel"/>
    <w:tmpl w:val="0CD47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033E78"/>
    <w:multiLevelType w:val="hybridMultilevel"/>
    <w:tmpl w:val="9D3EEA20"/>
    <w:lvl w:ilvl="0" w:tplc="B4BE79E2">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8" w15:restartNumberingAfterBreak="0">
    <w:nsid w:val="510D2021"/>
    <w:multiLevelType w:val="multilevel"/>
    <w:tmpl w:val="D4EE51FE"/>
    <w:lvl w:ilvl="0">
      <w:start w:val="1"/>
      <w:numFmt w:val="decimal"/>
      <w:pStyle w:val="OutlineNumbered1"/>
      <w:lvlText w:val="%1."/>
      <w:lvlJc w:val="left"/>
      <w:pPr>
        <w:tabs>
          <w:tab w:val="num" w:pos="851"/>
        </w:tabs>
        <w:ind w:left="284" w:hanging="284"/>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28A45B3"/>
    <w:multiLevelType w:val="hybridMultilevel"/>
    <w:tmpl w:val="56EC0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869025717">
    <w:abstractNumId w:val="13"/>
  </w:num>
  <w:num w:numId="2" w16cid:durableId="1869180349">
    <w:abstractNumId w:val="2"/>
  </w:num>
  <w:num w:numId="3" w16cid:durableId="2125883495">
    <w:abstractNumId w:val="16"/>
  </w:num>
  <w:num w:numId="4" w16cid:durableId="853835743">
    <w:abstractNumId w:val="4"/>
  </w:num>
  <w:num w:numId="5" w16cid:durableId="377363866">
    <w:abstractNumId w:val="7"/>
  </w:num>
  <w:num w:numId="6" w16cid:durableId="1133602240">
    <w:abstractNumId w:val="18"/>
  </w:num>
  <w:num w:numId="7" w16cid:durableId="195433414">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31884928">
    <w:abstractNumId w:val="8"/>
  </w:num>
  <w:num w:numId="9" w16cid:durableId="827673333">
    <w:abstractNumId w:val="3"/>
  </w:num>
  <w:num w:numId="10" w16cid:durableId="1051465715">
    <w:abstractNumId w:val="11"/>
  </w:num>
  <w:num w:numId="11" w16cid:durableId="1943102157">
    <w:abstractNumId w:val="25"/>
  </w:num>
  <w:num w:numId="12" w16cid:durableId="1413233059">
    <w:abstractNumId w:val="18"/>
  </w:num>
  <w:num w:numId="13" w16cid:durableId="1381246144">
    <w:abstractNumId w:val="26"/>
  </w:num>
  <w:num w:numId="14" w16cid:durableId="152911349">
    <w:abstractNumId w:val="17"/>
  </w:num>
  <w:num w:numId="15" w16cid:durableId="1699161858">
    <w:abstractNumId w:val="10"/>
  </w:num>
  <w:num w:numId="16" w16cid:durableId="1456677736">
    <w:abstractNumId w:val="21"/>
  </w:num>
  <w:num w:numId="17" w16cid:durableId="1331567947">
    <w:abstractNumId w:val="15"/>
  </w:num>
  <w:num w:numId="18" w16cid:durableId="1979259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768850">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082465">
    <w:abstractNumId w:val="14"/>
  </w:num>
  <w:num w:numId="21" w16cid:durableId="1712344044">
    <w:abstractNumId w:val="19"/>
  </w:num>
  <w:num w:numId="22" w16cid:durableId="1080828914">
    <w:abstractNumId w:val="6"/>
  </w:num>
  <w:num w:numId="23" w16cid:durableId="191302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051561">
    <w:abstractNumId w:val="24"/>
  </w:num>
  <w:num w:numId="25" w16cid:durableId="1624770135">
    <w:abstractNumId w:val="1"/>
  </w:num>
  <w:num w:numId="26" w16cid:durableId="992097808">
    <w:abstractNumId w:val="12"/>
  </w:num>
  <w:num w:numId="27" w16cid:durableId="1846742476">
    <w:abstractNumId w:val="20"/>
  </w:num>
  <w:num w:numId="28" w16cid:durableId="1853105865">
    <w:abstractNumId w:val="5"/>
  </w:num>
  <w:num w:numId="29" w16cid:durableId="1638948978">
    <w:abstractNumId w:val="0"/>
  </w:num>
  <w:num w:numId="30" w16cid:durableId="1397774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207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0344928">
    <w:abstractNumId w:val="22"/>
  </w:num>
  <w:num w:numId="33" w16cid:durableId="1998722400">
    <w:abstractNumId w:val="9"/>
  </w:num>
  <w:num w:numId="34" w16cid:durableId="1032682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22148F"/>
    <w:rsid w:val="00000C8A"/>
    <w:rsid w:val="000011A4"/>
    <w:rsid w:val="000014F4"/>
    <w:rsid w:val="00002A8F"/>
    <w:rsid w:val="00002F74"/>
    <w:rsid w:val="0000668F"/>
    <w:rsid w:val="00007839"/>
    <w:rsid w:val="000102A5"/>
    <w:rsid w:val="00011177"/>
    <w:rsid w:val="00011725"/>
    <w:rsid w:val="00012C62"/>
    <w:rsid w:val="0001396A"/>
    <w:rsid w:val="00015E7D"/>
    <w:rsid w:val="000162A3"/>
    <w:rsid w:val="000173A4"/>
    <w:rsid w:val="00020CE4"/>
    <w:rsid w:val="00022435"/>
    <w:rsid w:val="00024698"/>
    <w:rsid w:val="0002544D"/>
    <w:rsid w:val="00026426"/>
    <w:rsid w:val="000266E3"/>
    <w:rsid w:val="00032944"/>
    <w:rsid w:val="00034318"/>
    <w:rsid w:val="000345CB"/>
    <w:rsid w:val="00035388"/>
    <w:rsid w:val="00035433"/>
    <w:rsid w:val="000361AC"/>
    <w:rsid w:val="00037357"/>
    <w:rsid w:val="00037752"/>
    <w:rsid w:val="00040ACE"/>
    <w:rsid w:val="0004274D"/>
    <w:rsid w:val="00043348"/>
    <w:rsid w:val="0004483F"/>
    <w:rsid w:val="00044930"/>
    <w:rsid w:val="00046CB4"/>
    <w:rsid w:val="0005138B"/>
    <w:rsid w:val="000522B7"/>
    <w:rsid w:val="000529BB"/>
    <w:rsid w:val="00053717"/>
    <w:rsid w:val="000566F9"/>
    <w:rsid w:val="00056880"/>
    <w:rsid w:val="00056CD7"/>
    <w:rsid w:val="00060108"/>
    <w:rsid w:val="00060647"/>
    <w:rsid w:val="00061C0A"/>
    <w:rsid w:val="00063C56"/>
    <w:rsid w:val="00065183"/>
    <w:rsid w:val="000654FF"/>
    <w:rsid w:val="00065C6A"/>
    <w:rsid w:val="00066468"/>
    <w:rsid w:val="000675D1"/>
    <w:rsid w:val="00071E5D"/>
    <w:rsid w:val="00072AD0"/>
    <w:rsid w:val="00073521"/>
    <w:rsid w:val="00073EAF"/>
    <w:rsid w:val="000755C3"/>
    <w:rsid w:val="0007653B"/>
    <w:rsid w:val="00076A24"/>
    <w:rsid w:val="000775DE"/>
    <w:rsid w:val="00080D29"/>
    <w:rsid w:val="000819DF"/>
    <w:rsid w:val="000831AD"/>
    <w:rsid w:val="000843CF"/>
    <w:rsid w:val="00087FAF"/>
    <w:rsid w:val="0009026E"/>
    <w:rsid w:val="000904A1"/>
    <w:rsid w:val="00093131"/>
    <w:rsid w:val="00095D88"/>
    <w:rsid w:val="000973EA"/>
    <w:rsid w:val="000A16BE"/>
    <w:rsid w:val="000A403E"/>
    <w:rsid w:val="000A5D37"/>
    <w:rsid w:val="000A600D"/>
    <w:rsid w:val="000A626B"/>
    <w:rsid w:val="000A70FF"/>
    <w:rsid w:val="000B0284"/>
    <w:rsid w:val="000B093F"/>
    <w:rsid w:val="000B18F8"/>
    <w:rsid w:val="000B2D48"/>
    <w:rsid w:val="000B302A"/>
    <w:rsid w:val="000B368A"/>
    <w:rsid w:val="000B57B6"/>
    <w:rsid w:val="000B5B33"/>
    <w:rsid w:val="000C05B2"/>
    <w:rsid w:val="000C0DA8"/>
    <w:rsid w:val="000C571D"/>
    <w:rsid w:val="000C5D72"/>
    <w:rsid w:val="000C5F40"/>
    <w:rsid w:val="000C633D"/>
    <w:rsid w:val="000C7B29"/>
    <w:rsid w:val="000D07EF"/>
    <w:rsid w:val="000D1183"/>
    <w:rsid w:val="000D2E26"/>
    <w:rsid w:val="000D44CA"/>
    <w:rsid w:val="000D6579"/>
    <w:rsid w:val="000E0B74"/>
    <w:rsid w:val="000E1345"/>
    <w:rsid w:val="000E2288"/>
    <w:rsid w:val="000E2CF8"/>
    <w:rsid w:val="000E5ED0"/>
    <w:rsid w:val="000E7901"/>
    <w:rsid w:val="000F05A2"/>
    <w:rsid w:val="000F6233"/>
    <w:rsid w:val="000F7F95"/>
    <w:rsid w:val="00100DDB"/>
    <w:rsid w:val="00102B18"/>
    <w:rsid w:val="00102D25"/>
    <w:rsid w:val="001039F8"/>
    <w:rsid w:val="00103F3C"/>
    <w:rsid w:val="00103FF8"/>
    <w:rsid w:val="001055B5"/>
    <w:rsid w:val="00106A25"/>
    <w:rsid w:val="0011064A"/>
    <w:rsid w:val="00110688"/>
    <w:rsid w:val="001118CB"/>
    <w:rsid w:val="00112215"/>
    <w:rsid w:val="00115261"/>
    <w:rsid w:val="0011569F"/>
    <w:rsid w:val="00116D69"/>
    <w:rsid w:val="00117DD1"/>
    <w:rsid w:val="00121173"/>
    <w:rsid w:val="001213F0"/>
    <w:rsid w:val="0012509F"/>
    <w:rsid w:val="00125D76"/>
    <w:rsid w:val="00126A0C"/>
    <w:rsid w:val="00126A8E"/>
    <w:rsid w:val="0012782E"/>
    <w:rsid w:val="00131DC3"/>
    <w:rsid w:val="001330BD"/>
    <w:rsid w:val="00133206"/>
    <w:rsid w:val="00134443"/>
    <w:rsid w:val="001345BC"/>
    <w:rsid w:val="00135E4C"/>
    <w:rsid w:val="00136BB6"/>
    <w:rsid w:val="001373F5"/>
    <w:rsid w:val="00137DFB"/>
    <w:rsid w:val="00140291"/>
    <w:rsid w:val="00140C8E"/>
    <w:rsid w:val="00141D8C"/>
    <w:rsid w:val="00145214"/>
    <w:rsid w:val="00145F18"/>
    <w:rsid w:val="00146054"/>
    <w:rsid w:val="0014656B"/>
    <w:rsid w:val="00146684"/>
    <w:rsid w:val="001505D7"/>
    <w:rsid w:val="0015216D"/>
    <w:rsid w:val="00152553"/>
    <w:rsid w:val="001528FD"/>
    <w:rsid w:val="00152B11"/>
    <w:rsid w:val="00153053"/>
    <w:rsid w:val="00153273"/>
    <w:rsid w:val="001553E5"/>
    <w:rsid w:val="001563FE"/>
    <w:rsid w:val="00157407"/>
    <w:rsid w:val="001574C0"/>
    <w:rsid w:val="001575C0"/>
    <w:rsid w:val="001606CF"/>
    <w:rsid w:val="0016119A"/>
    <w:rsid w:val="0016128D"/>
    <w:rsid w:val="0016150B"/>
    <w:rsid w:val="00161BD6"/>
    <w:rsid w:val="00164599"/>
    <w:rsid w:val="001662A0"/>
    <w:rsid w:val="00166A2D"/>
    <w:rsid w:val="0017089D"/>
    <w:rsid w:val="00170A71"/>
    <w:rsid w:val="001755AB"/>
    <w:rsid w:val="001805A8"/>
    <w:rsid w:val="00182904"/>
    <w:rsid w:val="00182B0E"/>
    <w:rsid w:val="001833D7"/>
    <w:rsid w:val="0018536F"/>
    <w:rsid w:val="00187983"/>
    <w:rsid w:val="0019101A"/>
    <w:rsid w:val="00193CDA"/>
    <w:rsid w:val="00195C8E"/>
    <w:rsid w:val="00196673"/>
    <w:rsid w:val="00196A2E"/>
    <w:rsid w:val="001972D2"/>
    <w:rsid w:val="00197E82"/>
    <w:rsid w:val="001A0A4D"/>
    <w:rsid w:val="001A2260"/>
    <w:rsid w:val="001A24A1"/>
    <w:rsid w:val="001A4504"/>
    <w:rsid w:val="001A6A1C"/>
    <w:rsid w:val="001B1A12"/>
    <w:rsid w:val="001B25BF"/>
    <w:rsid w:val="001B5677"/>
    <w:rsid w:val="001B5B6D"/>
    <w:rsid w:val="001B644C"/>
    <w:rsid w:val="001B6D86"/>
    <w:rsid w:val="001C358D"/>
    <w:rsid w:val="001C35DF"/>
    <w:rsid w:val="001C40A0"/>
    <w:rsid w:val="001C6900"/>
    <w:rsid w:val="001D02AB"/>
    <w:rsid w:val="001D11A8"/>
    <w:rsid w:val="001D24B9"/>
    <w:rsid w:val="001D3F7F"/>
    <w:rsid w:val="001D7C2C"/>
    <w:rsid w:val="001E05B6"/>
    <w:rsid w:val="001E166C"/>
    <w:rsid w:val="001E666D"/>
    <w:rsid w:val="001F1B27"/>
    <w:rsid w:val="001F5C48"/>
    <w:rsid w:val="001F697E"/>
    <w:rsid w:val="002005B9"/>
    <w:rsid w:val="0020269C"/>
    <w:rsid w:val="00204845"/>
    <w:rsid w:val="0020646A"/>
    <w:rsid w:val="00206F41"/>
    <w:rsid w:val="002075FD"/>
    <w:rsid w:val="002102AC"/>
    <w:rsid w:val="0021040E"/>
    <w:rsid w:val="00210FD9"/>
    <w:rsid w:val="0022037B"/>
    <w:rsid w:val="00220CC6"/>
    <w:rsid w:val="0022148F"/>
    <w:rsid w:val="00221EC0"/>
    <w:rsid w:val="0022533E"/>
    <w:rsid w:val="002259C4"/>
    <w:rsid w:val="00226F5F"/>
    <w:rsid w:val="00230CD1"/>
    <w:rsid w:val="00231049"/>
    <w:rsid w:val="002314D2"/>
    <w:rsid w:val="00231601"/>
    <w:rsid w:val="002316E4"/>
    <w:rsid w:val="00232D84"/>
    <w:rsid w:val="00232FB5"/>
    <w:rsid w:val="0023305C"/>
    <w:rsid w:val="00233642"/>
    <w:rsid w:val="00233BE1"/>
    <w:rsid w:val="00233D85"/>
    <w:rsid w:val="002348A9"/>
    <w:rsid w:val="00234921"/>
    <w:rsid w:val="00234F82"/>
    <w:rsid w:val="002368D9"/>
    <w:rsid w:val="0024075E"/>
    <w:rsid w:val="00240838"/>
    <w:rsid w:val="00241881"/>
    <w:rsid w:val="00242721"/>
    <w:rsid w:val="0024294C"/>
    <w:rsid w:val="002461BA"/>
    <w:rsid w:val="0024689F"/>
    <w:rsid w:val="0024784C"/>
    <w:rsid w:val="0025072F"/>
    <w:rsid w:val="002533A1"/>
    <w:rsid w:val="002543D8"/>
    <w:rsid w:val="002548E1"/>
    <w:rsid w:val="00256408"/>
    <w:rsid w:val="0025652F"/>
    <w:rsid w:val="002605AB"/>
    <w:rsid w:val="00260A2F"/>
    <w:rsid w:val="00260E27"/>
    <w:rsid w:val="00261F3E"/>
    <w:rsid w:val="00263B6C"/>
    <w:rsid w:val="0026661A"/>
    <w:rsid w:val="0026721A"/>
    <w:rsid w:val="00267C74"/>
    <w:rsid w:val="00272939"/>
    <w:rsid w:val="00273280"/>
    <w:rsid w:val="0027416E"/>
    <w:rsid w:val="00274F14"/>
    <w:rsid w:val="0027590B"/>
    <w:rsid w:val="00277AB9"/>
    <w:rsid w:val="002833E5"/>
    <w:rsid w:val="00285969"/>
    <w:rsid w:val="002860FA"/>
    <w:rsid w:val="0028744B"/>
    <w:rsid w:val="00290223"/>
    <w:rsid w:val="00290B99"/>
    <w:rsid w:val="002933E3"/>
    <w:rsid w:val="00294DC7"/>
    <w:rsid w:val="00295B30"/>
    <w:rsid w:val="00295CEF"/>
    <w:rsid w:val="002A01C4"/>
    <w:rsid w:val="002A2888"/>
    <w:rsid w:val="002A2CD3"/>
    <w:rsid w:val="002A3987"/>
    <w:rsid w:val="002A4A2D"/>
    <w:rsid w:val="002A5C9E"/>
    <w:rsid w:val="002A6297"/>
    <w:rsid w:val="002A738F"/>
    <w:rsid w:val="002A74EF"/>
    <w:rsid w:val="002A7A31"/>
    <w:rsid w:val="002B045A"/>
    <w:rsid w:val="002B16A4"/>
    <w:rsid w:val="002B1D34"/>
    <w:rsid w:val="002B254B"/>
    <w:rsid w:val="002B3829"/>
    <w:rsid w:val="002B3874"/>
    <w:rsid w:val="002B455C"/>
    <w:rsid w:val="002B5DEA"/>
    <w:rsid w:val="002B78DC"/>
    <w:rsid w:val="002B7BF5"/>
    <w:rsid w:val="002B7E36"/>
    <w:rsid w:val="002C22EF"/>
    <w:rsid w:val="002C512B"/>
    <w:rsid w:val="002C6396"/>
    <w:rsid w:val="002D283E"/>
    <w:rsid w:val="002D4363"/>
    <w:rsid w:val="002D4428"/>
    <w:rsid w:val="002D4D99"/>
    <w:rsid w:val="002D5222"/>
    <w:rsid w:val="002D637E"/>
    <w:rsid w:val="002E1FB6"/>
    <w:rsid w:val="002E3730"/>
    <w:rsid w:val="002E454C"/>
    <w:rsid w:val="002E5425"/>
    <w:rsid w:val="002E5701"/>
    <w:rsid w:val="002F237A"/>
    <w:rsid w:val="002F2BD5"/>
    <w:rsid w:val="002F4439"/>
    <w:rsid w:val="002F45DE"/>
    <w:rsid w:val="002F5F06"/>
    <w:rsid w:val="002F604C"/>
    <w:rsid w:val="002F617F"/>
    <w:rsid w:val="002F67E7"/>
    <w:rsid w:val="00300109"/>
    <w:rsid w:val="00300684"/>
    <w:rsid w:val="00300F59"/>
    <w:rsid w:val="00301755"/>
    <w:rsid w:val="0030263B"/>
    <w:rsid w:val="003033F8"/>
    <w:rsid w:val="00303569"/>
    <w:rsid w:val="003046E0"/>
    <w:rsid w:val="00304954"/>
    <w:rsid w:val="0030665E"/>
    <w:rsid w:val="00306894"/>
    <w:rsid w:val="00307367"/>
    <w:rsid w:val="00307A25"/>
    <w:rsid w:val="00310CDD"/>
    <w:rsid w:val="00312201"/>
    <w:rsid w:val="003122F4"/>
    <w:rsid w:val="0031230E"/>
    <w:rsid w:val="00312982"/>
    <w:rsid w:val="00314EAF"/>
    <w:rsid w:val="00315BE2"/>
    <w:rsid w:val="003162C7"/>
    <w:rsid w:val="00317373"/>
    <w:rsid w:val="00317F0F"/>
    <w:rsid w:val="003203DE"/>
    <w:rsid w:val="00321FB6"/>
    <w:rsid w:val="00323505"/>
    <w:rsid w:val="00324540"/>
    <w:rsid w:val="003253D5"/>
    <w:rsid w:val="003268D5"/>
    <w:rsid w:val="00327F66"/>
    <w:rsid w:val="00332879"/>
    <w:rsid w:val="00332EC3"/>
    <w:rsid w:val="00333227"/>
    <w:rsid w:val="00334C9B"/>
    <w:rsid w:val="00334E1C"/>
    <w:rsid w:val="00336DA9"/>
    <w:rsid w:val="003370D0"/>
    <w:rsid w:val="0033755F"/>
    <w:rsid w:val="003417BE"/>
    <w:rsid w:val="0034245D"/>
    <w:rsid w:val="003427F5"/>
    <w:rsid w:val="00342839"/>
    <w:rsid w:val="003448F6"/>
    <w:rsid w:val="00345BC2"/>
    <w:rsid w:val="00350759"/>
    <w:rsid w:val="0035299F"/>
    <w:rsid w:val="0035328A"/>
    <w:rsid w:val="003536B6"/>
    <w:rsid w:val="00354D27"/>
    <w:rsid w:val="00355FE8"/>
    <w:rsid w:val="003563F7"/>
    <w:rsid w:val="0035738A"/>
    <w:rsid w:val="00364711"/>
    <w:rsid w:val="00371B0A"/>
    <w:rsid w:val="00373E24"/>
    <w:rsid w:val="00375655"/>
    <w:rsid w:val="003813AE"/>
    <w:rsid w:val="003816BA"/>
    <w:rsid w:val="003829D6"/>
    <w:rsid w:val="00383DAB"/>
    <w:rsid w:val="003853A7"/>
    <w:rsid w:val="003858A6"/>
    <w:rsid w:val="00386297"/>
    <w:rsid w:val="0038785E"/>
    <w:rsid w:val="00390A1E"/>
    <w:rsid w:val="00392DCC"/>
    <w:rsid w:val="00393369"/>
    <w:rsid w:val="003944FF"/>
    <w:rsid w:val="0039656E"/>
    <w:rsid w:val="00397BB5"/>
    <w:rsid w:val="003A103A"/>
    <w:rsid w:val="003A11F7"/>
    <w:rsid w:val="003A1AF7"/>
    <w:rsid w:val="003A409F"/>
    <w:rsid w:val="003A5B36"/>
    <w:rsid w:val="003A6232"/>
    <w:rsid w:val="003A64CC"/>
    <w:rsid w:val="003B3B64"/>
    <w:rsid w:val="003B4C21"/>
    <w:rsid w:val="003B798D"/>
    <w:rsid w:val="003C070B"/>
    <w:rsid w:val="003C17D0"/>
    <w:rsid w:val="003C1BE6"/>
    <w:rsid w:val="003C24B4"/>
    <w:rsid w:val="003C35BE"/>
    <w:rsid w:val="003C40AC"/>
    <w:rsid w:val="003C48CF"/>
    <w:rsid w:val="003D26B2"/>
    <w:rsid w:val="003D3018"/>
    <w:rsid w:val="003D444E"/>
    <w:rsid w:val="003D451D"/>
    <w:rsid w:val="003D5386"/>
    <w:rsid w:val="003D5580"/>
    <w:rsid w:val="003D5699"/>
    <w:rsid w:val="003D6C16"/>
    <w:rsid w:val="003E05E8"/>
    <w:rsid w:val="003E20D6"/>
    <w:rsid w:val="003E4D87"/>
    <w:rsid w:val="003E7D76"/>
    <w:rsid w:val="003F0E1E"/>
    <w:rsid w:val="003F3D9F"/>
    <w:rsid w:val="003F7AD9"/>
    <w:rsid w:val="00400FDE"/>
    <w:rsid w:val="00401082"/>
    <w:rsid w:val="00401330"/>
    <w:rsid w:val="004024E0"/>
    <w:rsid w:val="004025E4"/>
    <w:rsid w:val="00406031"/>
    <w:rsid w:val="00406F01"/>
    <w:rsid w:val="00407230"/>
    <w:rsid w:val="0040739D"/>
    <w:rsid w:val="0040773F"/>
    <w:rsid w:val="00410819"/>
    <w:rsid w:val="0041092D"/>
    <w:rsid w:val="00410BB2"/>
    <w:rsid w:val="00412641"/>
    <w:rsid w:val="0041661E"/>
    <w:rsid w:val="004166FE"/>
    <w:rsid w:val="00416762"/>
    <w:rsid w:val="00416DBD"/>
    <w:rsid w:val="00416E55"/>
    <w:rsid w:val="00416F5C"/>
    <w:rsid w:val="00417B71"/>
    <w:rsid w:val="00421955"/>
    <w:rsid w:val="004248E7"/>
    <w:rsid w:val="0042518A"/>
    <w:rsid w:val="004253E0"/>
    <w:rsid w:val="00425D9E"/>
    <w:rsid w:val="00425FF5"/>
    <w:rsid w:val="00425FF6"/>
    <w:rsid w:val="004276A0"/>
    <w:rsid w:val="004313DD"/>
    <w:rsid w:val="00431BD8"/>
    <w:rsid w:val="004324C1"/>
    <w:rsid w:val="004358F6"/>
    <w:rsid w:val="00435FE8"/>
    <w:rsid w:val="00436363"/>
    <w:rsid w:val="004364D4"/>
    <w:rsid w:val="004367BE"/>
    <w:rsid w:val="0043680A"/>
    <w:rsid w:val="0043725E"/>
    <w:rsid w:val="004374FA"/>
    <w:rsid w:val="0043784F"/>
    <w:rsid w:val="0044134E"/>
    <w:rsid w:val="00442D8E"/>
    <w:rsid w:val="00444A63"/>
    <w:rsid w:val="00445265"/>
    <w:rsid w:val="0044638B"/>
    <w:rsid w:val="004465E1"/>
    <w:rsid w:val="00447386"/>
    <w:rsid w:val="0044742C"/>
    <w:rsid w:val="0045000E"/>
    <w:rsid w:val="0045288D"/>
    <w:rsid w:val="0045472F"/>
    <w:rsid w:val="004559CE"/>
    <w:rsid w:val="00455C1B"/>
    <w:rsid w:val="00460E1A"/>
    <w:rsid w:val="0046173B"/>
    <w:rsid w:val="00462606"/>
    <w:rsid w:val="00462E15"/>
    <w:rsid w:val="00463936"/>
    <w:rsid w:val="00463DF8"/>
    <w:rsid w:val="00463EEB"/>
    <w:rsid w:val="00466E52"/>
    <w:rsid w:val="0046712A"/>
    <w:rsid w:val="00470D4E"/>
    <w:rsid w:val="00471971"/>
    <w:rsid w:val="00473E23"/>
    <w:rsid w:val="004748C4"/>
    <w:rsid w:val="00475085"/>
    <w:rsid w:val="004755DA"/>
    <w:rsid w:val="00476163"/>
    <w:rsid w:val="00476CF6"/>
    <w:rsid w:val="00477AA8"/>
    <w:rsid w:val="00481933"/>
    <w:rsid w:val="004862FA"/>
    <w:rsid w:val="00492FCB"/>
    <w:rsid w:val="00493B8B"/>
    <w:rsid w:val="00495664"/>
    <w:rsid w:val="00495E71"/>
    <w:rsid w:val="00496024"/>
    <w:rsid w:val="004967B4"/>
    <w:rsid w:val="00496A58"/>
    <w:rsid w:val="004A001A"/>
    <w:rsid w:val="004A0F11"/>
    <w:rsid w:val="004A1044"/>
    <w:rsid w:val="004A3033"/>
    <w:rsid w:val="004A3EAA"/>
    <w:rsid w:val="004A53E9"/>
    <w:rsid w:val="004A7D5D"/>
    <w:rsid w:val="004A7D97"/>
    <w:rsid w:val="004B2ADA"/>
    <w:rsid w:val="004B3FAC"/>
    <w:rsid w:val="004B5133"/>
    <w:rsid w:val="004C09D6"/>
    <w:rsid w:val="004C0C92"/>
    <w:rsid w:val="004C2902"/>
    <w:rsid w:val="004C315F"/>
    <w:rsid w:val="004C3EE2"/>
    <w:rsid w:val="004C41B6"/>
    <w:rsid w:val="004C75CB"/>
    <w:rsid w:val="004C7DC1"/>
    <w:rsid w:val="004D0DB0"/>
    <w:rsid w:val="004D1337"/>
    <w:rsid w:val="004D3467"/>
    <w:rsid w:val="004D5B4A"/>
    <w:rsid w:val="004D5F05"/>
    <w:rsid w:val="004D6E37"/>
    <w:rsid w:val="004D71A5"/>
    <w:rsid w:val="004E00EA"/>
    <w:rsid w:val="004E0E3C"/>
    <w:rsid w:val="004E2337"/>
    <w:rsid w:val="004E2842"/>
    <w:rsid w:val="004E2D99"/>
    <w:rsid w:val="004E38F7"/>
    <w:rsid w:val="004E5BD1"/>
    <w:rsid w:val="004E622E"/>
    <w:rsid w:val="004E6B14"/>
    <w:rsid w:val="004F164B"/>
    <w:rsid w:val="004F2103"/>
    <w:rsid w:val="004F29C7"/>
    <w:rsid w:val="004F4B92"/>
    <w:rsid w:val="004F7643"/>
    <w:rsid w:val="004F7857"/>
    <w:rsid w:val="004F7E2A"/>
    <w:rsid w:val="004F7EBD"/>
    <w:rsid w:val="00501428"/>
    <w:rsid w:val="00501B6C"/>
    <w:rsid w:val="00502A9D"/>
    <w:rsid w:val="00504D60"/>
    <w:rsid w:val="005106BA"/>
    <w:rsid w:val="00511815"/>
    <w:rsid w:val="005159F1"/>
    <w:rsid w:val="00516785"/>
    <w:rsid w:val="005215A0"/>
    <w:rsid w:val="0052260B"/>
    <w:rsid w:val="00522E76"/>
    <w:rsid w:val="0052419D"/>
    <w:rsid w:val="00525236"/>
    <w:rsid w:val="005255E6"/>
    <w:rsid w:val="005301F8"/>
    <w:rsid w:val="00530B48"/>
    <w:rsid w:val="005312FC"/>
    <w:rsid w:val="005313A9"/>
    <w:rsid w:val="00532C6D"/>
    <w:rsid w:val="0053569E"/>
    <w:rsid w:val="005358E3"/>
    <w:rsid w:val="0053603D"/>
    <w:rsid w:val="005363B9"/>
    <w:rsid w:val="00536CE8"/>
    <w:rsid w:val="0053742A"/>
    <w:rsid w:val="00537C85"/>
    <w:rsid w:val="00541D29"/>
    <w:rsid w:val="00542AC6"/>
    <w:rsid w:val="005430DB"/>
    <w:rsid w:val="00543F23"/>
    <w:rsid w:val="0054457D"/>
    <w:rsid w:val="005460E0"/>
    <w:rsid w:val="005467B0"/>
    <w:rsid w:val="00547397"/>
    <w:rsid w:val="00550463"/>
    <w:rsid w:val="00550D7C"/>
    <w:rsid w:val="00551B5E"/>
    <w:rsid w:val="005531ED"/>
    <w:rsid w:val="00553596"/>
    <w:rsid w:val="00555F9C"/>
    <w:rsid w:val="005563FC"/>
    <w:rsid w:val="00562F17"/>
    <w:rsid w:val="00563598"/>
    <w:rsid w:val="00563C81"/>
    <w:rsid w:val="0056582C"/>
    <w:rsid w:val="0056744A"/>
    <w:rsid w:val="0057025A"/>
    <w:rsid w:val="00572A23"/>
    <w:rsid w:val="005776B2"/>
    <w:rsid w:val="00577D6E"/>
    <w:rsid w:val="005828C2"/>
    <w:rsid w:val="0058374C"/>
    <w:rsid w:val="00584141"/>
    <w:rsid w:val="00584DC9"/>
    <w:rsid w:val="00586605"/>
    <w:rsid w:val="005868DE"/>
    <w:rsid w:val="00586EE8"/>
    <w:rsid w:val="005877AC"/>
    <w:rsid w:val="0059075C"/>
    <w:rsid w:val="00593D19"/>
    <w:rsid w:val="005943B3"/>
    <w:rsid w:val="005966B7"/>
    <w:rsid w:val="005A0464"/>
    <w:rsid w:val="005A238F"/>
    <w:rsid w:val="005A2DFA"/>
    <w:rsid w:val="005A3884"/>
    <w:rsid w:val="005A564F"/>
    <w:rsid w:val="005A6741"/>
    <w:rsid w:val="005B4BF1"/>
    <w:rsid w:val="005B4DEE"/>
    <w:rsid w:val="005B5E2A"/>
    <w:rsid w:val="005C02A4"/>
    <w:rsid w:val="005C20D2"/>
    <w:rsid w:val="005C32FE"/>
    <w:rsid w:val="005C374F"/>
    <w:rsid w:val="005C4659"/>
    <w:rsid w:val="005C503A"/>
    <w:rsid w:val="005C57A8"/>
    <w:rsid w:val="005C7087"/>
    <w:rsid w:val="005D024A"/>
    <w:rsid w:val="005D1575"/>
    <w:rsid w:val="005D2D74"/>
    <w:rsid w:val="005D3019"/>
    <w:rsid w:val="005D41C6"/>
    <w:rsid w:val="005D4FD4"/>
    <w:rsid w:val="005D6601"/>
    <w:rsid w:val="005D6D64"/>
    <w:rsid w:val="005E0B8B"/>
    <w:rsid w:val="005E1A06"/>
    <w:rsid w:val="005E4657"/>
    <w:rsid w:val="005E48FC"/>
    <w:rsid w:val="005E65E4"/>
    <w:rsid w:val="005E71F6"/>
    <w:rsid w:val="005F0652"/>
    <w:rsid w:val="005F2968"/>
    <w:rsid w:val="005F49A5"/>
    <w:rsid w:val="006002B1"/>
    <w:rsid w:val="00600E2E"/>
    <w:rsid w:val="00601650"/>
    <w:rsid w:val="006024D0"/>
    <w:rsid w:val="00602F81"/>
    <w:rsid w:val="00604EEF"/>
    <w:rsid w:val="00605AFD"/>
    <w:rsid w:val="00606B5B"/>
    <w:rsid w:val="00607846"/>
    <w:rsid w:val="00607D31"/>
    <w:rsid w:val="006123D4"/>
    <w:rsid w:val="0061445B"/>
    <w:rsid w:val="006151AA"/>
    <w:rsid w:val="00616EE8"/>
    <w:rsid w:val="0061732F"/>
    <w:rsid w:val="00617429"/>
    <w:rsid w:val="00617EB5"/>
    <w:rsid w:val="00621C0A"/>
    <w:rsid w:val="00622B55"/>
    <w:rsid w:val="006237A6"/>
    <w:rsid w:val="006246A2"/>
    <w:rsid w:val="00624C4B"/>
    <w:rsid w:val="00625119"/>
    <w:rsid w:val="00626A6C"/>
    <w:rsid w:val="006312CB"/>
    <w:rsid w:val="006329E0"/>
    <w:rsid w:val="00633754"/>
    <w:rsid w:val="00633B71"/>
    <w:rsid w:val="006402B1"/>
    <w:rsid w:val="00642A06"/>
    <w:rsid w:val="00642A30"/>
    <w:rsid w:val="00642EAA"/>
    <w:rsid w:val="006430CE"/>
    <w:rsid w:val="00645A75"/>
    <w:rsid w:val="00646435"/>
    <w:rsid w:val="006469CC"/>
    <w:rsid w:val="0064792A"/>
    <w:rsid w:val="0065201E"/>
    <w:rsid w:val="00652520"/>
    <w:rsid w:val="00653C44"/>
    <w:rsid w:val="00654C7D"/>
    <w:rsid w:val="006550E8"/>
    <w:rsid w:val="00660579"/>
    <w:rsid w:val="00661A62"/>
    <w:rsid w:val="00661F99"/>
    <w:rsid w:val="00663159"/>
    <w:rsid w:val="0066473D"/>
    <w:rsid w:val="00665539"/>
    <w:rsid w:val="006657FC"/>
    <w:rsid w:val="00665CE2"/>
    <w:rsid w:val="00671E3F"/>
    <w:rsid w:val="00671E7D"/>
    <w:rsid w:val="00672B5D"/>
    <w:rsid w:val="00674B0E"/>
    <w:rsid w:val="0067622C"/>
    <w:rsid w:val="0067691D"/>
    <w:rsid w:val="00677B00"/>
    <w:rsid w:val="00682249"/>
    <w:rsid w:val="00682CEB"/>
    <w:rsid w:val="00683EA4"/>
    <w:rsid w:val="00685CF7"/>
    <w:rsid w:val="00686165"/>
    <w:rsid w:val="0069020E"/>
    <w:rsid w:val="00691CB5"/>
    <w:rsid w:val="00692112"/>
    <w:rsid w:val="006923DF"/>
    <w:rsid w:val="006A0323"/>
    <w:rsid w:val="006A2F4B"/>
    <w:rsid w:val="006A3622"/>
    <w:rsid w:val="006A37F5"/>
    <w:rsid w:val="006A4FCE"/>
    <w:rsid w:val="006A638F"/>
    <w:rsid w:val="006A6E2F"/>
    <w:rsid w:val="006B24A0"/>
    <w:rsid w:val="006B38FF"/>
    <w:rsid w:val="006B6CA6"/>
    <w:rsid w:val="006C061E"/>
    <w:rsid w:val="006C0AB1"/>
    <w:rsid w:val="006C1892"/>
    <w:rsid w:val="006C21C7"/>
    <w:rsid w:val="006C3B7A"/>
    <w:rsid w:val="006C3C96"/>
    <w:rsid w:val="006C57AD"/>
    <w:rsid w:val="006C5B73"/>
    <w:rsid w:val="006C645D"/>
    <w:rsid w:val="006D594F"/>
    <w:rsid w:val="006D63D3"/>
    <w:rsid w:val="006D6D8E"/>
    <w:rsid w:val="006E03FB"/>
    <w:rsid w:val="006E1906"/>
    <w:rsid w:val="006E1A81"/>
    <w:rsid w:val="006E2D2A"/>
    <w:rsid w:val="006E2F66"/>
    <w:rsid w:val="006E3404"/>
    <w:rsid w:val="006E3CC3"/>
    <w:rsid w:val="006E69E0"/>
    <w:rsid w:val="006E79E3"/>
    <w:rsid w:val="006F1D1B"/>
    <w:rsid w:val="006F2FBF"/>
    <w:rsid w:val="006F612F"/>
    <w:rsid w:val="0070004E"/>
    <w:rsid w:val="00701614"/>
    <w:rsid w:val="0070176F"/>
    <w:rsid w:val="0070387F"/>
    <w:rsid w:val="007063D6"/>
    <w:rsid w:val="007069C8"/>
    <w:rsid w:val="00706E8E"/>
    <w:rsid w:val="00707057"/>
    <w:rsid w:val="0070733C"/>
    <w:rsid w:val="0071063B"/>
    <w:rsid w:val="00710B0C"/>
    <w:rsid w:val="00711F0E"/>
    <w:rsid w:val="00720515"/>
    <w:rsid w:val="00722B53"/>
    <w:rsid w:val="007234C9"/>
    <w:rsid w:val="00724928"/>
    <w:rsid w:val="007250B8"/>
    <w:rsid w:val="0072608E"/>
    <w:rsid w:val="00736251"/>
    <w:rsid w:val="00737A2F"/>
    <w:rsid w:val="00740687"/>
    <w:rsid w:val="00742366"/>
    <w:rsid w:val="00743BCF"/>
    <w:rsid w:val="00743E95"/>
    <w:rsid w:val="00744484"/>
    <w:rsid w:val="00744F1E"/>
    <w:rsid w:val="0074526E"/>
    <w:rsid w:val="007472E8"/>
    <w:rsid w:val="007509DD"/>
    <w:rsid w:val="007516E1"/>
    <w:rsid w:val="007562CF"/>
    <w:rsid w:val="00757060"/>
    <w:rsid w:val="007612F5"/>
    <w:rsid w:val="00763474"/>
    <w:rsid w:val="00766184"/>
    <w:rsid w:val="00776BC2"/>
    <w:rsid w:val="00777222"/>
    <w:rsid w:val="00777510"/>
    <w:rsid w:val="00777E33"/>
    <w:rsid w:val="00780D2A"/>
    <w:rsid w:val="0078257B"/>
    <w:rsid w:val="00782F28"/>
    <w:rsid w:val="00783188"/>
    <w:rsid w:val="007832A6"/>
    <w:rsid w:val="00783D75"/>
    <w:rsid w:val="00784C0A"/>
    <w:rsid w:val="00794B40"/>
    <w:rsid w:val="00796BF9"/>
    <w:rsid w:val="00796D3F"/>
    <w:rsid w:val="00796E26"/>
    <w:rsid w:val="00797065"/>
    <w:rsid w:val="007974C2"/>
    <w:rsid w:val="00797756"/>
    <w:rsid w:val="007A1079"/>
    <w:rsid w:val="007A1B71"/>
    <w:rsid w:val="007A3930"/>
    <w:rsid w:val="007A554B"/>
    <w:rsid w:val="007A7314"/>
    <w:rsid w:val="007B2677"/>
    <w:rsid w:val="007B404E"/>
    <w:rsid w:val="007B664B"/>
    <w:rsid w:val="007B76AB"/>
    <w:rsid w:val="007C1DD6"/>
    <w:rsid w:val="007C7B21"/>
    <w:rsid w:val="007C7F10"/>
    <w:rsid w:val="007D2EA8"/>
    <w:rsid w:val="007D34CB"/>
    <w:rsid w:val="007D36D2"/>
    <w:rsid w:val="007D487C"/>
    <w:rsid w:val="007D592B"/>
    <w:rsid w:val="007D5AA6"/>
    <w:rsid w:val="007D732B"/>
    <w:rsid w:val="007D732E"/>
    <w:rsid w:val="007D7A91"/>
    <w:rsid w:val="007E070B"/>
    <w:rsid w:val="007E0B3E"/>
    <w:rsid w:val="007E2BC5"/>
    <w:rsid w:val="007E4D05"/>
    <w:rsid w:val="007E5B1F"/>
    <w:rsid w:val="007E5F8C"/>
    <w:rsid w:val="007E6456"/>
    <w:rsid w:val="007E6C86"/>
    <w:rsid w:val="007E7B02"/>
    <w:rsid w:val="007F2179"/>
    <w:rsid w:val="007F272D"/>
    <w:rsid w:val="007F5EC2"/>
    <w:rsid w:val="007F5F72"/>
    <w:rsid w:val="007F6A9C"/>
    <w:rsid w:val="00800227"/>
    <w:rsid w:val="00801987"/>
    <w:rsid w:val="00803607"/>
    <w:rsid w:val="00804885"/>
    <w:rsid w:val="00804B8D"/>
    <w:rsid w:val="00806AA7"/>
    <w:rsid w:val="00806BDB"/>
    <w:rsid w:val="00811943"/>
    <w:rsid w:val="008132C5"/>
    <w:rsid w:val="00813E8A"/>
    <w:rsid w:val="00815841"/>
    <w:rsid w:val="00815C81"/>
    <w:rsid w:val="00815CA9"/>
    <w:rsid w:val="0081748A"/>
    <w:rsid w:val="00822802"/>
    <w:rsid w:val="00822AF5"/>
    <w:rsid w:val="00822B00"/>
    <w:rsid w:val="008234AD"/>
    <w:rsid w:val="008239D5"/>
    <w:rsid w:val="008268C6"/>
    <w:rsid w:val="0083037B"/>
    <w:rsid w:val="008311B8"/>
    <w:rsid w:val="00831857"/>
    <w:rsid w:val="00834243"/>
    <w:rsid w:val="00836020"/>
    <w:rsid w:val="00836263"/>
    <w:rsid w:val="008370A5"/>
    <w:rsid w:val="008374C4"/>
    <w:rsid w:val="00837FC2"/>
    <w:rsid w:val="00840290"/>
    <w:rsid w:val="008410A7"/>
    <w:rsid w:val="00841167"/>
    <w:rsid w:val="00843F1B"/>
    <w:rsid w:val="00846C90"/>
    <w:rsid w:val="008504E7"/>
    <w:rsid w:val="00852126"/>
    <w:rsid w:val="00852185"/>
    <w:rsid w:val="00852586"/>
    <w:rsid w:val="0085436B"/>
    <w:rsid w:val="00855391"/>
    <w:rsid w:val="008562BC"/>
    <w:rsid w:val="008562D1"/>
    <w:rsid w:val="00856AA4"/>
    <w:rsid w:val="00857924"/>
    <w:rsid w:val="00857969"/>
    <w:rsid w:val="008601FA"/>
    <w:rsid w:val="00862AE5"/>
    <w:rsid w:val="008658CF"/>
    <w:rsid w:val="00866730"/>
    <w:rsid w:val="008668C6"/>
    <w:rsid w:val="008721C5"/>
    <w:rsid w:val="00873ED2"/>
    <w:rsid w:val="00873F16"/>
    <w:rsid w:val="0087419B"/>
    <w:rsid w:val="00874458"/>
    <w:rsid w:val="00881E5A"/>
    <w:rsid w:val="00882CC4"/>
    <w:rsid w:val="008844AC"/>
    <w:rsid w:val="00885B18"/>
    <w:rsid w:val="00886024"/>
    <w:rsid w:val="00890ED2"/>
    <w:rsid w:val="008912A2"/>
    <w:rsid w:val="008913D0"/>
    <w:rsid w:val="0089239D"/>
    <w:rsid w:val="008924A4"/>
    <w:rsid w:val="00895371"/>
    <w:rsid w:val="008959FE"/>
    <w:rsid w:val="00895B22"/>
    <w:rsid w:val="00897F46"/>
    <w:rsid w:val="008A05E9"/>
    <w:rsid w:val="008A0725"/>
    <w:rsid w:val="008A1920"/>
    <w:rsid w:val="008A1F28"/>
    <w:rsid w:val="008A47C4"/>
    <w:rsid w:val="008A4C05"/>
    <w:rsid w:val="008A4FAB"/>
    <w:rsid w:val="008A5571"/>
    <w:rsid w:val="008A5998"/>
    <w:rsid w:val="008A657B"/>
    <w:rsid w:val="008A7C7B"/>
    <w:rsid w:val="008A7F9F"/>
    <w:rsid w:val="008B044C"/>
    <w:rsid w:val="008B05E2"/>
    <w:rsid w:val="008B3C2F"/>
    <w:rsid w:val="008B54B0"/>
    <w:rsid w:val="008B576A"/>
    <w:rsid w:val="008C2C28"/>
    <w:rsid w:val="008C3F2C"/>
    <w:rsid w:val="008C7E1B"/>
    <w:rsid w:val="008C7F71"/>
    <w:rsid w:val="008D1891"/>
    <w:rsid w:val="008D2061"/>
    <w:rsid w:val="008D339F"/>
    <w:rsid w:val="008D37D3"/>
    <w:rsid w:val="008D442C"/>
    <w:rsid w:val="008D65AF"/>
    <w:rsid w:val="008D6882"/>
    <w:rsid w:val="008D69C5"/>
    <w:rsid w:val="008D76A4"/>
    <w:rsid w:val="008E0567"/>
    <w:rsid w:val="008E1A81"/>
    <w:rsid w:val="008E24D2"/>
    <w:rsid w:val="008E3A51"/>
    <w:rsid w:val="008E3D1A"/>
    <w:rsid w:val="008E4502"/>
    <w:rsid w:val="008E4AB7"/>
    <w:rsid w:val="008E5244"/>
    <w:rsid w:val="008E5A6B"/>
    <w:rsid w:val="008E6292"/>
    <w:rsid w:val="008E75A1"/>
    <w:rsid w:val="008F194A"/>
    <w:rsid w:val="008F23EB"/>
    <w:rsid w:val="008F5EAD"/>
    <w:rsid w:val="00900E5C"/>
    <w:rsid w:val="009014E4"/>
    <w:rsid w:val="00902467"/>
    <w:rsid w:val="009041E4"/>
    <w:rsid w:val="009045B6"/>
    <w:rsid w:val="009069E2"/>
    <w:rsid w:val="00906E61"/>
    <w:rsid w:val="00907D79"/>
    <w:rsid w:val="00907EAD"/>
    <w:rsid w:val="009101C9"/>
    <w:rsid w:val="00910BB3"/>
    <w:rsid w:val="00915863"/>
    <w:rsid w:val="00916A18"/>
    <w:rsid w:val="009178AC"/>
    <w:rsid w:val="00917AEA"/>
    <w:rsid w:val="00917E28"/>
    <w:rsid w:val="00920093"/>
    <w:rsid w:val="00923717"/>
    <w:rsid w:val="00925AA5"/>
    <w:rsid w:val="009318E1"/>
    <w:rsid w:val="00931FD3"/>
    <w:rsid w:val="0093540D"/>
    <w:rsid w:val="00935694"/>
    <w:rsid w:val="009361DC"/>
    <w:rsid w:val="00936E5E"/>
    <w:rsid w:val="0094019D"/>
    <w:rsid w:val="00940844"/>
    <w:rsid w:val="00942635"/>
    <w:rsid w:val="00942C11"/>
    <w:rsid w:val="0094351F"/>
    <w:rsid w:val="00944585"/>
    <w:rsid w:val="009468D2"/>
    <w:rsid w:val="00950834"/>
    <w:rsid w:val="009547F8"/>
    <w:rsid w:val="0095520C"/>
    <w:rsid w:val="00957F3B"/>
    <w:rsid w:val="00960C08"/>
    <w:rsid w:val="00961EF5"/>
    <w:rsid w:val="00962ACF"/>
    <w:rsid w:val="00970DE8"/>
    <w:rsid w:val="00971DF3"/>
    <w:rsid w:val="0097240F"/>
    <w:rsid w:val="009729D4"/>
    <w:rsid w:val="00974F98"/>
    <w:rsid w:val="0097526B"/>
    <w:rsid w:val="009753AB"/>
    <w:rsid w:val="00980759"/>
    <w:rsid w:val="00981753"/>
    <w:rsid w:val="009817B0"/>
    <w:rsid w:val="009821CE"/>
    <w:rsid w:val="00983E02"/>
    <w:rsid w:val="00983E5C"/>
    <w:rsid w:val="00984EDB"/>
    <w:rsid w:val="00984F58"/>
    <w:rsid w:val="00990034"/>
    <w:rsid w:val="00994CD8"/>
    <w:rsid w:val="00995BB3"/>
    <w:rsid w:val="00996A92"/>
    <w:rsid w:val="009974F1"/>
    <w:rsid w:val="009978C9"/>
    <w:rsid w:val="009A08BD"/>
    <w:rsid w:val="009A0F9D"/>
    <w:rsid w:val="009A194D"/>
    <w:rsid w:val="009A2365"/>
    <w:rsid w:val="009A277C"/>
    <w:rsid w:val="009A450C"/>
    <w:rsid w:val="009A5EAA"/>
    <w:rsid w:val="009A658F"/>
    <w:rsid w:val="009A6B7E"/>
    <w:rsid w:val="009B088F"/>
    <w:rsid w:val="009B19DC"/>
    <w:rsid w:val="009B2249"/>
    <w:rsid w:val="009B24FD"/>
    <w:rsid w:val="009B4436"/>
    <w:rsid w:val="009B5832"/>
    <w:rsid w:val="009B70C7"/>
    <w:rsid w:val="009C03E5"/>
    <w:rsid w:val="009C0C22"/>
    <w:rsid w:val="009C1E93"/>
    <w:rsid w:val="009C3EC8"/>
    <w:rsid w:val="009C50D0"/>
    <w:rsid w:val="009C5E6B"/>
    <w:rsid w:val="009C61EE"/>
    <w:rsid w:val="009C733E"/>
    <w:rsid w:val="009C7E17"/>
    <w:rsid w:val="009D2282"/>
    <w:rsid w:val="009D2CFF"/>
    <w:rsid w:val="009D318E"/>
    <w:rsid w:val="009D4675"/>
    <w:rsid w:val="009D46D2"/>
    <w:rsid w:val="009D49E8"/>
    <w:rsid w:val="009E0CA5"/>
    <w:rsid w:val="009E171B"/>
    <w:rsid w:val="009E17A9"/>
    <w:rsid w:val="009E47AD"/>
    <w:rsid w:val="009E5142"/>
    <w:rsid w:val="009F0E8C"/>
    <w:rsid w:val="009F18AC"/>
    <w:rsid w:val="009F1B6D"/>
    <w:rsid w:val="009F3E9C"/>
    <w:rsid w:val="009F59F6"/>
    <w:rsid w:val="009F7213"/>
    <w:rsid w:val="009F7A0C"/>
    <w:rsid w:val="00A015E8"/>
    <w:rsid w:val="00A0211D"/>
    <w:rsid w:val="00A02C5B"/>
    <w:rsid w:val="00A03484"/>
    <w:rsid w:val="00A06231"/>
    <w:rsid w:val="00A0647E"/>
    <w:rsid w:val="00A064CC"/>
    <w:rsid w:val="00A07D47"/>
    <w:rsid w:val="00A10593"/>
    <w:rsid w:val="00A12F62"/>
    <w:rsid w:val="00A14FE9"/>
    <w:rsid w:val="00A15256"/>
    <w:rsid w:val="00A152A6"/>
    <w:rsid w:val="00A21A3C"/>
    <w:rsid w:val="00A236E2"/>
    <w:rsid w:val="00A2598A"/>
    <w:rsid w:val="00A27776"/>
    <w:rsid w:val="00A311A7"/>
    <w:rsid w:val="00A31956"/>
    <w:rsid w:val="00A31EFA"/>
    <w:rsid w:val="00A33267"/>
    <w:rsid w:val="00A34187"/>
    <w:rsid w:val="00A36AFD"/>
    <w:rsid w:val="00A3749B"/>
    <w:rsid w:val="00A37D87"/>
    <w:rsid w:val="00A426BB"/>
    <w:rsid w:val="00A4321B"/>
    <w:rsid w:val="00A448EA"/>
    <w:rsid w:val="00A4495D"/>
    <w:rsid w:val="00A462D2"/>
    <w:rsid w:val="00A46B2B"/>
    <w:rsid w:val="00A4740D"/>
    <w:rsid w:val="00A504BB"/>
    <w:rsid w:val="00A50653"/>
    <w:rsid w:val="00A50D1F"/>
    <w:rsid w:val="00A50D88"/>
    <w:rsid w:val="00A5279A"/>
    <w:rsid w:val="00A53E38"/>
    <w:rsid w:val="00A54654"/>
    <w:rsid w:val="00A54A03"/>
    <w:rsid w:val="00A56923"/>
    <w:rsid w:val="00A6070F"/>
    <w:rsid w:val="00A62E42"/>
    <w:rsid w:val="00A62EBB"/>
    <w:rsid w:val="00A63FFD"/>
    <w:rsid w:val="00A642E7"/>
    <w:rsid w:val="00A64A71"/>
    <w:rsid w:val="00A67733"/>
    <w:rsid w:val="00A719AA"/>
    <w:rsid w:val="00A71BCB"/>
    <w:rsid w:val="00A7236C"/>
    <w:rsid w:val="00A72960"/>
    <w:rsid w:val="00A72C20"/>
    <w:rsid w:val="00A72D8F"/>
    <w:rsid w:val="00A73CF7"/>
    <w:rsid w:val="00A74815"/>
    <w:rsid w:val="00A74BC9"/>
    <w:rsid w:val="00A76A37"/>
    <w:rsid w:val="00A81060"/>
    <w:rsid w:val="00A810C9"/>
    <w:rsid w:val="00A81635"/>
    <w:rsid w:val="00A8166C"/>
    <w:rsid w:val="00A8227E"/>
    <w:rsid w:val="00A93401"/>
    <w:rsid w:val="00A940CF"/>
    <w:rsid w:val="00A95469"/>
    <w:rsid w:val="00A97160"/>
    <w:rsid w:val="00A97ED4"/>
    <w:rsid w:val="00AA0183"/>
    <w:rsid w:val="00AA21C8"/>
    <w:rsid w:val="00AA66EA"/>
    <w:rsid w:val="00AB2B81"/>
    <w:rsid w:val="00AB2FFF"/>
    <w:rsid w:val="00AB50BD"/>
    <w:rsid w:val="00AB76CE"/>
    <w:rsid w:val="00AB77CE"/>
    <w:rsid w:val="00AC01DC"/>
    <w:rsid w:val="00AC030C"/>
    <w:rsid w:val="00AC2DB7"/>
    <w:rsid w:val="00AC3196"/>
    <w:rsid w:val="00AC4065"/>
    <w:rsid w:val="00AC64CF"/>
    <w:rsid w:val="00AC67AC"/>
    <w:rsid w:val="00AC7463"/>
    <w:rsid w:val="00AC75E2"/>
    <w:rsid w:val="00AD4310"/>
    <w:rsid w:val="00AD5F1E"/>
    <w:rsid w:val="00AD6BD8"/>
    <w:rsid w:val="00AD6DAD"/>
    <w:rsid w:val="00AE074A"/>
    <w:rsid w:val="00AE1086"/>
    <w:rsid w:val="00AE2A89"/>
    <w:rsid w:val="00AE2F90"/>
    <w:rsid w:val="00AE6442"/>
    <w:rsid w:val="00AE65EB"/>
    <w:rsid w:val="00AE7BF5"/>
    <w:rsid w:val="00AF27AE"/>
    <w:rsid w:val="00AF311B"/>
    <w:rsid w:val="00AF4371"/>
    <w:rsid w:val="00AF5B1A"/>
    <w:rsid w:val="00AF6270"/>
    <w:rsid w:val="00B03AF7"/>
    <w:rsid w:val="00B03DD6"/>
    <w:rsid w:val="00B04AD0"/>
    <w:rsid w:val="00B07CC4"/>
    <w:rsid w:val="00B07E11"/>
    <w:rsid w:val="00B10167"/>
    <w:rsid w:val="00B13D19"/>
    <w:rsid w:val="00B20B18"/>
    <w:rsid w:val="00B214C6"/>
    <w:rsid w:val="00B24DDD"/>
    <w:rsid w:val="00B251C5"/>
    <w:rsid w:val="00B257B0"/>
    <w:rsid w:val="00B26564"/>
    <w:rsid w:val="00B26763"/>
    <w:rsid w:val="00B26A9C"/>
    <w:rsid w:val="00B27534"/>
    <w:rsid w:val="00B30A98"/>
    <w:rsid w:val="00B32D30"/>
    <w:rsid w:val="00B352D7"/>
    <w:rsid w:val="00B355A3"/>
    <w:rsid w:val="00B3583B"/>
    <w:rsid w:val="00B36829"/>
    <w:rsid w:val="00B37484"/>
    <w:rsid w:val="00B376FD"/>
    <w:rsid w:val="00B37A8F"/>
    <w:rsid w:val="00B4093F"/>
    <w:rsid w:val="00B41223"/>
    <w:rsid w:val="00B43A76"/>
    <w:rsid w:val="00B451AF"/>
    <w:rsid w:val="00B50840"/>
    <w:rsid w:val="00B515C7"/>
    <w:rsid w:val="00B539D9"/>
    <w:rsid w:val="00B55227"/>
    <w:rsid w:val="00B5553C"/>
    <w:rsid w:val="00B55B04"/>
    <w:rsid w:val="00B630F3"/>
    <w:rsid w:val="00B631FF"/>
    <w:rsid w:val="00B6520A"/>
    <w:rsid w:val="00B65347"/>
    <w:rsid w:val="00B65DE1"/>
    <w:rsid w:val="00B67565"/>
    <w:rsid w:val="00B72AF0"/>
    <w:rsid w:val="00B737EB"/>
    <w:rsid w:val="00B76390"/>
    <w:rsid w:val="00B775EE"/>
    <w:rsid w:val="00B80230"/>
    <w:rsid w:val="00B820C2"/>
    <w:rsid w:val="00B83901"/>
    <w:rsid w:val="00B84D03"/>
    <w:rsid w:val="00B855FE"/>
    <w:rsid w:val="00B85817"/>
    <w:rsid w:val="00B87927"/>
    <w:rsid w:val="00B93C1D"/>
    <w:rsid w:val="00B952B2"/>
    <w:rsid w:val="00BA064C"/>
    <w:rsid w:val="00BA0932"/>
    <w:rsid w:val="00BA2A62"/>
    <w:rsid w:val="00BA47F6"/>
    <w:rsid w:val="00BA5B13"/>
    <w:rsid w:val="00BB00F3"/>
    <w:rsid w:val="00BB2BB0"/>
    <w:rsid w:val="00BB300E"/>
    <w:rsid w:val="00BB6DD0"/>
    <w:rsid w:val="00BC0A64"/>
    <w:rsid w:val="00BC1636"/>
    <w:rsid w:val="00BC6E69"/>
    <w:rsid w:val="00BC7A85"/>
    <w:rsid w:val="00BD059D"/>
    <w:rsid w:val="00BD1F3C"/>
    <w:rsid w:val="00BD26AA"/>
    <w:rsid w:val="00BD2B12"/>
    <w:rsid w:val="00BD2C45"/>
    <w:rsid w:val="00BD38FC"/>
    <w:rsid w:val="00BD4310"/>
    <w:rsid w:val="00BD454F"/>
    <w:rsid w:val="00BE1BA4"/>
    <w:rsid w:val="00BE1F1B"/>
    <w:rsid w:val="00BE46AD"/>
    <w:rsid w:val="00BE510C"/>
    <w:rsid w:val="00BE56CD"/>
    <w:rsid w:val="00BE5817"/>
    <w:rsid w:val="00BE5BE7"/>
    <w:rsid w:val="00BE5EAB"/>
    <w:rsid w:val="00BE7EA5"/>
    <w:rsid w:val="00BF2964"/>
    <w:rsid w:val="00BF3FAB"/>
    <w:rsid w:val="00C01DCC"/>
    <w:rsid w:val="00C01F7A"/>
    <w:rsid w:val="00C02843"/>
    <w:rsid w:val="00C03575"/>
    <w:rsid w:val="00C07840"/>
    <w:rsid w:val="00C10705"/>
    <w:rsid w:val="00C10BAA"/>
    <w:rsid w:val="00C12E5D"/>
    <w:rsid w:val="00C13D6A"/>
    <w:rsid w:val="00C202B3"/>
    <w:rsid w:val="00C20D22"/>
    <w:rsid w:val="00C21EE0"/>
    <w:rsid w:val="00C2321F"/>
    <w:rsid w:val="00C25287"/>
    <w:rsid w:val="00C30297"/>
    <w:rsid w:val="00C317D1"/>
    <w:rsid w:val="00C31B43"/>
    <w:rsid w:val="00C42E7D"/>
    <w:rsid w:val="00C44C1B"/>
    <w:rsid w:val="00C50B48"/>
    <w:rsid w:val="00C51999"/>
    <w:rsid w:val="00C53397"/>
    <w:rsid w:val="00C538AB"/>
    <w:rsid w:val="00C553D7"/>
    <w:rsid w:val="00C555AC"/>
    <w:rsid w:val="00C56FBD"/>
    <w:rsid w:val="00C606D3"/>
    <w:rsid w:val="00C61DD8"/>
    <w:rsid w:val="00C62188"/>
    <w:rsid w:val="00C652C0"/>
    <w:rsid w:val="00C70267"/>
    <w:rsid w:val="00C713ED"/>
    <w:rsid w:val="00C717D9"/>
    <w:rsid w:val="00C72318"/>
    <w:rsid w:val="00C724E6"/>
    <w:rsid w:val="00C72ACD"/>
    <w:rsid w:val="00C747A5"/>
    <w:rsid w:val="00C758E8"/>
    <w:rsid w:val="00C75D3C"/>
    <w:rsid w:val="00C77E8F"/>
    <w:rsid w:val="00C77FF7"/>
    <w:rsid w:val="00C845F2"/>
    <w:rsid w:val="00C84E7D"/>
    <w:rsid w:val="00C85314"/>
    <w:rsid w:val="00C85DC3"/>
    <w:rsid w:val="00C86215"/>
    <w:rsid w:val="00C90343"/>
    <w:rsid w:val="00C92720"/>
    <w:rsid w:val="00C93ED2"/>
    <w:rsid w:val="00C95B43"/>
    <w:rsid w:val="00C964E0"/>
    <w:rsid w:val="00C96532"/>
    <w:rsid w:val="00C96C77"/>
    <w:rsid w:val="00CA0116"/>
    <w:rsid w:val="00CA05B2"/>
    <w:rsid w:val="00CA06B8"/>
    <w:rsid w:val="00CA07F8"/>
    <w:rsid w:val="00CA220E"/>
    <w:rsid w:val="00CA4BC0"/>
    <w:rsid w:val="00CA5CA8"/>
    <w:rsid w:val="00CA74A5"/>
    <w:rsid w:val="00CA7BD6"/>
    <w:rsid w:val="00CA7E84"/>
    <w:rsid w:val="00CA7F69"/>
    <w:rsid w:val="00CB0157"/>
    <w:rsid w:val="00CB28E9"/>
    <w:rsid w:val="00CB5205"/>
    <w:rsid w:val="00CB5DD4"/>
    <w:rsid w:val="00CB5E0B"/>
    <w:rsid w:val="00CB764F"/>
    <w:rsid w:val="00CB7913"/>
    <w:rsid w:val="00CC26BB"/>
    <w:rsid w:val="00CC29FA"/>
    <w:rsid w:val="00CC38AC"/>
    <w:rsid w:val="00CC444B"/>
    <w:rsid w:val="00CC4F2C"/>
    <w:rsid w:val="00CC559D"/>
    <w:rsid w:val="00CC56C4"/>
    <w:rsid w:val="00CC6678"/>
    <w:rsid w:val="00CC69A2"/>
    <w:rsid w:val="00CC7E6A"/>
    <w:rsid w:val="00CD02DD"/>
    <w:rsid w:val="00CD0C13"/>
    <w:rsid w:val="00CD30AE"/>
    <w:rsid w:val="00CD654B"/>
    <w:rsid w:val="00CE223E"/>
    <w:rsid w:val="00CE3394"/>
    <w:rsid w:val="00CE3F26"/>
    <w:rsid w:val="00CE42FC"/>
    <w:rsid w:val="00CE4BEA"/>
    <w:rsid w:val="00CE7241"/>
    <w:rsid w:val="00CF1528"/>
    <w:rsid w:val="00CF341C"/>
    <w:rsid w:val="00CF3F0D"/>
    <w:rsid w:val="00CF42D8"/>
    <w:rsid w:val="00CF434B"/>
    <w:rsid w:val="00CF53CF"/>
    <w:rsid w:val="00CF5EEC"/>
    <w:rsid w:val="00CF736B"/>
    <w:rsid w:val="00D06D40"/>
    <w:rsid w:val="00D101F7"/>
    <w:rsid w:val="00D10E68"/>
    <w:rsid w:val="00D145F5"/>
    <w:rsid w:val="00D2089E"/>
    <w:rsid w:val="00D20A07"/>
    <w:rsid w:val="00D22BFB"/>
    <w:rsid w:val="00D24788"/>
    <w:rsid w:val="00D25FCA"/>
    <w:rsid w:val="00D261D6"/>
    <w:rsid w:val="00D2655F"/>
    <w:rsid w:val="00D26CAA"/>
    <w:rsid w:val="00D275C2"/>
    <w:rsid w:val="00D30241"/>
    <w:rsid w:val="00D316A1"/>
    <w:rsid w:val="00D31D24"/>
    <w:rsid w:val="00D329F1"/>
    <w:rsid w:val="00D34131"/>
    <w:rsid w:val="00D34404"/>
    <w:rsid w:val="00D355F0"/>
    <w:rsid w:val="00D4121E"/>
    <w:rsid w:val="00D42DF7"/>
    <w:rsid w:val="00D43136"/>
    <w:rsid w:val="00D43AC8"/>
    <w:rsid w:val="00D44029"/>
    <w:rsid w:val="00D45132"/>
    <w:rsid w:val="00D45705"/>
    <w:rsid w:val="00D459FC"/>
    <w:rsid w:val="00D4731F"/>
    <w:rsid w:val="00D50879"/>
    <w:rsid w:val="00D509E4"/>
    <w:rsid w:val="00D50AAE"/>
    <w:rsid w:val="00D50C13"/>
    <w:rsid w:val="00D51610"/>
    <w:rsid w:val="00D527B5"/>
    <w:rsid w:val="00D52912"/>
    <w:rsid w:val="00D5504A"/>
    <w:rsid w:val="00D5572A"/>
    <w:rsid w:val="00D56113"/>
    <w:rsid w:val="00D572B1"/>
    <w:rsid w:val="00D57A75"/>
    <w:rsid w:val="00D57C2D"/>
    <w:rsid w:val="00D57F50"/>
    <w:rsid w:val="00D60869"/>
    <w:rsid w:val="00D629D6"/>
    <w:rsid w:val="00D632F6"/>
    <w:rsid w:val="00D643F4"/>
    <w:rsid w:val="00D67916"/>
    <w:rsid w:val="00D724D1"/>
    <w:rsid w:val="00D73585"/>
    <w:rsid w:val="00D73A39"/>
    <w:rsid w:val="00D7615E"/>
    <w:rsid w:val="00D77579"/>
    <w:rsid w:val="00D80E4D"/>
    <w:rsid w:val="00D81016"/>
    <w:rsid w:val="00D81AD6"/>
    <w:rsid w:val="00D82365"/>
    <w:rsid w:val="00D823F9"/>
    <w:rsid w:val="00D833D9"/>
    <w:rsid w:val="00D838AD"/>
    <w:rsid w:val="00D83BD9"/>
    <w:rsid w:val="00D93A9F"/>
    <w:rsid w:val="00D94506"/>
    <w:rsid w:val="00D945FE"/>
    <w:rsid w:val="00D94AA6"/>
    <w:rsid w:val="00D94DCF"/>
    <w:rsid w:val="00D94EAE"/>
    <w:rsid w:val="00DA304B"/>
    <w:rsid w:val="00DA5439"/>
    <w:rsid w:val="00DA551B"/>
    <w:rsid w:val="00DA586F"/>
    <w:rsid w:val="00DA5DCD"/>
    <w:rsid w:val="00DA6538"/>
    <w:rsid w:val="00DA7247"/>
    <w:rsid w:val="00DB08DA"/>
    <w:rsid w:val="00DB20D9"/>
    <w:rsid w:val="00DB257E"/>
    <w:rsid w:val="00DB40C0"/>
    <w:rsid w:val="00DB4A71"/>
    <w:rsid w:val="00DB5410"/>
    <w:rsid w:val="00DB58B3"/>
    <w:rsid w:val="00DB7BD2"/>
    <w:rsid w:val="00DB7F09"/>
    <w:rsid w:val="00DC00E8"/>
    <w:rsid w:val="00DC1C56"/>
    <w:rsid w:val="00DC4756"/>
    <w:rsid w:val="00DC5F3E"/>
    <w:rsid w:val="00DC6379"/>
    <w:rsid w:val="00DC6AAD"/>
    <w:rsid w:val="00DC711C"/>
    <w:rsid w:val="00DD0F2C"/>
    <w:rsid w:val="00DD1278"/>
    <w:rsid w:val="00DD34A9"/>
    <w:rsid w:val="00DD3E59"/>
    <w:rsid w:val="00DD55C7"/>
    <w:rsid w:val="00DD5D76"/>
    <w:rsid w:val="00DD6908"/>
    <w:rsid w:val="00DD6C61"/>
    <w:rsid w:val="00DE0B00"/>
    <w:rsid w:val="00DE1547"/>
    <w:rsid w:val="00DE20CA"/>
    <w:rsid w:val="00DE2763"/>
    <w:rsid w:val="00DE30A3"/>
    <w:rsid w:val="00DE3A53"/>
    <w:rsid w:val="00DE3C77"/>
    <w:rsid w:val="00DE3D62"/>
    <w:rsid w:val="00DE42CE"/>
    <w:rsid w:val="00DE4E27"/>
    <w:rsid w:val="00DE5827"/>
    <w:rsid w:val="00DE70F1"/>
    <w:rsid w:val="00DF0DD2"/>
    <w:rsid w:val="00DF2A29"/>
    <w:rsid w:val="00DF3793"/>
    <w:rsid w:val="00DF388D"/>
    <w:rsid w:val="00DF55E0"/>
    <w:rsid w:val="00DF6F61"/>
    <w:rsid w:val="00DF70DD"/>
    <w:rsid w:val="00DF71BE"/>
    <w:rsid w:val="00DF7375"/>
    <w:rsid w:val="00DF79B3"/>
    <w:rsid w:val="00E012C8"/>
    <w:rsid w:val="00E02503"/>
    <w:rsid w:val="00E02B50"/>
    <w:rsid w:val="00E03313"/>
    <w:rsid w:val="00E040C0"/>
    <w:rsid w:val="00E06268"/>
    <w:rsid w:val="00E064F5"/>
    <w:rsid w:val="00E101C6"/>
    <w:rsid w:val="00E12673"/>
    <w:rsid w:val="00E1287A"/>
    <w:rsid w:val="00E15157"/>
    <w:rsid w:val="00E156CF"/>
    <w:rsid w:val="00E15FF2"/>
    <w:rsid w:val="00E1734C"/>
    <w:rsid w:val="00E1780C"/>
    <w:rsid w:val="00E2295B"/>
    <w:rsid w:val="00E22D51"/>
    <w:rsid w:val="00E22FD7"/>
    <w:rsid w:val="00E277E4"/>
    <w:rsid w:val="00E306F8"/>
    <w:rsid w:val="00E30CA6"/>
    <w:rsid w:val="00E310CE"/>
    <w:rsid w:val="00E3179B"/>
    <w:rsid w:val="00E33CEE"/>
    <w:rsid w:val="00E346C8"/>
    <w:rsid w:val="00E349A7"/>
    <w:rsid w:val="00E353F2"/>
    <w:rsid w:val="00E35FC4"/>
    <w:rsid w:val="00E36F41"/>
    <w:rsid w:val="00E36FF8"/>
    <w:rsid w:val="00E408E7"/>
    <w:rsid w:val="00E41195"/>
    <w:rsid w:val="00E50E7C"/>
    <w:rsid w:val="00E50F6A"/>
    <w:rsid w:val="00E51545"/>
    <w:rsid w:val="00E51D9E"/>
    <w:rsid w:val="00E531B2"/>
    <w:rsid w:val="00E537D1"/>
    <w:rsid w:val="00E5543E"/>
    <w:rsid w:val="00E567E6"/>
    <w:rsid w:val="00E56971"/>
    <w:rsid w:val="00E61484"/>
    <w:rsid w:val="00E6164A"/>
    <w:rsid w:val="00E649B8"/>
    <w:rsid w:val="00E64EDB"/>
    <w:rsid w:val="00E678BB"/>
    <w:rsid w:val="00E678E3"/>
    <w:rsid w:val="00E679C3"/>
    <w:rsid w:val="00E7017C"/>
    <w:rsid w:val="00E70F5C"/>
    <w:rsid w:val="00E711D7"/>
    <w:rsid w:val="00E71FAA"/>
    <w:rsid w:val="00E743DA"/>
    <w:rsid w:val="00E759A3"/>
    <w:rsid w:val="00E7628E"/>
    <w:rsid w:val="00E762B6"/>
    <w:rsid w:val="00E7657B"/>
    <w:rsid w:val="00E8009E"/>
    <w:rsid w:val="00E815E1"/>
    <w:rsid w:val="00E83EE4"/>
    <w:rsid w:val="00E84508"/>
    <w:rsid w:val="00E87F92"/>
    <w:rsid w:val="00E902B0"/>
    <w:rsid w:val="00E902E8"/>
    <w:rsid w:val="00E913E6"/>
    <w:rsid w:val="00E9296B"/>
    <w:rsid w:val="00E93AA4"/>
    <w:rsid w:val="00E9571C"/>
    <w:rsid w:val="00E966AA"/>
    <w:rsid w:val="00E97C19"/>
    <w:rsid w:val="00EA0286"/>
    <w:rsid w:val="00EA0D62"/>
    <w:rsid w:val="00EA1040"/>
    <w:rsid w:val="00EA23AC"/>
    <w:rsid w:val="00EA27D0"/>
    <w:rsid w:val="00EA398F"/>
    <w:rsid w:val="00EA3D50"/>
    <w:rsid w:val="00EA5EC0"/>
    <w:rsid w:val="00EA6C8D"/>
    <w:rsid w:val="00EA7B81"/>
    <w:rsid w:val="00EA7C3D"/>
    <w:rsid w:val="00EB0099"/>
    <w:rsid w:val="00EB2FCB"/>
    <w:rsid w:val="00EB35C4"/>
    <w:rsid w:val="00EB42F5"/>
    <w:rsid w:val="00EB4B0B"/>
    <w:rsid w:val="00EB6878"/>
    <w:rsid w:val="00EC02B4"/>
    <w:rsid w:val="00EC0CA7"/>
    <w:rsid w:val="00EC1E0E"/>
    <w:rsid w:val="00EC236D"/>
    <w:rsid w:val="00EC3B91"/>
    <w:rsid w:val="00EC5E1F"/>
    <w:rsid w:val="00EC6B16"/>
    <w:rsid w:val="00ED0CFD"/>
    <w:rsid w:val="00ED113D"/>
    <w:rsid w:val="00ED2847"/>
    <w:rsid w:val="00ED2FDA"/>
    <w:rsid w:val="00ED3962"/>
    <w:rsid w:val="00ED4631"/>
    <w:rsid w:val="00ED59C5"/>
    <w:rsid w:val="00ED5A20"/>
    <w:rsid w:val="00ED6942"/>
    <w:rsid w:val="00EE1447"/>
    <w:rsid w:val="00EE15FE"/>
    <w:rsid w:val="00EE1BF1"/>
    <w:rsid w:val="00EE1D80"/>
    <w:rsid w:val="00EE33E4"/>
    <w:rsid w:val="00EE4426"/>
    <w:rsid w:val="00EE4864"/>
    <w:rsid w:val="00EE5CE1"/>
    <w:rsid w:val="00EE7744"/>
    <w:rsid w:val="00EE7E58"/>
    <w:rsid w:val="00EF03E1"/>
    <w:rsid w:val="00EF0D5B"/>
    <w:rsid w:val="00EF145E"/>
    <w:rsid w:val="00EF2BBB"/>
    <w:rsid w:val="00EF2C4C"/>
    <w:rsid w:val="00EF2D02"/>
    <w:rsid w:val="00EF38EE"/>
    <w:rsid w:val="00EF5FDC"/>
    <w:rsid w:val="00F0082D"/>
    <w:rsid w:val="00F00F1C"/>
    <w:rsid w:val="00F015AB"/>
    <w:rsid w:val="00F034DD"/>
    <w:rsid w:val="00F037DB"/>
    <w:rsid w:val="00F042FF"/>
    <w:rsid w:val="00F045E0"/>
    <w:rsid w:val="00F05D30"/>
    <w:rsid w:val="00F05E6E"/>
    <w:rsid w:val="00F06F0E"/>
    <w:rsid w:val="00F07186"/>
    <w:rsid w:val="00F07C90"/>
    <w:rsid w:val="00F07FB0"/>
    <w:rsid w:val="00F1017A"/>
    <w:rsid w:val="00F126F3"/>
    <w:rsid w:val="00F14277"/>
    <w:rsid w:val="00F1555F"/>
    <w:rsid w:val="00F1638D"/>
    <w:rsid w:val="00F20F8A"/>
    <w:rsid w:val="00F21290"/>
    <w:rsid w:val="00F21B72"/>
    <w:rsid w:val="00F23583"/>
    <w:rsid w:val="00F23A1C"/>
    <w:rsid w:val="00F25385"/>
    <w:rsid w:val="00F263B5"/>
    <w:rsid w:val="00F304A4"/>
    <w:rsid w:val="00F31AC3"/>
    <w:rsid w:val="00F32F72"/>
    <w:rsid w:val="00F33DB8"/>
    <w:rsid w:val="00F33DFB"/>
    <w:rsid w:val="00F34948"/>
    <w:rsid w:val="00F4290C"/>
    <w:rsid w:val="00F45004"/>
    <w:rsid w:val="00F45F0D"/>
    <w:rsid w:val="00F47740"/>
    <w:rsid w:val="00F47FB0"/>
    <w:rsid w:val="00F50727"/>
    <w:rsid w:val="00F517FE"/>
    <w:rsid w:val="00F51D7F"/>
    <w:rsid w:val="00F525AA"/>
    <w:rsid w:val="00F5365A"/>
    <w:rsid w:val="00F53B68"/>
    <w:rsid w:val="00F549D8"/>
    <w:rsid w:val="00F56280"/>
    <w:rsid w:val="00F57BED"/>
    <w:rsid w:val="00F60198"/>
    <w:rsid w:val="00F607AB"/>
    <w:rsid w:val="00F60E3C"/>
    <w:rsid w:val="00F60F8B"/>
    <w:rsid w:val="00F61F93"/>
    <w:rsid w:val="00F661C5"/>
    <w:rsid w:val="00F669CD"/>
    <w:rsid w:val="00F6719B"/>
    <w:rsid w:val="00F70A66"/>
    <w:rsid w:val="00F71B24"/>
    <w:rsid w:val="00F72CBF"/>
    <w:rsid w:val="00F737CE"/>
    <w:rsid w:val="00F737DB"/>
    <w:rsid w:val="00F7613A"/>
    <w:rsid w:val="00F76524"/>
    <w:rsid w:val="00F7779E"/>
    <w:rsid w:val="00F77B8D"/>
    <w:rsid w:val="00F82746"/>
    <w:rsid w:val="00F836F9"/>
    <w:rsid w:val="00F84191"/>
    <w:rsid w:val="00F845D7"/>
    <w:rsid w:val="00F85A9A"/>
    <w:rsid w:val="00F8635F"/>
    <w:rsid w:val="00F865C5"/>
    <w:rsid w:val="00F9015C"/>
    <w:rsid w:val="00F913CF"/>
    <w:rsid w:val="00F92279"/>
    <w:rsid w:val="00FA28DA"/>
    <w:rsid w:val="00FA4C07"/>
    <w:rsid w:val="00FA576D"/>
    <w:rsid w:val="00FB2DF0"/>
    <w:rsid w:val="00FB38E9"/>
    <w:rsid w:val="00FB3BA7"/>
    <w:rsid w:val="00FB4189"/>
    <w:rsid w:val="00FB4D21"/>
    <w:rsid w:val="00FB58E8"/>
    <w:rsid w:val="00FB5EEB"/>
    <w:rsid w:val="00FB644A"/>
    <w:rsid w:val="00FB762B"/>
    <w:rsid w:val="00FC10B7"/>
    <w:rsid w:val="00FC138B"/>
    <w:rsid w:val="00FC469C"/>
    <w:rsid w:val="00FC5770"/>
    <w:rsid w:val="00FC6ADA"/>
    <w:rsid w:val="00FD0035"/>
    <w:rsid w:val="00FD052F"/>
    <w:rsid w:val="00FD2762"/>
    <w:rsid w:val="00FD33A0"/>
    <w:rsid w:val="00FD3F36"/>
    <w:rsid w:val="00FD74FC"/>
    <w:rsid w:val="00FE21CB"/>
    <w:rsid w:val="00FE624B"/>
    <w:rsid w:val="00FF4677"/>
    <w:rsid w:val="00FF4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AC321"/>
  <w15:docId w15:val="{1D48BC31-8831-449A-BCCF-D1A21F15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390"/>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B7639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B76390"/>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B7639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B7639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B7639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B7639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39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B76390"/>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B7639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B7639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B7639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B7639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B76390"/>
    <w:pPr>
      <w:keepNext/>
      <w:spacing w:before="0" w:after="0"/>
      <w:jc w:val="center"/>
    </w:pPr>
    <w:rPr>
      <w:color w:val="004A7F"/>
      <w:sz w:val="20"/>
    </w:rPr>
  </w:style>
  <w:style w:type="paragraph" w:customStyle="1" w:styleId="AlphaParagraph">
    <w:name w:val="Alpha Paragraph"/>
    <w:basedOn w:val="Normal"/>
    <w:qFormat/>
    <w:rsid w:val="00B76390"/>
    <w:pPr>
      <w:numPr>
        <w:ilvl w:val="1"/>
        <w:numId w:val="10"/>
      </w:numPr>
      <w:spacing w:before="0"/>
    </w:pPr>
  </w:style>
  <w:style w:type="character" w:customStyle="1" w:styleId="DashChar">
    <w:name w:val="Dash Char"/>
    <w:basedOn w:val="DefaultParagraphFont"/>
    <w:link w:val="Dash"/>
    <w:uiPriority w:val="99"/>
    <w:locked/>
    <w:rsid w:val="00B7639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B7639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B76390"/>
    <w:rPr>
      <w:rFonts w:ascii="Calibri Light" w:eastAsia="Times New Roman" w:hAnsi="Calibri Light" w:cs="Times New Roman"/>
      <w:szCs w:val="20"/>
      <w:lang w:eastAsia="en-AU"/>
    </w:rPr>
  </w:style>
  <w:style w:type="paragraph" w:customStyle="1" w:styleId="BoxHeading">
    <w:name w:val="Box Heading"/>
    <w:basedOn w:val="Normal"/>
    <w:next w:val="Normal"/>
    <w:rsid w:val="00B76390"/>
    <w:pPr>
      <w:keepNext/>
      <w:spacing w:before="240"/>
    </w:pPr>
    <w:rPr>
      <w:b/>
      <w:color w:val="2C384A" w:themeColor="accent1"/>
      <w:sz w:val="26"/>
      <w:szCs w:val="26"/>
    </w:rPr>
  </w:style>
  <w:style w:type="paragraph" w:customStyle="1" w:styleId="BoxText">
    <w:name w:val="Box Text"/>
    <w:basedOn w:val="Normal"/>
    <w:link w:val="BoxTextChar"/>
    <w:rsid w:val="00B76390"/>
  </w:style>
  <w:style w:type="paragraph" w:customStyle="1" w:styleId="Bullet">
    <w:name w:val="Bullet"/>
    <w:basedOn w:val="Normal"/>
    <w:link w:val="BulletChar"/>
    <w:qFormat/>
    <w:rsid w:val="00B76390"/>
    <w:pPr>
      <w:numPr>
        <w:numId w:val="32"/>
      </w:numPr>
      <w:tabs>
        <w:tab w:val="left" w:pos="720"/>
      </w:tabs>
      <w:spacing w:before="0" w:line="276" w:lineRule="auto"/>
    </w:pPr>
  </w:style>
  <w:style w:type="paragraph" w:customStyle="1" w:styleId="ChartandTableFootnoteAlpha">
    <w:name w:val="Chart and Table Footnote Alpha"/>
    <w:rsid w:val="00B76390"/>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B76390"/>
    <w:pPr>
      <w:jc w:val="center"/>
    </w:pPr>
  </w:style>
  <w:style w:type="paragraph" w:customStyle="1" w:styleId="ChartorTableNote">
    <w:name w:val="Chart or Table Note"/>
    <w:next w:val="Normal"/>
    <w:rsid w:val="00B7639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B76390"/>
    <w:pPr>
      <w:jc w:val="center"/>
    </w:pPr>
    <w:rPr>
      <w:b w:val="0"/>
      <w:bCs/>
    </w:rPr>
  </w:style>
  <w:style w:type="paragraph" w:customStyle="1" w:styleId="ReportDate">
    <w:name w:val="Report Date"/>
    <w:basedOn w:val="Normal"/>
    <w:link w:val="ReportDateChar"/>
    <w:rsid w:val="00B76390"/>
    <w:pPr>
      <w:keepNext/>
      <w:spacing w:before="0" w:after="360"/>
    </w:pPr>
    <w:rPr>
      <w:color w:val="90B6F0"/>
      <w:sz w:val="32"/>
    </w:rPr>
  </w:style>
  <w:style w:type="paragraph" w:customStyle="1" w:styleId="Dash">
    <w:name w:val="Dash"/>
    <w:basedOn w:val="Normal"/>
    <w:link w:val="DashChar"/>
    <w:uiPriority w:val="99"/>
    <w:qFormat/>
    <w:rsid w:val="00B76390"/>
    <w:pPr>
      <w:numPr>
        <w:ilvl w:val="1"/>
        <w:numId w:val="32"/>
      </w:numPr>
      <w:spacing w:before="0"/>
    </w:pPr>
  </w:style>
  <w:style w:type="paragraph" w:customStyle="1" w:styleId="DoubleDot">
    <w:name w:val="Double Dot"/>
    <w:basedOn w:val="Normal"/>
    <w:link w:val="DoubleDotChar"/>
    <w:uiPriority w:val="99"/>
    <w:qFormat/>
    <w:rsid w:val="00B76390"/>
    <w:pPr>
      <w:numPr>
        <w:ilvl w:val="2"/>
        <w:numId w:val="32"/>
      </w:numPr>
      <w:spacing w:before="0"/>
    </w:pPr>
  </w:style>
  <w:style w:type="paragraph" w:customStyle="1" w:styleId="TableMainHeading">
    <w:name w:val="Table Main Heading"/>
    <w:basedOn w:val="Heading3"/>
    <w:next w:val="Normal"/>
    <w:rsid w:val="00B76390"/>
    <w:pPr>
      <w:spacing w:before="120"/>
    </w:pPr>
    <w:rPr>
      <w:b w:val="0"/>
      <w:sz w:val="26"/>
    </w:rPr>
  </w:style>
  <w:style w:type="paragraph" w:customStyle="1" w:styleId="FooterEven">
    <w:name w:val="Footer Even"/>
    <w:basedOn w:val="Footer"/>
    <w:rsid w:val="00B7639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B7639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B76390"/>
    <w:rPr>
      <w:color w:val="3A6FAF"/>
      <w:u w:val="none"/>
    </w:rPr>
  </w:style>
  <w:style w:type="paragraph" w:customStyle="1" w:styleId="OutlineNumbered1">
    <w:name w:val="Outline Numbered 1"/>
    <w:basedOn w:val="Normal"/>
    <w:rsid w:val="00B76390"/>
    <w:pPr>
      <w:numPr>
        <w:numId w:val="6"/>
      </w:numPr>
      <w:spacing w:before="0"/>
    </w:pPr>
  </w:style>
  <w:style w:type="paragraph" w:customStyle="1" w:styleId="OutlineNumbered2">
    <w:name w:val="Outline Numbered 2"/>
    <w:basedOn w:val="Normal"/>
    <w:rsid w:val="00B76390"/>
    <w:pPr>
      <w:numPr>
        <w:ilvl w:val="1"/>
        <w:numId w:val="6"/>
      </w:numPr>
      <w:spacing w:before="0"/>
    </w:pPr>
  </w:style>
  <w:style w:type="paragraph" w:customStyle="1" w:styleId="OutlineNumbered3">
    <w:name w:val="Outline Numbered 3"/>
    <w:basedOn w:val="Normal"/>
    <w:rsid w:val="00B76390"/>
    <w:pPr>
      <w:numPr>
        <w:ilvl w:val="2"/>
        <w:numId w:val="6"/>
      </w:numPr>
      <w:spacing w:before="0"/>
    </w:pPr>
  </w:style>
  <w:style w:type="paragraph" w:customStyle="1" w:styleId="SingleParagraph">
    <w:name w:val="Single Paragraph"/>
    <w:basedOn w:val="Normal"/>
    <w:link w:val="SingleParagraphChar"/>
    <w:rsid w:val="00B76390"/>
    <w:pPr>
      <w:spacing w:before="0" w:after="0"/>
    </w:pPr>
  </w:style>
  <w:style w:type="paragraph" w:customStyle="1" w:styleId="TableSecondHeading">
    <w:name w:val="Table Second Heading"/>
    <w:basedOn w:val="Normal"/>
    <w:next w:val="Normal"/>
    <w:rsid w:val="00B76390"/>
    <w:pPr>
      <w:keepNext/>
      <w:spacing w:before="0" w:after="20"/>
    </w:pPr>
    <w:rPr>
      <w:b/>
      <w:color w:val="004A7F"/>
    </w:rPr>
  </w:style>
  <w:style w:type="paragraph" w:customStyle="1" w:styleId="TableColumnHeadingCentred">
    <w:name w:val="Table Column Heading Centred"/>
    <w:basedOn w:val="TableTextLeft"/>
    <w:rsid w:val="00B76390"/>
    <w:pPr>
      <w:jc w:val="center"/>
    </w:pPr>
    <w:rPr>
      <w:b/>
      <w:color w:val="2C384A" w:themeColor="accent1"/>
      <w:sz w:val="20"/>
    </w:rPr>
  </w:style>
  <w:style w:type="paragraph" w:customStyle="1" w:styleId="TableColumnHeadingLeft">
    <w:name w:val="Table Column Heading Left"/>
    <w:basedOn w:val="TableTextLeft"/>
    <w:rsid w:val="00B76390"/>
    <w:rPr>
      <w:b/>
      <w:color w:val="2C384A" w:themeColor="accent1"/>
      <w:sz w:val="20"/>
    </w:rPr>
  </w:style>
  <w:style w:type="paragraph" w:customStyle="1" w:styleId="TableColumnHeadingRight">
    <w:name w:val="Table Column Heading Right"/>
    <w:basedOn w:val="TableTextLeft"/>
    <w:rsid w:val="00B76390"/>
    <w:pPr>
      <w:jc w:val="right"/>
    </w:pPr>
    <w:rPr>
      <w:b/>
      <w:color w:val="2C384A" w:themeColor="accent1"/>
      <w:sz w:val="20"/>
    </w:rPr>
  </w:style>
  <w:style w:type="table" w:styleId="TableGrid">
    <w:name w:val="Table Grid"/>
    <w:basedOn w:val="TableNormal"/>
    <w:rsid w:val="00B7639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B76390"/>
    <w:pPr>
      <w:jc w:val="center"/>
    </w:pPr>
  </w:style>
  <w:style w:type="paragraph" w:customStyle="1" w:styleId="TableTextLeft">
    <w:name w:val="Table Text Left"/>
    <w:basedOn w:val="TableTextRight"/>
    <w:rsid w:val="00B76390"/>
    <w:pPr>
      <w:jc w:val="left"/>
    </w:pPr>
  </w:style>
  <w:style w:type="paragraph" w:customStyle="1" w:styleId="TableTextRight">
    <w:name w:val="Table Text Right"/>
    <w:basedOn w:val="Normal"/>
    <w:rsid w:val="00B76390"/>
    <w:pPr>
      <w:spacing w:before="40" w:after="40"/>
      <w:jc w:val="right"/>
    </w:pPr>
    <w:rPr>
      <w:color w:val="000000"/>
      <w:sz w:val="18"/>
    </w:rPr>
  </w:style>
  <w:style w:type="paragraph" w:styleId="TOC1">
    <w:name w:val="toc 1"/>
    <w:basedOn w:val="Normal"/>
    <w:next w:val="Normal"/>
    <w:uiPriority w:val="39"/>
    <w:rsid w:val="00B76390"/>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B7639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B76390"/>
    <w:pPr>
      <w:tabs>
        <w:tab w:val="right" w:leader="dot" w:pos="9072"/>
      </w:tabs>
      <w:spacing w:before="20" w:after="0"/>
      <w:ind w:left="284" w:right="-2"/>
    </w:pPr>
    <w:rPr>
      <w:rFonts w:cs="Calibri"/>
      <w:noProof/>
    </w:rPr>
  </w:style>
  <w:style w:type="numbering" w:customStyle="1" w:styleId="OutlineList">
    <w:name w:val="OutlineList"/>
    <w:uiPriority w:val="99"/>
    <w:rsid w:val="00B76390"/>
    <w:pPr>
      <w:numPr>
        <w:numId w:val="4"/>
      </w:numPr>
    </w:pPr>
  </w:style>
  <w:style w:type="numbering" w:customStyle="1" w:styleId="BulletedList">
    <w:name w:val="Bulleted List"/>
    <w:uiPriority w:val="99"/>
    <w:rsid w:val="00B76390"/>
    <w:pPr>
      <w:numPr>
        <w:numId w:val="1"/>
      </w:numPr>
    </w:pPr>
  </w:style>
  <w:style w:type="numbering" w:customStyle="1" w:styleId="BoxBulletedList">
    <w:name w:val="Box Bulleted List"/>
    <w:uiPriority w:val="99"/>
    <w:rsid w:val="00B76390"/>
    <w:pPr>
      <w:numPr>
        <w:numId w:val="2"/>
      </w:numPr>
    </w:pPr>
  </w:style>
  <w:style w:type="numbering" w:customStyle="1" w:styleId="OneLevelList">
    <w:name w:val="OneLevelList"/>
    <w:uiPriority w:val="99"/>
    <w:rsid w:val="00B76390"/>
    <w:pPr>
      <w:numPr>
        <w:numId w:val="3"/>
      </w:numPr>
    </w:pPr>
  </w:style>
  <w:style w:type="numbering" w:customStyle="1" w:styleId="ChartandTableFootnoteAlphaList">
    <w:name w:val="ChartandTableFootnoteAlphaList"/>
    <w:uiPriority w:val="99"/>
    <w:rsid w:val="00B76390"/>
    <w:pPr>
      <w:numPr>
        <w:numId w:val="17"/>
      </w:numPr>
    </w:pPr>
  </w:style>
  <w:style w:type="paragraph" w:customStyle="1" w:styleId="Heading1Numbered">
    <w:name w:val="Heading 1 Numbered"/>
    <w:basedOn w:val="Heading1"/>
    <w:next w:val="Normal"/>
    <w:rsid w:val="00B76390"/>
    <w:pPr>
      <w:numPr>
        <w:numId w:val="8"/>
      </w:numPr>
    </w:pPr>
  </w:style>
  <w:style w:type="character" w:customStyle="1" w:styleId="SingleParagraphChar">
    <w:name w:val="Single Paragraph Char"/>
    <w:basedOn w:val="DefaultParagraphFont"/>
    <w:link w:val="SingleParagraph"/>
    <w:rsid w:val="00B7639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B76390"/>
    <w:pPr>
      <w:numPr>
        <w:ilvl w:val="1"/>
        <w:numId w:val="8"/>
      </w:numPr>
      <w:ind w:left="284" w:hanging="284"/>
    </w:pPr>
  </w:style>
  <w:style w:type="paragraph" w:customStyle="1" w:styleId="Heading3Numbered">
    <w:name w:val="Heading 3 Numbered"/>
    <w:basedOn w:val="Heading3"/>
    <w:rsid w:val="00B76390"/>
    <w:pPr>
      <w:numPr>
        <w:ilvl w:val="2"/>
        <w:numId w:val="8"/>
      </w:numPr>
      <w:ind w:left="284" w:hanging="284"/>
    </w:pPr>
  </w:style>
  <w:style w:type="paragraph" w:styleId="Title">
    <w:name w:val="Title"/>
    <w:basedOn w:val="Normal"/>
    <w:next w:val="Normal"/>
    <w:link w:val="TitleChar"/>
    <w:uiPriority w:val="10"/>
    <w:rsid w:val="00B76390"/>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B76390"/>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B7639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B7639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B76390"/>
    <w:rPr>
      <w:i/>
      <w:iCs/>
      <w:color w:val="808080" w:themeColor="text1" w:themeTint="7F"/>
    </w:rPr>
  </w:style>
  <w:style w:type="paragraph" w:styleId="Footer">
    <w:name w:val="footer"/>
    <w:basedOn w:val="Normal"/>
    <w:link w:val="FooterChar"/>
    <w:unhideWhenUsed/>
    <w:rsid w:val="00B76390"/>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B7639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B76390"/>
    <w:pPr>
      <w:keepNext/>
      <w:spacing w:before="0" w:after="0"/>
      <w:jc w:val="right"/>
    </w:pPr>
    <w:rPr>
      <w:color w:val="004A7F"/>
      <w:sz w:val="20"/>
    </w:rPr>
  </w:style>
  <w:style w:type="character" w:customStyle="1" w:styleId="HeaderChar">
    <w:name w:val="Header Char"/>
    <w:basedOn w:val="DefaultParagraphFont"/>
    <w:link w:val="Header"/>
    <w:uiPriority w:val="99"/>
    <w:rsid w:val="00B7639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B76390"/>
    <w:rPr>
      <w:color w:val="808080"/>
    </w:rPr>
  </w:style>
  <w:style w:type="paragraph" w:customStyle="1" w:styleId="AppendixHeading">
    <w:name w:val="Appendix Heading"/>
    <w:basedOn w:val="Heading1"/>
    <w:next w:val="Normal"/>
    <w:rsid w:val="00B76390"/>
  </w:style>
  <w:style w:type="paragraph" w:customStyle="1" w:styleId="HeadingBase">
    <w:name w:val="Heading Base"/>
    <w:rsid w:val="00B7639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B7639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B7639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link w:val="ListParagraphChar"/>
    <w:uiPriority w:val="34"/>
    <w:rsid w:val="00B76390"/>
    <w:pPr>
      <w:ind w:left="720"/>
      <w:contextualSpacing/>
    </w:pPr>
  </w:style>
  <w:style w:type="paragraph" w:customStyle="1" w:styleId="TableTextIndented">
    <w:name w:val="Table Text Indented"/>
    <w:basedOn w:val="TableTextLeft"/>
    <w:rsid w:val="00B76390"/>
    <w:pPr>
      <w:ind w:left="284"/>
    </w:pPr>
  </w:style>
  <w:style w:type="paragraph" w:customStyle="1" w:styleId="TableHeadingContinued">
    <w:name w:val="Table Heading Continued"/>
    <w:basedOn w:val="TableMainHeading"/>
    <w:next w:val="TableGraphic"/>
    <w:rsid w:val="00B76390"/>
  </w:style>
  <w:style w:type="paragraph" w:customStyle="1" w:styleId="TableGraphic">
    <w:name w:val="Table Graphic"/>
    <w:basedOn w:val="HeadingBase"/>
    <w:next w:val="Normal"/>
    <w:rsid w:val="00B76390"/>
    <w:pPr>
      <w:spacing w:after="0"/>
    </w:pPr>
  </w:style>
  <w:style w:type="paragraph" w:customStyle="1" w:styleId="HeaderEven">
    <w:name w:val="Header Even"/>
    <w:basedOn w:val="Header"/>
    <w:qFormat/>
    <w:rsid w:val="00B76390"/>
    <w:pPr>
      <w:jc w:val="left"/>
    </w:pPr>
    <w:rPr>
      <w:color w:val="002C47"/>
    </w:rPr>
  </w:style>
  <w:style w:type="paragraph" w:customStyle="1" w:styleId="HeaderOdd">
    <w:name w:val="Header Odd"/>
    <w:basedOn w:val="Header"/>
    <w:qFormat/>
    <w:rsid w:val="00B76390"/>
    <w:rPr>
      <w:color w:val="002C47"/>
    </w:rPr>
  </w:style>
  <w:style w:type="paragraph" w:styleId="FootnoteText">
    <w:name w:val="footnote text"/>
    <w:basedOn w:val="Normal"/>
    <w:link w:val="FootnoteTextChar"/>
    <w:uiPriority w:val="99"/>
    <w:rsid w:val="00B76390"/>
    <w:pPr>
      <w:spacing w:before="0" w:after="0"/>
      <w:ind w:left="397" w:hanging="397"/>
    </w:pPr>
    <w:rPr>
      <w:sz w:val="20"/>
    </w:rPr>
  </w:style>
  <w:style w:type="character" w:customStyle="1" w:styleId="FootnoteTextChar">
    <w:name w:val="Footnote Text Char"/>
    <w:basedOn w:val="DefaultParagraphFont"/>
    <w:link w:val="FootnoteText"/>
    <w:uiPriority w:val="99"/>
    <w:rsid w:val="00B7639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9F7A0C"/>
    <w:rPr>
      <w:sz w:val="18"/>
      <w:vertAlign w:val="superscript"/>
    </w:rPr>
  </w:style>
  <w:style w:type="paragraph" w:styleId="BalloonText">
    <w:name w:val="Balloon Text"/>
    <w:basedOn w:val="Normal"/>
    <w:link w:val="BalloonTextChar"/>
    <w:uiPriority w:val="99"/>
    <w:semiHidden/>
    <w:unhideWhenUsed/>
    <w:rsid w:val="00B7639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39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B76390"/>
    <w:rPr>
      <w:rFonts w:ascii="Calibri Light" w:eastAsia="Times New Roman" w:hAnsi="Calibri Light" w:cs="Times New Roman"/>
      <w:szCs w:val="20"/>
      <w:lang w:eastAsia="en-AU"/>
    </w:rPr>
  </w:style>
  <w:style w:type="paragraph" w:customStyle="1" w:styleId="Boxbullet">
    <w:name w:val="Box bullet"/>
    <w:basedOn w:val="Bullet"/>
    <w:rsid w:val="00B76390"/>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B76390"/>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B76390"/>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76390"/>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76390"/>
    <w:rPr>
      <w:sz w:val="16"/>
      <w:szCs w:val="16"/>
    </w:rPr>
  </w:style>
  <w:style w:type="paragraph" w:styleId="CommentText">
    <w:name w:val="annotation text"/>
    <w:basedOn w:val="Normal"/>
    <w:link w:val="CommentTextChar"/>
    <w:uiPriority w:val="99"/>
    <w:unhideWhenUsed/>
    <w:rsid w:val="00B76390"/>
    <w:rPr>
      <w:rFonts w:ascii="Calibri" w:hAnsi="Calibri"/>
      <w:sz w:val="20"/>
    </w:rPr>
  </w:style>
  <w:style w:type="character" w:customStyle="1" w:styleId="CommentTextChar">
    <w:name w:val="Comment Text Char"/>
    <w:basedOn w:val="DefaultParagraphFont"/>
    <w:link w:val="CommentText"/>
    <w:uiPriority w:val="99"/>
    <w:rsid w:val="00B7639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B7639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B7639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B7639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B7639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B7639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B7639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B7639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B76390"/>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B26763"/>
    <w:rPr>
      <w:rFonts w:ascii="Calibri Light" w:hAnsi="Calibri Light"/>
      <w:b/>
      <w:bCs/>
    </w:rPr>
  </w:style>
  <w:style w:type="character" w:customStyle="1" w:styleId="CommentSubjectChar">
    <w:name w:val="Comment Subject Char"/>
    <w:basedOn w:val="CommentTextChar"/>
    <w:link w:val="CommentSubject"/>
    <w:uiPriority w:val="99"/>
    <w:semiHidden/>
    <w:rsid w:val="00B26763"/>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935694"/>
    <w:rPr>
      <w:color w:val="605E5C"/>
      <w:shd w:val="clear" w:color="auto" w:fill="E1DFDD"/>
    </w:rPr>
  </w:style>
  <w:style w:type="paragraph" w:styleId="Revision">
    <w:name w:val="Revision"/>
    <w:hidden/>
    <w:uiPriority w:val="99"/>
    <w:semiHidden/>
    <w:rsid w:val="009F1B6D"/>
    <w:pPr>
      <w:spacing w:after="0" w:line="240" w:lineRule="auto"/>
    </w:pPr>
    <w:rPr>
      <w:rFonts w:ascii="Calibri Light" w:eastAsia="Times New Roman" w:hAnsi="Calibri Light" w:cs="Times New Roman"/>
      <w:szCs w:val="20"/>
      <w:lang w:eastAsia="en-AU"/>
    </w:rPr>
  </w:style>
  <w:style w:type="character" w:customStyle="1" w:styleId="ListParagraphChar">
    <w:name w:val="List Paragraph Char"/>
    <w:basedOn w:val="DefaultParagraphFont"/>
    <w:link w:val="ListParagraph"/>
    <w:uiPriority w:val="34"/>
    <w:rsid w:val="00A54A03"/>
    <w:rPr>
      <w:rFonts w:ascii="Calibri Light" w:eastAsia="Times New Roman" w:hAnsi="Calibri Light" w:cs="Times New Roman"/>
      <w:szCs w:val="20"/>
      <w:lang w:eastAsia="en-AU"/>
    </w:rPr>
  </w:style>
  <w:style w:type="table" w:styleId="GridTable5Dark-Accent2">
    <w:name w:val="Grid Table 5 Dark Accent 2"/>
    <w:basedOn w:val="TableNormal"/>
    <w:uiPriority w:val="50"/>
    <w:rsid w:val="00493B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86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86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86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861" w:themeFill="accent2"/>
      </w:tcPr>
    </w:tblStylePr>
    <w:tblStylePr w:type="band1Vert">
      <w:tblPr/>
      <w:tcPr>
        <w:shd w:val="clear" w:color="auto" w:fill="B2CEBF" w:themeFill="accent2" w:themeFillTint="66"/>
      </w:tcPr>
    </w:tblStylePr>
    <w:tblStylePr w:type="band1Horz">
      <w:tblPr/>
      <w:tcPr>
        <w:shd w:val="clear" w:color="auto" w:fill="B2CEBF" w:themeFill="accent2" w:themeFillTint="66"/>
      </w:tcPr>
    </w:tblStylePr>
  </w:style>
  <w:style w:type="table" w:styleId="GridTable5Dark-Accent3">
    <w:name w:val="Grid Table 5 Dark Accent 3"/>
    <w:basedOn w:val="TableNormal"/>
    <w:uiPriority w:val="50"/>
    <w:rsid w:val="00493B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3">
    <w:name w:val="Grid Table 4 Accent 3"/>
    <w:basedOn w:val="TableNormal"/>
    <w:uiPriority w:val="49"/>
    <w:rsid w:val="00493B8B"/>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2-Accent3">
    <w:name w:val="Grid Table 2 Accent 3"/>
    <w:basedOn w:val="TableNormal"/>
    <w:uiPriority w:val="47"/>
    <w:rsid w:val="00493B8B"/>
    <w:pPr>
      <w:spacing w:after="0" w:line="240" w:lineRule="auto"/>
    </w:pPr>
    <w:tblPr>
      <w:tblStyleRowBandSize w:val="1"/>
      <w:tblStyleColBandSize w:val="1"/>
      <w:tblBorders>
        <w:top w:val="single" w:sz="2" w:space="0" w:color="9DADC5" w:themeColor="accent3" w:themeTint="99"/>
        <w:bottom w:val="single" w:sz="2" w:space="0" w:color="9DADC5" w:themeColor="accent3" w:themeTint="99"/>
        <w:insideH w:val="single" w:sz="2" w:space="0" w:color="9DADC5" w:themeColor="accent3" w:themeTint="99"/>
        <w:insideV w:val="single" w:sz="2" w:space="0" w:color="9DADC5" w:themeColor="accent3" w:themeTint="99"/>
      </w:tblBorders>
    </w:tblPr>
    <w:tblStylePr w:type="firstRow">
      <w:rPr>
        <w:b/>
        <w:bCs/>
      </w:rPr>
      <w:tblPr/>
      <w:tcPr>
        <w:tcBorders>
          <w:top w:val="nil"/>
          <w:bottom w:val="single" w:sz="12" w:space="0" w:color="9DADC5" w:themeColor="accent3" w:themeTint="99"/>
          <w:insideH w:val="nil"/>
          <w:insideV w:val="nil"/>
        </w:tcBorders>
        <w:shd w:val="clear" w:color="auto" w:fill="FFFFFF" w:themeFill="background1"/>
      </w:tcPr>
    </w:tblStylePr>
    <w:tblStylePr w:type="lastRow">
      <w:rPr>
        <w:b/>
        <w:bCs/>
      </w:rPr>
      <w:tblPr/>
      <w:tcPr>
        <w:tcBorders>
          <w:top w:val="double" w:sz="2" w:space="0" w:color="9DADC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3-Accent1">
    <w:name w:val="Grid Table 3 Accent 1"/>
    <w:basedOn w:val="TableNormal"/>
    <w:uiPriority w:val="48"/>
    <w:rsid w:val="00493B8B"/>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D5E1" w:themeFill="accent1" w:themeFillTint="33"/>
      </w:tcPr>
    </w:tblStylePr>
    <w:tblStylePr w:type="band1Horz">
      <w:tblPr/>
      <w:tcPr>
        <w:shd w:val="clear" w:color="auto" w:fill="CDD5E1" w:themeFill="accent1" w:themeFillTint="33"/>
      </w:tcPr>
    </w:tblStylePr>
    <w:tblStylePr w:type="neCell">
      <w:tblPr/>
      <w:tcPr>
        <w:tcBorders>
          <w:bottom w:val="single" w:sz="4" w:space="0" w:color="6B83A7" w:themeColor="accent1" w:themeTint="99"/>
        </w:tcBorders>
      </w:tcPr>
    </w:tblStylePr>
    <w:tblStylePr w:type="nwCell">
      <w:tblPr/>
      <w:tcPr>
        <w:tcBorders>
          <w:bottom w:val="single" w:sz="4" w:space="0" w:color="6B83A7" w:themeColor="accent1" w:themeTint="99"/>
        </w:tcBorders>
      </w:tcPr>
    </w:tblStylePr>
    <w:tblStylePr w:type="seCell">
      <w:tblPr/>
      <w:tcPr>
        <w:tcBorders>
          <w:top w:val="single" w:sz="4" w:space="0" w:color="6B83A7" w:themeColor="accent1" w:themeTint="99"/>
        </w:tcBorders>
      </w:tcPr>
    </w:tblStylePr>
    <w:tblStylePr w:type="swCell">
      <w:tblPr/>
      <w:tcPr>
        <w:tcBorders>
          <w:top w:val="single" w:sz="4" w:space="0" w:color="6B83A7" w:themeColor="accent1" w:themeTint="99"/>
        </w:tcBorders>
      </w:tcPr>
    </w:tblStylePr>
  </w:style>
  <w:style w:type="paragraph" w:styleId="NormalWeb">
    <w:name w:val="Normal (Web)"/>
    <w:basedOn w:val="Normal"/>
    <w:uiPriority w:val="99"/>
    <w:semiHidden/>
    <w:unhideWhenUsed/>
    <w:rsid w:val="009B70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9574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1.xml"/><Relationship Id="rId26" Type="http://schemas.openxmlformats.org/officeDocument/2006/relationships/header" Target="header4.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creativecommons.org/licenses/by/3.0/au/legalcode" TargetMode="Externa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edia@treasury.gov.au"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3.0/au/deed.en" TargetMode="External"/><Relationship Id="rId24" Type="http://schemas.openxmlformats.org/officeDocument/2006/relationships/image" Target="media/image5.jpeg"/><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mc.gov.au/government/commonwealth-coat-arms"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www.legislation.gov.au"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deed.e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tp/implementing-online-cash-registers-benefits-considerations-and-guidance.htm" TargetMode="External"/><Relationship Id="rId1" Type="http://schemas.openxmlformats.org/officeDocument/2006/relationships/hyperlink" Target="https://www.oecd.org/tax/crime/technology-tools-to-tackle-tax-evasion-and-tax-fraud.ht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header7.xml.rels><?xml version="1.0" encoding="UTF-8" standalone="yes"?>
<Relationships xmlns="http://schemas.openxmlformats.org/package/2006/relationships"><Relationship Id="rId1" Type="http://schemas.openxmlformats.org/officeDocument/2006/relationships/image" Target="media/image7.jpg"/></Relationships>
</file>

<file path=word/_rels/header8.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C521336-F63F-4A02-B384-A614DEE1C1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6D51728637C32418064C987096EAF4D" ma:contentTypeVersion="" ma:contentTypeDescription="PDMS Document Site Content Type" ma:contentTypeScope="" ma:versionID="7bf137f750a99b124502ab816f473a8e">
  <xsd:schema xmlns:xsd="http://www.w3.org/2001/XMLSchema" xmlns:xs="http://www.w3.org/2001/XMLSchema" xmlns:p="http://schemas.microsoft.com/office/2006/metadata/properties" xmlns:ns2="3C521336-F63F-4A02-B384-A614DEE1C1EE" targetNamespace="http://schemas.microsoft.com/office/2006/metadata/properties" ma:root="true" ma:fieldsID="3b602f64edd428b5fe28c323e270e97e" ns2:_="">
    <xsd:import namespace="3C521336-F63F-4A02-B384-A614DEE1C1E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21336-F63F-4A02-B384-A614DEE1C1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F19D3-3820-49AC-B1C2-220E67A62FA1}">
  <ds:schemaRefs>
    <ds:schemaRef ds:uri="http://schemas.microsoft.com/sharepoint/v3/contenttype/forms"/>
  </ds:schemaRefs>
</ds:datastoreItem>
</file>

<file path=customXml/itemProps2.xml><?xml version="1.0" encoding="utf-8"?>
<ds:datastoreItem xmlns:ds="http://schemas.openxmlformats.org/officeDocument/2006/customXml" ds:itemID="{19647F94-60D2-4B74-B278-FB10007DFC95}">
  <ds:schemaRefs>
    <ds:schemaRef ds:uri="http://schemas.microsoft.com/office/2006/metadata/properties"/>
    <ds:schemaRef ds:uri="http://schemas.microsoft.com/office/infopath/2007/PartnerControls"/>
    <ds:schemaRef ds:uri="3C521336-F63F-4A02-B384-A614DEE1C1EE"/>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4A99684F-AC02-454A-8675-0A9124C8C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21336-F63F-4A02-B384-A614DEE1C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TSY A4 Report.dotm</Template>
  <TotalTime>43</TotalTime>
  <Pages>23</Pages>
  <Words>9072</Words>
  <Characters>50261</Characters>
  <Application>Microsoft Office Word</Application>
  <DocSecurity>0</DocSecurity>
  <Lines>797</Lines>
  <Paragraphs>346</Paragraphs>
  <ScaleCrop>false</ScaleCrop>
  <HeadingPairs>
    <vt:vector size="2" baseType="variant">
      <vt:variant>
        <vt:lpstr>Title</vt:lpstr>
      </vt:variant>
      <vt:variant>
        <vt:i4>1</vt:i4>
      </vt:variant>
    </vt:vector>
  </HeadingPairs>
  <TitlesOfParts>
    <vt:vector size="1" baseType="lpstr">
      <vt:lpstr>Statutory review of the operation of Schedule 1 of the Treasury Laws Amendment (Black Economy Taskforce Measures No.1) Act 2018</vt:lpstr>
    </vt:vector>
  </TitlesOfParts>
  <Company>Australian Government - The Treasury</Company>
  <LinksUpToDate>false</LinksUpToDate>
  <CharactersWithSpaces>58987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review of the operation of Schedule 1 of the Treasury Laws Amendment (Black Economy Taskforce Measures No.1) Act 2018</dc:title>
  <dc:creator>Australian Government</dc:creator>
  <cp:lastModifiedBy>Smith, Matthew</cp:lastModifiedBy>
  <cp:revision>12</cp:revision>
  <cp:lastPrinted>2023-03-02T03:19:00Z</cp:lastPrinted>
  <dcterms:created xsi:type="dcterms:W3CDTF">2023-02-07T23:03:00Z</dcterms:created>
  <dcterms:modified xsi:type="dcterms:W3CDTF">2023-03-08T01:11:00Z</dcterms:modified>
</cp:coreProperties>
</file>