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3135C6" w14:paraId="079EDE16" w14:textId="77777777" w:rsidTr="003135C6">
        <w:tc>
          <w:tcPr>
            <w:tcW w:w="5000" w:type="pct"/>
            <w:shd w:val="clear" w:color="auto" w:fill="auto"/>
          </w:tcPr>
          <w:p w14:paraId="18420BE7" w14:textId="77777777" w:rsidR="003135C6" w:rsidRDefault="003135C6" w:rsidP="003135C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8CF6693" w14:textId="77777777" w:rsidR="003135C6" w:rsidRPr="003135C6" w:rsidRDefault="003135C6" w:rsidP="003135C6">
            <w:pPr>
              <w:rPr>
                <w:b/>
                <w:sz w:val="20"/>
              </w:rPr>
            </w:pPr>
          </w:p>
        </w:tc>
      </w:tr>
    </w:tbl>
    <w:p w14:paraId="74BAACCF" w14:textId="77777777" w:rsidR="003135C6" w:rsidRDefault="003135C6" w:rsidP="00C00FDB">
      <w:pPr>
        <w:rPr>
          <w:sz w:val="32"/>
          <w:szCs w:val="32"/>
        </w:rPr>
      </w:pPr>
    </w:p>
    <w:p w14:paraId="38847198" w14:textId="77777777" w:rsidR="00664C63" w:rsidRPr="00C00FDB" w:rsidRDefault="00664C63" w:rsidP="00C00FDB">
      <w:pPr>
        <w:rPr>
          <w:sz w:val="32"/>
          <w:szCs w:val="32"/>
        </w:rPr>
      </w:pPr>
      <w:r w:rsidRPr="00C00FDB">
        <w:rPr>
          <w:sz w:val="32"/>
          <w:szCs w:val="32"/>
        </w:rPr>
        <w:t>Inserts for</w:t>
      </w:r>
    </w:p>
    <w:p w14:paraId="4C069961" w14:textId="77777777" w:rsidR="00664C63" w:rsidRPr="00C00FDB" w:rsidRDefault="002C721F" w:rsidP="00C00FDB">
      <w:pPr>
        <w:pStyle w:val="ShortT"/>
      </w:pPr>
      <w:r w:rsidRPr="00C00FDB">
        <w:t xml:space="preserve">Treasury Laws Amendment (Measures for </w:t>
      </w:r>
      <w:r w:rsidR="00B43293" w:rsidRPr="00C00FDB">
        <w:t>Consultation</w:t>
      </w:r>
      <w:r w:rsidRPr="00C00FDB">
        <w:t xml:space="preserve">) </w:t>
      </w:r>
      <w:r w:rsidR="00AE59F7" w:rsidRPr="00C00FDB">
        <w:t xml:space="preserve">Bill </w:t>
      </w:r>
      <w:r w:rsidR="005D67DD" w:rsidRPr="00C00FDB">
        <w:t>2023</w:t>
      </w:r>
      <w:r w:rsidR="00664C63" w:rsidRPr="00C00FDB">
        <w:t>:</w:t>
      </w:r>
      <w:r w:rsidRPr="00C00FDB">
        <w:t xml:space="preserve"> </w:t>
      </w:r>
      <w:r w:rsidR="00434E39" w:rsidRPr="00C00FDB">
        <w:t>Deductions for payments relating to intangible</w:t>
      </w:r>
      <w:r w:rsidR="00411FEF" w:rsidRPr="00C00FDB">
        <w:t xml:space="preserve"> assets connected with low corporate tax jurisdictions</w:t>
      </w:r>
    </w:p>
    <w:p w14:paraId="3436EAD1" w14:textId="77777777" w:rsidR="00664C63" w:rsidRPr="00C00FDB" w:rsidRDefault="00664C63" w:rsidP="00C00FDB">
      <w:pPr>
        <w:jc w:val="center"/>
        <w:rPr>
          <w:b/>
        </w:rPr>
      </w:pPr>
    </w:p>
    <w:p w14:paraId="39DB1FD4" w14:textId="77777777" w:rsidR="00664C63" w:rsidRPr="00C00FDB" w:rsidRDefault="00664C63" w:rsidP="00C00FD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00FDB" w14:paraId="6DC84019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660E1EE" w14:textId="77777777" w:rsidR="00664C63" w:rsidRPr="00C00FDB" w:rsidRDefault="00664C63" w:rsidP="00C00FDB">
            <w:pPr>
              <w:pStyle w:val="TableHeading"/>
            </w:pPr>
            <w:r w:rsidRPr="00C00FDB">
              <w:t>Commencement information</w:t>
            </w:r>
          </w:p>
        </w:tc>
      </w:tr>
      <w:tr w:rsidR="00664C63" w:rsidRPr="00C00FDB" w14:paraId="4DB6F770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FFAB7" w14:textId="77777777" w:rsidR="00664C63" w:rsidRPr="00C00FDB" w:rsidRDefault="00664C63" w:rsidP="00C00FDB">
            <w:pPr>
              <w:pStyle w:val="TableHeading"/>
            </w:pPr>
            <w:r w:rsidRPr="00C00FD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20D3B" w14:textId="77777777" w:rsidR="00664C63" w:rsidRPr="00C00FDB" w:rsidRDefault="00664C63" w:rsidP="00C00FDB">
            <w:pPr>
              <w:pStyle w:val="TableHeading"/>
            </w:pPr>
            <w:r w:rsidRPr="00C00FD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2669A" w14:textId="77777777" w:rsidR="00664C63" w:rsidRPr="00C00FDB" w:rsidRDefault="00664C63" w:rsidP="00C00FDB">
            <w:pPr>
              <w:pStyle w:val="TableHeading"/>
            </w:pPr>
            <w:r w:rsidRPr="00C00FDB">
              <w:t>Column 3</w:t>
            </w:r>
          </w:p>
        </w:tc>
      </w:tr>
      <w:tr w:rsidR="00664C63" w:rsidRPr="00C00FDB" w14:paraId="6737D143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3F6730" w14:textId="77777777" w:rsidR="00664C63" w:rsidRPr="00C00FDB" w:rsidRDefault="00664C63" w:rsidP="00C00FDB">
            <w:pPr>
              <w:pStyle w:val="TableHeading"/>
            </w:pPr>
            <w:r w:rsidRPr="00C00FD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66A508" w14:textId="77777777" w:rsidR="00664C63" w:rsidRPr="00C00FDB" w:rsidRDefault="00664C63" w:rsidP="00C00FDB">
            <w:pPr>
              <w:pStyle w:val="TableHeading"/>
            </w:pPr>
            <w:r w:rsidRPr="00C00FD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D602D8" w14:textId="77777777" w:rsidR="00664C63" w:rsidRPr="00C00FDB" w:rsidRDefault="00664C63" w:rsidP="00C00FDB">
            <w:pPr>
              <w:pStyle w:val="TableHeading"/>
            </w:pPr>
            <w:r w:rsidRPr="00C00FDB">
              <w:t>Date/Details</w:t>
            </w:r>
          </w:p>
        </w:tc>
      </w:tr>
      <w:tr w:rsidR="00664C63" w:rsidRPr="00C00FDB" w14:paraId="143CE4E7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363EB67" w14:textId="77777777" w:rsidR="00664C63" w:rsidRPr="00C00FDB" w:rsidRDefault="00664C63" w:rsidP="00C00FDB">
            <w:pPr>
              <w:pStyle w:val="Tabletext"/>
            </w:pPr>
            <w:r w:rsidRPr="00C00FDB">
              <w:t xml:space="preserve">1. </w:t>
            </w:r>
            <w:r w:rsidR="002C721F" w:rsidRPr="00C00FDB">
              <w:t xml:space="preserve"> </w:t>
            </w:r>
            <w:r w:rsidR="00290E5B" w:rsidRPr="00C00FDB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B4ACD20" w14:textId="77777777" w:rsidR="00664C63" w:rsidRPr="00C00FDB" w:rsidRDefault="00323B4D" w:rsidP="00C00FDB">
            <w:pPr>
              <w:pStyle w:val="Tabletext"/>
            </w:pPr>
            <w:r w:rsidRPr="00C00FD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FABFE05" w14:textId="77777777" w:rsidR="00664C63" w:rsidRPr="00C00FDB" w:rsidRDefault="00664C63" w:rsidP="00C00FDB">
            <w:pPr>
              <w:pStyle w:val="Tabletext"/>
            </w:pPr>
          </w:p>
        </w:tc>
      </w:tr>
      <w:tr w:rsidR="00664C63" w:rsidRPr="00C00FDB" w14:paraId="7D0142A0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F2638A6" w14:textId="77777777" w:rsidR="00664C63" w:rsidRPr="00C00FDB" w:rsidRDefault="00664C63" w:rsidP="00C00FDB">
            <w:pPr>
              <w:pStyle w:val="Tabletext"/>
            </w:pPr>
            <w:r w:rsidRPr="00C00FDB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8582420" w14:textId="77777777" w:rsidR="00664C63" w:rsidRPr="00C00FDB" w:rsidRDefault="00664C63" w:rsidP="00C00FDB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686EC826" w14:textId="77777777" w:rsidR="00664C63" w:rsidRPr="00C00FDB" w:rsidRDefault="00664C63" w:rsidP="00C00FDB">
            <w:pPr>
              <w:pStyle w:val="Tabletext"/>
            </w:pPr>
          </w:p>
        </w:tc>
      </w:tr>
      <w:tr w:rsidR="00664C63" w:rsidRPr="00C00FDB" w14:paraId="736BF0F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465F8C0" w14:textId="77777777" w:rsidR="00664C63" w:rsidRPr="00C00FDB" w:rsidRDefault="00664C63" w:rsidP="00C00FDB">
            <w:pPr>
              <w:pStyle w:val="Tabletext"/>
            </w:pPr>
            <w:r w:rsidRPr="00C00FDB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4704A4B5" w14:textId="77777777" w:rsidR="00664C63" w:rsidRPr="00C00FDB" w:rsidRDefault="00664C63" w:rsidP="00C00FDB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182F8E1F" w14:textId="77777777" w:rsidR="00664C63" w:rsidRPr="00C00FDB" w:rsidRDefault="00664C63" w:rsidP="00C00FDB">
            <w:pPr>
              <w:pStyle w:val="Tabletext"/>
            </w:pPr>
          </w:p>
        </w:tc>
      </w:tr>
    </w:tbl>
    <w:p w14:paraId="0F08D675" w14:textId="77777777" w:rsidR="002C721F" w:rsidRPr="00C00FDB" w:rsidRDefault="00290E5B" w:rsidP="00C00FDB">
      <w:pPr>
        <w:pStyle w:val="ActHead6"/>
        <w:pageBreakBefore/>
      </w:pPr>
      <w:r w:rsidRPr="003135C6">
        <w:rPr>
          <w:rStyle w:val="CharAmSchNo"/>
        </w:rPr>
        <w:lastRenderedPageBreak/>
        <w:t>Schedule 1</w:t>
      </w:r>
      <w:r w:rsidR="002C721F" w:rsidRPr="00C00FDB">
        <w:t>—</w:t>
      </w:r>
      <w:r w:rsidR="002C721F" w:rsidRPr="003135C6">
        <w:rPr>
          <w:rStyle w:val="CharAmSchText"/>
        </w:rPr>
        <w:t>Deductions for payments relating to intangible</w:t>
      </w:r>
      <w:r w:rsidR="005A1196" w:rsidRPr="003135C6">
        <w:rPr>
          <w:rStyle w:val="CharAmSchText"/>
        </w:rPr>
        <w:t xml:space="preserve"> assets</w:t>
      </w:r>
      <w:r w:rsidR="009F48FA" w:rsidRPr="003135C6">
        <w:rPr>
          <w:rStyle w:val="CharAmSchText"/>
        </w:rPr>
        <w:t xml:space="preserve"> connected with low corporate tax jurisdictions</w:t>
      </w:r>
    </w:p>
    <w:p w14:paraId="6117F0FD" w14:textId="77777777" w:rsidR="008F5C70" w:rsidRPr="003135C6" w:rsidRDefault="008F5C70" w:rsidP="00C00FDB">
      <w:pPr>
        <w:pStyle w:val="Header"/>
      </w:pPr>
      <w:r w:rsidRPr="003135C6">
        <w:rPr>
          <w:rStyle w:val="CharAmPartNo"/>
        </w:rPr>
        <w:t xml:space="preserve"> </w:t>
      </w:r>
      <w:r w:rsidRPr="003135C6">
        <w:rPr>
          <w:rStyle w:val="CharAmPartText"/>
        </w:rPr>
        <w:t xml:space="preserve"> </w:t>
      </w:r>
    </w:p>
    <w:p w14:paraId="6E84F35F" w14:textId="77777777" w:rsidR="002C721F" w:rsidRPr="00C00FDB" w:rsidRDefault="002C721F" w:rsidP="00C00FDB">
      <w:pPr>
        <w:pStyle w:val="ActHead9"/>
      </w:pPr>
      <w:r w:rsidRPr="00C00FDB">
        <w:t>Income Tax Assessment Act 1997</w:t>
      </w:r>
    </w:p>
    <w:p w14:paraId="7D797F11" w14:textId="77777777" w:rsidR="00BE56B9" w:rsidRPr="00C00FDB" w:rsidRDefault="00BE56B9" w:rsidP="00C00FDB">
      <w:pPr>
        <w:pStyle w:val="ItemHead"/>
      </w:pPr>
      <w:proofErr w:type="gramStart"/>
      <w:r w:rsidRPr="00C00FDB">
        <w:t xml:space="preserve">1  </w:t>
      </w:r>
      <w:r w:rsidR="00AF7FAC" w:rsidRPr="00C00FDB">
        <w:t>Section</w:t>
      </w:r>
      <w:proofErr w:type="gramEnd"/>
      <w:r w:rsidR="00AF7FAC" w:rsidRPr="00C00FDB">
        <w:t> 1</w:t>
      </w:r>
      <w:r w:rsidRPr="00C00FDB">
        <w:t>2</w:t>
      </w:r>
      <w:r w:rsidR="00C00FDB">
        <w:noBreakHyphen/>
      </w:r>
      <w:r w:rsidRPr="00C00FDB">
        <w:t>5 (after table item headed “</w:t>
      </w:r>
      <w:r w:rsidR="003C1C51" w:rsidRPr="00C00FDB">
        <w:t>insurance with non</w:t>
      </w:r>
      <w:r w:rsidR="00C00FDB">
        <w:noBreakHyphen/>
      </w:r>
      <w:r w:rsidR="003C1C51" w:rsidRPr="00C00FDB">
        <w:t>residents</w:t>
      </w:r>
      <w:r w:rsidRPr="00C00FDB">
        <w:t>”)</w:t>
      </w:r>
    </w:p>
    <w:p w14:paraId="390C9D3F" w14:textId="77777777" w:rsidR="00BE56B9" w:rsidRPr="00C00FDB" w:rsidRDefault="00BE56B9" w:rsidP="00C00FDB">
      <w:pPr>
        <w:pStyle w:val="Item"/>
      </w:pPr>
      <w:r w:rsidRPr="00C00FDB">
        <w:t>Insert:</w:t>
      </w:r>
    </w:p>
    <w:p w14:paraId="33F94D48" w14:textId="77777777" w:rsidR="00BE56B9" w:rsidRPr="00C00FDB" w:rsidRDefault="00BE56B9" w:rsidP="00C00FDB">
      <w:pPr>
        <w:pStyle w:val="Tabletext"/>
      </w:pP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BE56B9" w:rsidRPr="00C00FDB" w14:paraId="42203CDF" w14:textId="77777777" w:rsidTr="008D1C0A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7E16A35C" w14:textId="77777777" w:rsidR="00BE56B9" w:rsidRPr="00C00FDB" w:rsidRDefault="003C1C51" w:rsidP="00C00FDB">
            <w:pPr>
              <w:pStyle w:val="tableSub-heading"/>
              <w:tabs>
                <w:tab w:val="clear" w:pos="6124"/>
                <w:tab w:val="left" w:leader="dot" w:pos="5245"/>
              </w:tabs>
            </w:pPr>
            <w:r w:rsidRPr="00C00FDB">
              <w:t xml:space="preserve">intangible assets connected with </w:t>
            </w:r>
            <w:r w:rsidR="00BE56B9" w:rsidRPr="00C00FDB">
              <w:t>low</w:t>
            </w:r>
            <w:r w:rsidRPr="00C00FDB">
              <w:t xml:space="preserve"> corporate </w:t>
            </w:r>
            <w:r w:rsidR="00BE56B9" w:rsidRPr="00C00FDB">
              <w:t>tax jurisdiction</w:t>
            </w:r>
            <w:r w:rsidRPr="00C00FDB">
              <w:t>s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5860951" w14:textId="77777777" w:rsidR="00BE56B9" w:rsidRPr="00C00FDB" w:rsidRDefault="00BE56B9" w:rsidP="00C00FDB">
            <w:pPr>
              <w:pStyle w:val="tableText0"/>
              <w:tabs>
                <w:tab w:val="left" w:leader="dot" w:pos="5245"/>
              </w:tabs>
              <w:spacing w:line="240" w:lineRule="auto"/>
            </w:pPr>
          </w:p>
        </w:tc>
      </w:tr>
      <w:tr w:rsidR="00BE56B9" w:rsidRPr="00C00FDB" w14:paraId="35291854" w14:textId="77777777" w:rsidTr="008D1C0A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9CC05AF" w14:textId="77777777" w:rsidR="00BE56B9" w:rsidRPr="00C00FDB" w:rsidRDefault="00BE56B9" w:rsidP="00C00FDB">
            <w:pPr>
              <w:pStyle w:val="tableIndentText"/>
              <w:rPr>
                <w:rFonts w:ascii="Times New Roman" w:hAnsi="Times New Roman"/>
              </w:rPr>
            </w:pPr>
            <w:r w:rsidRPr="00C00FDB">
              <w:rPr>
                <w:rFonts w:ascii="Times New Roman" w:hAnsi="Times New Roman"/>
              </w:rPr>
              <w:t>payments etc. that significant global entit</w:t>
            </w:r>
            <w:r w:rsidR="00232D42" w:rsidRPr="00C00FDB">
              <w:rPr>
                <w:rFonts w:ascii="Times New Roman" w:hAnsi="Times New Roman"/>
              </w:rPr>
              <w:t>y</w:t>
            </w:r>
            <w:r w:rsidRPr="00C00FDB">
              <w:rPr>
                <w:rFonts w:ascii="Times New Roman" w:hAnsi="Times New Roman"/>
              </w:rPr>
              <w:t xml:space="preserve"> make</w:t>
            </w:r>
            <w:r w:rsidR="00ED2AF2" w:rsidRPr="00C00FDB">
              <w:rPr>
                <w:rFonts w:ascii="Times New Roman" w:hAnsi="Times New Roman"/>
              </w:rPr>
              <w:t>s</w:t>
            </w:r>
            <w:r w:rsidRPr="00C00FDB">
              <w:rPr>
                <w:rFonts w:ascii="Times New Roman" w:hAnsi="Times New Roman"/>
              </w:rPr>
              <w:t xml:space="preserve"> to associate in </w:t>
            </w:r>
            <w:r w:rsidR="00E7337D" w:rsidRPr="00C00FDB">
              <w:rPr>
                <w:rFonts w:ascii="Times New Roman" w:hAnsi="Times New Roman"/>
              </w:rPr>
              <w:t>relation to exploiting</w:t>
            </w:r>
            <w:r w:rsidRPr="00C00FDB">
              <w:rPr>
                <w:rFonts w:ascii="Times New Roman" w:hAnsi="Times New Roman"/>
              </w:rPr>
              <w:t xml:space="preserve"> </w:t>
            </w:r>
            <w:r w:rsidR="00ED2AF2" w:rsidRPr="00C00FDB">
              <w:t xml:space="preserve">intangible asset </w:t>
            </w:r>
            <w:r w:rsidR="00E7337D" w:rsidRPr="00C00FDB">
              <w:t xml:space="preserve">connected with </w:t>
            </w:r>
            <w:r w:rsidRPr="00C00FDB">
              <w:t>low</w:t>
            </w:r>
            <w:r w:rsidR="002C3310" w:rsidRPr="00C00FDB">
              <w:t xml:space="preserve"> corporate </w:t>
            </w:r>
            <w:r w:rsidRPr="00C00FDB">
              <w:t>tax jurisdiction</w:t>
            </w:r>
            <w:r w:rsidR="008F5C70" w:rsidRPr="00C00FDB">
              <w:t xml:space="preserve">, </w:t>
            </w:r>
            <w:r w:rsidR="008F5C70" w:rsidRPr="00C00FDB">
              <w:rPr>
                <w:rFonts w:ascii="Times New Roman" w:hAnsi="Times New Roman"/>
              </w:rPr>
              <w:t xml:space="preserve">no deduction for </w:t>
            </w:r>
            <w:r w:rsidRPr="00C00FDB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3030023" w14:textId="77777777" w:rsidR="00BE56B9" w:rsidRPr="00C00FDB" w:rsidRDefault="00BE56B9" w:rsidP="00C00FDB">
            <w:pPr>
              <w:pStyle w:val="tableText0"/>
              <w:tabs>
                <w:tab w:val="left" w:leader="dot" w:pos="5245"/>
              </w:tabs>
              <w:spacing w:line="240" w:lineRule="auto"/>
              <w:rPr>
                <w:b/>
              </w:rPr>
            </w:pPr>
            <w:r w:rsidRPr="00C00FDB">
              <w:t>26</w:t>
            </w:r>
            <w:r w:rsidR="00C00FDB">
              <w:noBreakHyphen/>
            </w:r>
            <w:r w:rsidRPr="00C00FDB">
              <w:t>110</w:t>
            </w:r>
          </w:p>
        </w:tc>
      </w:tr>
    </w:tbl>
    <w:p w14:paraId="049731A6" w14:textId="77777777" w:rsidR="00B65918" w:rsidRPr="00C00FDB" w:rsidRDefault="00926946" w:rsidP="00C00FDB">
      <w:pPr>
        <w:pStyle w:val="ItemHead"/>
      </w:pPr>
      <w:proofErr w:type="gramStart"/>
      <w:r w:rsidRPr="00C00FDB">
        <w:t>2</w:t>
      </w:r>
      <w:r w:rsidR="00B65918" w:rsidRPr="00C00FDB">
        <w:t xml:space="preserve">  A</w:t>
      </w:r>
      <w:r w:rsidR="00BE56B9" w:rsidRPr="00C00FDB">
        <w:t>t</w:t>
      </w:r>
      <w:proofErr w:type="gramEnd"/>
      <w:r w:rsidR="00BE56B9" w:rsidRPr="00C00FDB">
        <w:t xml:space="preserve"> the end of </w:t>
      </w:r>
      <w:r w:rsidR="00875A9F" w:rsidRPr="00C00FDB">
        <w:t>Division 2</w:t>
      </w:r>
      <w:r w:rsidR="00BE56B9" w:rsidRPr="00C00FDB">
        <w:t>6</w:t>
      </w:r>
    </w:p>
    <w:p w14:paraId="37586CB2" w14:textId="77777777" w:rsidR="00B65918" w:rsidRPr="00C00FDB" w:rsidRDefault="00BE56B9" w:rsidP="00C00FDB">
      <w:pPr>
        <w:pStyle w:val="Item"/>
      </w:pPr>
      <w:r w:rsidRPr="00C00FDB">
        <w:t>Add</w:t>
      </w:r>
      <w:r w:rsidR="00B65918" w:rsidRPr="00C00FDB">
        <w:t>:</w:t>
      </w:r>
    </w:p>
    <w:p w14:paraId="564EB5C4" w14:textId="77777777" w:rsidR="00E9428D" w:rsidRPr="00C00FDB" w:rsidRDefault="00E9428D" w:rsidP="00C00FDB">
      <w:pPr>
        <w:pStyle w:val="ActHead5"/>
      </w:pPr>
      <w:r w:rsidRPr="003135C6">
        <w:rPr>
          <w:rStyle w:val="CharSectno"/>
        </w:rPr>
        <w:t>26</w:t>
      </w:r>
      <w:r w:rsidR="00C00FDB" w:rsidRPr="003135C6">
        <w:rPr>
          <w:rStyle w:val="CharSectno"/>
        </w:rPr>
        <w:noBreakHyphen/>
      </w:r>
      <w:proofErr w:type="gramStart"/>
      <w:r w:rsidR="00BE56B9" w:rsidRPr="003135C6">
        <w:rPr>
          <w:rStyle w:val="CharSectno"/>
        </w:rPr>
        <w:t>110</w:t>
      </w:r>
      <w:r w:rsidRPr="00C00FDB">
        <w:t xml:space="preserve">  Payments</w:t>
      </w:r>
      <w:proofErr w:type="gramEnd"/>
      <w:r w:rsidRPr="00C00FDB">
        <w:t xml:space="preserve"> </w:t>
      </w:r>
      <w:r w:rsidR="00031ADA" w:rsidRPr="00C00FDB">
        <w:t xml:space="preserve">etc. </w:t>
      </w:r>
      <w:r w:rsidR="00DD45C1" w:rsidRPr="00C00FDB">
        <w:t xml:space="preserve">that significant global entities make to </w:t>
      </w:r>
      <w:r w:rsidR="001168A3" w:rsidRPr="00C00FDB">
        <w:t>associates</w:t>
      </w:r>
      <w:r w:rsidR="000E6F81" w:rsidRPr="00C00FDB">
        <w:t xml:space="preserve"> </w:t>
      </w:r>
      <w:r w:rsidR="00E7337D" w:rsidRPr="00C00FDB">
        <w:t xml:space="preserve">in relation to exploiting </w:t>
      </w:r>
      <w:r w:rsidRPr="00C00FDB">
        <w:t>intangible assets</w:t>
      </w:r>
      <w:r w:rsidR="00ED2AF2" w:rsidRPr="00C00FDB">
        <w:t xml:space="preserve"> </w:t>
      </w:r>
      <w:r w:rsidR="00E7337D" w:rsidRPr="00C00FDB">
        <w:t xml:space="preserve">connected with </w:t>
      </w:r>
      <w:r w:rsidR="00ED2AF2" w:rsidRPr="00C00FDB">
        <w:t>low</w:t>
      </w:r>
      <w:r w:rsidR="002C3310" w:rsidRPr="00C00FDB">
        <w:t xml:space="preserve"> corporate </w:t>
      </w:r>
      <w:r w:rsidR="00ED2AF2" w:rsidRPr="00C00FDB">
        <w:t>tax jurisdictions</w:t>
      </w:r>
    </w:p>
    <w:p w14:paraId="249FF686" w14:textId="77777777" w:rsidR="00E10847" w:rsidRPr="00C00FDB" w:rsidRDefault="00E10847" w:rsidP="00C00FDB">
      <w:pPr>
        <w:pStyle w:val="subsection"/>
      </w:pPr>
      <w:r w:rsidRPr="00C00FDB">
        <w:tab/>
        <w:t>(1)</w:t>
      </w:r>
      <w:r w:rsidRPr="00C00FDB">
        <w:tab/>
        <w:t xml:space="preserve">The object of this section is to deter </w:t>
      </w:r>
      <w:r w:rsidR="00C00FDB" w:rsidRPr="00C00FDB">
        <w:rPr>
          <w:position w:val="6"/>
          <w:sz w:val="16"/>
        </w:rPr>
        <w:t>*</w:t>
      </w:r>
      <w:r w:rsidRPr="00C00FDB">
        <w:t xml:space="preserve">significant global entities from avoiding corporate income tax by structuring their </w:t>
      </w:r>
      <w:r w:rsidR="00C00FDB" w:rsidRPr="00C00FDB">
        <w:rPr>
          <w:position w:val="6"/>
          <w:sz w:val="16"/>
        </w:rPr>
        <w:t>*</w:t>
      </w:r>
      <w:r w:rsidRPr="00C00FDB">
        <w:t xml:space="preserve">arrangements so that income from </w:t>
      </w:r>
      <w:r w:rsidR="00C00FDB" w:rsidRPr="00C00FDB">
        <w:rPr>
          <w:position w:val="6"/>
          <w:sz w:val="16"/>
        </w:rPr>
        <w:t>*</w:t>
      </w:r>
      <w:r w:rsidRPr="00C00FDB">
        <w:t xml:space="preserve">exploiting intangible assets is derived in </w:t>
      </w:r>
      <w:r w:rsidR="00C00FDB" w:rsidRPr="00C00FDB">
        <w:rPr>
          <w:position w:val="6"/>
          <w:sz w:val="16"/>
        </w:rPr>
        <w:t>*</w:t>
      </w:r>
      <w:r w:rsidRPr="00C00FDB">
        <w:t>low corporate tax jurisdictions.</w:t>
      </w:r>
    </w:p>
    <w:p w14:paraId="27C12FC0" w14:textId="77777777" w:rsidR="00111CB8" w:rsidRPr="00C00FDB" w:rsidRDefault="00111CB8" w:rsidP="00C00FDB">
      <w:pPr>
        <w:pStyle w:val="subsection"/>
      </w:pPr>
      <w:r w:rsidRPr="00C00FDB">
        <w:tab/>
        <w:t>(</w:t>
      </w:r>
      <w:r w:rsidR="00DD3580" w:rsidRPr="00C00FDB">
        <w:t>2</w:t>
      </w:r>
      <w:r w:rsidRPr="00C00FDB">
        <w:t>)</w:t>
      </w:r>
      <w:r w:rsidRPr="00C00FDB">
        <w:tab/>
        <w:t xml:space="preserve">You cannot deduct under this Act, for an income year, an amount for a payment you make to your </w:t>
      </w:r>
      <w:r w:rsidR="00C00FDB" w:rsidRPr="00C00FDB">
        <w:rPr>
          <w:position w:val="6"/>
          <w:sz w:val="16"/>
        </w:rPr>
        <w:t>*</w:t>
      </w:r>
      <w:r w:rsidRPr="00C00FDB">
        <w:t xml:space="preserve">associate (the </w:t>
      </w:r>
      <w:r w:rsidRPr="00C00FDB">
        <w:rPr>
          <w:b/>
          <w:i/>
        </w:rPr>
        <w:t>recipient</w:t>
      </w:r>
      <w:r w:rsidRPr="00C00FDB">
        <w:t xml:space="preserve">), to the extent that the payment </w:t>
      </w:r>
      <w:r w:rsidR="00CE2126" w:rsidRPr="00C00FDB">
        <w:t xml:space="preserve">is attributable to </w:t>
      </w:r>
      <w:r w:rsidR="00D04C0D" w:rsidRPr="00C00FDB">
        <w:t xml:space="preserve">a right to </w:t>
      </w:r>
      <w:r w:rsidR="00C00FDB" w:rsidRPr="00C00FDB">
        <w:rPr>
          <w:position w:val="6"/>
          <w:sz w:val="16"/>
        </w:rPr>
        <w:t>*</w:t>
      </w:r>
      <w:r w:rsidR="00D04C0D" w:rsidRPr="00C00FDB">
        <w:t xml:space="preserve">exploit </w:t>
      </w:r>
      <w:r w:rsidRPr="00C00FDB">
        <w:t>an intangible asset, if:</w:t>
      </w:r>
    </w:p>
    <w:p w14:paraId="39518DA6" w14:textId="77777777" w:rsidR="00640495" w:rsidRPr="00C00FDB" w:rsidRDefault="00640495" w:rsidP="00C00FDB">
      <w:pPr>
        <w:pStyle w:val="paragraph"/>
      </w:pPr>
      <w:r w:rsidRPr="00C00FDB">
        <w:tab/>
        <w:t>(a)</w:t>
      </w:r>
      <w:r w:rsidRPr="00C00FDB">
        <w:tab/>
        <w:t xml:space="preserve">you are a </w:t>
      </w:r>
      <w:r w:rsidR="00C00FDB" w:rsidRPr="00C00FDB">
        <w:rPr>
          <w:position w:val="6"/>
          <w:sz w:val="16"/>
        </w:rPr>
        <w:t>*</w:t>
      </w:r>
      <w:r w:rsidRPr="00C00FDB">
        <w:t>significant global entity for the year; and</w:t>
      </w:r>
    </w:p>
    <w:p w14:paraId="08B3FC4A" w14:textId="77777777" w:rsidR="00F9701D" w:rsidRPr="00C00FDB" w:rsidRDefault="00135A40" w:rsidP="00C00FDB">
      <w:pPr>
        <w:pStyle w:val="paragraph"/>
      </w:pPr>
      <w:r w:rsidRPr="00C00FDB">
        <w:tab/>
        <w:t>(</w:t>
      </w:r>
      <w:r w:rsidR="00EE4C18" w:rsidRPr="00C00FDB">
        <w:t>b</w:t>
      </w:r>
      <w:r w:rsidRPr="00C00FDB">
        <w:t>)</w:t>
      </w:r>
      <w:r w:rsidRPr="00C00FDB">
        <w:tab/>
      </w:r>
      <w:proofErr w:type="gramStart"/>
      <w:r w:rsidRPr="00C00FDB">
        <w:t>as a result of</w:t>
      </w:r>
      <w:proofErr w:type="gramEnd"/>
      <w:r w:rsidR="006A36DF" w:rsidRPr="00C00FDB">
        <w:t xml:space="preserve"> </w:t>
      </w:r>
      <w:r w:rsidRPr="00C00FDB">
        <w:t xml:space="preserve">the </w:t>
      </w:r>
      <w:r w:rsidR="00C00FDB" w:rsidRPr="00C00FDB">
        <w:rPr>
          <w:position w:val="6"/>
          <w:sz w:val="16"/>
        </w:rPr>
        <w:t>*</w:t>
      </w:r>
      <w:r w:rsidRPr="00C00FDB">
        <w:t>a</w:t>
      </w:r>
      <w:r w:rsidR="00EE4C18" w:rsidRPr="00C00FDB">
        <w:t>rrangement</w:t>
      </w:r>
      <w:r w:rsidRPr="00C00FDB">
        <w:t xml:space="preserve"> under which you make the payment</w:t>
      </w:r>
      <w:r w:rsidR="006A36DF" w:rsidRPr="00C00FDB">
        <w:t xml:space="preserve">, or a </w:t>
      </w:r>
      <w:r w:rsidR="000C3B16" w:rsidRPr="00C00FDB">
        <w:t>related arrangement</w:t>
      </w:r>
      <w:r w:rsidR="006A36DF" w:rsidRPr="00C00FDB">
        <w:t>, y</w:t>
      </w:r>
      <w:r w:rsidRPr="00C00FDB">
        <w:t xml:space="preserve">ou </w:t>
      </w:r>
      <w:r w:rsidR="009D6EB6" w:rsidRPr="00C00FDB">
        <w:t>or an associate of yours</w:t>
      </w:r>
      <w:r w:rsidR="00F9701D" w:rsidRPr="00C00FDB">
        <w:t>:</w:t>
      </w:r>
    </w:p>
    <w:p w14:paraId="7BE25455" w14:textId="77777777" w:rsidR="00F9701D" w:rsidRPr="00C00FDB" w:rsidRDefault="00F9701D" w:rsidP="00C00FDB">
      <w:pPr>
        <w:pStyle w:val="paragraphsub"/>
      </w:pPr>
      <w:r w:rsidRPr="00C00FDB">
        <w:tab/>
        <w:t>(</w:t>
      </w:r>
      <w:proofErr w:type="spellStart"/>
      <w:r w:rsidRPr="00C00FDB">
        <w:t>i</w:t>
      </w:r>
      <w:proofErr w:type="spellEnd"/>
      <w:r w:rsidRPr="00C00FDB">
        <w:t>)</w:t>
      </w:r>
      <w:r w:rsidRPr="00C00FDB">
        <w:tab/>
      </w:r>
      <w:r w:rsidR="00135A40" w:rsidRPr="00C00FDB">
        <w:t>acquire</w:t>
      </w:r>
      <w:r w:rsidR="00C86EAB" w:rsidRPr="00C00FDB">
        <w:t xml:space="preserve"> </w:t>
      </w:r>
      <w:r w:rsidR="00111CB8" w:rsidRPr="00C00FDB">
        <w:t>the</w:t>
      </w:r>
      <w:r w:rsidR="00C86EAB" w:rsidRPr="00C00FDB">
        <w:t xml:space="preserve"> </w:t>
      </w:r>
      <w:r w:rsidR="00EB3C47" w:rsidRPr="00C00FDB">
        <w:t xml:space="preserve">intangible </w:t>
      </w:r>
      <w:r w:rsidR="00C86EAB" w:rsidRPr="00C00FDB">
        <w:t>asset</w:t>
      </w:r>
      <w:r w:rsidRPr="00C00FDB">
        <w:t>; or</w:t>
      </w:r>
    </w:p>
    <w:p w14:paraId="34CA3C96" w14:textId="77777777" w:rsidR="00F9701D" w:rsidRPr="00C00FDB" w:rsidRDefault="00F9701D" w:rsidP="00C00FDB">
      <w:pPr>
        <w:pStyle w:val="paragraphsub"/>
      </w:pPr>
      <w:r w:rsidRPr="00C00FDB">
        <w:tab/>
        <w:t>(i</w:t>
      </w:r>
      <w:r w:rsidR="006A36DF" w:rsidRPr="00C00FDB">
        <w:t>i</w:t>
      </w:r>
      <w:r w:rsidRPr="00C00FDB">
        <w:t>)</w:t>
      </w:r>
      <w:r w:rsidRPr="00C00FDB">
        <w:tab/>
        <w:t xml:space="preserve">acquire </w:t>
      </w:r>
      <w:r w:rsidR="00C86EAB" w:rsidRPr="00C00FDB">
        <w:t xml:space="preserve">a right to </w:t>
      </w:r>
      <w:r w:rsidR="008D1C0A" w:rsidRPr="00C00FDB">
        <w:t>exploit</w:t>
      </w:r>
      <w:r w:rsidR="00135A40" w:rsidRPr="00C00FDB">
        <w:t xml:space="preserve"> </w:t>
      </w:r>
      <w:r w:rsidR="00111CB8" w:rsidRPr="00C00FDB">
        <w:t>the</w:t>
      </w:r>
      <w:r w:rsidR="00ED2AF2" w:rsidRPr="00C00FDB">
        <w:t xml:space="preserve"> </w:t>
      </w:r>
      <w:r w:rsidR="009D6EB6" w:rsidRPr="00C00FDB">
        <w:t xml:space="preserve">intangible </w:t>
      </w:r>
      <w:r w:rsidR="00ED2AF2" w:rsidRPr="00C00FDB">
        <w:t>asset</w:t>
      </w:r>
      <w:r w:rsidRPr="00C00FDB">
        <w:t>; or</w:t>
      </w:r>
    </w:p>
    <w:p w14:paraId="4D831C22" w14:textId="77777777" w:rsidR="00ED2AF2" w:rsidRPr="00C00FDB" w:rsidRDefault="00F9701D" w:rsidP="00C00FDB">
      <w:pPr>
        <w:pStyle w:val="paragraphsub"/>
      </w:pPr>
      <w:r w:rsidRPr="00C00FDB">
        <w:tab/>
        <w:t>(</w:t>
      </w:r>
      <w:r w:rsidR="006A36DF" w:rsidRPr="00C00FDB">
        <w:t>iii</w:t>
      </w:r>
      <w:r w:rsidRPr="00C00FDB">
        <w:t>)</w:t>
      </w:r>
      <w:r w:rsidRPr="00C00FDB">
        <w:tab/>
      </w:r>
      <w:r w:rsidR="00BF4C45" w:rsidRPr="00C00FDB">
        <w:t xml:space="preserve">exploit </w:t>
      </w:r>
      <w:r w:rsidR="00111CB8" w:rsidRPr="00C00FDB">
        <w:t>the</w:t>
      </w:r>
      <w:r w:rsidR="00BF4C45" w:rsidRPr="00C00FDB">
        <w:t xml:space="preserve"> intangible asset</w:t>
      </w:r>
      <w:r w:rsidR="00ED2AF2" w:rsidRPr="00C00FDB">
        <w:t>; and</w:t>
      </w:r>
    </w:p>
    <w:p w14:paraId="39DB35CB" w14:textId="77777777" w:rsidR="0001106D" w:rsidRPr="00C00FDB" w:rsidRDefault="00ED2AF2" w:rsidP="00C00FDB">
      <w:pPr>
        <w:pStyle w:val="paragraph"/>
      </w:pPr>
      <w:r w:rsidRPr="00C00FDB">
        <w:lastRenderedPageBreak/>
        <w:tab/>
        <w:t>(</w:t>
      </w:r>
      <w:r w:rsidR="007539C5" w:rsidRPr="00C00FDB">
        <w:t>c</w:t>
      </w:r>
      <w:r w:rsidRPr="00C00FDB">
        <w:t>)</w:t>
      </w:r>
      <w:r w:rsidRPr="00C00FDB">
        <w:tab/>
      </w:r>
      <w:r w:rsidR="004771A6" w:rsidRPr="00C00FDB">
        <w:t>the entering into of the arrangement</w:t>
      </w:r>
      <w:r w:rsidR="004B73A7" w:rsidRPr="00C00FDB">
        <w:t xml:space="preserve"> under which you ma</w:t>
      </w:r>
      <w:r w:rsidR="00402800" w:rsidRPr="00C00FDB">
        <w:t>ke</w:t>
      </w:r>
      <w:r w:rsidR="004B73A7" w:rsidRPr="00C00FDB">
        <w:t xml:space="preserve"> the payment, or the related arrangement mentioned in </w:t>
      </w:r>
      <w:r w:rsidR="00C00FDB" w:rsidRPr="00C00FDB">
        <w:t>paragraph (</w:t>
      </w:r>
      <w:r w:rsidR="004B73A7" w:rsidRPr="00C00FDB">
        <w:t xml:space="preserve">b), </w:t>
      </w:r>
      <w:r w:rsidR="004771A6" w:rsidRPr="00C00FDB">
        <w:t xml:space="preserve">the acquisition of the </w:t>
      </w:r>
      <w:r w:rsidR="00F9701D" w:rsidRPr="00C00FDB">
        <w:t xml:space="preserve">intangible asset, the acquisition of the right to exploit the intangible asset or the exploitation of the intangible asset </w:t>
      </w:r>
      <w:r w:rsidR="00A36924" w:rsidRPr="00C00FDB">
        <w:t>results in</w:t>
      </w:r>
      <w:r w:rsidR="0001106D" w:rsidRPr="00C00FDB">
        <w:t>:</w:t>
      </w:r>
    </w:p>
    <w:p w14:paraId="29AB86BD" w14:textId="77777777" w:rsidR="0001106D" w:rsidRPr="00C00FDB" w:rsidRDefault="0001106D" w:rsidP="00C00FDB">
      <w:pPr>
        <w:pStyle w:val="paragraphsub"/>
      </w:pPr>
      <w:r w:rsidRPr="00C00FDB">
        <w:tab/>
        <w:t>(</w:t>
      </w:r>
      <w:proofErr w:type="spellStart"/>
      <w:r w:rsidRPr="00C00FDB">
        <w:t>i</w:t>
      </w:r>
      <w:proofErr w:type="spellEnd"/>
      <w:r w:rsidRPr="00C00FDB">
        <w:t>)</w:t>
      </w:r>
      <w:r w:rsidRPr="00C00FDB">
        <w:tab/>
      </w:r>
      <w:r w:rsidR="00ED2AF2" w:rsidRPr="00C00FDB">
        <w:t>the recipient</w:t>
      </w:r>
      <w:r w:rsidRPr="00C00FDB">
        <w:t>; or</w:t>
      </w:r>
    </w:p>
    <w:p w14:paraId="345CB9E8" w14:textId="77777777" w:rsidR="0001106D" w:rsidRPr="00C00FDB" w:rsidRDefault="0001106D" w:rsidP="00C00FDB">
      <w:pPr>
        <w:pStyle w:val="paragraphsub"/>
      </w:pPr>
      <w:r w:rsidRPr="00C00FDB">
        <w:tab/>
        <w:t>(ii)</w:t>
      </w:r>
      <w:r w:rsidRPr="00C00FDB">
        <w:tab/>
        <w:t xml:space="preserve">another associate of </w:t>
      </w:r>
      <w:proofErr w:type="gramStart"/>
      <w:r w:rsidRPr="00C00FDB">
        <w:t>yours;</w:t>
      </w:r>
      <w:proofErr w:type="gramEnd"/>
    </w:p>
    <w:p w14:paraId="6454CA6D" w14:textId="77777777" w:rsidR="000B7757" w:rsidRPr="00C00FDB" w:rsidRDefault="0001106D" w:rsidP="00C00FDB">
      <w:pPr>
        <w:pStyle w:val="paragraph"/>
      </w:pPr>
      <w:r w:rsidRPr="00C00FDB">
        <w:tab/>
      </w:r>
      <w:r w:rsidRPr="00C00FDB">
        <w:tab/>
      </w:r>
      <w:r w:rsidR="00A36924" w:rsidRPr="00C00FDB">
        <w:t>deriving income</w:t>
      </w:r>
      <w:r w:rsidR="000B7757" w:rsidRPr="00C00FDB">
        <w:t>:</w:t>
      </w:r>
    </w:p>
    <w:p w14:paraId="23E6ACF0" w14:textId="77777777" w:rsidR="000B7757" w:rsidRPr="00C00FDB" w:rsidRDefault="000B7757" w:rsidP="00C00FDB">
      <w:pPr>
        <w:pStyle w:val="paragraphsub"/>
      </w:pPr>
      <w:r w:rsidRPr="00C00FDB">
        <w:tab/>
        <w:t>(iii)</w:t>
      </w:r>
      <w:r w:rsidRPr="00C00FDB">
        <w:tab/>
        <w:t xml:space="preserve">in a </w:t>
      </w:r>
      <w:r w:rsidR="00C00FDB" w:rsidRPr="00C00FDB">
        <w:rPr>
          <w:position w:val="6"/>
          <w:sz w:val="16"/>
        </w:rPr>
        <w:t>*</w:t>
      </w:r>
      <w:r w:rsidRPr="00C00FDB">
        <w:t>low corporate tax jurisdiction; and</w:t>
      </w:r>
    </w:p>
    <w:p w14:paraId="638537E5" w14:textId="77777777" w:rsidR="00B04787" w:rsidRPr="00C00FDB" w:rsidRDefault="000B7757" w:rsidP="00C00FDB">
      <w:pPr>
        <w:pStyle w:val="paragraphsub"/>
      </w:pPr>
      <w:r w:rsidRPr="00C00FDB">
        <w:tab/>
        <w:t>(iv)</w:t>
      </w:r>
      <w:r w:rsidRPr="00C00FDB">
        <w:tab/>
      </w:r>
      <w:r w:rsidR="00A36924" w:rsidRPr="00C00FDB">
        <w:t xml:space="preserve">directly or indirectly from </w:t>
      </w:r>
      <w:r w:rsidRPr="00C00FDB">
        <w:t xml:space="preserve">exploiting </w:t>
      </w:r>
      <w:r w:rsidR="00A36924" w:rsidRPr="00C00FDB">
        <w:t xml:space="preserve">the </w:t>
      </w:r>
      <w:r w:rsidR="009D6EB6" w:rsidRPr="00C00FDB">
        <w:t xml:space="preserve">intangible asset, or </w:t>
      </w:r>
      <w:r w:rsidR="00A36924" w:rsidRPr="00C00FDB">
        <w:t xml:space="preserve">from </w:t>
      </w:r>
      <w:r w:rsidR="009D6EB6" w:rsidRPr="00C00FDB">
        <w:t>a related intangible asset</w:t>
      </w:r>
      <w:r w:rsidR="00A36924" w:rsidRPr="00C00FDB">
        <w:t>.</w:t>
      </w:r>
    </w:p>
    <w:p w14:paraId="08BE3BB0" w14:textId="77777777" w:rsidR="009D6EB6" w:rsidRPr="00C00FDB" w:rsidRDefault="009D6EB6" w:rsidP="00C00FDB">
      <w:pPr>
        <w:pStyle w:val="notetext"/>
      </w:pPr>
      <w:r w:rsidRPr="00C00FDB">
        <w:t>Example:</w:t>
      </w:r>
      <w:r w:rsidRPr="00C00FDB">
        <w:tab/>
        <w:t>Each of the following is an intangible asset:</w:t>
      </w:r>
    </w:p>
    <w:p w14:paraId="05048D35" w14:textId="77777777" w:rsidR="009D6EB6" w:rsidRPr="00C00FDB" w:rsidRDefault="009D6EB6" w:rsidP="00C00FDB">
      <w:pPr>
        <w:pStyle w:val="notepara"/>
      </w:pPr>
      <w:r w:rsidRPr="00C00FDB">
        <w:t>(a)</w:t>
      </w:r>
      <w:r w:rsidRPr="00C00FDB">
        <w:tab/>
        <w:t xml:space="preserve">intellectual </w:t>
      </w:r>
      <w:proofErr w:type="gramStart"/>
      <w:r w:rsidRPr="00C00FDB">
        <w:t>property;</w:t>
      </w:r>
      <w:proofErr w:type="gramEnd"/>
    </w:p>
    <w:p w14:paraId="1AA9DB8F" w14:textId="77777777" w:rsidR="009D6EB6" w:rsidRPr="00C00FDB" w:rsidRDefault="009D6EB6" w:rsidP="00C00FDB">
      <w:pPr>
        <w:pStyle w:val="notepara"/>
      </w:pPr>
      <w:r w:rsidRPr="00C00FDB">
        <w:t>(b)</w:t>
      </w:r>
      <w:r w:rsidRPr="00C00FDB">
        <w:tab/>
        <w:t xml:space="preserve">information or data, including a database of </w:t>
      </w:r>
      <w:proofErr w:type="gramStart"/>
      <w:r w:rsidRPr="00C00FDB">
        <w:t>customers;</w:t>
      </w:r>
      <w:proofErr w:type="gramEnd"/>
    </w:p>
    <w:p w14:paraId="0158C45C" w14:textId="77777777" w:rsidR="009D6EB6" w:rsidRPr="00C00FDB" w:rsidRDefault="009D6EB6" w:rsidP="00C00FDB">
      <w:pPr>
        <w:pStyle w:val="notepara"/>
      </w:pPr>
      <w:r w:rsidRPr="00C00FDB">
        <w:t>(c)</w:t>
      </w:r>
      <w:r w:rsidRPr="00C00FDB">
        <w:tab/>
        <w:t>an algorithm.</w:t>
      </w:r>
    </w:p>
    <w:p w14:paraId="4571B4DE" w14:textId="77777777" w:rsidR="00EA0EF6" w:rsidRPr="00C00FDB" w:rsidRDefault="00330DD3" w:rsidP="00C00FDB">
      <w:pPr>
        <w:pStyle w:val="subsection"/>
      </w:pPr>
      <w:r w:rsidRPr="00C00FDB">
        <w:tab/>
        <w:t>(</w:t>
      </w:r>
      <w:r w:rsidR="00DD3580" w:rsidRPr="00C00FDB">
        <w:t>3</w:t>
      </w:r>
      <w:r w:rsidRPr="00C00FDB">
        <w:t>)</w:t>
      </w:r>
      <w:r w:rsidRPr="00C00FDB">
        <w:tab/>
        <w:t xml:space="preserve">For the purposes of </w:t>
      </w:r>
      <w:r w:rsidR="00C00FDB" w:rsidRPr="00C00FDB">
        <w:t>subsection (</w:t>
      </w:r>
      <w:r w:rsidR="00DD3580" w:rsidRPr="00C00FDB">
        <w:t>2</w:t>
      </w:r>
      <w:r w:rsidRPr="00C00FDB">
        <w:t>), it does not matter</w:t>
      </w:r>
      <w:r w:rsidR="00EA0EF6" w:rsidRPr="00C00FDB">
        <w:t>:</w:t>
      </w:r>
    </w:p>
    <w:p w14:paraId="36349260" w14:textId="77777777" w:rsidR="00EA0EF6" w:rsidRPr="00C00FDB" w:rsidRDefault="00EA0EF6" w:rsidP="00C00FDB">
      <w:pPr>
        <w:pStyle w:val="paragraph"/>
      </w:pPr>
      <w:r w:rsidRPr="00C00FDB">
        <w:tab/>
        <w:t>(a)</w:t>
      </w:r>
      <w:r w:rsidRPr="00C00FDB">
        <w:tab/>
        <w:t xml:space="preserve">whether you make the payment to </w:t>
      </w:r>
      <w:r w:rsidR="00824733" w:rsidRPr="00C00FDB">
        <w:t>the recipient</w:t>
      </w:r>
      <w:r w:rsidRPr="00C00FDB">
        <w:t xml:space="preserve"> directly or through one or more other entities; or</w:t>
      </w:r>
    </w:p>
    <w:p w14:paraId="19E03722" w14:textId="77777777" w:rsidR="00330DD3" w:rsidRPr="00C00FDB" w:rsidRDefault="00EA0EF6" w:rsidP="00C00FDB">
      <w:pPr>
        <w:pStyle w:val="paragraph"/>
      </w:pPr>
      <w:r w:rsidRPr="00C00FDB">
        <w:tab/>
        <w:t>(b)</w:t>
      </w:r>
      <w:r w:rsidRPr="00C00FDB">
        <w:tab/>
      </w:r>
      <w:r w:rsidR="00330DD3" w:rsidRPr="00C00FDB">
        <w:t xml:space="preserve">where </w:t>
      </w:r>
      <w:r w:rsidR="00824733" w:rsidRPr="00C00FDB">
        <w:t xml:space="preserve">the recipient </w:t>
      </w:r>
      <w:r w:rsidR="00330DD3" w:rsidRPr="00C00FDB">
        <w:t>is located.</w:t>
      </w:r>
    </w:p>
    <w:p w14:paraId="49AFC70D" w14:textId="77777777" w:rsidR="00D877C7" w:rsidRPr="00C00FDB" w:rsidRDefault="00D877C7" w:rsidP="00C00FDB">
      <w:pPr>
        <w:pStyle w:val="SubsectionHead"/>
      </w:pPr>
      <w:r w:rsidRPr="00C00FDB">
        <w:t>Incurring liabilities and crediting amounts</w:t>
      </w:r>
    </w:p>
    <w:p w14:paraId="7774244C" w14:textId="77777777" w:rsidR="00113F5B" w:rsidRPr="00C00FDB" w:rsidRDefault="00113F5B" w:rsidP="00C00FDB">
      <w:pPr>
        <w:pStyle w:val="subsection"/>
      </w:pPr>
      <w:r w:rsidRPr="00C00FDB">
        <w:tab/>
        <w:t>(</w:t>
      </w:r>
      <w:r w:rsidR="00DD3580" w:rsidRPr="00C00FDB">
        <w:t>4</w:t>
      </w:r>
      <w:r w:rsidRPr="00C00FDB">
        <w:t>)</w:t>
      </w:r>
      <w:r w:rsidRPr="00C00FDB">
        <w:tab/>
        <w:t>This section applies in relation to:</w:t>
      </w:r>
    </w:p>
    <w:p w14:paraId="3DA16B00" w14:textId="77777777" w:rsidR="00113F5B" w:rsidRPr="00C00FDB" w:rsidRDefault="00113F5B" w:rsidP="00C00FDB">
      <w:pPr>
        <w:pStyle w:val="paragraph"/>
      </w:pPr>
      <w:r w:rsidRPr="00C00FDB">
        <w:tab/>
        <w:t>(a)</w:t>
      </w:r>
      <w:r w:rsidRPr="00C00FDB">
        <w:tab/>
        <w:t>incurring a liability; or</w:t>
      </w:r>
    </w:p>
    <w:p w14:paraId="7492AE59" w14:textId="77777777" w:rsidR="00113F5B" w:rsidRPr="00C00FDB" w:rsidRDefault="00113F5B" w:rsidP="00C00FDB">
      <w:pPr>
        <w:pStyle w:val="paragraph"/>
      </w:pPr>
      <w:r w:rsidRPr="00C00FDB">
        <w:tab/>
        <w:t>(b)</w:t>
      </w:r>
      <w:r w:rsidRPr="00C00FDB">
        <w:tab/>
        <w:t xml:space="preserve">crediting an </w:t>
      </w:r>
      <w:proofErr w:type="gramStart"/>
      <w:r w:rsidRPr="00C00FDB">
        <w:t>amount;</w:t>
      </w:r>
      <w:proofErr w:type="gramEnd"/>
    </w:p>
    <w:p w14:paraId="3A3773E2" w14:textId="77777777" w:rsidR="00113F5B" w:rsidRPr="00C00FDB" w:rsidRDefault="00113F5B" w:rsidP="00C00FDB">
      <w:pPr>
        <w:pStyle w:val="subsection2"/>
      </w:pPr>
      <w:r w:rsidRPr="00C00FDB">
        <w:t xml:space="preserve">in the same way as this section applies in relation to </w:t>
      </w:r>
      <w:r w:rsidR="00D877C7" w:rsidRPr="00C00FDB">
        <w:t>making a payment</w:t>
      </w:r>
      <w:r w:rsidRPr="00C00FDB">
        <w:t>.</w:t>
      </w:r>
    </w:p>
    <w:p w14:paraId="7C658023" w14:textId="77777777" w:rsidR="00F1096B" w:rsidRPr="00C00FDB" w:rsidRDefault="00F1096B" w:rsidP="00C00FDB">
      <w:pPr>
        <w:pStyle w:val="SubsectionHead"/>
      </w:pPr>
      <w:r w:rsidRPr="00C00FDB">
        <w:t>Intangible assets</w:t>
      </w:r>
    </w:p>
    <w:p w14:paraId="5CF1B327" w14:textId="77777777" w:rsidR="00F1096B" w:rsidRPr="00C00FDB" w:rsidRDefault="00F1096B" w:rsidP="00C00FDB">
      <w:pPr>
        <w:pStyle w:val="subsection"/>
      </w:pPr>
      <w:r w:rsidRPr="00C00FDB">
        <w:tab/>
        <w:t>(</w:t>
      </w:r>
      <w:r w:rsidR="00DD3580" w:rsidRPr="00C00FDB">
        <w:t>5</w:t>
      </w:r>
      <w:r w:rsidRPr="00C00FDB">
        <w:t>)</w:t>
      </w:r>
      <w:r w:rsidRPr="00C00FDB">
        <w:tab/>
      </w:r>
      <w:r w:rsidR="009D6EB6" w:rsidRPr="00C00FDB">
        <w:t xml:space="preserve">Subject to </w:t>
      </w:r>
      <w:r w:rsidR="00C00FDB" w:rsidRPr="00C00FDB">
        <w:t>subsection (</w:t>
      </w:r>
      <w:r w:rsidR="00DD3580" w:rsidRPr="00C00FDB">
        <w:t>7</w:t>
      </w:r>
      <w:r w:rsidR="009D6EB6" w:rsidRPr="00C00FDB">
        <w:t xml:space="preserve">), this </w:t>
      </w:r>
      <w:r w:rsidRPr="00C00FDB">
        <w:t xml:space="preserve">section applies </w:t>
      </w:r>
      <w:r w:rsidR="00D560D0" w:rsidRPr="00C00FDB">
        <w:t xml:space="preserve">in relation </w:t>
      </w:r>
      <w:r w:rsidRPr="00C00FDB">
        <w:t xml:space="preserve">to the following </w:t>
      </w:r>
      <w:r w:rsidR="009D6EB6" w:rsidRPr="00C00FDB">
        <w:t xml:space="preserve">in the same way as </w:t>
      </w:r>
      <w:r w:rsidR="00D560D0" w:rsidRPr="00C00FDB">
        <w:t>this section</w:t>
      </w:r>
      <w:r w:rsidR="009D6EB6" w:rsidRPr="00C00FDB">
        <w:t xml:space="preserve"> applies </w:t>
      </w:r>
      <w:r w:rsidR="00D560D0" w:rsidRPr="00C00FDB">
        <w:t xml:space="preserve">in relation </w:t>
      </w:r>
      <w:r w:rsidR="009D6EB6" w:rsidRPr="00C00FDB">
        <w:t>to an intangible asset</w:t>
      </w:r>
      <w:r w:rsidRPr="00C00FDB">
        <w:t>:</w:t>
      </w:r>
    </w:p>
    <w:p w14:paraId="3F72C37F" w14:textId="77777777" w:rsidR="00F1096B" w:rsidRPr="00C00FDB" w:rsidRDefault="00F1096B" w:rsidP="00C00FDB">
      <w:pPr>
        <w:pStyle w:val="paragraph"/>
      </w:pPr>
      <w:r w:rsidRPr="00C00FDB">
        <w:tab/>
        <w:t>(</w:t>
      </w:r>
      <w:r w:rsidR="009D6EB6" w:rsidRPr="00C00FDB">
        <w:t>a</w:t>
      </w:r>
      <w:r w:rsidRPr="00C00FDB">
        <w:t>)</w:t>
      </w:r>
      <w:r w:rsidRPr="00C00FDB">
        <w:tab/>
        <w:t>if the use of, supply of or reception of a</w:t>
      </w:r>
      <w:r w:rsidR="00D560D0" w:rsidRPr="00C00FDB">
        <w:t xml:space="preserve"> thing</w:t>
      </w:r>
      <w:r w:rsidRPr="00C00FDB">
        <w:t xml:space="preserve"> is mentioned in </w:t>
      </w:r>
      <w:r w:rsidR="00AF7FAC" w:rsidRPr="00C00FDB">
        <w:t>paragraphs (</w:t>
      </w:r>
      <w:r w:rsidRPr="00C00FDB">
        <w:t xml:space="preserve">a) or (c) to (e) of the definition of </w:t>
      </w:r>
      <w:r w:rsidRPr="00C00FDB">
        <w:rPr>
          <w:b/>
          <w:i/>
        </w:rPr>
        <w:t>royalty</w:t>
      </w:r>
      <w:r w:rsidRPr="00C00FDB">
        <w:t xml:space="preserve"> in subsection 6(1) of the </w:t>
      </w:r>
      <w:r w:rsidRPr="00C00FDB">
        <w:rPr>
          <w:i/>
        </w:rPr>
        <w:t>Income Tax Assessment Act 1936</w:t>
      </w:r>
      <w:r w:rsidRPr="00C00FDB">
        <w:t xml:space="preserve">—that </w:t>
      </w:r>
      <w:proofErr w:type="gramStart"/>
      <w:r w:rsidR="00D560D0" w:rsidRPr="00C00FDB">
        <w:t>thing</w:t>
      </w:r>
      <w:r w:rsidRPr="00C00FDB">
        <w:t>;</w:t>
      </w:r>
      <w:proofErr w:type="gramEnd"/>
    </w:p>
    <w:p w14:paraId="30C2C14B" w14:textId="77777777" w:rsidR="00F1096B" w:rsidRPr="00C00FDB" w:rsidRDefault="00F1096B" w:rsidP="00C00FDB">
      <w:pPr>
        <w:pStyle w:val="paragraph"/>
      </w:pPr>
      <w:r w:rsidRPr="00C00FDB">
        <w:tab/>
        <w:t>(</w:t>
      </w:r>
      <w:r w:rsidR="009D6EB6" w:rsidRPr="00C00FDB">
        <w:t>b</w:t>
      </w:r>
      <w:r w:rsidRPr="00C00FDB">
        <w:t>)</w:t>
      </w:r>
      <w:r w:rsidRPr="00C00FDB">
        <w:tab/>
        <w:t xml:space="preserve">a right in respect of, or </w:t>
      </w:r>
      <w:r w:rsidR="004771A6" w:rsidRPr="00C00FDB">
        <w:t xml:space="preserve">an </w:t>
      </w:r>
      <w:r w:rsidRPr="00C00FDB">
        <w:t xml:space="preserve">interest in, an </w:t>
      </w:r>
      <w:r w:rsidR="00D560D0" w:rsidRPr="00C00FDB">
        <w:t xml:space="preserve">intangible </w:t>
      </w:r>
      <w:proofErr w:type="gramStart"/>
      <w:r w:rsidR="00D560D0" w:rsidRPr="00C00FDB">
        <w:t>asset</w:t>
      </w:r>
      <w:r w:rsidRPr="00C00FDB">
        <w:t>;</w:t>
      </w:r>
      <w:proofErr w:type="gramEnd"/>
    </w:p>
    <w:p w14:paraId="3A7E3223" w14:textId="77777777" w:rsidR="00F1096B" w:rsidRPr="00C00FDB" w:rsidRDefault="00F1096B" w:rsidP="00C00FDB">
      <w:pPr>
        <w:pStyle w:val="paragraph"/>
      </w:pPr>
      <w:r w:rsidRPr="00C00FDB">
        <w:tab/>
        <w:t>(c)</w:t>
      </w:r>
      <w:r w:rsidRPr="00C00FDB">
        <w:tab/>
        <w:t>an</w:t>
      </w:r>
      <w:r w:rsidR="00D560D0" w:rsidRPr="00C00FDB">
        <w:t xml:space="preserve">ything </w:t>
      </w:r>
      <w:r w:rsidRPr="00C00FDB">
        <w:t>prescribed by the regulations for the purposes of this paragraph.</w:t>
      </w:r>
    </w:p>
    <w:p w14:paraId="16564508" w14:textId="77777777" w:rsidR="00F1096B" w:rsidRPr="00C00FDB" w:rsidRDefault="00F1096B" w:rsidP="00C00FDB">
      <w:pPr>
        <w:pStyle w:val="subsection"/>
      </w:pPr>
      <w:r w:rsidRPr="00C00FDB">
        <w:lastRenderedPageBreak/>
        <w:tab/>
        <w:t>(</w:t>
      </w:r>
      <w:r w:rsidR="00DD3580" w:rsidRPr="00C00FDB">
        <w:t>6</w:t>
      </w:r>
      <w:r w:rsidRPr="00C00FDB">
        <w:t>)</w:t>
      </w:r>
      <w:r w:rsidRPr="00C00FDB">
        <w:tab/>
        <w:t xml:space="preserve">For the purposes of </w:t>
      </w:r>
      <w:r w:rsidR="00C00FDB" w:rsidRPr="00C00FDB">
        <w:t>paragraph (</w:t>
      </w:r>
      <w:r w:rsidR="00DD3580" w:rsidRPr="00C00FDB">
        <w:t>5</w:t>
      </w:r>
      <w:r w:rsidRPr="00C00FDB">
        <w:t>)(</w:t>
      </w:r>
      <w:r w:rsidR="00D560D0" w:rsidRPr="00C00FDB">
        <w:t>a</w:t>
      </w:r>
      <w:r w:rsidR="00F46A01" w:rsidRPr="00C00FDB">
        <w:t>)</w:t>
      </w:r>
      <w:r w:rsidRPr="00C00FDB">
        <w:t xml:space="preserve"> of this section, disregard the reference in </w:t>
      </w:r>
      <w:r w:rsidR="00C00FDB" w:rsidRPr="00C00FDB">
        <w:t>paragraph (</w:t>
      </w:r>
      <w:r w:rsidRPr="00C00FDB">
        <w:t xml:space="preserve">d) of the definition of </w:t>
      </w:r>
      <w:r w:rsidRPr="00C00FDB">
        <w:rPr>
          <w:b/>
          <w:i/>
        </w:rPr>
        <w:t>royalty</w:t>
      </w:r>
      <w:r w:rsidRPr="00C00FDB">
        <w:t xml:space="preserve"> in subsection 6(1) of the </w:t>
      </w:r>
      <w:r w:rsidRPr="00C00FDB">
        <w:rPr>
          <w:i/>
        </w:rPr>
        <w:t>Income Tax Assessment Act 1936</w:t>
      </w:r>
      <w:r w:rsidRPr="00C00FDB">
        <w:t xml:space="preserve"> to </w:t>
      </w:r>
      <w:r w:rsidR="00C00FDB" w:rsidRPr="00C00FDB">
        <w:t>paragraph (</w:t>
      </w:r>
      <w:r w:rsidRPr="00C00FDB">
        <w:t>b) of that definition.</w:t>
      </w:r>
    </w:p>
    <w:p w14:paraId="06A2EEFE" w14:textId="77777777" w:rsidR="00F1096B" w:rsidRPr="00C00FDB" w:rsidRDefault="00D560D0" w:rsidP="00C00FDB">
      <w:pPr>
        <w:pStyle w:val="subsection"/>
      </w:pPr>
      <w:r w:rsidRPr="00C00FDB">
        <w:tab/>
        <w:t>(</w:t>
      </w:r>
      <w:r w:rsidR="00DD3580" w:rsidRPr="00C00FDB">
        <w:t>7</w:t>
      </w:r>
      <w:r w:rsidRPr="00C00FDB">
        <w:t>)</w:t>
      </w:r>
      <w:r w:rsidRPr="00C00FDB">
        <w:tab/>
        <w:t>This section does not apply in relation to an intangible asset that is any of the following:</w:t>
      </w:r>
    </w:p>
    <w:p w14:paraId="33B74AC2" w14:textId="77777777" w:rsidR="00F1096B" w:rsidRPr="00C00FDB" w:rsidRDefault="00F1096B" w:rsidP="00C00FDB">
      <w:pPr>
        <w:pStyle w:val="paragraph"/>
      </w:pPr>
      <w:r w:rsidRPr="00C00FDB">
        <w:tab/>
        <w:t>(a)</w:t>
      </w:r>
      <w:r w:rsidRPr="00C00FDB">
        <w:tab/>
        <w:t xml:space="preserve">a right in respect of, or an interest in, a tangible </w:t>
      </w:r>
      <w:proofErr w:type="gramStart"/>
      <w:r w:rsidRPr="00C00FDB">
        <w:t>asset;</w:t>
      </w:r>
      <w:proofErr w:type="gramEnd"/>
    </w:p>
    <w:p w14:paraId="19BBCF11" w14:textId="77777777" w:rsidR="00F1096B" w:rsidRPr="00C00FDB" w:rsidRDefault="00F1096B" w:rsidP="00C00FDB">
      <w:pPr>
        <w:pStyle w:val="paragraph"/>
      </w:pPr>
      <w:r w:rsidRPr="00C00FDB">
        <w:tab/>
        <w:t>(b)</w:t>
      </w:r>
      <w:r w:rsidRPr="00C00FDB">
        <w:tab/>
        <w:t xml:space="preserve">without limiting </w:t>
      </w:r>
      <w:r w:rsidR="00C00FDB" w:rsidRPr="00C00FDB">
        <w:t>paragraph (</w:t>
      </w:r>
      <w:r w:rsidRPr="00C00FDB">
        <w:t>a):</w:t>
      </w:r>
    </w:p>
    <w:p w14:paraId="550389CE" w14:textId="77777777" w:rsidR="00F1096B" w:rsidRPr="00C00FDB" w:rsidRDefault="00F1096B" w:rsidP="00C00FDB">
      <w:pPr>
        <w:pStyle w:val="paragraphsub"/>
      </w:pPr>
      <w:r w:rsidRPr="00C00FDB">
        <w:tab/>
        <w:t>(</w:t>
      </w:r>
      <w:proofErr w:type="spellStart"/>
      <w:r w:rsidRPr="00C00FDB">
        <w:t>i</w:t>
      </w:r>
      <w:proofErr w:type="spellEnd"/>
      <w:r w:rsidRPr="00C00FDB">
        <w:t>)</w:t>
      </w:r>
      <w:r w:rsidRPr="00C00FDB">
        <w:tab/>
        <w:t>an estate, interest or right in or over land; or</w:t>
      </w:r>
    </w:p>
    <w:p w14:paraId="03CA7A62" w14:textId="77777777" w:rsidR="00F1096B" w:rsidRPr="00C00FDB" w:rsidRDefault="00F1096B" w:rsidP="00C00FDB">
      <w:pPr>
        <w:pStyle w:val="paragraphsub"/>
      </w:pPr>
      <w:r w:rsidRPr="00C00FDB">
        <w:tab/>
        <w:t>(ii)</w:t>
      </w:r>
      <w:r w:rsidRPr="00C00FDB">
        <w:tab/>
        <w:t xml:space="preserve">a right in respect of such an estate, interest or </w:t>
      </w:r>
      <w:proofErr w:type="gramStart"/>
      <w:r w:rsidRPr="00C00FDB">
        <w:t>right;</w:t>
      </w:r>
      <w:proofErr w:type="gramEnd"/>
    </w:p>
    <w:p w14:paraId="09C5AD37" w14:textId="77777777" w:rsidR="00F1096B" w:rsidRPr="00C00FDB" w:rsidRDefault="00F1096B" w:rsidP="00C00FDB">
      <w:pPr>
        <w:pStyle w:val="paragraph"/>
      </w:pPr>
      <w:r w:rsidRPr="00C00FDB">
        <w:tab/>
        <w:t>(c)</w:t>
      </w:r>
      <w:r w:rsidRPr="00C00FDB">
        <w:tab/>
        <w:t xml:space="preserve">a </w:t>
      </w:r>
      <w:r w:rsidR="00C00FDB" w:rsidRPr="00C00FDB">
        <w:rPr>
          <w:position w:val="6"/>
          <w:sz w:val="16"/>
        </w:rPr>
        <w:t>*</w:t>
      </w:r>
      <w:r w:rsidR="00875A9F" w:rsidRPr="00C00FDB">
        <w:t>Division 2</w:t>
      </w:r>
      <w:r w:rsidR="00434B7F" w:rsidRPr="00C00FDB">
        <w:t>30 f</w:t>
      </w:r>
      <w:r w:rsidRPr="00C00FDB">
        <w:t xml:space="preserve">inancial </w:t>
      </w:r>
      <w:proofErr w:type="gramStart"/>
      <w:r w:rsidRPr="00C00FDB">
        <w:t>arrangement;</w:t>
      </w:r>
      <w:proofErr w:type="gramEnd"/>
    </w:p>
    <w:p w14:paraId="7F92BF83" w14:textId="77777777" w:rsidR="00F1096B" w:rsidRPr="00C00FDB" w:rsidRDefault="00F1096B" w:rsidP="00C00FDB">
      <w:pPr>
        <w:pStyle w:val="paragraph"/>
      </w:pPr>
      <w:r w:rsidRPr="00C00FDB">
        <w:tab/>
        <w:t>(d)</w:t>
      </w:r>
      <w:r w:rsidRPr="00C00FDB">
        <w:tab/>
      </w:r>
      <w:r w:rsidR="006F4C33" w:rsidRPr="00C00FDB">
        <w:t xml:space="preserve">a </w:t>
      </w:r>
      <w:r w:rsidRPr="00C00FDB">
        <w:t xml:space="preserve">right in respect of, or </w:t>
      </w:r>
      <w:r w:rsidR="004771A6" w:rsidRPr="00C00FDB">
        <w:t xml:space="preserve">an </w:t>
      </w:r>
      <w:r w:rsidRPr="00C00FDB">
        <w:t>interest in,</w:t>
      </w:r>
      <w:r w:rsidR="00D560D0" w:rsidRPr="00C00FDB">
        <w:t xml:space="preserve"> </w:t>
      </w:r>
      <w:r w:rsidR="006F4C33" w:rsidRPr="00C00FDB">
        <w:t xml:space="preserve">an </w:t>
      </w:r>
      <w:r w:rsidR="00D560D0" w:rsidRPr="00C00FDB">
        <w:t>intangible asset</w:t>
      </w:r>
      <w:r w:rsidR="006F4C33" w:rsidRPr="00C00FDB">
        <w:t xml:space="preserve"> if, because of this subsection, this section does not apply in relation to that intangible </w:t>
      </w:r>
      <w:proofErr w:type="gramStart"/>
      <w:r w:rsidR="006F4C33" w:rsidRPr="00C00FDB">
        <w:t>asset</w:t>
      </w:r>
      <w:r w:rsidRPr="00C00FDB">
        <w:t>;</w:t>
      </w:r>
      <w:proofErr w:type="gramEnd"/>
    </w:p>
    <w:p w14:paraId="3BCA0F0F" w14:textId="77777777" w:rsidR="00F1096B" w:rsidRPr="00C00FDB" w:rsidRDefault="00F1096B" w:rsidP="00C00FDB">
      <w:pPr>
        <w:pStyle w:val="paragraph"/>
      </w:pPr>
      <w:r w:rsidRPr="00C00FDB">
        <w:tab/>
        <w:t>(e)</w:t>
      </w:r>
      <w:r w:rsidRPr="00C00FDB">
        <w:tab/>
        <w:t>an</w:t>
      </w:r>
      <w:r w:rsidR="00D560D0" w:rsidRPr="00C00FDB">
        <w:t>y</w:t>
      </w:r>
      <w:r w:rsidR="004043F0" w:rsidRPr="00C00FDB">
        <w:t>thing</w:t>
      </w:r>
      <w:r w:rsidR="00D560D0" w:rsidRPr="00C00FDB">
        <w:t xml:space="preserve"> </w:t>
      </w:r>
      <w:r w:rsidRPr="00C00FDB">
        <w:t>prescribed by the regulations for the purposes of this paragraph.</w:t>
      </w:r>
    </w:p>
    <w:p w14:paraId="51B07FB3" w14:textId="77777777" w:rsidR="00D560D0" w:rsidRPr="00C00FDB" w:rsidRDefault="00D560D0" w:rsidP="00C00FDB">
      <w:pPr>
        <w:pStyle w:val="subsection"/>
      </w:pPr>
      <w:r w:rsidRPr="00C00FDB">
        <w:tab/>
        <w:t>(</w:t>
      </w:r>
      <w:r w:rsidR="00DD3580" w:rsidRPr="00C00FDB">
        <w:t>8</w:t>
      </w:r>
      <w:r w:rsidRPr="00C00FDB">
        <w:t>)</w:t>
      </w:r>
      <w:r w:rsidRPr="00C00FDB">
        <w:tab/>
        <w:t xml:space="preserve">To avoid doubt, </w:t>
      </w:r>
      <w:r w:rsidR="00875A9F" w:rsidRPr="00C00FDB">
        <w:t>subsections (</w:t>
      </w:r>
      <w:r w:rsidR="00DD3580" w:rsidRPr="00C00FDB">
        <w:t>5</w:t>
      </w:r>
      <w:r w:rsidRPr="00C00FDB">
        <w:t>) to (</w:t>
      </w:r>
      <w:r w:rsidR="00DD3580" w:rsidRPr="00C00FDB">
        <w:t>7</w:t>
      </w:r>
      <w:r w:rsidRPr="00C00FDB">
        <w:t xml:space="preserve">) do not, by implication, affect the meaning of </w:t>
      </w:r>
      <w:r w:rsidRPr="00C00FDB">
        <w:rPr>
          <w:b/>
          <w:i/>
        </w:rPr>
        <w:t>intangible asset</w:t>
      </w:r>
      <w:r w:rsidRPr="00C00FDB">
        <w:t xml:space="preserve"> outside this section.</w:t>
      </w:r>
    </w:p>
    <w:p w14:paraId="7B1FDA47" w14:textId="77777777" w:rsidR="00D560D0" w:rsidRPr="00C00FDB" w:rsidRDefault="00D560D0" w:rsidP="00C00FDB">
      <w:pPr>
        <w:pStyle w:val="SubsectionHead"/>
      </w:pPr>
      <w:r w:rsidRPr="00C00FDB">
        <w:t xml:space="preserve">Meaning of </w:t>
      </w:r>
      <w:r w:rsidRPr="00C00FDB">
        <w:rPr>
          <w:b/>
        </w:rPr>
        <w:t>exploit</w:t>
      </w:r>
    </w:p>
    <w:p w14:paraId="1005D759" w14:textId="77777777" w:rsidR="00D560D0" w:rsidRPr="00C00FDB" w:rsidRDefault="00D560D0" w:rsidP="00C00FDB">
      <w:pPr>
        <w:pStyle w:val="subsection"/>
      </w:pPr>
      <w:r w:rsidRPr="00C00FDB">
        <w:tab/>
        <w:t>(</w:t>
      </w:r>
      <w:r w:rsidR="00DD3580" w:rsidRPr="00C00FDB">
        <w:t>9</w:t>
      </w:r>
      <w:r w:rsidRPr="00C00FDB">
        <w:t>)</w:t>
      </w:r>
      <w:r w:rsidRPr="00C00FDB">
        <w:tab/>
      </w:r>
      <w:r w:rsidRPr="00C00FDB">
        <w:rPr>
          <w:b/>
          <w:i/>
        </w:rPr>
        <w:t>Exploit</w:t>
      </w:r>
      <w:r w:rsidRPr="00C00FDB">
        <w:t xml:space="preserve"> an intangible asset includes:</w:t>
      </w:r>
    </w:p>
    <w:p w14:paraId="4B23270E" w14:textId="77777777" w:rsidR="00D560D0" w:rsidRPr="00C00FDB" w:rsidRDefault="00D560D0" w:rsidP="00C00FDB">
      <w:pPr>
        <w:pStyle w:val="paragraph"/>
      </w:pPr>
      <w:r w:rsidRPr="00C00FDB">
        <w:tab/>
        <w:t>(a)</w:t>
      </w:r>
      <w:r w:rsidRPr="00C00FDB">
        <w:tab/>
        <w:t xml:space="preserve">use the </w:t>
      </w:r>
      <w:r w:rsidR="004043F0" w:rsidRPr="00C00FDB">
        <w:t xml:space="preserve">intangible </w:t>
      </w:r>
      <w:r w:rsidRPr="00C00FDB">
        <w:t>asset; and</w:t>
      </w:r>
    </w:p>
    <w:p w14:paraId="1E9E26FE" w14:textId="77777777" w:rsidR="00D560D0" w:rsidRPr="00C00FDB" w:rsidRDefault="00D560D0" w:rsidP="00C00FDB">
      <w:pPr>
        <w:pStyle w:val="paragraph"/>
      </w:pPr>
      <w:r w:rsidRPr="00C00FDB">
        <w:tab/>
        <w:t>(b)</w:t>
      </w:r>
      <w:r w:rsidRPr="00C00FDB">
        <w:tab/>
        <w:t xml:space="preserve">market, sell, </w:t>
      </w:r>
      <w:proofErr w:type="gramStart"/>
      <w:r w:rsidRPr="00C00FDB">
        <w:t>license</w:t>
      </w:r>
      <w:proofErr w:type="gramEnd"/>
      <w:r w:rsidRPr="00C00FDB">
        <w:t xml:space="preserve"> or distribute the </w:t>
      </w:r>
      <w:r w:rsidR="004043F0" w:rsidRPr="00C00FDB">
        <w:t xml:space="preserve">intangible </w:t>
      </w:r>
      <w:r w:rsidRPr="00C00FDB">
        <w:t>asset; and</w:t>
      </w:r>
    </w:p>
    <w:p w14:paraId="344AAF1F" w14:textId="77777777" w:rsidR="00D560D0" w:rsidRPr="00C00FDB" w:rsidRDefault="00D560D0" w:rsidP="00C00FDB">
      <w:pPr>
        <w:pStyle w:val="paragraph"/>
      </w:pPr>
      <w:r w:rsidRPr="00C00FDB">
        <w:tab/>
        <w:t>(c)</w:t>
      </w:r>
      <w:r w:rsidRPr="00C00FDB">
        <w:tab/>
        <w:t xml:space="preserve">supply, receive, or forbear in respect of, the </w:t>
      </w:r>
      <w:r w:rsidR="004043F0" w:rsidRPr="00C00FDB">
        <w:t xml:space="preserve">intangible </w:t>
      </w:r>
      <w:r w:rsidRPr="00C00FDB">
        <w:t xml:space="preserve">asset if </w:t>
      </w:r>
      <w:r w:rsidR="00C00FDB" w:rsidRPr="00C00FDB">
        <w:t>paragraph (</w:t>
      </w:r>
      <w:r w:rsidRPr="00C00FDB">
        <w:t xml:space="preserve">c), (d), (da) or (f) of the definition of </w:t>
      </w:r>
      <w:r w:rsidRPr="00C00FDB">
        <w:rPr>
          <w:b/>
          <w:i/>
        </w:rPr>
        <w:t>royalty</w:t>
      </w:r>
      <w:r w:rsidRPr="00C00FDB">
        <w:t xml:space="preserve"> in subsection 6(1) of the </w:t>
      </w:r>
      <w:r w:rsidRPr="00C00FDB">
        <w:rPr>
          <w:i/>
        </w:rPr>
        <w:t>Income Tax Assessment Act 1936</w:t>
      </w:r>
      <w:r w:rsidRPr="00C00FDB">
        <w:t xml:space="preserve"> applies to the supply, </w:t>
      </w:r>
      <w:proofErr w:type="gramStart"/>
      <w:r w:rsidRPr="00C00FDB">
        <w:t>reception</w:t>
      </w:r>
      <w:proofErr w:type="gramEnd"/>
      <w:r w:rsidRPr="00C00FDB">
        <w:t xml:space="preserve"> or forbearance; and</w:t>
      </w:r>
    </w:p>
    <w:p w14:paraId="302D11BA" w14:textId="77777777" w:rsidR="00D560D0" w:rsidRPr="00C00FDB" w:rsidRDefault="00D560D0" w:rsidP="00C00FDB">
      <w:pPr>
        <w:pStyle w:val="paragraph"/>
      </w:pPr>
      <w:r w:rsidRPr="00C00FDB">
        <w:tab/>
        <w:t>(d)</w:t>
      </w:r>
      <w:r w:rsidRPr="00C00FDB">
        <w:tab/>
        <w:t xml:space="preserve">exploit another </w:t>
      </w:r>
      <w:r w:rsidR="004043F0" w:rsidRPr="00C00FDB">
        <w:t xml:space="preserve">intangible </w:t>
      </w:r>
      <w:r w:rsidRPr="00C00FDB">
        <w:t>asset that is</w:t>
      </w:r>
      <w:r w:rsidR="004043F0" w:rsidRPr="00C00FDB">
        <w:t xml:space="preserve"> </w:t>
      </w:r>
      <w:r w:rsidRPr="00C00FDB">
        <w:t>a right in respect of, or an interest in, the</w:t>
      </w:r>
      <w:r w:rsidR="004043F0" w:rsidRPr="00C00FDB">
        <w:t xml:space="preserve"> intangible</w:t>
      </w:r>
      <w:r w:rsidRPr="00C00FDB">
        <w:t xml:space="preserve"> asset; and</w:t>
      </w:r>
    </w:p>
    <w:p w14:paraId="4C0DE1C3" w14:textId="77777777" w:rsidR="00D560D0" w:rsidRPr="00C00FDB" w:rsidRDefault="00D560D0" w:rsidP="00C00FDB">
      <w:pPr>
        <w:pStyle w:val="paragraph"/>
      </w:pPr>
      <w:r w:rsidRPr="00C00FDB">
        <w:tab/>
        <w:t>(e)</w:t>
      </w:r>
      <w:r w:rsidRPr="00C00FDB">
        <w:tab/>
        <w:t xml:space="preserve">do anything else in respect of the </w:t>
      </w:r>
      <w:r w:rsidR="004043F0" w:rsidRPr="00C00FDB">
        <w:t xml:space="preserve">intangible </w:t>
      </w:r>
      <w:r w:rsidRPr="00C00FDB">
        <w:t>asset.</w:t>
      </w:r>
    </w:p>
    <w:p w14:paraId="4B9AE3D6" w14:textId="77777777" w:rsidR="004155F3" w:rsidRPr="00C00FDB" w:rsidRDefault="004155F3" w:rsidP="00C00FDB">
      <w:pPr>
        <w:pStyle w:val="subsection"/>
      </w:pPr>
      <w:r w:rsidRPr="00C00FDB">
        <w:tab/>
        <w:t>(</w:t>
      </w:r>
      <w:r w:rsidR="00DD3580" w:rsidRPr="00C00FDB">
        <w:t>10</w:t>
      </w:r>
      <w:r w:rsidRPr="00C00FDB">
        <w:t>)</w:t>
      </w:r>
      <w:r w:rsidRPr="00C00FDB">
        <w:tab/>
        <w:t xml:space="preserve">To avoid doubt, this section applies in relation to permission to </w:t>
      </w:r>
      <w:r w:rsidR="00C00FDB" w:rsidRPr="00C00FDB">
        <w:rPr>
          <w:position w:val="6"/>
          <w:sz w:val="16"/>
        </w:rPr>
        <w:t>*</w:t>
      </w:r>
      <w:r w:rsidRPr="00C00FDB">
        <w:t>exploit an intangible asset in the same way as it applies in relation to a right to exploit the intangible asset.</w:t>
      </w:r>
    </w:p>
    <w:p w14:paraId="10235519" w14:textId="77777777" w:rsidR="00D560D0" w:rsidRPr="00C00FDB" w:rsidRDefault="00D560D0" w:rsidP="00C00FDB">
      <w:pPr>
        <w:pStyle w:val="SubsectionHead"/>
      </w:pPr>
      <w:r w:rsidRPr="00C00FDB">
        <w:t>Low corporate tax jurisdictions</w:t>
      </w:r>
    </w:p>
    <w:p w14:paraId="36845715" w14:textId="77777777" w:rsidR="00D560D0" w:rsidRPr="00C00FDB" w:rsidRDefault="00D560D0" w:rsidP="00C00FDB">
      <w:pPr>
        <w:pStyle w:val="subsection"/>
      </w:pPr>
      <w:r w:rsidRPr="00C00FDB">
        <w:tab/>
        <w:t>(</w:t>
      </w:r>
      <w:r w:rsidR="004155F3" w:rsidRPr="00C00FDB">
        <w:t>1</w:t>
      </w:r>
      <w:r w:rsidR="00DD3580" w:rsidRPr="00C00FDB">
        <w:t>1</w:t>
      </w:r>
      <w:r w:rsidRPr="00C00FDB">
        <w:t>)</w:t>
      </w:r>
      <w:r w:rsidRPr="00C00FDB">
        <w:tab/>
        <w:t xml:space="preserve">In applying </w:t>
      </w:r>
      <w:r w:rsidR="00875A9F" w:rsidRPr="00C00FDB">
        <w:t>paragraph 9</w:t>
      </w:r>
      <w:r w:rsidRPr="00C00FDB">
        <w:t>60</w:t>
      </w:r>
      <w:r w:rsidR="00C00FDB">
        <w:noBreakHyphen/>
      </w:r>
      <w:r w:rsidRPr="00C00FDB">
        <w:t xml:space="preserve">258(1)(a) for the purposes of </w:t>
      </w:r>
      <w:r w:rsidR="00C00FDB" w:rsidRPr="00C00FDB">
        <w:t>paragraph (</w:t>
      </w:r>
      <w:r w:rsidR="00EF77A6" w:rsidRPr="00C00FDB">
        <w:t>2</w:t>
      </w:r>
      <w:r w:rsidRPr="00C00FDB">
        <w:t xml:space="preserve">)(c) of this section, have regard to income tax under </w:t>
      </w:r>
      <w:r w:rsidRPr="00C00FDB">
        <w:lastRenderedPageBreak/>
        <w:t xml:space="preserve">the laws of a foreign country only to the extent the income tax is applicable to income of an entity that is a </w:t>
      </w:r>
      <w:r w:rsidR="00C00FDB" w:rsidRPr="00C00FDB">
        <w:rPr>
          <w:position w:val="6"/>
          <w:sz w:val="16"/>
        </w:rPr>
        <w:t>*</w:t>
      </w:r>
      <w:r w:rsidRPr="00C00FDB">
        <w:t>significant global entity.</w:t>
      </w:r>
    </w:p>
    <w:p w14:paraId="0E0D808C" w14:textId="77777777" w:rsidR="00D560D0" w:rsidRPr="00C00FDB" w:rsidRDefault="00D560D0" w:rsidP="00C00FDB">
      <w:pPr>
        <w:pStyle w:val="notetext"/>
      </w:pPr>
      <w:r w:rsidRPr="00C00FDB">
        <w:t>Note:</w:t>
      </w:r>
      <w:r w:rsidRPr="00C00FDB">
        <w:tab/>
      </w:r>
      <w:r w:rsidR="00875A9F" w:rsidRPr="00C00FDB">
        <w:t>Paragraph 9</w:t>
      </w:r>
      <w:r w:rsidRPr="00C00FDB">
        <w:t>60</w:t>
      </w:r>
      <w:r w:rsidR="00C00FDB">
        <w:noBreakHyphen/>
      </w:r>
      <w:r w:rsidRPr="00C00FDB">
        <w:t xml:space="preserve">258(1)(a) provides that a foreign country is a </w:t>
      </w:r>
      <w:r w:rsidRPr="00C00FDB">
        <w:rPr>
          <w:b/>
          <w:i/>
        </w:rPr>
        <w:t>low corporate tax jurisdiction</w:t>
      </w:r>
      <w:r w:rsidRPr="00C00FDB">
        <w:t xml:space="preserve"> if the rate of corporate income tax under the laws of that foreign country is less than 15%.</w:t>
      </w:r>
    </w:p>
    <w:p w14:paraId="37092C03" w14:textId="77777777" w:rsidR="0094713C" w:rsidRPr="00C00FDB" w:rsidRDefault="0094713C" w:rsidP="00C00FDB">
      <w:pPr>
        <w:pStyle w:val="ItemHead"/>
      </w:pPr>
      <w:proofErr w:type="gramStart"/>
      <w:r w:rsidRPr="00C00FDB">
        <w:t>3  After</w:t>
      </w:r>
      <w:proofErr w:type="gramEnd"/>
      <w:r w:rsidRPr="00C00FDB">
        <w:t xml:space="preserve"> </w:t>
      </w:r>
      <w:r w:rsidR="00875A9F" w:rsidRPr="00C00FDB">
        <w:t>Subdivision 9</w:t>
      </w:r>
      <w:r w:rsidRPr="00C00FDB">
        <w:t>60</w:t>
      </w:r>
      <w:r w:rsidR="00C00FDB">
        <w:noBreakHyphen/>
      </w:r>
      <w:r w:rsidRPr="00C00FDB">
        <w:t>J</w:t>
      </w:r>
    </w:p>
    <w:p w14:paraId="75EA4EEC" w14:textId="77777777" w:rsidR="0094713C" w:rsidRPr="00C00FDB" w:rsidRDefault="0094713C" w:rsidP="00C00FDB">
      <w:pPr>
        <w:pStyle w:val="Item"/>
      </w:pPr>
      <w:r w:rsidRPr="00C00FDB">
        <w:t>Insert:</w:t>
      </w:r>
    </w:p>
    <w:p w14:paraId="38E299CA" w14:textId="77777777" w:rsidR="0094713C" w:rsidRPr="00C00FDB" w:rsidRDefault="00875A9F" w:rsidP="00C00FDB">
      <w:pPr>
        <w:pStyle w:val="ActHead4"/>
      </w:pPr>
      <w:r w:rsidRPr="003135C6">
        <w:rPr>
          <w:rStyle w:val="CharSubdNo"/>
        </w:rPr>
        <w:t>Subdivision 9</w:t>
      </w:r>
      <w:r w:rsidR="0094713C" w:rsidRPr="003135C6">
        <w:rPr>
          <w:rStyle w:val="CharSubdNo"/>
        </w:rPr>
        <w:t>60</w:t>
      </w:r>
      <w:r w:rsidR="00C00FDB" w:rsidRPr="003135C6">
        <w:rPr>
          <w:rStyle w:val="CharSubdNo"/>
        </w:rPr>
        <w:noBreakHyphen/>
      </w:r>
      <w:r w:rsidR="0094713C" w:rsidRPr="003135C6">
        <w:rPr>
          <w:rStyle w:val="CharSubdNo"/>
        </w:rPr>
        <w:t>L</w:t>
      </w:r>
      <w:r w:rsidR="0094713C" w:rsidRPr="00C00FDB">
        <w:t>—</w:t>
      </w:r>
      <w:r w:rsidR="0094713C" w:rsidRPr="003135C6">
        <w:rPr>
          <w:rStyle w:val="CharSubdText"/>
        </w:rPr>
        <w:t>Low corporate tax jurisdictions</w:t>
      </w:r>
    </w:p>
    <w:p w14:paraId="68329D24" w14:textId="77777777" w:rsidR="0094713C" w:rsidRPr="00C00FDB" w:rsidRDefault="0094713C" w:rsidP="00C00FDB">
      <w:pPr>
        <w:pStyle w:val="TofSectsHeading"/>
      </w:pPr>
      <w:r w:rsidRPr="00C00FDB">
        <w:t>Table of sections</w:t>
      </w:r>
    </w:p>
    <w:p w14:paraId="78C36835" w14:textId="77777777" w:rsidR="001F2025" w:rsidRPr="00C00FDB" w:rsidRDefault="001F2025" w:rsidP="00C00FDB">
      <w:pPr>
        <w:pStyle w:val="TofSectsSection"/>
      </w:pPr>
      <w:bookmarkStart w:id="0" w:name="Heading"/>
      <w:bookmarkStart w:id="1" w:name="_Hlk130484689"/>
      <w:r w:rsidRPr="00C00FDB">
        <w:t>960</w:t>
      </w:r>
      <w:r w:rsidR="00C00FDB">
        <w:noBreakHyphen/>
      </w:r>
      <w:r w:rsidRPr="00C00FDB">
        <w:t>258</w:t>
      </w:r>
      <w:r w:rsidRPr="00C00FDB">
        <w:tab/>
        <w:t>Low corporate tax jurisdictions</w:t>
      </w:r>
    </w:p>
    <w:bookmarkEnd w:id="0"/>
    <w:p w14:paraId="7B81BC4D" w14:textId="77777777" w:rsidR="0081052F" w:rsidRPr="00C00FDB" w:rsidRDefault="0094713C" w:rsidP="00C00FDB">
      <w:pPr>
        <w:pStyle w:val="ActHead5"/>
      </w:pPr>
      <w:r w:rsidRPr="003135C6">
        <w:rPr>
          <w:rStyle w:val="CharSectno"/>
        </w:rPr>
        <w:t>960</w:t>
      </w:r>
      <w:r w:rsidR="00C00FDB" w:rsidRPr="003135C6">
        <w:rPr>
          <w:rStyle w:val="CharSectno"/>
        </w:rPr>
        <w:noBreakHyphen/>
      </w:r>
      <w:proofErr w:type="gramStart"/>
      <w:r w:rsidRPr="003135C6">
        <w:rPr>
          <w:rStyle w:val="CharSectno"/>
        </w:rPr>
        <w:t>258</w:t>
      </w:r>
      <w:r w:rsidR="004771A6" w:rsidRPr="00C00FDB">
        <w:t xml:space="preserve">  </w:t>
      </w:r>
      <w:r w:rsidR="00F46A01" w:rsidRPr="00C00FDB">
        <w:t>Low</w:t>
      </w:r>
      <w:proofErr w:type="gramEnd"/>
      <w:r w:rsidR="00F46A01" w:rsidRPr="00C00FDB">
        <w:t xml:space="preserve"> corporate tax </w:t>
      </w:r>
      <w:r w:rsidR="00F77412" w:rsidRPr="00C00FDB">
        <w:t>jurisdiction</w:t>
      </w:r>
      <w:r w:rsidR="00F46A01" w:rsidRPr="00C00FDB">
        <w:t>s</w:t>
      </w:r>
    </w:p>
    <w:bookmarkEnd w:id="1"/>
    <w:p w14:paraId="3B21CA56" w14:textId="77777777" w:rsidR="0094713C" w:rsidRPr="00C00FDB" w:rsidRDefault="0094713C" w:rsidP="00C00FDB">
      <w:pPr>
        <w:pStyle w:val="subsection"/>
      </w:pPr>
      <w:r w:rsidRPr="00C00FDB">
        <w:tab/>
        <w:t>(1)</w:t>
      </w:r>
      <w:r w:rsidRPr="00C00FDB">
        <w:tab/>
        <w:t xml:space="preserve">A foreign country is a </w:t>
      </w:r>
      <w:r w:rsidRPr="00C00FDB">
        <w:rPr>
          <w:b/>
          <w:i/>
        </w:rPr>
        <w:t>low corporate tax jurisdiction</w:t>
      </w:r>
      <w:r w:rsidRPr="00C00FDB">
        <w:t xml:space="preserve"> if:</w:t>
      </w:r>
    </w:p>
    <w:p w14:paraId="1A5C2288" w14:textId="77777777" w:rsidR="0094713C" w:rsidRPr="00C00FDB" w:rsidRDefault="0094713C" w:rsidP="00C00FDB">
      <w:pPr>
        <w:pStyle w:val="paragraph"/>
      </w:pPr>
      <w:r w:rsidRPr="00C00FDB">
        <w:tab/>
        <w:t>(a)</w:t>
      </w:r>
      <w:r w:rsidRPr="00C00FDB">
        <w:tab/>
        <w:t>the rate of corporate income tax under the laws of that foreign country is:</w:t>
      </w:r>
    </w:p>
    <w:p w14:paraId="5BA5745A" w14:textId="77777777" w:rsidR="0094713C" w:rsidRPr="00C00FDB" w:rsidRDefault="0094713C" w:rsidP="00C00FDB">
      <w:pPr>
        <w:pStyle w:val="paragraphsub"/>
      </w:pPr>
      <w:r w:rsidRPr="00C00FDB">
        <w:tab/>
        <w:t>(</w:t>
      </w:r>
      <w:proofErr w:type="spellStart"/>
      <w:r w:rsidRPr="00C00FDB">
        <w:t>i</w:t>
      </w:r>
      <w:proofErr w:type="spellEnd"/>
      <w:r w:rsidRPr="00C00FDB">
        <w:t>)</w:t>
      </w:r>
      <w:r w:rsidRPr="00C00FDB">
        <w:tab/>
        <w:t>less than 15%; or</w:t>
      </w:r>
    </w:p>
    <w:p w14:paraId="756D7C54" w14:textId="77777777" w:rsidR="0094713C" w:rsidRPr="00C00FDB" w:rsidRDefault="0094713C" w:rsidP="00C00FDB">
      <w:pPr>
        <w:pStyle w:val="paragraphsub"/>
      </w:pPr>
      <w:r w:rsidRPr="00C00FDB">
        <w:tab/>
        <w:t>(ii)</w:t>
      </w:r>
      <w:r w:rsidRPr="00C00FDB">
        <w:tab/>
        <w:t>nil; or</w:t>
      </w:r>
    </w:p>
    <w:p w14:paraId="0447A857" w14:textId="77777777" w:rsidR="0094713C" w:rsidRPr="00C00FDB" w:rsidRDefault="0094713C" w:rsidP="00C00FDB">
      <w:pPr>
        <w:pStyle w:val="paragraph"/>
      </w:pPr>
      <w:r w:rsidRPr="00C00FDB">
        <w:tab/>
        <w:t>(b)</w:t>
      </w:r>
      <w:r w:rsidRPr="00C00FDB">
        <w:tab/>
        <w:t xml:space="preserve">the foreign country is determined under </w:t>
      </w:r>
      <w:r w:rsidR="00C00FDB" w:rsidRPr="00C00FDB">
        <w:t>subsection (</w:t>
      </w:r>
      <w:r w:rsidR="004155F3" w:rsidRPr="00C00FDB">
        <w:t>3</w:t>
      </w:r>
      <w:r w:rsidRPr="00C00FDB">
        <w:t>).</w:t>
      </w:r>
    </w:p>
    <w:p w14:paraId="4C11D4F7" w14:textId="77777777" w:rsidR="00832735" w:rsidRPr="00C00FDB" w:rsidRDefault="00832735" w:rsidP="00C00FDB">
      <w:pPr>
        <w:pStyle w:val="subsection"/>
      </w:pPr>
      <w:r w:rsidRPr="00C00FDB">
        <w:tab/>
        <w:t>(</w:t>
      </w:r>
      <w:r w:rsidR="004771A6" w:rsidRPr="00C00FDB">
        <w:t>2</w:t>
      </w:r>
      <w:r w:rsidRPr="00C00FDB">
        <w:t>)</w:t>
      </w:r>
      <w:r w:rsidRPr="00C00FDB">
        <w:tab/>
        <w:t xml:space="preserve">For the purposes of </w:t>
      </w:r>
      <w:r w:rsidR="00C00FDB" w:rsidRPr="00C00FDB">
        <w:t>paragraph (</w:t>
      </w:r>
      <w:r w:rsidR="0094713C" w:rsidRPr="00C00FDB">
        <w:t>1)(a)</w:t>
      </w:r>
      <w:r w:rsidRPr="00C00FDB">
        <w:t>:</w:t>
      </w:r>
    </w:p>
    <w:p w14:paraId="6323ECE2" w14:textId="77777777" w:rsidR="00832735" w:rsidRPr="00C00FDB" w:rsidRDefault="00832735" w:rsidP="00C00FDB">
      <w:pPr>
        <w:pStyle w:val="paragraph"/>
      </w:pPr>
      <w:r w:rsidRPr="00C00FDB">
        <w:tab/>
        <w:t>(</w:t>
      </w:r>
      <w:r w:rsidR="0094713C" w:rsidRPr="00C00FDB">
        <w:t>a</w:t>
      </w:r>
      <w:r w:rsidRPr="00C00FDB">
        <w:t>)</w:t>
      </w:r>
      <w:r w:rsidRPr="00C00FDB">
        <w:tab/>
      </w:r>
      <w:r w:rsidR="004E1370" w:rsidRPr="00C00FDB">
        <w:t xml:space="preserve">disregard </w:t>
      </w:r>
      <w:r w:rsidRPr="00C00FDB">
        <w:t xml:space="preserve">the effect of </w:t>
      </w:r>
      <w:r w:rsidR="004E1370" w:rsidRPr="00C00FDB">
        <w:t xml:space="preserve">deductions, offsets, tax credits, </w:t>
      </w:r>
      <w:r w:rsidRPr="00C00FDB">
        <w:t>tax losses,</w:t>
      </w:r>
      <w:r w:rsidR="004E1370" w:rsidRPr="00C00FDB">
        <w:t xml:space="preserve"> tax treaties</w:t>
      </w:r>
      <w:r w:rsidRPr="00C00FDB">
        <w:t xml:space="preserve"> and concessions for intra</w:t>
      </w:r>
      <w:r w:rsidR="00C00FDB">
        <w:noBreakHyphen/>
      </w:r>
      <w:r w:rsidRPr="00C00FDB">
        <w:t>group dividends; and</w:t>
      </w:r>
    </w:p>
    <w:p w14:paraId="74437C2E" w14:textId="77777777" w:rsidR="00832735" w:rsidRPr="00C00FDB" w:rsidRDefault="004E1370" w:rsidP="00C00FDB">
      <w:pPr>
        <w:pStyle w:val="paragraph"/>
      </w:pPr>
      <w:r w:rsidRPr="00C00FDB">
        <w:tab/>
        <w:t>(</w:t>
      </w:r>
      <w:r w:rsidR="0094713C" w:rsidRPr="00C00FDB">
        <w:t>b</w:t>
      </w:r>
      <w:r w:rsidRPr="00C00FDB">
        <w:t>)</w:t>
      </w:r>
      <w:r w:rsidRPr="00C00FDB">
        <w:tab/>
      </w:r>
      <w:r w:rsidR="00832735" w:rsidRPr="00C00FDB">
        <w:t xml:space="preserve">disregard </w:t>
      </w:r>
      <w:r w:rsidR="004838C9" w:rsidRPr="00C00FDB">
        <w:t xml:space="preserve">rates of income tax </w:t>
      </w:r>
      <w:r w:rsidR="00832735" w:rsidRPr="00C00FDB">
        <w:t>that apply only to non</w:t>
      </w:r>
      <w:r w:rsidR="00C00FDB">
        <w:noBreakHyphen/>
      </w:r>
      <w:r w:rsidR="00832735" w:rsidRPr="00C00FDB">
        <w:t>residents; and</w:t>
      </w:r>
    </w:p>
    <w:p w14:paraId="5BFFE7FF" w14:textId="77777777" w:rsidR="00832735" w:rsidRPr="00C00FDB" w:rsidRDefault="00832735" w:rsidP="00C00FDB">
      <w:pPr>
        <w:pStyle w:val="paragraph"/>
      </w:pPr>
      <w:r w:rsidRPr="00C00FDB">
        <w:tab/>
        <w:t>(</w:t>
      </w:r>
      <w:r w:rsidR="0094713C" w:rsidRPr="00C00FDB">
        <w:t>c</w:t>
      </w:r>
      <w:r w:rsidRPr="00C00FDB">
        <w:t>)</w:t>
      </w:r>
      <w:r w:rsidRPr="00C00FDB">
        <w:tab/>
        <w:t xml:space="preserve">if </w:t>
      </w:r>
      <w:r w:rsidR="00022970" w:rsidRPr="00C00FDB">
        <w:t xml:space="preserve">the application or rate of </w:t>
      </w:r>
      <w:r w:rsidRPr="00C00FDB">
        <w:t xml:space="preserve">income tax </w:t>
      </w:r>
      <w:r w:rsidR="00022970" w:rsidRPr="00C00FDB">
        <w:t xml:space="preserve">under </w:t>
      </w:r>
      <w:r w:rsidR="0094713C" w:rsidRPr="00C00FDB">
        <w:t xml:space="preserve">the laws </w:t>
      </w:r>
      <w:r w:rsidR="00E8599D" w:rsidRPr="00C00FDB">
        <w:t xml:space="preserve">mentioned in that paragraph </w:t>
      </w:r>
      <w:r w:rsidR="00022970" w:rsidRPr="00C00FDB">
        <w:t xml:space="preserve">depends, to any extent, </w:t>
      </w:r>
      <w:r w:rsidRPr="00C00FDB">
        <w:t>on the amount of income of the taxpayer—have regard only to the highest possible rate</w:t>
      </w:r>
      <w:r w:rsidR="00A047AC" w:rsidRPr="00C00FDB">
        <w:t>; and</w:t>
      </w:r>
    </w:p>
    <w:p w14:paraId="03740213" w14:textId="77777777" w:rsidR="004838C9" w:rsidRPr="00C00FDB" w:rsidRDefault="004838C9" w:rsidP="00C00FDB">
      <w:pPr>
        <w:pStyle w:val="paragraph"/>
      </w:pPr>
      <w:r w:rsidRPr="00C00FDB">
        <w:tab/>
        <w:t>(</w:t>
      </w:r>
      <w:r w:rsidR="0094713C" w:rsidRPr="00C00FDB">
        <w:t>d</w:t>
      </w:r>
      <w:r w:rsidRPr="00C00FDB">
        <w:t>)</w:t>
      </w:r>
      <w:r w:rsidRPr="00C00FDB">
        <w:tab/>
        <w:t>if, under th</w:t>
      </w:r>
      <w:r w:rsidR="00E8599D" w:rsidRPr="00C00FDB">
        <w:t>ose</w:t>
      </w:r>
      <w:r w:rsidRPr="00C00FDB">
        <w:t xml:space="preserve"> laws, there is no income tax on a particular amount of income—treat the rate of income tax on that </w:t>
      </w:r>
      <w:r w:rsidR="00625BC3" w:rsidRPr="00C00FDB">
        <w:t>amount</w:t>
      </w:r>
      <w:r w:rsidRPr="00C00FDB">
        <w:t xml:space="preserve"> as being nil; and</w:t>
      </w:r>
    </w:p>
    <w:p w14:paraId="14803D9D" w14:textId="77777777" w:rsidR="00A047AC" w:rsidRPr="00C00FDB" w:rsidRDefault="004838C9" w:rsidP="00C00FDB">
      <w:pPr>
        <w:pStyle w:val="paragraph"/>
      </w:pPr>
      <w:r w:rsidRPr="00C00FDB">
        <w:tab/>
        <w:t>(</w:t>
      </w:r>
      <w:r w:rsidR="0094713C" w:rsidRPr="00C00FDB">
        <w:t>e</w:t>
      </w:r>
      <w:r w:rsidRPr="00C00FDB">
        <w:t>)</w:t>
      </w:r>
      <w:r w:rsidRPr="00C00FDB">
        <w:tab/>
        <w:t>if, under t</w:t>
      </w:r>
      <w:r w:rsidR="00E8599D" w:rsidRPr="00C00FDB">
        <w:t>hose</w:t>
      </w:r>
      <w:r w:rsidRPr="00C00FDB">
        <w:t xml:space="preserve"> laws</w:t>
      </w:r>
      <w:r w:rsidR="00AF1903" w:rsidRPr="00C00FDB">
        <w:t xml:space="preserve"> and </w:t>
      </w:r>
      <w:r w:rsidRPr="00C00FDB">
        <w:t xml:space="preserve">after applying </w:t>
      </w:r>
      <w:r w:rsidR="00AF7FAC" w:rsidRPr="00C00FDB">
        <w:t>paragraphs (</w:t>
      </w:r>
      <w:r w:rsidRPr="00C00FDB">
        <w:t>a) to (</w:t>
      </w:r>
      <w:r w:rsidR="0094713C" w:rsidRPr="00C00FDB">
        <w:t>d</w:t>
      </w:r>
      <w:r w:rsidRPr="00C00FDB">
        <w:t>)</w:t>
      </w:r>
      <w:r w:rsidR="00AF1903" w:rsidRPr="00C00FDB">
        <w:t>,</w:t>
      </w:r>
      <w:r w:rsidRPr="00C00FDB">
        <w:t xml:space="preserve"> there are different rates of income tax for different types of income—</w:t>
      </w:r>
      <w:r w:rsidR="00A047AC" w:rsidRPr="00C00FDB">
        <w:t>have regard only to the lowest rate</w:t>
      </w:r>
      <w:r w:rsidRPr="00C00FDB">
        <w:t>.</w:t>
      </w:r>
    </w:p>
    <w:p w14:paraId="16C8780B" w14:textId="77777777" w:rsidR="00832735" w:rsidRPr="00C00FDB" w:rsidRDefault="00832735" w:rsidP="00C00FDB">
      <w:pPr>
        <w:pStyle w:val="SubsectionHead"/>
      </w:pPr>
      <w:r w:rsidRPr="00C00FDB">
        <w:lastRenderedPageBreak/>
        <w:t>Preferential patent box regimes</w:t>
      </w:r>
    </w:p>
    <w:p w14:paraId="23B206D4" w14:textId="77777777" w:rsidR="004E1370" w:rsidRPr="00C00FDB" w:rsidRDefault="004E1370" w:rsidP="00C00FDB">
      <w:pPr>
        <w:pStyle w:val="subsection"/>
      </w:pPr>
      <w:r w:rsidRPr="00C00FDB">
        <w:tab/>
        <w:t>(</w:t>
      </w:r>
      <w:r w:rsidR="0094713C" w:rsidRPr="00C00FDB">
        <w:t>3</w:t>
      </w:r>
      <w:r w:rsidRPr="00C00FDB">
        <w:t>)</w:t>
      </w:r>
      <w:r w:rsidRPr="00C00FDB">
        <w:tab/>
      </w:r>
      <w:r w:rsidR="004771A6" w:rsidRPr="00C00FDB">
        <w:t xml:space="preserve">For the purposes of </w:t>
      </w:r>
      <w:r w:rsidR="00C00FDB" w:rsidRPr="00C00FDB">
        <w:t>paragraph (</w:t>
      </w:r>
      <w:r w:rsidR="0094713C" w:rsidRPr="00C00FDB">
        <w:t>1)(b)</w:t>
      </w:r>
      <w:r w:rsidR="004771A6" w:rsidRPr="00C00FDB">
        <w:t>, t</w:t>
      </w:r>
      <w:r w:rsidRPr="00C00FDB">
        <w:t xml:space="preserve">he Minister may, by legislative instrument, determine </w:t>
      </w:r>
      <w:r w:rsidR="004771A6" w:rsidRPr="00C00FDB">
        <w:t xml:space="preserve">a foreign country </w:t>
      </w:r>
      <w:r w:rsidRPr="00C00FDB">
        <w:t>if the Minister is satisfied that the</w:t>
      </w:r>
      <w:r w:rsidR="00022970" w:rsidRPr="00C00FDB">
        <w:t xml:space="preserve"> income tax laws of</w:t>
      </w:r>
      <w:r w:rsidR="00F77412" w:rsidRPr="00C00FDB">
        <w:t xml:space="preserve"> </w:t>
      </w:r>
      <w:r w:rsidR="00022970" w:rsidRPr="00C00FDB">
        <w:t>th</w:t>
      </w:r>
      <w:r w:rsidR="004771A6" w:rsidRPr="00C00FDB">
        <w:t>e</w:t>
      </w:r>
      <w:r w:rsidR="00022970" w:rsidRPr="00C00FDB">
        <w:t xml:space="preserve"> foreign country</w:t>
      </w:r>
      <w:r w:rsidR="00F77412" w:rsidRPr="00C00FDB">
        <w:t xml:space="preserve"> </w:t>
      </w:r>
      <w:r w:rsidR="00022970" w:rsidRPr="00C00FDB">
        <w:t xml:space="preserve">provide for </w:t>
      </w:r>
      <w:r w:rsidRPr="00C00FDB">
        <w:t>a preferential patent box regime without sufficient economic substance.</w:t>
      </w:r>
    </w:p>
    <w:p w14:paraId="7FBCBBC4" w14:textId="77777777" w:rsidR="004E1370" w:rsidRPr="00C00FDB" w:rsidRDefault="004E1370" w:rsidP="00C00FDB">
      <w:pPr>
        <w:pStyle w:val="subsection"/>
      </w:pPr>
      <w:r w:rsidRPr="00C00FDB">
        <w:tab/>
        <w:t>(</w:t>
      </w:r>
      <w:r w:rsidR="0094713C" w:rsidRPr="00C00FDB">
        <w:t>4</w:t>
      </w:r>
      <w:r w:rsidRPr="00C00FDB">
        <w:t>)</w:t>
      </w:r>
      <w:r w:rsidRPr="00C00FDB">
        <w:tab/>
        <w:t xml:space="preserve">In </w:t>
      </w:r>
      <w:proofErr w:type="gramStart"/>
      <w:r w:rsidRPr="00C00FDB">
        <w:t>making a determination</w:t>
      </w:r>
      <w:proofErr w:type="gramEnd"/>
      <w:r w:rsidRPr="00C00FDB">
        <w:t xml:space="preserve"> </w:t>
      </w:r>
      <w:r w:rsidR="00DD5B0C" w:rsidRPr="00C00FDB">
        <w:t xml:space="preserve">under </w:t>
      </w:r>
      <w:r w:rsidR="00C00FDB" w:rsidRPr="00C00FDB">
        <w:t>subsection (</w:t>
      </w:r>
      <w:r w:rsidR="0094713C" w:rsidRPr="00C00FDB">
        <w:t>3</w:t>
      </w:r>
      <w:r w:rsidR="00DD5B0C" w:rsidRPr="00C00FDB">
        <w:t>)</w:t>
      </w:r>
      <w:r w:rsidRPr="00C00FDB">
        <w:t xml:space="preserve">, the Minister </w:t>
      </w:r>
      <w:r w:rsidR="00F77412" w:rsidRPr="00C00FDB">
        <w:t>may</w:t>
      </w:r>
      <w:r w:rsidRPr="00C00FDB">
        <w:t xml:space="preserve"> have regard to any relevant </w:t>
      </w:r>
      <w:r w:rsidR="00022970" w:rsidRPr="00C00FDB">
        <w:t xml:space="preserve">findings, determinations, advice, reports or other </w:t>
      </w:r>
      <w:r w:rsidRPr="00C00FDB">
        <w:t>publications of the Council of the Organisation for Economic Cooperation and Development</w:t>
      </w:r>
      <w:r w:rsidR="00832735" w:rsidRPr="00C00FDB">
        <w:t>.</w:t>
      </w:r>
    </w:p>
    <w:p w14:paraId="067C5CB8" w14:textId="77777777" w:rsidR="00DA0B4A" w:rsidRPr="00C00FDB" w:rsidRDefault="00736BF4" w:rsidP="00C00FDB">
      <w:pPr>
        <w:pStyle w:val="Transitional"/>
      </w:pPr>
      <w:proofErr w:type="gramStart"/>
      <w:r w:rsidRPr="00C00FDB">
        <w:t>4</w:t>
      </w:r>
      <w:r w:rsidR="00DA0B4A" w:rsidRPr="00C00FDB">
        <w:t xml:space="preserve">  </w:t>
      </w:r>
      <w:r w:rsidR="00C23C60" w:rsidRPr="00C00FDB">
        <w:t>Sub</w:t>
      </w:r>
      <w:r w:rsidR="00875A9F" w:rsidRPr="00C00FDB">
        <w:t>section</w:t>
      </w:r>
      <w:proofErr w:type="gramEnd"/>
      <w:r w:rsidR="00875A9F" w:rsidRPr="00C00FDB">
        <w:t> 9</w:t>
      </w:r>
      <w:r w:rsidR="00DA0B4A" w:rsidRPr="00C00FDB">
        <w:t>95</w:t>
      </w:r>
      <w:r w:rsidR="00C00FDB">
        <w:noBreakHyphen/>
      </w:r>
      <w:r w:rsidR="00DA0B4A" w:rsidRPr="00C00FDB">
        <w:t>1(1)</w:t>
      </w:r>
    </w:p>
    <w:p w14:paraId="6BFDC4E6" w14:textId="77777777" w:rsidR="00DA0B4A" w:rsidRPr="00C00FDB" w:rsidRDefault="00DA0B4A" w:rsidP="00C00FDB">
      <w:pPr>
        <w:pStyle w:val="Item"/>
      </w:pPr>
      <w:r w:rsidRPr="00C00FDB">
        <w:t>Insert:</w:t>
      </w:r>
    </w:p>
    <w:p w14:paraId="0177A564" w14:textId="77777777" w:rsidR="004771A6" w:rsidRPr="00C00FDB" w:rsidRDefault="004771A6" w:rsidP="00C00FDB">
      <w:pPr>
        <w:pStyle w:val="Definition"/>
      </w:pPr>
      <w:r w:rsidRPr="00C00FDB">
        <w:rPr>
          <w:b/>
          <w:i/>
        </w:rPr>
        <w:t>exploit</w:t>
      </w:r>
      <w:r w:rsidRPr="00C00FDB">
        <w:t xml:space="preserve"> an </w:t>
      </w:r>
      <w:r w:rsidR="00D560D0" w:rsidRPr="00C00FDB">
        <w:t xml:space="preserve">intangible </w:t>
      </w:r>
      <w:r w:rsidRPr="00C00FDB">
        <w:t xml:space="preserve">asset has </w:t>
      </w:r>
      <w:r w:rsidR="00D560D0" w:rsidRPr="00C00FDB">
        <w:t>a</w:t>
      </w:r>
      <w:r w:rsidRPr="00C00FDB">
        <w:t xml:space="preserve"> meaning </w:t>
      </w:r>
      <w:r w:rsidR="00D560D0" w:rsidRPr="00C00FDB">
        <w:t xml:space="preserve">affected </w:t>
      </w:r>
      <w:r w:rsidRPr="00C00FDB">
        <w:t xml:space="preserve">by </w:t>
      </w:r>
      <w:r w:rsidR="00D560D0" w:rsidRPr="00C00FDB">
        <w:t>sub</w:t>
      </w:r>
      <w:r w:rsidR="00AF7FAC" w:rsidRPr="00C00FDB">
        <w:t>section 2</w:t>
      </w:r>
      <w:r w:rsidRPr="00C00FDB">
        <w:t>6</w:t>
      </w:r>
      <w:r w:rsidR="00C00FDB">
        <w:noBreakHyphen/>
      </w:r>
      <w:r w:rsidRPr="00C00FDB">
        <w:t>1</w:t>
      </w:r>
      <w:r w:rsidR="00D560D0" w:rsidRPr="00C00FDB">
        <w:t>1</w:t>
      </w:r>
      <w:r w:rsidRPr="00C00FDB">
        <w:t>0</w:t>
      </w:r>
      <w:r w:rsidR="00D560D0" w:rsidRPr="00C00FDB">
        <w:t>(</w:t>
      </w:r>
      <w:r w:rsidR="00DD3580" w:rsidRPr="00C00FDB">
        <w:t>9</w:t>
      </w:r>
      <w:r w:rsidR="00D560D0" w:rsidRPr="00C00FDB">
        <w:t>)</w:t>
      </w:r>
      <w:r w:rsidRPr="00C00FDB">
        <w:t>.</w:t>
      </w:r>
    </w:p>
    <w:p w14:paraId="6610AE4A" w14:textId="77777777" w:rsidR="0094713C" w:rsidRPr="00C00FDB" w:rsidRDefault="0094713C" w:rsidP="00C00FDB">
      <w:pPr>
        <w:pStyle w:val="Definition"/>
      </w:pPr>
      <w:r w:rsidRPr="00C00FDB">
        <w:rPr>
          <w:b/>
          <w:i/>
        </w:rPr>
        <w:t>low corporate tax jurisdiction</w:t>
      </w:r>
      <w:r w:rsidRPr="00C00FDB">
        <w:t xml:space="preserve"> has the meaning given by </w:t>
      </w:r>
      <w:r w:rsidR="00875A9F" w:rsidRPr="00C00FDB">
        <w:t>section 9</w:t>
      </w:r>
      <w:r w:rsidRPr="00C00FDB">
        <w:t>60</w:t>
      </w:r>
      <w:r w:rsidR="00C00FDB">
        <w:noBreakHyphen/>
      </w:r>
      <w:r w:rsidRPr="00C00FDB">
        <w:t>258.</w:t>
      </w:r>
    </w:p>
    <w:p w14:paraId="28FB393B" w14:textId="77777777" w:rsidR="00AA786E" w:rsidRPr="00C00FDB" w:rsidRDefault="00736BF4" w:rsidP="00C00FDB">
      <w:pPr>
        <w:pStyle w:val="Transitional"/>
      </w:pPr>
      <w:proofErr w:type="gramStart"/>
      <w:r w:rsidRPr="00C00FDB">
        <w:t>5</w:t>
      </w:r>
      <w:r w:rsidR="00AA786E" w:rsidRPr="00C00FDB">
        <w:t xml:space="preserve">  Application</w:t>
      </w:r>
      <w:proofErr w:type="gramEnd"/>
      <w:r w:rsidR="00AA786E" w:rsidRPr="00C00FDB">
        <w:t xml:space="preserve"> of amendments</w:t>
      </w:r>
    </w:p>
    <w:p w14:paraId="48CF6466" w14:textId="77777777" w:rsidR="00AA786E" w:rsidRPr="00C00FDB" w:rsidRDefault="00AF7FAC" w:rsidP="00C00FDB">
      <w:pPr>
        <w:pStyle w:val="Item"/>
      </w:pPr>
      <w:r w:rsidRPr="00C00FDB">
        <w:t>Section 2</w:t>
      </w:r>
      <w:r w:rsidR="00BE56B9" w:rsidRPr="00C00FDB">
        <w:t>6</w:t>
      </w:r>
      <w:r w:rsidR="00C00FDB">
        <w:noBreakHyphen/>
      </w:r>
      <w:r w:rsidR="00BE56B9" w:rsidRPr="00C00FDB">
        <w:t>1</w:t>
      </w:r>
      <w:r w:rsidR="004838C9" w:rsidRPr="00C00FDB">
        <w:t>10</w:t>
      </w:r>
      <w:r w:rsidR="004771A6" w:rsidRPr="00C00FDB">
        <w:t xml:space="preserve"> </w:t>
      </w:r>
      <w:r w:rsidR="00AA786E" w:rsidRPr="00C00FDB">
        <w:t xml:space="preserve">of the </w:t>
      </w:r>
      <w:r w:rsidR="00AA786E" w:rsidRPr="00C00FDB">
        <w:rPr>
          <w:i/>
        </w:rPr>
        <w:t>Income Tax Assessment Act 1997</w:t>
      </w:r>
      <w:r w:rsidR="00AA786E" w:rsidRPr="00C00FDB">
        <w:t xml:space="preserve"> appl</w:t>
      </w:r>
      <w:r w:rsidR="004771A6" w:rsidRPr="00C00FDB">
        <w:t>ies</w:t>
      </w:r>
      <w:r w:rsidR="00AA786E" w:rsidRPr="00C00FDB">
        <w:t xml:space="preserve"> to amounts paid</w:t>
      </w:r>
      <w:r w:rsidR="004771A6" w:rsidRPr="00C00FDB">
        <w:t xml:space="preserve">, liabilities </w:t>
      </w:r>
      <w:proofErr w:type="gramStart"/>
      <w:r w:rsidR="004771A6" w:rsidRPr="00C00FDB">
        <w:t>incurred</w:t>
      </w:r>
      <w:proofErr w:type="gramEnd"/>
      <w:r w:rsidR="004771A6" w:rsidRPr="00C00FDB">
        <w:t xml:space="preserve"> or amounts credited </w:t>
      </w:r>
      <w:r w:rsidR="00AA786E" w:rsidRPr="00C00FDB">
        <w:t xml:space="preserve">on or after </w:t>
      </w:r>
      <w:r w:rsidR="00290E5B" w:rsidRPr="00C00FDB">
        <w:t>1 July</w:t>
      </w:r>
      <w:r w:rsidR="00AA786E" w:rsidRPr="00C00FDB">
        <w:t xml:space="preserve"> 2023.</w:t>
      </w:r>
    </w:p>
    <w:sectPr w:rsidR="00AA786E" w:rsidRPr="00C00FDB" w:rsidSect="00C00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8326" w14:textId="77777777" w:rsidR="00BE0ED2" w:rsidRDefault="00BE0ED2" w:rsidP="00664C63">
      <w:pPr>
        <w:spacing w:line="240" w:lineRule="auto"/>
      </w:pPr>
      <w:r>
        <w:separator/>
      </w:r>
    </w:p>
  </w:endnote>
  <w:endnote w:type="continuationSeparator" w:id="0">
    <w:p w14:paraId="57FB4812" w14:textId="77777777" w:rsidR="00BE0ED2" w:rsidRDefault="00BE0ED2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20FF491C-7059-4069-B03F-00824B03ABA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0A35" w14:textId="77777777" w:rsidR="00BE0ED2" w:rsidRPr="00BB4623" w:rsidRDefault="00BE0ED2" w:rsidP="00C00FDB">
    <w:pPr>
      <w:pBdr>
        <w:top w:val="single" w:sz="6" w:space="1" w:color="auto"/>
      </w:pBdr>
      <w:spacing w:before="120"/>
      <w:jc w:val="right"/>
      <w:rPr>
        <w:sz w:val="18"/>
      </w:rPr>
    </w:pPr>
  </w:p>
  <w:p w14:paraId="4BE08465" w14:textId="77777777" w:rsidR="00BE0ED2" w:rsidRPr="00BB4623" w:rsidRDefault="00BE0ED2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F43FB2B" w14:textId="77777777" w:rsidR="00BE0ED2" w:rsidRPr="00BB4623" w:rsidRDefault="00BE0ED2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8C21" w14:textId="77777777" w:rsidR="00BE0ED2" w:rsidRDefault="00BE0ED2" w:rsidP="00C00FDB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BE0ED2" w:rsidRPr="00B3608C" w14:paraId="1ECCBC00" w14:textId="77777777" w:rsidTr="00300502">
      <w:trPr>
        <w:trHeight w:val="280"/>
      </w:trPr>
      <w:tc>
        <w:tcPr>
          <w:tcW w:w="7087" w:type="dxa"/>
        </w:tcPr>
        <w:p w14:paraId="5AD7AB1F" w14:textId="77777777" w:rsidR="00BE0ED2" w:rsidRPr="00B3608C" w:rsidRDefault="00BE0ED2" w:rsidP="00300502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BE0ED2" w:rsidRPr="00B3608C" w14:paraId="6C5AEBA9" w14:textId="77777777" w:rsidTr="00300502">
      <w:tc>
        <w:tcPr>
          <w:tcW w:w="7087" w:type="dxa"/>
        </w:tcPr>
        <w:p w14:paraId="2F550984" w14:textId="77777777" w:rsidR="00BE0ED2" w:rsidRPr="00B3608C" w:rsidRDefault="00BE0ED2" w:rsidP="00300502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70FA302" w14:textId="77777777" w:rsidR="00BE0ED2" w:rsidRPr="00BB4623" w:rsidRDefault="00BE0ED2" w:rsidP="00B3608C">
    <w:pPr>
      <w:pStyle w:val="Tabletext"/>
      <w:spacing w:before="0"/>
    </w:pPr>
    <w:r w:rsidRPr="000C316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3FCD139" wp14:editId="64F3279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7C1C8" w14:textId="735D612F" w:rsidR="00BE0ED2" w:rsidRPr="00324EB0" w:rsidRDefault="0060091B" w:rsidP="00300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D1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617C1C8" w14:textId="735D612F" w:rsidR="00BE0ED2" w:rsidRPr="00324EB0" w:rsidRDefault="0060091B" w:rsidP="0030050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69F4" w14:textId="77777777" w:rsidR="00BE0ED2" w:rsidRPr="00BB4623" w:rsidRDefault="00BE0ED2" w:rsidP="00C00F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8055" w14:textId="77777777" w:rsidR="00BE0ED2" w:rsidRDefault="00BE0ED2" w:rsidP="00664C63">
      <w:pPr>
        <w:spacing w:line="240" w:lineRule="auto"/>
      </w:pPr>
      <w:r>
        <w:separator/>
      </w:r>
    </w:p>
  </w:footnote>
  <w:footnote w:type="continuationSeparator" w:id="0">
    <w:p w14:paraId="0B5F15E7" w14:textId="77777777" w:rsidR="00BE0ED2" w:rsidRDefault="00BE0ED2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DCF9" w14:textId="77777777" w:rsidR="00BE0ED2" w:rsidRPr="00BB4623" w:rsidRDefault="00BE0ED2" w:rsidP="00664C63">
    <w:pPr>
      <w:rPr>
        <w:sz w:val="24"/>
      </w:rPr>
    </w:pPr>
  </w:p>
  <w:p w14:paraId="0754FE66" w14:textId="77777777" w:rsidR="00BE0ED2" w:rsidRPr="00BB4623" w:rsidRDefault="00BE0ED2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376D" w14:textId="77777777" w:rsidR="00BE0ED2" w:rsidRPr="00BB4623" w:rsidRDefault="00BE0ED2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A958E04" wp14:editId="2675E5C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281F4" w14:textId="03B9F5F9" w:rsidR="00BE0ED2" w:rsidRPr="00324EB0" w:rsidRDefault="00D07C10" w:rsidP="00300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8E04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F4281F4" w14:textId="03B9F5F9" w:rsidR="00BE0ED2" w:rsidRPr="00324EB0" w:rsidRDefault="00D07C10" w:rsidP="0030050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48CE1A67" w14:textId="77777777" w:rsidR="00BE0ED2" w:rsidRPr="00BB4623" w:rsidRDefault="00BE0ED2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92B2" w14:textId="77777777" w:rsidR="00BE0ED2" w:rsidRPr="00BB4623" w:rsidRDefault="00BE0ED2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AE65B19"/>
    <w:multiLevelType w:val="multilevel"/>
    <w:tmpl w:val="D256E032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721F"/>
    <w:rsid w:val="0001106D"/>
    <w:rsid w:val="000136AF"/>
    <w:rsid w:val="00014B9A"/>
    <w:rsid w:val="00016933"/>
    <w:rsid w:val="00021398"/>
    <w:rsid w:val="00022970"/>
    <w:rsid w:val="00024D85"/>
    <w:rsid w:val="00025C89"/>
    <w:rsid w:val="00031ADA"/>
    <w:rsid w:val="00051B5A"/>
    <w:rsid w:val="00055D20"/>
    <w:rsid w:val="000606F7"/>
    <w:rsid w:val="000614BF"/>
    <w:rsid w:val="00062229"/>
    <w:rsid w:val="00065F81"/>
    <w:rsid w:val="0007138C"/>
    <w:rsid w:val="00071DDF"/>
    <w:rsid w:val="00073C5A"/>
    <w:rsid w:val="00077DA2"/>
    <w:rsid w:val="00080D36"/>
    <w:rsid w:val="000848EB"/>
    <w:rsid w:val="00087033"/>
    <w:rsid w:val="00093392"/>
    <w:rsid w:val="000B7757"/>
    <w:rsid w:val="000C3160"/>
    <w:rsid w:val="000C3B16"/>
    <w:rsid w:val="000C74F9"/>
    <w:rsid w:val="000D05EF"/>
    <w:rsid w:val="000D2CAB"/>
    <w:rsid w:val="000D3899"/>
    <w:rsid w:val="000E42D7"/>
    <w:rsid w:val="000E6F81"/>
    <w:rsid w:val="000E7DEC"/>
    <w:rsid w:val="000F21C1"/>
    <w:rsid w:val="000F4126"/>
    <w:rsid w:val="001016D1"/>
    <w:rsid w:val="0010240E"/>
    <w:rsid w:val="00104993"/>
    <w:rsid w:val="0010745C"/>
    <w:rsid w:val="00111CB8"/>
    <w:rsid w:val="0011206D"/>
    <w:rsid w:val="00113F5B"/>
    <w:rsid w:val="00114571"/>
    <w:rsid w:val="001168A3"/>
    <w:rsid w:val="00123B1B"/>
    <w:rsid w:val="00135A40"/>
    <w:rsid w:val="00143B3A"/>
    <w:rsid w:val="0015205D"/>
    <w:rsid w:val="0015553B"/>
    <w:rsid w:val="001577D1"/>
    <w:rsid w:val="00166C2F"/>
    <w:rsid w:val="00167FA3"/>
    <w:rsid w:val="00171394"/>
    <w:rsid w:val="00173BA5"/>
    <w:rsid w:val="00182C9A"/>
    <w:rsid w:val="0018435F"/>
    <w:rsid w:val="001939E1"/>
    <w:rsid w:val="00195382"/>
    <w:rsid w:val="001B012F"/>
    <w:rsid w:val="001B0F61"/>
    <w:rsid w:val="001C69C4"/>
    <w:rsid w:val="001E209A"/>
    <w:rsid w:val="001E3590"/>
    <w:rsid w:val="001E7407"/>
    <w:rsid w:val="001F2025"/>
    <w:rsid w:val="0021250A"/>
    <w:rsid w:val="0021783D"/>
    <w:rsid w:val="002277A0"/>
    <w:rsid w:val="00231F39"/>
    <w:rsid w:val="00232D42"/>
    <w:rsid w:val="00240749"/>
    <w:rsid w:val="0024580F"/>
    <w:rsid w:val="00250523"/>
    <w:rsid w:val="002509D3"/>
    <w:rsid w:val="002557B1"/>
    <w:rsid w:val="00256548"/>
    <w:rsid w:val="00260F3B"/>
    <w:rsid w:val="00261E84"/>
    <w:rsid w:val="00264059"/>
    <w:rsid w:val="00271AA0"/>
    <w:rsid w:val="002767B5"/>
    <w:rsid w:val="002806BD"/>
    <w:rsid w:val="002819A0"/>
    <w:rsid w:val="00285F4A"/>
    <w:rsid w:val="00290E5B"/>
    <w:rsid w:val="00295806"/>
    <w:rsid w:val="00296415"/>
    <w:rsid w:val="00297ECB"/>
    <w:rsid w:val="002B1D6F"/>
    <w:rsid w:val="002C085A"/>
    <w:rsid w:val="002C3310"/>
    <w:rsid w:val="002C588D"/>
    <w:rsid w:val="002C721F"/>
    <w:rsid w:val="002D043A"/>
    <w:rsid w:val="002D314E"/>
    <w:rsid w:val="002D63BF"/>
    <w:rsid w:val="002D6E38"/>
    <w:rsid w:val="002E0AFC"/>
    <w:rsid w:val="002F08B3"/>
    <w:rsid w:val="00300502"/>
    <w:rsid w:val="00301019"/>
    <w:rsid w:val="003127F0"/>
    <w:rsid w:val="003135C6"/>
    <w:rsid w:val="00313C6F"/>
    <w:rsid w:val="00323B4D"/>
    <w:rsid w:val="00326745"/>
    <w:rsid w:val="00327A2C"/>
    <w:rsid w:val="00330DD3"/>
    <w:rsid w:val="0033411C"/>
    <w:rsid w:val="00334771"/>
    <w:rsid w:val="003415D3"/>
    <w:rsid w:val="00347EFF"/>
    <w:rsid w:val="00352B0F"/>
    <w:rsid w:val="00366B4E"/>
    <w:rsid w:val="0037680D"/>
    <w:rsid w:val="00381FCE"/>
    <w:rsid w:val="00383CEA"/>
    <w:rsid w:val="003933A2"/>
    <w:rsid w:val="003948A5"/>
    <w:rsid w:val="003A6DC2"/>
    <w:rsid w:val="003A7106"/>
    <w:rsid w:val="003B0F1E"/>
    <w:rsid w:val="003C106B"/>
    <w:rsid w:val="003C1C51"/>
    <w:rsid w:val="003D0317"/>
    <w:rsid w:val="003D0BFE"/>
    <w:rsid w:val="003D2D96"/>
    <w:rsid w:val="003D5700"/>
    <w:rsid w:val="003F2374"/>
    <w:rsid w:val="003F2F88"/>
    <w:rsid w:val="003F60D2"/>
    <w:rsid w:val="00402376"/>
    <w:rsid w:val="00402800"/>
    <w:rsid w:val="004043EE"/>
    <w:rsid w:val="004043F0"/>
    <w:rsid w:val="0040616D"/>
    <w:rsid w:val="004116CD"/>
    <w:rsid w:val="00411FEF"/>
    <w:rsid w:val="004155F3"/>
    <w:rsid w:val="004168B4"/>
    <w:rsid w:val="0042184C"/>
    <w:rsid w:val="0042450F"/>
    <w:rsid w:val="00424CA9"/>
    <w:rsid w:val="00427D10"/>
    <w:rsid w:val="00434B7F"/>
    <w:rsid w:val="00434E39"/>
    <w:rsid w:val="0044291A"/>
    <w:rsid w:val="00453E58"/>
    <w:rsid w:val="00472279"/>
    <w:rsid w:val="004771A6"/>
    <w:rsid w:val="004838C9"/>
    <w:rsid w:val="00493894"/>
    <w:rsid w:val="00496725"/>
    <w:rsid w:val="00496F97"/>
    <w:rsid w:val="004A14CB"/>
    <w:rsid w:val="004A1888"/>
    <w:rsid w:val="004A2C78"/>
    <w:rsid w:val="004A4FC0"/>
    <w:rsid w:val="004B1726"/>
    <w:rsid w:val="004B2F74"/>
    <w:rsid w:val="004B73A7"/>
    <w:rsid w:val="004D31AB"/>
    <w:rsid w:val="004E1370"/>
    <w:rsid w:val="004E3680"/>
    <w:rsid w:val="004F1A8C"/>
    <w:rsid w:val="004F70AB"/>
    <w:rsid w:val="005104CE"/>
    <w:rsid w:val="00514DA9"/>
    <w:rsid w:val="00516B8D"/>
    <w:rsid w:val="00537FBC"/>
    <w:rsid w:val="00543850"/>
    <w:rsid w:val="00554104"/>
    <w:rsid w:val="00567E37"/>
    <w:rsid w:val="005725D9"/>
    <w:rsid w:val="00584052"/>
    <w:rsid w:val="00584811"/>
    <w:rsid w:val="00593AA6"/>
    <w:rsid w:val="00594161"/>
    <w:rsid w:val="00594749"/>
    <w:rsid w:val="005A1196"/>
    <w:rsid w:val="005A66F5"/>
    <w:rsid w:val="005A69C8"/>
    <w:rsid w:val="005A6F34"/>
    <w:rsid w:val="005B4067"/>
    <w:rsid w:val="005C3F41"/>
    <w:rsid w:val="005C5800"/>
    <w:rsid w:val="005D4DEA"/>
    <w:rsid w:val="005D67DD"/>
    <w:rsid w:val="00600219"/>
    <w:rsid w:val="006004C8"/>
    <w:rsid w:val="0060091B"/>
    <w:rsid w:val="006060AC"/>
    <w:rsid w:val="00611C2E"/>
    <w:rsid w:val="00622769"/>
    <w:rsid w:val="00625BC3"/>
    <w:rsid w:val="00640495"/>
    <w:rsid w:val="00641DA8"/>
    <w:rsid w:val="006444FB"/>
    <w:rsid w:val="006456C2"/>
    <w:rsid w:val="00647BB0"/>
    <w:rsid w:val="0065106B"/>
    <w:rsid w:val="006527A6"/>
    <w:rsid w:val="00657157"/>
    <w:rsid w:val="00660102"/>
    <w:rsid w:val="00663BAD"/>
    <w:rsid w:val="00664C63"/>
    <w:rsid w:val="00667D86"/>
    <w:rsid w:val="00671821"/>
    <w:rsid w:val="00677607"/>
    <w:rsid w:val="00677CC2"/>
    <w:rsid w:val="00681A4A"/>
    <w:rsid w:val="00683E05"/>
    <w:rsid w:val="006850BC"/>
    <w:rsid w:val="0069207B"/>
    <w:rsid w:val="006A36DF"/>
    <w:rsid w:val="006B01C4"/>
    <w:rsid w:val="006B51F1"/>
    <w:rsid w:val="006C77A8"/>
    <w:rsid w:val="006C7F8C"/>
    <w:rsid w:val="006D3764"/>
    <w:rsid w:val="006D6C61"/>
    <w:rsid w:val="006E3E4B"/>
    <w:rsid w:val="006E4AB2"/>
    <w:rsid w:val="006F38D4"/>
    <w:rsid w:val="006F4543"/>
    <w:rsid w:val="006F4C33"/>
    <w:rsid w:val="00700B2C"/>
    <w:rsid w:val="00713084"/>
    <w:rsid w:val="007173B8"/>
    <w:rsid w:val="0072003B"/>
    <w:rsid w:val="00725409"/>
    <w:rsid w:val="00727D0C"/>
    <w:rsid w:val="00731E00"/>
    <w:rsid w:val="00732A85"/>
    <w:rsid w:val="00735760"/>
    <w:rsid w:val="00736BF4"/>
    <w:rsid w:val="007440B7"/>
    <w:rsid w:val="0075226A"/>
    <w:rsid w:val="007539C5"/>
    <w:rsid w:val="00757800"/>
    <w:rsid w:val="007619A5"/>
    <w:rsid w:val="00762625"/>
    <w:rsid w:val="007627F4"/>
    <w:rsid w:val="00763CAD"/>
    <w:rsid w:val="007715C9"/>
    <w:rsid w:val="00774EDD"/>
    <w:rsid w:val="007757EC"/>
    <w:rsid w:val="00780E49"/>
    <w:rsid w:val="007845BF"/>
    <w:rsid w:val="00786B03"/>
    <w:rsid w:val="00795433"/>
    <w:rsid w:val="00795B88"/>
    <w:rsid w:val="00795FCE"/>
    <w:rsid w:val="007A659A"/>
    <w:rsid w:val="007B081F"/>
    <w:rsid w:val="007B4F3A"/>
    <w:rsid w:val="007B7E26"/>
    <w:rsid w:val="007C01AE"/>
    <w:rsid w:val="007C26F6"/>
    <w:rsid w:val="007C458B"/>
    <w:rsid w:val="007D5C67"/>
    <w:rsid w:val="007E4B73"/>
    <w:rsid w:val="007E4CC8"/>
    <w:rsid w:val="007F34A0"/>
    <w:rsid w:val="00801BA5"/>
    <w:rsid w:val="00803446"/>
    <w:rsid w:val="0081052F"/>
    <w:rsid w:val="00813211"/>
    <w:rsid w:val="0081532D"/>
    <w:rsid w:val="00821670"/>
    <w:rsid w:val="00824733"/>
    <w:rsid w:val="00825319"/>
    <w:rsid w:val="00830815"/>
    <w:rsid w:val="00832735"/>
    <w:rsid w:val="0083325C"/>
    <w:rsid w:val="00833EB3"/>
    <w:rsid w:val="0084213D"/>
    <w:rsid w:val="00846529"/>
    <w:rsid w:val="008548DF"/>
    <w:rsid w:val="00856A31"/>
    <w:rsid w:val="00867059"/>
    <w:rsid w:val="008754D0"/>
    <w:rsid w:val="00875A9F"/>
    <w:rsid w:val="00881AD1"/>
    <w:rsid w:val="00883892"/>
    <w:rsid w:val="00890CA8"/>
    <w:rsid w:val="008A27FC"/>
    <w:rsid w:val="008A6470"/>
    <w:rsid w:val="008C0CD7"/>
    <w:rsid w:val="008D0EE0"/>
    <w:rsid w:val="008D1C0A"/>
    <w:rsid w:val="008E05CA"/>
    <w:rsid w:val="008F1D06"/>
    <w:rsid w:val="008F5C70"/>
    <w:rsid w:val="008F7345"/>
    <w:rsid w:val="0090318B"/>
    <w:rsid w:val="00906AF2"/>
    <w:rsid w:val="00926946"/>
    <w:rsid w:val="00931D06"/>
    <w:rsid w:val="00932377"/>
    <w:rsid w:val="00932FA3"/>
    <w:rsid w:val="0094653E"/>
    <w:rsid w:val="0094713C"/>
    <w:rsid w:val="0095602D"/>
    <w:rsid w:val="0095655F"/>
    <w:rsid w:val="009620C2"/>
    <w:rsid w:val="009679D0"/>
    <w:rsid w:val="00971F74"/>
    <w:rsid w:val="00972205"/>
    <w:rsid w:val="00972373"/>
    <w:rsid w:val="00976F36"/>
    <w:rsid w:val="009C131B"/>
    <w:rsid w:val="009C2401"/>
    <w:rsid w:val="009C6E95"/>
    <w:rsid w:val="009C7B09"/>
    <w:rsid w:val="009D6EB6"/>
    <w:rsid w:val="009F48FA"/>
    <w:rsid w:val="00A047AC"/>
    <w:rsid w:val="00A120DD"/>
    <w:rsid w:val="00A14531"/>
    <w:rsid w:val="00A173F4"/>
    <w:rsid w:val="00A231E2"/>
    <w:rsid w:val="00A25627"/>
    <w:rsid w:val="00A31B9A"/>
    <w:rsid w:val="00A31F73"/>
    <w:rsid w:val="00A36924"/>
    <w:rsid w:val="00A415B9"/>
    <w:rsid w:val="00A55FC4"/>
    <w:rsid w:val="00A64912"/>
    <w:rsid w:val="00A70A74"/>
    <w:rsid w:val="00A84F33"/>
    <w:rsid w:val="00A86D04"/>
    <w:rsid w:val="00AA5445"/>
    <w:rsid w:val="00AA786E"/>
    <w:rsid w:val="00AB2C17"/>
    <w:rsid w:val="00AB5A90"/>
    <w:rsid w:val="00AB7FA9"/>
    <w:rsid w:val="00AC3887"/>
    <w:rsid w:val="00AD27B3"/>
    <w:rsid w:val="00AD5641"/>
    <w:rsid w:val="00AD7122"/>
    <w:rsid w:val="00AE0188"/>
    <w:rsid w:val="00AE159B"/>
    <w:rsid w:val="00AE59F7"/>
    <w:rsid w:val="00AE70DD"/>
    <w:rsid w:val="00AE7BD7"/>
    <w:rsid w:val="00AF1903"/>
    <w:rsid w:val="00AF643D"/>
    <w:rsid w:val="00AF7FAC"/>
    <w:rsid w:val="00B04787"/>
    <w:rsid w:val="00B05DED"/>
    <w:rsid w:val="00B15A30"/>
    <w:rsid w:val="00B22FC7"/>
    <w:rsid w:val="00B25EA3"/>
    <w:rsid w:val="00B26413"/>
    <w:rsid w:val="00B30729"/>
    <w:rsid w:val="00B30BBF"/>
    <w:rsid w:val="00B33B3C"/>
    <w:rsid w:val="00B33D7A"/>
    <w:rsid w:val="00B340B6"/>
    <w:rsid w:val="00B3608C"/>
    <w:rsid w:val="00B368B2"/>
    <w:rsid w:val="00B372A6"/>
    <w:rsid w:val="00B429C2"/>
    <w:rsid w:val="00B43293"/>
    <w:rsid w:val="00B61C25"/>
    <w:rsid w:val="00B65918"/>
    <w:rsid w:val="00B70E56"/>
    <w:rsid w:val="00B71889"/>
    <w:rsid w:val="00B81596"/>
    <w:rsid w:val="00B933EE"/>
    <w:rsid w:val="00BA389D"/>
    <w:rsid w:val="00BC27E0"/>
    <w:rsid w:val="00BC30F2"/>
    <w:rsid w:val="00BD1655"/>
    <w:rsid w:val="00BD3A2C"/>
    <w:rsid w:val="00BE0ED2"/>
    <w:rsid w:val="00BE56B9"/>
    <w:rsid w:val="00BE719A"/>
    <w:rsid w:val="00BE720A"/>
    <w:rsid w:val="00BE7B08"/>
    <w:rsid w:val="00BF4C45"/>
    <w:rsid w:val="00C00FDB"/>
    <w:rsid w:val="00C03BBA"/>
    <w:rsid w:val="00C1410C"/>
    <w:rsid w:val="00C153D9"/>
    <w:rsid w:val="00C161F0"/>
    <w:rsid w:val="00C164C4"/>
    <w:rsid w:val="00C2285E"/>
    <w:rsid w:val="00C23C60"/>
    <w:rsid w:val="00C26568"/>
    <w:rsid w:val="00C319BD"/>
    <w:rsid w:val="00C31A64"/>
    <w:rsid w:val="00C36C6C"/>
    <w:rsid w:val="00C42BF8"/>
    <w:rsid w:val="00C46D54"/>
    <w:rsid w:val="00C50043"/>
    <w:rsid w:val="00C53114"/>
    <w:rsid w:val="00C56D83"/>
    <w:rsid w:val="00C6681E"/>
    <w:rsid w:val="00C723B9"/>
    <w:rsid w:val="00C7573B"/>
    <w:rsid w:val="00C77D10"/>
    <w:rsid w:val="00C82CBD"/>
    <w:rsid w:val="00C86E47"/>
    <w:rsid w:val="00C86EAB"/>
    <w:rsid w:val="00C91002"/>
    <w:rsid w:val="00CA18A1"/>
    <w:rsid w:val="00CB0EA8"/>
    <w:rsid w:val="00CC1A1D"/>
    <w:rsid w:val="00CC45D6"/>
    <w:rsid w:val="00CC4E67"/>
    <w:rsid w:val="00CC7A09"/>
    <w:rsid w:val="00CE2126"/>
    <w:rsid w:val="00CE2EDB"/>
    <w:rsid w:val="00CF0BB2"/>
    <w:rsid w:val="00CF4975"/>
    <w:rsid w:val="00D04C0D"/>
    <w:rsid w:val="00D07C10"/>
    <w:rsid w:val="00D07DC5"/>
    <w:rsid w:val="00D13441"/>
    <w:rsid w:val="00D14863"/>
    <w:rsid w:val="00D31FA3"/>
    <w:rsid w:val="00D3213F"/>
    <w:rsid w:val="00D32735"/>
    <w:rsid w:val="00D33DCA"/>
    <w:rsid w:val="00D374CE"/>
    <w:rsid w:val="00D40252"/>
    <w:rsid w:val="00D467B9"/>
    <w:rsid w:val="00D560D0"/>
    <w:rsid w:val="00D568A3"/>
    <w:rsid w:val="00D67311"/>
    <w:rsid w:val="00D70DFB"/>
    <w:rsid w:val="00D7186F"/>
    <w:rsid w:val="00D731C9"/>
    <w:rsid w:val="00D753C2"/>
    <w:rsid w:val="00D766DF"/>
    <w:rsid w:val="00D82E46"/>
    <w:rsid w:val="00D877C7"/>
    <w:rsid w:val="00D9284D"/>
    <w:rsid w:val="00D946A0"/>
    <w:rsid w:val="00DA0B4A"/>
    <w:rsid w:val="00DA1036"/>
    <w:rsid w:val="00DA6DDE"/>
    <w:rsid w:val="00DD314D"/>
    <w:rsid w:val="00DD3580"/>
    <w:rsid w:val="00DD45C1"/>
    <w:rsid w:val="00DD5B0C"/>
    <w:rsid w:val="00DE18EC"/>
    <w:rsid w:val="00DF598D"/>
    <w:rsid w:val="00DF6AB4"/>
    <w:rsid w:val="00E01477"/>
    <w:rsid w:val="00E05704"/>
    <w:rsid w:val="00E10847"/>
    <w:rsid w:val="00E1363F"/>
    <w:rsid w:val="00E2685F"/>
    <w:rsid w:val="00E528BB"/>
    <w:rsid w:val="00E54CAB"/>
    <w:rsid w:val="00E7337D"/>
    <w:rsid w:val="00E74DC7"/>
    <w:rsid w:val="00E8599D"/>
    <w:rsid w:val="00E85CB9"/>
    <w:rsid w:val="00E90F9E"/>
    <w:rsid w:val="00E938A8"/>
    <w:rsid w:val="00E9428D"/>
    <w:rsid w:val="00E94998"/>
    <w:rsid w:val="00EA0EF6"/>
    <w:rsid w:val="00EB3C47"/>
    <w:rsid w:val="00EC1A1F"/>
    <w:rsid w:val="00EC2F3B"/>
    <w:rsid w:val="00ED1A6C"/>
    <w:rsid w:val="00ED28EF"/>
    <w:rsid w:val="00ED2AF2"/>
    <w:rsid w:val="00EE25A8"/>
    <w:rsid w:val="00EE4C18"/>
    <w:rsid w:val="00EE6DCC"/>
    <w:rsid w:val="00EF2E3A"/>
    <w:rsid w:val="00EF365E"/>
    <w:rsid w:val="00EF77A6"/>
    <w:rsid w:val="00F0132A"/>
    <w:rsid w:val="00F078DC"/>
    <w:rsid w:val="00F1096B"/>
    <w:rsid w:val="00F20F53"/>
    <w:rsid w:val="00F3731F"/>
    <w:rsid w:val="00F46A01"/>
    <w:rsid w:val="00F5076A"/>
    <w:rsid w:val="00F71234"/>
    <w:rsid w:val="00F720AA"/>
    <w:rsid w:val="00F77412"/>
    <w:rsid w:val="00F8103A"/>
    <w:rsid w:val="00F81E08"/>
    <w:rsid w:val="00F84B6B"/>
    <w:rsid w:val="00F9701D"/>
    <w:rsid w:val="00FA3991"/>
    <w:rsid w:val="00FA5636"/>
    <w:rsid w:val="00FC104F"/>
    <w:rsid w:val="00FC4374"/>
    <w:rsid w:val="00FC4A7F"/>
    <w:rsid w:val="00FF0CED"/>
    <w:rsid w:val="00FF1872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260C3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0FD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B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B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B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23B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23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B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B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B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B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0FDB"/>
  </w:style>
  <w:style w:type="paragraph" w:customStyle="1" w:styleId="OPCParaBase">
    <w:name w:val="OPCParaBase"/>
    <w:qFormat/>
    <w:rsid w:val="00C00FD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0FD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0FD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0FD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0FD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0FD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00FD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0FD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0FD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0FD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0FD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0FDB"/>
  </w:style>
  <w:style w:type="paragraph" w:customStyle="1" w:styleId="Blocks">
    <w:name w:val="Blocks"/>
    <w:aliases w:val="bb"/>
    <w:basedOn w:val="OPCParaBase"/>
    <w:qFormat/>
    <w:rsid w:val="00C00FD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0F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0FD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0FDB"/>
    <w:rPr>
      <w:i/>
    </w:rPr>
  </w:style>
  <w:style w:type="paragraph" w:customStyle="1" w:styleId="BoxList">
    <w:name w:val="BoxList"/>
    <w:aliases w:val="bl"/>
    <w:basedOn w:val="BoxText"/>
    <w:qFormat/>
    <w:rsid w:val="00C00FD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0FD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0FD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0FDB"/>
    <w:pPr>
      <w:ind w:left="1985" w:hanging="851"/>
    </w:pPr>
  </w:style>
  <w:style w:type="character" w:customStyle="1" w:styleId="CharAmPartNo">
    <w:name w:val="CharAmPartNo"/>
    <w:basedOn w:val="OPCCharBase"/>
    <w:qFormat/>
    <w:rsid w:val="00C00FDB"/>
  </w:style>
  <w:style w:type="character" w:customStyle="1" w:styleId="CharAmPartText">
    <w:name w:val="CharAmPartText"/>
    <w:basedOn w:val="OPCCharBase"/>
    <w:qFormat/>
    <w:rsid w:val="00C00FDB"/>
  </w:style>
  <w:style w:type="character" w:customStyle="1" w:styleId="CharAmSchNo">
    <w:name w:val="CharAmSchNo"/>
    <w:basedOn w:val="OPCCharBase"/>
    <w:qFormat/>
    <w:rsid w:val="00C00FDB"/>
  </w:style>
  <w:style w:type="character" w:customStyle="1" w:styleId="CharAmSchText">
    <w:name w:val="CharAmSchText"/>
    <w:basedOn w:val="OPCCharBase"/>
    <w:qFormat/>
    <w:rsid w:val="00C00FDB"/>
  </w:style>
  <w:style w:type="character" w:customStyle="1" w:styleId="CharBoldItalic">
    <w:name w:val="CharBoldItalic"/>
    <w:basedOn w:val="OPCCharBase"/>
    <w:uiPriority w:val="1"/>
    <w:qFormat/>
    <w:rsid w:val="00C00FDB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0FDB"/>
  </w:style>
  <w:style w:type="character" w:customStyle="1" w:styleId="CharChapText">
    <w:name w:val="CharChapText"/>
    <w:basedOn w:val="OPCCharBase"/>
    <w:uiPriority w:val="1"/>
    <w:qFormat/>
    <w:rsid w:val="00C00FDB"/>
  </w:style>
  <w:style w:type="character" w:customStyle="1" w:styleId="CharDivNo">
    <w:name w:val="CharDivNo"/>
    <w:basedOn w:val="OPCCharBase"/>
    <w:uiPriority w:val="1"/>
    <w:qFormat/>
    <w:rsid w:val="00C00FDB"/>
  </w:style>
  <w:style w:type="character" w:customStyle="1" w:styleId="CharDivText">
    <w:name w:val="CharDivText"/>
    <w:basedOn w:val="OPCCharBase"/>
    <w:uiPriority w:val="1"/>
    <w:qFormat/>
    <w:rsid w:val="00C00FDB"/>
  </w:style>
  <w:style w:type="character" w:customStyle="1" w:styleId="CharItalic">
    <w:name w:val="CharItalic"/>
    <w:basedOn w:val="OPCCharBase"/>
    <w:uiPriority w:val="1"/>
    <w:qFormat/>
    <w:rsid w:val="00C00FDB"/>
    <w:rPr>
      <w:i/>
    </w:rPr>
  </w:style>
  <w:style w:type="character" w:customStyle="1" w:styleId="CharPartNo">
    <w:name w:val="CharPartNo"/>
    <w:basedOn w:val="OPCCharBase"/>
    <w:uiPriority w:val="1"/>
    <w:qFormat/>
    <w:rsid w:val="00C00FDB"/>
  </w:style>
  <w:style w:type="character" w:customStyle="1" w:styleId="CharPartText">
    <w:name w:val="CharPartText"/>
    <w:basedOn w:val="OPCCharBase"/>
    <w:uiPriority w:val="1"/>
    <w:qFormat/>
    <w:rsid w:val="00C00FDB"/>
  </w:style>
  <w:style w:type="character" w:customStyle="1" w:styleId="CharSectno">
    <w:name w:val="CharSectno"/>
    <w:basedOn w:val="OPCCharBase"/>
    <w:qFormat/>
    <w:rsid w:val="00C00FDB"/>
  </w:style>
  <w:style w:type="character" w:customStyle="1" w:styleId="CharSubdNo">
    <w:name w:val="CharSubdNo"/>
    <w:basedOn w:val="OPCCharBase"/>
    <w:uiPriority w:val="1"/>
    <w:qFormat/>
    <w:rsid w:val="00C00FDB"/>
  </w:style>
  <w:style w:type="character" w:customStyle="1" w:styleId="CharSubdText">
    <w:name w:val="CharSubdText"/>
    <w:basedOn w:val="OPCCharBase"/>
    <w:uiPriority w:val="1"/>
    <w:qFormat/>
    <w:rsid w:val="00C00FDB"/>
  </w:style>
  <w:style w:type="paragraph" w:customStyle="1" w:styleId="CTA--">
    <w:name w:val="CTA --"/>
    <w:basedOn w:val="OPCParaBase"/>
    <w:next w:val="Normal"/>
    <w:rsid w:val="00C00FD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0FD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0FD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0FD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0FD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0FD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0FD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0FD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0FD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0FD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0FD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0FD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0FD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0FD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00FD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0FD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00F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0FD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0F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0F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0FD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0FD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0FD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0FD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0FD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0FD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0FD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0FD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0FD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0FD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0FD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0FD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0FD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0FD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0FD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0FD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0FD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0FD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0FD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0FD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0FD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0FD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0FD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0FD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0FD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0FD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0FD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0FD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0FD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0FD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0FD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0F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0FD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0FD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0FD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C00FD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00FD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00FD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0FD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0FD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0FD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0FD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0FD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0FD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0FD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00FDB"/>
    <w:rPr>
      <w:sz w:val="16"/>
    </w:rPr>
  </w:style>
  <w:style w:type="table" w:customStyle="1" w:styleId="CFlag">
    <w:name w:val="CFlag"/>
    <w:basedOn w:val="TableNormal"/>
    <w:uiPriority w:val="99"/>
    <w:rsid w:val="00C00FDB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C00FD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00FDB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00FDB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C00FD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00FD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0FD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0FD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0FD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0FD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0FD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0FD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0FD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0FD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0FDB"/>
  </w:style>
  <w:style w:type="character" w:customStyle="1" w:styleId="CharSubPartNoCASA">
    <w:name w:val="CharSubPartNo(CASA)"/>
    <w:basedOn w:val="OPCCharBase"/>
    <w:uiPriority w:val="1"/>
    <w:rsid w:val="00C00FDB"/>
  </w:style>
  <w:style w:type="paragraph" w:customStyle="1" w:styleId="ENoteTTIndentHeadingSub">
    <w:name w:val="ENoteTTIndentHeadingSub"/>
    <w:aliases w:val="enTTHis"/>
    <w:basedOn w:val="OPCParaBase"/>
    <w:rsid w:val="00C00FD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0FD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0FD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0FD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00FD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0FD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0F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0FDB"/>
    <w:rPr>
      <w:sz w:val="22"/>
    </w:rPr>
  </w:style>
  <w:style w:type="paragraph" w:customStyle="1" w:styleId="SOTextNote">
    <w:name w:val="SO TextNote"/>
    <w:aliases w:val="sont"/>
    <w:basedOn w:val="SOText"/>
    <w:qFormat/>
    <w:rsid w:val="00C00FD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0FD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0FDB"/>
    <w:rPr>
      <w:sz w:val="22"/>
    </w:rPr>
  </w:style>
  <w:style w:type="paragraph" w:customStyle="1" w:styleId="FileName">
    <w:name w:val="FileName"/>
    <w:basedOn w:val="Normal"/>
    <w:rsid w:val="00C00FDB"/>
  </w:style>
  <w:style w:type="paragraph" w:customStyle="1" w:styleId="TableHeading">
    <w:name w:val="TableHeading"/>
    <w:aliases w:val="th"/>
    <w:basedOn w:val="OPCParaBase"/>
    <w:next w:val="Tabletext"/>
    <w:rsid w:val="00C00FD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0FD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0FD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0FD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0FD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0FD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0FD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0FD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0FD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0FD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0FD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0FD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C00FD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0FD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00FD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0FD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C00FD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0FD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0FD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0FD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00FDB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C0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C00FDB"/>
  </w:style>
  <w:style w:type="character" w:customStyle="1" w:styleId="Heading1Char">
    <w:name w:val="Heading 1 Char"/>
    <w:basedOn w:val="DefaultParagraphFont"/>
    <w:link w:val="Heading1"/>
    <w:uiPriority w:val="9"/>
    <w:rsid w:val="00323B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B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B4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323B4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B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B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B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B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Sub-heading">
    <w:name w:val="table.Sub-heading"/>
    <w:basedOn w:val="Normal"/>
    <w:rsid w:val="00BE56B9"/>
    <w:pPr>
      <w:keepNext/>
      <w:tabs>
        <w:tab w:val="left" w:leader="dot" w:pos="6124"/>
      </w:tabs>
      <w:spacing w:before="24" w:after="24" w:line="240" w:lineRule="auto"/>
    </w:pPr>
    <w:rPr>
      <w:rFonts w:eastAsia="Calibri" w:cs="Times New Roman"/>
      <w:b/>
      <w:sz w:val="20"/>
    </w:rPr>
  </w:style>
  <w:style w:type="paragraph" w:customStyle="1" w:styleId="tableText0">
    <w:name w:val="table.Text"/>
    <w:basedOn w:val="Normal"/>
    <w:rsid w:val="00BE56B9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BE56B9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1252</Words>
  <Characters>6512</Characters>
  <Application>Microsoft Office Word</Application>
  <DocSecurity>2</DocSecurity>
  <PresentationFormat/>
  <Lines>130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2023: Deductions for payments relating to intangible assets connected with low corporate tax jurisdictions</vt:lpstr>
    </vt:vector>
  </TitlesOfParts>
  <Manager/>
  <Company/>
  <LinksUpToDate>false</LinksUpToDate>
  <CharactersWithSpaces>7727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2023: Deductions for payments relating to intangible assets connected with low corporate tax jurisdictions</dc:title>
  <dc:subject/>
  <dc:creator/>
  <cp:keywords/>
  <dc:description/>
  <cp:lastModifiedBy/>
  <cp:revision>1</cp:revision>
  <cp:lastPrinted>2023-03-27T06:30:00Z</cp:lastPrinted>
  <dcterms:created xsi:type="dcterms:W3CDTF">2023-03-28T04:28:00Z</dcterms:created>
  <dcterms:modified xsi:type="dcterms:W3CDTF">2023-03-31T00:54:00Z</dcterms:modified>
  <cp:category/>
  <cp:contentStatus/>
  <dc:language/>
  <cp:version/>
</cp:coreProperties>
</file>