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D9DC" w14:textId="77777777" w:rsidR="00231478" w:rsidRPr="00E86EDC" w:rsidRDefault="00231478" w:rsidP="00231478">
      <w:pPr>
        <w:pStyle w:val="Heading1"/>
        <w:spacing w:after="360"/>
        <w:rPr>
          <w:rFonts w:ascii="Times New Roman" w:hAnsi="Times New Roman"/>
          <w:sz w:val="24"/>
          <w:szCs w:val="24"/>
        </w:rPr>
      </w:pPr>
      <w:bookmarkStart w:id="0" w:name="_Hlk108623793"/>
      <w:r w:rsidRPr="00E86EDC">
        <w:rPr>
          <w:rFonts w:ascii="Times New Roman" w:hAnsi="Times New Roman"/>
          <w:sz w:val="24"/>
          <w:szCs w:val="24"/>
        </w:rPr>
        <w:t>EXPLANATORY STATEMENT</w:t>
      </w:r>
    </w:p>
    <w:p w14:paraId="42B1B2E7" w14:textId="77777777" w:rsidR="00231478" w:rsidRPr="00E86EDC" w:rsidRDefault="00231478" w:rsidP="00231478">
      <w:pPr>
        <w:pStyle w:val="Heading2"/>
        <w:jc w:val="center"/>
        <w:rPr>
          <w:sz w:val="24"/>
          <w:szCs w:val="24"/>
        </w:rPr>
      </w:pPr>
      <w:r w:rsidRPr="00E86EDC">
        <w:rPr>
          <w:sz w:val="24"/>
          <w:szCs w:val="24"/>
        </w:rPr>
        <w:t xml:space="preserve">Issued by authority of </w:t>
      </w:r>
      <w:sdt>
        <w:sdtPr>
          <w:rPr>
            <w:rStyle w:val="DefaultChar"/>
          </w:rPr>
          <w:id w:val="-1025254589"/>
          <w:placeholder>
            <w:docPart w:val="7FDD3AF4E8A04A2F8F0BC597E71B282D"/>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Pr="00E86EDC">
            <w:rPr>
              <w:rStyle w:val="DefaultChar"/>
            </w:rPr>
            <w:t xml:space="preserve">the </w:t>
          </w:r>
          <w:bookmarkStart w:id="1" w:name="_Hlk109897632"/>
          <w:r w:rsidRPr="00E86EDC">
            <w:rPr>
              <w:rStyle w:val="DefaultChar"/>
            </w:rPr>
            <w:t>Assistant Treasurer and Minister for Financial Services</w:t>
          </w:r>
        </w:sdtContent>
      </w:sdt>
      <w:bookmarkEnd w:id="1"/>
      <w:r w:rsidRPr="00E86EDC">
        <w:rPr>
          <w:sz w:val="24"/>
          <w:szCs w:val="24"/>
        </w:rPr>
        <w:t xml:space="preserve"> </w:t>
      </w:r>
    </w:p>
    <w:p w14:paraId="36290F07" w14:textId="77777777" w:rsidR="00231478" w:rsidRDefault="00231478" w:rsidP="00231478">
      <w:pPr>
        <w:spacing w:before="240" w:after="240"/>
        <w:jc w:val="center"/>
        <w:rPr>
          <w:i/>
        </w:rPr>
      </w:pPr>
      <w:r w:rsidRPr="00E86EDC">
        <w:rPr>
          <w:i/>
        </w:rPr>
        <w:t xml:space="preserve">Corporations Act 2001 </w:t>
      </w:r>
    </w:p>
    <w:p w14:paraId="6032417A" w14:textId="77777777" w:rsidR="00231478" w:rsidRPr="00E86EDC" w:rsidRDefault="00231478" w:rsidP="00231478">
      <w:pPr>
        <w:spacing w:before="240" w:after="240"/>
        <w:jc w:val="center"/>
        <w:rPr>
          <w:i/>
        </w:rPr>
      </w:pPr>
      <w:bookmarkStart w:id="2" w:name="_Hlk127352954"/>
      <w:r w:rsidRPr="001565F1">
        <w:rPr>
          <w:i/>
        </w:rPr>
        <w:t>Australian Prudential Regulation Authority Act 1998</w:t>
      </w:r>
    </w:p>
    <w:p w14:paraId="0306DF88" w14:textId="77777777" w:rsidR="00231478" w:rsidRPr="00E86EDC" w:rsidRDefault="00231478" w:rsidP="00231478">
      <w:pPr>
        <w:tabs>
          <w:tab w:val="left" w:pos="1418"/>
        </w:tabs>
        <w:spacing w:before="0" w:after="240"/>
        <w:jc w:val="center"/>
        <w:rPr>
          <w:i/>
          <w:iCs/>
          <w:color w:val="FF0000"/>
        </w:rPr>
      </w:pPr>
      <w:bookmarkStart w:id="3" w:name="_Hlk108623499"/>
      <w:bookmarkEnd w:id="2"/>
      <w:r w:rsidRPr="0541F366">
        <w:rPr>
          <w:i/>
          <w:iCs/>
        </w:rPr>
        <w:t xml:space="preserve">Treasury Laws Amendment (Measures for </w:t>
      </w:r>
      <w:r>
        <w:rPr>
          <w:i/>
          <w:iCs/>
        </w:rPr>
        <w:t>Consultation</w:t>
      </w:r>
      <w:r w:rsidRPr="0541F366">
        <w:rPr>
          <w:i/>
          <w:iCs/>
        </w:rPr>
        <w:t>) Regulations 202</w:t>
      </w:r>
      <w:r>
        <w:rPr>
          <w:i/>
          <w:iCs/>
        </w:rPr>
        <w:t>3: Minor and technical amendments</w:t>
      </w:r>
    </w:p>
    <w:bookmarkEnd w:id="3"/>
    <w:p w14:paraId="39BA21B3" w14:textId="77777777" w:rsidR="00231478" w:rsidRDefault="00231478" w:rsidP="00231478">
      <w:pPr>
        <w:spacing w:before="240"/>
        <w:rPr>
          <w:color w:val="000000"/>
          <w:shd w:val="clear" w:color="auto" w:fill="FFFFFF"/>
        </w:rPr>
      </w:pPr>
      <w:r>
        <w:rPr>
          <w:color w:val="000000"/>
          <w:shd w:val="clear" w:color="auto" w:fill="FFFFFF"/>
        </w:rPr>
        <w:t xml:space="preserve">The following provisions provide that the Governor-General may make regulations prescribing matters required or permitted by the relevant Acts to be prescribed, </w:t>
      </w:r>
      <w:r w:rsidRPr="00E86EDC">
        <w:t>or necessary or convenient to be prescribed for carrying out or giving effect to th</w:t>
      </w:r>
      <w:r>
        <w:t>at</w:t>
      </w:r>
      <w:r w:rsidRPr="00E86EDC">
        <w:t xml:space="preserve"> Act</w:t>
      </w:r>
      <w:r>
        <w:rPr>
          <w:color w:val="000000"/>
          <w:shd w:val="clear" w:color="auto" w:fill="FFFFFF"/>
        </w:rPr>
        <w:t>:</w:t>
      </w:r>
    </w:p>
    <w:p w14:paraId="34AB99D6" w14:textId="77777777" w:rsidR="00231478" w:rsidRDefault="00231478" w:rsidP="00231478">
      <w:pPr>
        <w:pStyle w:val="Bullet"/>
      </w:pPr>
      <w:r>
        <w:t>s</w:t>
      </w:r>
      <w:r w:rsidRPr="00E86EDC">
        <w:t xml:space="preserve">ection 1364 of the </w:t>
      </w:r>
      <w:r w:rsidRPr="0541F366">
        <w:rPr>
          <w:i/>
          <w:iCs/>
        </w:rPr>
        <w:t>Corporations Act 2001</w:t>
      </w:r>
      <w:r>
        <w:t xml:space="preserve"> (the Corporations Act); and</w:t>
      </w:r>
    </w:p>
    <w:p w14:paraId="36396E00" w14:textId="77777777" w:rsidR="00231478" w:rsidRPr="00BE17E9" w:rsidRDefault="00231478" w:rsidP="00231478">
      <w:pPr>
        <w:pStyle w:val="Bullet"/>
        <w:rPr>
          <w:i/>
          <w:iCs/>
        </w:rPr>
      </w:pPr>
      <w:r>
        <w:t>s</w:t>
      </w:r>
      <w:r w:rsidRPr="00E86EDC">
        <w:t xml:space="preserve">ection </w:t>
      </w:r>
      <w:r>
        <w:t>60</w:t>
      </w:r>
      <w:r w:rsidRPr="00E86EDC">
        <w:t xml:space="preserve"> of the </w:t>
      </w:r>
      <w:r w:rsidRPr="00BE17E9">
        <w:rPr>
          <w:i/>
          <w:iCs/>
        </w:rPr>
        <w:t>Australian Prudential Regulation Authority Act 1998</w:t>
      </w:r>
      <w:r>
        <w:t xml:space="preserve"> (the APRA Act). </w:t>
      </w:r>
    </w:p>
    <w:p w14:paraId="543DC5DF" w14:textId="67D1580A" w:rsidR="00231478" w:rsidRPr="00E86EDC" w:rsidRDefault="00231478" w:rsidP="00231478">
      <w:pPr>
        <w:spacing w:before="240"/>
      </w:pPr>
      <w:r w:rsidRPr="00E86EDC">
        <w:t xml:space="preserve">The purpose of the </w:t>
      </w:r>
      <w:r w:rsidRPr="00E86EDC">
        <w:rPr>
          <w:i/>
          <w:iCs/>
        </w:rPr>
        <w:t>Treasury Laws Am</w:t>
      </w:r>
      <w:r>
        <w:rPr>
          <w:i/>
          <w:iCs/>
        </w:rPr>
        <w:t>endment (Measures for Consultation</w:t>
      </w:r>
      <w:r w:rsidRPr="00E86EDC">
        <w:rPr>
          <w:i/>
          <w:iCs/>
        </w:rPr>
        <w:t xml:space="preserve">) Regulations </w:t>
      </w:r>
      <w:r w:rsidRPr="009336FA">
        <w:rPr>
          <w:i/>
          <w:iCs/>
        </w:rPr>
        <w:t>2023</w:t>
      </w:r>
      <w:r>
        <w:rPr>
          <w:i/>
          <w:iCs/>
        </w:rPr>
        <w:t>: Minor and technical amendments</w:t>
      </w:r>
      <w:r w:rsidRPr="00E86EDC">
        <w:rPr>
          <w:i/>
          <w:color w:val="FF0000"/>
        </w:rPr>
        <w:t xml:space="preserve"> </w:t>
      </w:r>
      <w:r w:rsidRPr="00E86EDC">
        <w:t xml:space="preserve">(the Regulations) is to make </w:t>
      </w:r>
      <w:r w:rsidR="00324E6D">
        <w:t>minor</w:t>
      </w:r>
      <w:r w:rsidR="00324E6D" w:rsidRPr="00E86EDC">
        <w:t xml:space="preserve"> </w:t>
      </w:r>
      <w:r>
        <w:t xml:space="preserve">and </w:t>
      </w:r>
      <w:r w:rsidRPr="00E86EDC">
        <w:t>technical amendment</w:t>
      </w:r>
      <w:r>
        <w:t>s</w:t>
      </w:r>
      <w:r w:rsidRPr="00E86EDC">
        <w:t xml:space="preserve"> to </w:t>
      </w:r>
      <w:r>
        <w:t xml:space="preserve">the </w:t>
      </w:r>
      <w:r w:rsidRPr="001A397D">
        <w:rPr>
          <w:i/>
          <w:iCs/>
        </w:rPr>
        <w:t>Corporations Regulations</w:t>
      </w:r>
      <w:bookmarkStart w:id="4" w:name="_Hlk109897914"/>
      <w:r>
        <w:rPr>
          <w:i/>
          <w:iCs/>
        </w:rPr>
        <w:t xml:space="preserve"> 2001 </w:t>
      </w:r>
      <w:r w:rsidR="00412FAC">
        <w:t xml:space="preserve">(the Corporations Regulations) </w:t>
      </w:r>
      <w:r>
        <w:t xml:space="preserve">and the </w:t>
      </w:r>
      <w:r w:rsidRPr="009336FA">
        <w:rPr>
          <w:i/>
          <w:iCs/>
        </w:rPr>
        <w:t>Australian Prudential Regulation Authority Regulations 2018</w:t>
      </w:r>
      <w:r w:rsidR="00412FAC">
        <w:t xml:space="preserve"> (the APRA Regulations)</w:t>
      </w:r>
      <w:r>
        <w:rPr>
          <w:i/>
          <w:iCs/>
        </w:rPr>
        <w:t xml:space="preserve">. </w:t>
      </w:r>
      <w:r w:rsidRPr="00E86EDC">
        <w:t>The amendment</w:t>
      </w:r>
      <w:r>
        <w:t>s</w:t>
      </w:r>
      <w:r w:rsidRPr="00E86EDC">
        <w:t xml:space="preserve"> demonstrate the Government’s commitment to the care and maintenance of Treasury portfolio legislation.</w:t>
      </w:r>
    </w:p>
    <w:bookmarkEnd w:id="4"/>
    <w:p w14:paraId="60DCEDFA" w14:textId="0B60AFF3" w:rsidR="00231478" w:rsidRPr="00E86EDC" w:rsidRDefault="00FB0CAA" w:rsidP="00231478">
      <w:pPr>
        <w:spacing w:before="240"/>
      </w:pPr>
      <w:r>
        <w:t xml:space="preserve">Minor </w:t>
      </w:r>
      <w:r w:rsidR="00231478">
        <w:t xml:space="preserve">and technical amendments are periodically made to </w:t>
      </w:r>
      <w:bookmarkStart w:id="5" w:name="_Hlk109897901"/>
      <w:r w:rsidR="00231478">
        <w:t>Treasury portfolio legislation to correct errors and unintended outcomes, make technical changes, and improve the quality of Treasury portfolio legislation. The process was first supported by a recommendation of the 2008 Tax Design Review Panel, which considered ways to improve the quality of tax legislation. It has since been expanded to all Treasury legislation.</w:t>
      </w:r>
    </w:p>
    <w:bookmarkEnd w:id="5"/>
    <w:p w14:paraId="16A2743A" w14:textId="76F16FA6" w:rsidR="00231478" w:rsidRPr="00BE1016" w:rsidRDefault="00231478" w:rsidP="00231478">
      <w:pPr>
        <w:spacing w:before="240"/>
        <w:rPr>
          <w:i/>
          <w:iCs/>
          <w:u w:val="single"/>
        </w:rPr>
      </w:pPr>
      <w:r w:rsidRPr="00E86EDC">
        <w:t xml:space="preserve">The </w:t>
      </w:r>
      <w:r w:rsidRPr="003F1081">
        <w:t>Regulations</w:t>
      </w:r>
      <w:r w:rsidRPr="00E86EDC">
        <w:t xml:space="preserve"> amend</w:t>
      </w:r>
      <w:r>
        <w:t xml:space="preserve"> the </w:t>
      </w:r>
      <w:r w:rsidRPr="008D5479">
        <w:t>Corporations Regulations</w:t>
      </w:r>
      <w:r w:rsidRPr="001E49A2">
        <w:rPr>
          <w:i/>
          <w:iCs/>
        </w:rPr>
        <w:t xml:space="preserve"> </w:t>
      </w:r>
      <w:bookmarkStart w:id="6" w:name="_Hlk109898332"/>
      <w:r w:rsidR="009638CA">
        <w:t xml:space="preserve">and </w:t>
      </w:r>
      <w:r>
        <w:t xml:space="preserve">the </w:t>
      </w:r>
      <w:r w:rsidR="00FA661B">
        <w:t>APRA Regulations</w:t>
      </w:r>
      <w:r>
        <w:rPr>
          <w:i/>
          <w:iCs/>
        </w:rPr>
        <w:t xml:space="preserve"> </w:t>
      </w:r>
      <w:r w:rsidRPr="009336FA">
        <w:t xml:space="preserve">to remove </w:t>
      </w:r>
      <w:r>
        <w:t>redundant</w:t>
      </w:r>
      <w:r w:rsidRPr="009336FA">
        <w:t xml:space="preserve"> references</w:t>
      </w:r>
      <w:r w:rsidR="009638CA">
        <w:t xml:space="preserve"> and </w:t>
      </w:r>
      <w:r w:rsidR="00C81126">
        <w:t xml:space="preserve">where appropriate replace them with </w:t>
      </w:r>
      <w:r w:rsidR="00A76AB6">
        <w:t>updated references</w:t>
      </w:r>
      <w:r>
        <w:t xml:space="preserve">. </w:t>
      </w:r>
      <w:r w:rsidRPr="00E86EDC">
        <w:t>Th</w:t>
      </w:r>
      <w:r>
        <w:t>ese</w:t>
      </w:r>
      <w:r w:rsidRPr="00E86EDC">
        <w:t xml:space="preserve"> change</w:t>
      </w:r>
      <w:r>
        <w:t>s</w:t>
      </w:r>
      <w:r w:rsidRPr="00E86EDC">
        <w:t xml:space="preserve"> help maintain and improve the quality of Treasury portfolio legislation. </w:t>
      </w:r>
      <w:bookmarkEnd w:id="6"/>
      <w:r w:rsidRPr="00E86EDC">
        <w:t xml:space="preserve">Details of the Regulations are set out in </w:t>
      </w:r>
      <w:r w:rsidRPr="00E86EDC">
        <w:rPr>
          <w:u w:val="single"/>
        </w:rPr>
        <w:t>Attachment A</w:t>
      </w:r>
      <w:r w:rsidRPr="00BE1016">
        <w:rPr>
          <w:i/>
          <w:iCs/>
        </w:rPr>
        <w:t>.</w:t>
      </w:r>
    </w:p>
    <w:p w14:paraId="715197D4" w14:textId="5B767FE4" w:rsidR="00231478" w:rsidRPr="00E86EDC" w:rsidRDefault="00231478" w:rsidP="00231478">
      <w:pPr>
        <w:spacing w:before="240"/>
      </w:pPr>
      <w:r>
        <w:t>The</w:t>
      </w:r>
      <w:r w:rsidRPr="00E86EDC">
        <w:t xml:space="preserve"> </w:t>
      </w:r>
      <w:r w:rsidR="00FB3B14">
        <w:t xml:space="preserve">Corporations </w:t>
      </w:r>
      <w:r w:rsidRPr="00E86EDC">
        <w:t>Act</w:t>
      </w:r>
      <w:r w:rsidR="00FB3B14">
        <w:t xml:space="preserve"> and the APRA Act</w:t>
      </w:r>
      <w:r w:rsidRPr="00E86EDC">
        <w:t xml:space="preserve"> specif</w:t>
      </w:r>
      <w:r>
        <w:t>y</w:t>
      </w:r>
      <w:r w:rsidRPr="00E86EDC">
        <w:t xml:space="preserve"> no conditions that need to be met before the power to make the Regulations may be exercised. </w:t>
      </w:r>
    </w:p>
    <w:p w14:paraId="623A9A26" w14:textId="77777777" w:rsidR="00231478" w:rsidRDefault="00231478" w:rsidP="00231478">
      <w:pPr>
        <w:spacing w:before="240"/>
      </w:pPr>
      <w:r>
        <w:t xml:space="preserve">The Regulations are a legislative instrument for the purposes of the </w:t>
      </w:r>
      <w:r w:rsidRPr="4420E78E">
        <w:rPr>
          <w:i/>
          <w:iCs/>
        </w:rPr>
        <w:t>Legislation Act 2003</w:t>
      </w:r>
      <w:r>
        <w:t xml:space="preserve">. </w:t>
      </w:r>
    </w:p>
    <w:p w14:paraId="7D3880A3" w14:textId="77777777" w:rsidR="00231478" w:rsidRDefault="00231478" w:rsidP="00231478">
      <w:pPr>
        <w:keepNext/>
        <w:keepLines/>
        <w:spacing w:before="240"/>
      </w:pPr>
      <w:r>
        <w:lastRenderedPageBreak/>
        <w:t xml:space="preserve">The amendment to the </w:t>
      </w:r>
      <w:r w:rsidRPr="4420E78E">
        <w:rPr>
          <w:i/>
          <w:iCs/>
        </w:rPr>
        <w:t>Corporations Regulations 2001</w:t>
      </w:r>
      <w:r>
        <w:t xml:space="preserve"> is exempt from sunsetting under subitem 18(d) of the table in section 12 of the </w:t>
      </w:r>
      <w:r w:rsidRPr="4420E78E">
        <w:rPr>
          <w:i/>
          <w:iCs/>
        </w:rPr>
        <w:t>Legislation (Exemptions and Other Matters) Regulation 2015</w:t>
      </w:r>
      <w:r>
        <w:t xml:space="preserve">. The amendment to the </w:t>
      </w:r>
      <w:r w:rsidRPr="4420E78E">
        <w:rPr>
          <w:i/>
          <w:iCs/>
        </w:rPr>
        <w:t>Australian Prudential Regulation Authority Regulations 2018</w:t>
      </w:r>
      <w:r>
        <w:t xml:space="preserve"> is not exempt from sunsetting. </w:t>
      </w:r>
    </w:p>
    <w:p w14:paraId="7BABEF70" w14:textId="77777777" w:rsidR="00231478" w:rsidRDefault="00231478" w:rsidP="00231478">
      <w:pPr>
        <w:spacing w:before="240"/>
        <w:rPr>
          <w:b/>
          <w:bCs/>
          <w:u w:val="single"/>
        </w:rPr>
      </w:pPr>
      <w:r>
        <w:t xml:space="preserve">The Regulations will be automatically repealed under section 48A of the </w:t>
      </w:r>
      <w:r w:rsidRPr="4420E78E">
        <w:rPr>
          <w:i/>
          <w:iCs/>
        </w:rPr>
        <w:t>Legislation Act 2003</w:t>
      </w:r>
      <w:r>
        <w:t>. Schedule 1 to the Regulations commences on the day after the Regulations are registered.</w:t>
      </w:r>
    </w:p>
    <w:p w14:paraId="0E0D9034" w14:textId="77777777" w:rsidR="00231478" w:rsidRDefault="00231478" w:rsidP="00231478">
      <w:pPr>
        <w:pageBreakBefore/>
        <w:spacing w:before="240"/>
        <w:jc w:val="right"/>
        <w:rPr>
          <w:b/>
          <w:u w:val="single"/>
        </w:rPr>
      </w:pPr>
      <w:r w:rsidRPr="007B335E">
        <w:rPr>
          <w:b/>
          <w:u w:val="single"/>
        </w:rPr>
        <w:lastRenderedPageBreak/>
        <w:t xml:space="preserve">ATTACHMENT </w:t>
      </w:r>
      <w:r>
        <w:rPr>
          <w:b/>
          <w:u w:val="single"/>
        </w:rPr>
        <w:t>A</w:t>
      </w:r>
    </w:p>
    <w:p w14:paraId="3961DFC0" w14:textId="77777777" w:rsidR="00231478" w:rsidRPr="006C0711" w:rsidRDefault="00231478" w:rsidP="00231478">
      <w:pPr>
        <w:spacing w:before="240"/>
        <w:ind w:right="91"/>
        <w:rPr>
          <w:b/>
          <w:i/>
          <w:iCs/>
          <w:u w:val="single"/>
        </w:rPr>
      </w:pPr>
      <w:r w:rsidRPr="00E86EDC">
        <w:rPr>
          <w:b/>
          <w:bCs/>
          <w:u w:val="single"/>
        </w:rPr>
        <w:t xml:space="preserve">Details of the </w:t>
      </w:r>
      <w:bookmarkStart w:id="7" w:name="_Hlk128144220"/>
      <w:r w:rsidRPr="006C0711">
        <w:rPr>
          <w:b/>
          <w:i/>
          <w:iCs/>
          <w:u w:val="single"/>
        </w:rPr>
        <w:t>Treasury Laws Amendment (Measures for Consultation) Regulations 2023: Minor and technical amendments</w:t>
      </w:r>
      <w:bookmarkEnd w:id="7"/>
    </w:p>
    <w:p w14:paraId="7AD19FD0" w14:textId="77777777" w:rsidR="00231478" w:rsidRPr="00E86EDC" w:rsidRDefault="00231478" w:rsidP="00231478">
      <w:pPr>
        <w:spacing w:before="240"/>
        <w:ind w:right="91"/>
        <w:rPr>
          <w:rFonts w:ascii="Calibri" w:hAnsi="Calibri"/>
          <w:sz w:val="22"/>
          <w:szCs w:val="22"/>
          <w:u w:val="single"/>
          <w:lang w:eastAsia="en-US"/>
        </w:rPr>
      </w:pPr>
      <w:r w:rsidRPr="00E86EDC">
        <w:rPr>
          <w:u w:val="single"/>
        </w:rPr>
        <w:t>Section 1 – Name of the Regulations</w:t>
      </w:r>
    </w:p>
    <w:p w14:paraId="56ECF150" w14:textId="77777777" w:rsidR="00231478" w:rsidRDefault="00231478" w:rsidP="00231478">
      <w:pPr>
        <w:spacing w:before="240"/>
      </w:pPr>
      <w:r w:rsidRPr="00D55249">
        <w:t xml:space="preserve">This section provides that the name of the Regulations is the </w:t>
      </w:r>
      <w:r w:rsidRPr="006C0711">
        <w:rPr>
          <w:i/>
        </w:rPr>
        <w:t>Treasury Laws Amendment (Measures for Consultation) Regulations 2023: Minor and technical amendments</w:t>
      </w:r>
      <w:r w:rsidRPr="00D55249">
        <w:rPr>
          <w:i/>
        </w:rPr>
        <w:t xml:space="preserve"> </w:t>
      </w:r>
      <w:r w:rsidRPr="00D55249">
        <w:t>(the Regulations).</w:t>
      </w:r>
    </w:p>
    <w:p w14:paraId="5AF2628D" w14:textId="77777777" w:rsidR="00231478" w:rsidRPr="00E86EDC" w:rsidRDefault="00231478" w:rsidP="00231478">
      <w:pPr>
        <w:spacing w:before="240"/>
        <w:ind w:right="91"/>
        <w:rPr>
          <w:u w:val="single"/>
        </w:rPr>
      </w:pPr>
      <w:r w:rsidRPr="00E86EDC">
        <w:rPr>
          <w:u w:val="single"/>
        </w:rPr>
        <w:t>Section 2 – Commencement</w:t>
      </w:r>
    </w:p>
    <w:p w14:paraId="1FBBA8EC" w14:textId="77777777" w:rsidR="00231478" w:rsidRPr="00E86EDC" w:rsidRDefault="00231478" w:rsidP="00231478">
      <w:pPr>
        <w:spacing w:before="240"/>
        <w:ind w:right="91"/>
      </w:pPr>
      <w:r>
        <w:t>The Schedule</w:t>
      </w:r>
      <w:r w:rsidRPr="00D55249">
        <w:t xml:space="preserve"> to the Regulations commences on the day after the instrument is registered on the Federal Register of Legislation.</w:t>
      </w:r>
    </w:p>
    <w:p w14:paraId="7D4C1636" w14:textId="77777777" w:rsidR="00231478" w:rsidRPr="00E86EDC" w:rsidRDefault="00231478" w:rsidP="00231478">
      <w:pPr>
        <w:spacing w:before="240"/>
        <w:ind w:right="91"/>
        <w:rPr>
          <w:u w:val="single"/>
        </w:rPr>
      </w:pPr>
      <w:r w:rsidRPr="00E86EDC">
        <w:rPr>
          <w:u w:val="single"/>
        </w:rPr>
        <w:t>Section 3 – Authority</w:t>
      </w:r>
    </w:p>
    <w:p w14:paraId="6AFD0376" w14:textId="77777777" w:rsidR="00231478" w:rsidRDefault="00231478" w:rsidP="00231478">
      <w:pPr>
        <w:spacing w:before="240"/>
        <w:ind w:right="91"/>
      </w:pPr>
      <w:r w:rsidRPr="004E34F6">
        <w:t xml:space="preserve">The Regulations are made under the </w:t>
      </w:r>
      <w:r>
        <w:t>following Acts:</w:t>
      </w:r>
    </w:p>
    <w:p w14:paraId="077AAACD" w14:textId="1173F0BE" w:rsidR="00231478" w:rsidRDefault="00231478" w:rsidP="00231478">
      <w:pPr>
        <w:pStyle w:val="Bullet"/>
      </w:pPr>
      <w:r>
        <w:t xml:space="preserve">the </w:t>
      </w:r>
      <w:r w:rsidRPr="00CD173D">
        <w:rPr>
          <w:i/>
          <w:iCs/>
        </w:rPr>
        <w:t>Corporations Act 2001</w:t>
      </w:r>
      <w:r>
        <w:t xml:space="preserve">; and </w:t>
      </w:r>
    </w:p>
    <w:p w14:paraId="07F7215D" w14:textId="77777777" w:rsidR="00231478" w:rsidRPr="00E86EDC" w:rsidRDefault="00231478" w:rsidP="00231478">
      <w:pPr>
        <w:pStyle w:val="Bullet"/>
      </w:pPr>
      <w:r>
        <w:t xml:space="preserve">the </w:t>
      </w:r>
      <w:r w:rsidRPr="00CD173D">
        <w:rPr>
          <w:i/>
          <w:iCs/>
        </w:rPr>
        <w:t>Australian Prudential Regulation Authority Act 1998</w:t>
      </w:r>
      <w:r w:rsidRPr="004E34F6">
        <w:t>.</w:t>
      </w:r>
      <w:r w:rsidRPr="00E86EDC">
        <w:t xml:space="preserve"> </w:t>
      </w:r>
    </w:p>
    <w:p w14:paraId="2EC7AAAD" w14:textId="77777777" w:rsidR="00231478" w:rsidRPr="00E86EDC" w:rsidRDefault="00231478" w:rsidP="00231478">
      <w:pPr>
        <w:spacing w:before="240"/>
        <w:ind w:right="91"/>
        <w:rPr>
          <w:u w:val="single"/>
        </w:rPr>
      </w:pPr>
      <w:r w:rsidRPr="00E86EDC">
        <w:rPr>
          <w:u w:val="single"/>
        </w:rPr>
        <w:t>Section 4 – Schedule</w:t>
      </w:r>
    </w:p>
    <w:p w14:paraId="3CEB8A09" w14:textId="77777777" w:rsidR="00231478" w:rsidRPr="00E86EDC" w:rsidRDefault="00231478" w:rsidP="00231478">
      <w:pPr>
        <w:spacing w:before="240" w:after="200"/>
        <w:ind w:right="91"/>
        <w:rPr>
          <w:u w:val="single"/>
        </w:rPr>
      </w:pPr>
      <w:r w:rsidRPr="00D55249">
        <w:t>This section provides that each instrument that is specified in the Schedule to this instrument will be amended or repealed as set out in the applicable items in the Schedule, and any other item in the Schedule to this instrument has effect according to its terms.</w:t>
      </w:r>
    </w:p>
    <w:p w14:paraId="331B5748" w14:textId="77777777" w:rsidR="00231478" w:rsidRPr="005A60C6" w:rsidRDefault="00231478" w:rsidP="002C40C8">
      <w:pPr>
        <w:spacing w:before="240"/>
        <w:ind w:right="91"/>
        <w:rPr>
          <w:u w:val="single"/>
        </w:rPr>
      </w:pPr>
      <w:r w:rsidRPr="00A51083">
        <w:rPr>
          <w:u w:val="single"/>
        </w:rPr>
        <w:t xml:space="preserve">Schedule – Amendments </w:t>
      </w:r>
    </w:p>
    <w:p w14:paraId="3AF04118" w14:textId="77777777" w:rsidR="00231478" w:rsidRPr="00CD173D" w:rsidRDefault="00231478" w:rsidP="00231478">
      <w:pPr>
        <w:spacing w:after="0"/>
        <w:ind w:right="91"/>
        <w:rPr>
          <w:b/>
          <w:bCs/>
          <w:u w:val="single"/>
        </w:rPr>
      </w:pPr>
      <w:r w:rsidRPr="00CD173D">
        <w:rPr>
          <w:b/>
          <w:bCs/>
          <w:u w:val="single"/>
        </w:rPr>
        <w:t xml:space="preserve">Part 1 – </w:t>
      </w:r>
      <w:r w:rsidRPr="006853B9">
        <w:rPr>
          <w:b/>
          <w:bCs/>
          <w:color w:val="000000"/>
          <w:u w:val="single"/>
          <w:shd w:val="clear" w:color="auto" w:fill="FFFFFF"/>
        </w:rPr>
        <w:t>Amendments to </w:t>
      </w:r>
      <w:bookmarkStart w:id="8" w:name="_Hlk87881699"/>
      <w:r w:rsidRPr="006853B9">
        <w:rPr>
          <w:b/>
          <w:bCs/>
          <w:color w:val="000000"/>
          <w:u w:val="single"/>
        </w:rPr>
        <w:t>the </w:t>
      </w:r>
      <w:bookmarkEnd w:id="8"/>
      <w:r w:rsidRPr="006853B9">
        <w:rPr>
          <w:b/>
          <w:bCs/>
          <w:i/>
          <w:iCs/>
          <w:color w:val="000000"/>
          <w:u w:val="single"/>
        </w:rPr>
        <w:t>Corporations Regulations 2001</w:t>
      </w:r>
    </w:p>
    <w:p w14:paraId="2DFE0AB0" w14:textId="77777777" w:rsidR="00231478" w:rsidRPr="00E86EDC" w:rsidRDefault="00231478" w:rsidP="00231478">
      <w:pPr>
        <w:pStyle w:val="NormalWeb"/>
        <w:rPr>
          <w:b/>
          <w:bCs/>
        </w:rPr>
      </w:pPr>
      <w:r w:rsidRPr="00CD173D">
        <w:rPr>
          <w:b/>
          <w:bCs/>
        </w:rPr>
        <w:t xml:space="preserve">Item 1 – Notice of Appointment </w:t>
      </w:r>
      <w:r>
        <w:rPr>
          <w:b/>
          <w:bCs/>
        </w:rPr>
        <w:t>o</w:t>
      </w:r>
      <w:r w:rsidRPr="00CD173D">
        <w:rPr>
          <w:b/>
          <w:bCs/>
        </w:rPr>
        <w:t xml:space="preserve">f Auditor </w:t>
      </w:r>
    </w:p>
    <w:p w14:paraId="05ECDB08" w14:textId="499769FA" w:rsidR="00231478" w:rsidRDefault="00231478" w:rsidP="00231478">
      <w:pPr>
        <w:pStyle w:val="NormalWeb"/>
      </w:pPr>
      <w:r>
        <w:t xml:space="preserve">Regulation 2M.4.01 of the </w:t>
      </w:r>
      <w:r w:rsidRPr="008D5479">
        <w:t>Corporations Regulations</w:t>
      </w:r>
      <w:r w:rsidRPr="0541F366">
        <w:rPr>
          <w:i/>
          <w:iCs/>
        </w:rPr>
        <w:t xml:space="preserve"> </w:t>
      </w:r>
      <w:r>
        <w:t xml:space="preserve">provides that a responsible entity of a registered scheme must notify the Australian Securities and Investments Commission within 14 days if the entity appoints an auditor of the scheme under section 331AB of the </w:t>
      </w:r>
      <w:r w:rsidRPr="008D5479">
        <w:t>Corporations Act</w:t>
      </w:r>
      <w:r>
        <w:t xml:space="preserve">. </w:t>
      </w:r>
    </w:p>
    <w:p w14:paraId="6A9B7441" w14:textId="50C97835" w:rsidR="00231478" w:rsidRDefault="00231478" w:rsidP="00231478">
      <w:pPr>
        <w:pStyle w:val="NormalWeb"/>
      </w:pPr>
      <w:r>
        <w:t xml:space="preserve">Section 331AB had originally required that an auditor be appointed after a scheme is first registered, or where the office of an auditor becomes vacant and there is no continuing auditor. However, section 331AB of the </w:t>
      </w:r>
      <w:r w:rsidRPr="008D5479">
        <w:t>Corporations Act</w:t>
      </w:r>
      <w:r>
        <w:t xml:space="preserve"> was repealed and replaced with sections 331AAA and 331AAB on 1 July 2004 by the </w:t>
      </w:r>
      <w:r w:rsidRPr="0541F366">
        <w:rPr>
          <w:i/>
          <w:iCs/>
        </w:rPr>
        <w:t>Corporate Law Economic Reform Program (Audit Reform and Corporate Disclosure) Act 2004</w:t>
      </w:r>
      <w:r>
        <w:t xml:space="preserve">. These sections include similar requirements around the appointment of an auditor to a registered scheme. </w:t>
      </w:r>
    </w:p>
    <w:p w14:paraId="68C7E436" w14:textId="247636CC" w:rsidR="00231478" w:rsidRDefault="00231478" w:rsidP="00231478">
      <w:pPr>
        <w:pStyle w:val="NormalWeb"/>
      </w:pPr>
      <w:r>
        <w:lastRenderedPageBreak/>
        <w:t xml:space="preserve">As such, item 1 updates regulation 2M.4.01 of the </w:t>
      </w:r>
      <w:r w:rsidRPr="008D5479">
        <w:t>Corporations Regulations</w:t>
      </w:r>
      <w:r w:rsidRPr="00301899">
        <w:rPr>
          <w:i/>
          <w:iCs/>
        </w:rPr>
        <w:t xml:space="preserve"> </w:t>
      </w:r>
      <w:r>
        <w:t xml:space="preserve">to refer to sections 331AAA and 331AAB of the </w:t>
      </w:r>
      <w:r w:rsidRPr="008D5479">
        <w:t>Corporations Act</w:t>
      </w:r>
      <w:r>
        <w:t xml:space="preserve">, instead of the repealed section 331AB. </w:t>
      </w:r>
    </w:p>
    <w:p w14:paraId="578ADC75" w14:textId="77777777" w:rsidR="00231478" w:rsidRPr="00E86EDC" w:rsidRDefault="00231478" w:rsidP="00231478">
      <w:pPr>
        <w:spacing w:after="0"/>
        <w:ind w:right="91"/>
        <w:rPr>
          <w:b/>
          <w:bCs/>
        </w:rPr>
      </w:pPr>
      <w:r w:rsidRPr="00594476">
        <w:rPr>
          <w:b/>
          <w:bCs/>
          <w:u w:val="single"/>
        </w:rPr>
        <w:t xml:space="preserve">Part </w:t>
      </w:r>
      <w:r>
        <w:rPr>
          <w:b/>
          <w:bCs/>
          <w:u w:val="single"/>
        </w:rPr>
        <w:t>2</w:t>
      </w:r>
      <w:r w:rsidRPr="00594476">
        <w:rPr>
          <w:b/>
          <w:bCs/>
          <w:u w:val="single"/>
        </w:rPr>
        <w:t xml:space="preserve"> – </w:t>
      </w:r>
      <w:r>
        <w:rPr>
          <w:b/>
          <w:bCs/>
          <w:color w:val="000000"/>
          <w:u w:val="single"/>
          <w:shd w:val="clear" w:color="auto" w:fill="FFFFFF"/>
        </w:rPr>
        <w:t>Amendments to </w:t>
      </w:r>
      <w:r>
        <w:rPr>
          <w:b/>
          <w:bCs/>
          <w:color w:val="000000"/>
          <w:u w:val="single"/>
        </w:rPr>
        <w:t>the </w:t>
      </w:r>
      <w:r w:rsidRPr="00CF07EF">
        <w:rPr>
          <w:b/>
          <w:bCs/>
          <w:i/>
          <w:iCs/>
          <w:color w:val="000000"/>
          <w:u w:val="single"/>
        </w:rPr>
        <w:t>Australian Prudential Regulation Authority Regulations 2018</w:t>
      </w:r>
    </w:p>
    <w:bookmarkEnd w:id="0"/>
    <w:p w14:paraId="0538637A" w14:textId="77777777" w:rsidR="00231478" w:rsidRPr="00CD173D" w:rsidRDefault="00231478" w:rsidP="00231478">
      <w:pPr>
        <w:pStyle w:val="NormalWeb"/>
        <w:keepNext/>
        <w:rPr>
          <w:b/>
          <w:bCs/>
        </w:rPr>
      </w:pPr>
      <w:r w:rsidRPr="00CD173D">
        <w:rPr>
          <w:b/>
          <w:bCs/>
        </w:rPr>
        <w:t xml:space="preserve">Item 2 – Removing reference to the Superannuation Complaints Tribunal </w:t>
      </w:r>
    </w:p>
    <w:p w14:paraId="5F4CF32B" w14:textId="0BAFB8D5" w:rsidR="00231478" w:rsidRPr="00CF01AE" w:rsidRDefault="00AA2A0F" w:rsidP="00231478">
      <w:pPr>
        <w:pStyle w:val="NormalWeb"/>
        <w:rPr>
          <w:b/>
          <w:bCs/>
          <w:i/>
          <w:iCs/>
        </w:rPr>
      </w:pPr>
      <w:r>
        <w:t>Paragraph</w:t>
      </w:r>
      <w:r w:rsidR="00231478">
        <w:t xml:space="preserve"> 9(u) of the APRA </w:t>
      </w:r>
      <w:r w:rsidR="00D77F2B">
        <w:t>R</w:t>
      </w:r>
      <w:r w:rsidR="00231478">
        <w:t>egulations refer</w:t>
      </w:r>
      <w:r w:rsidR="002D54F4">
        <w:t>s</w:t>
      </w:r>
      <w:r w:rsidR="00231478">
        <w:t xml:space="preserve"> to the “Superannuation Complaints Tribunal”. However, the Superannuation Complaints Tribunal has been largely replaced since the introduction of the Australian Financial Complaints Authority in 2018. Item 2 repeals the paragraph, as the reference is redundant and should be removed.</w:t>
      </w:r>
    </w:p>
    <w:p w14:paraId="5E5787A5" w14:textId="77777777" w:rsidR="00E73EE1" w:rsidRDefault="00E73EE1"/>
    <w:sectPr w:rsidR="00E73EE1" w:rsidSect="00392BBA">
      <w:headerReference w:type="default" r:id="rId12"/>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6067" w14:textId="77777777" w:rsidR="008C784E" w:rsidRDefault="008C784E">
      <w:pPr>
        <w:spacing w:before="0" w:after="0"/>
      </w:pPr>
      <w:r>
        <w:separator/>
      </w:r>
    </w:p>
  </w:endnote>
  <w:endnote w:type="continuationSeparator" w:id="0">
    <w:p w14:paraId="76D81A21" w14:textId="77777777" w:rsidR="008C784E" w:rsidRDefault="008C784E">
      <w:pPr>
        <w:spacing w:before="0" w:after="0"/>
      </w:pPr>
      <w:r>
        <w:continuationSeparator/>
      </w:r>
    </w:p>
  </w:endnote>
  <w:endnote w:type="continuationNotice" w:id="1">
    <w:p w14:paraId="58D9DAC6" w14:textId="77777777" w:rsidR="008C784E" w:rsidRDefault="008C78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737B6CC1" w14:textId="77777777" w:rsidR="00954679" w:rsidRDefault="00231478"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38F0" w14:textId="77777777" w:rsidR="008C784E" w:rsidRDefault="008C784E">
      <w:pPr>
        <w:spacing w:before="0" w:after="0"/>
      </w:pPr>
      <w:r>
        <w:separator/>
      </w:r>
    </w:p>
  </w:footnote>
  <w:footnote w:type="continuationSeparator" w:id="0">
    <w:p w14:paraId="272310ED" w14:textId="77777777" w:rsidR="008C784E" w:rsidRDefault="008C784E">
      <w:pPr>
        <w:spacing w:before="0" w:after="0"/>
      </w:pPr>
      <w:r>
        <w:continuationSeparator/>
      </w:r>
    </w:p>
  </w:footnote>
  <w:footnote w:type="continuationNotice" w:id="1">
    <w:p w14:paraId="33504B3F" w14:textId="77777777" w:rsidR="008C784E" w:rsidRDefault="008C78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3A137824" w14:paraId="647AD016" w14:textId="77777777" w:rsidTr="00CD173D">
      <w:trPr>
        <w:trHeight w:val="300"/>
      </w:trPr>
      <w:tc>
        <w:tcPr>
          <w:tcW w:w="2765" w:type="dxa"/>
        </w:tcPr>
        <w:p w14:paraId="2619AD23" w14:textId="77777777" w:rsidR="3A137824" w:rsidRDefault="00000000" w:rsidP="00CD173D">
          <w:pPr>
            <w:pStyle w:val="Header"/>
            <w:ind w:left="-115"/>
          </w:pPr>
        </w:p>
      </w:tc>
      <w:tc>
        <w:tcPr>
          <w:tcW w:w="2765" w:type="dxa"/>
        </w:tcPr>
        <w:p w14:paraId="4213DC80" w14:textId="77777777" w:rsidR="3A137824" w:rsidRDefault="00000000" w:rsidP="00CD173D">
          <w:pPr>
            <w:pStyle w:val="Header"/>
            <w:jc w:val="center"/>
          </w:pPr>
        </w:p>
      </w:tc>
      <w:tc>
        <w:tcPr>
          <w:tcW w:w="2765" w:type="dxa"/>
        </w:tcPr>
        <w:p w14:paraId="0EFEEA9A" w14:textId="77777777" w:rsidR="3A137824" w:rsidRDefault="00000000" w:rsidP="00CD173D">
          <w:pPr>
            <w:pStyle w:val="Header"/>
            <w:ind w:right="-115"/>
            <w:jc w:val="right"/>
          </w:pPr>
        </w:p>
      </w:tc>
    </w:tr>
  </w:tbl>
  <w:p w14:paraId="568DDA65" w14:textId="016ABD89" w:rsidR="3A137824" w:rsidRPr="00253ECD" w:rsidRDefault="00E37659" w:rsidP="007640EE">
    <w:pPr>
      <w:pStyle w:val="Header"/>
      <w:jc w:val="center"/>
      <w:rPr>
        <w:b/>
        <w:bCs/>
      </w:rPr>
    </w:pPr>
    <w:r w:rsidRPr="00253ECD">
      <w:rPr>
        <w:b/>
        <w:bCs/>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43C0B"/>
    <w:multiLevelType w:val="multilevel"/>
    <w:tmpl w:val="F6EC5CE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0641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2DBED0"/>
    <w:rsid w:val="00085702"/>
    <w:rsid w:val="001A0005"/>
    <w:rsid w:val="001E06D4"/>
    <w:rsid w:val="00231478"/>
    <w:rsid w:val="00253ECD"/>
    <w:rsid w:val="002C40C8"/>
    <w:rsid w:val="002D54F4"/>
    <w:rsid w:val="00324E6D"/>
    <w:rsid w:val="003B46CD"/>
    <w:rsid w:val="003D1C99"/>
    <w:rsid w:val="00412FAC"/>
    <w:rsid w:val="004304EC"/>
    <w:rsid w:val="004A7D03"/>
    <w:rsid w:val="004D4442"/>
    <w:rsid w:val="005F66B9"/>
    <w:rsid w:val="00677854"/>
    <w:rsid w:val="00696372"/>
    <w:rsid w:val="0076176E"/>
    <w:rsid w:val="007640EE"/>
    <w:rsid w:val="00805649"/>
    <w:rsid w:val="008C784E"/>
    <w:rsid w:val="008D5479"/>
    <w:rsid w:val="009638CA"/>
    <w:rsid w:val="00A02A77"/>
    <w:rsid w:val="00A24E17"/>
    <w:rsid w:val="00A27876"/>
    <w:rsid w:val="00A76AB6"/>
    <w:rsid w:val="00AA2A0F"/>
    <w:rsid w:val="00C46C37"/>
    <w:rsid w:val="00C81126"/>
    <w:rsid w:val="00D77F2B"/>
    <w:rsid w:val="00DB6275"/>
    <w:rsid w:val="00E374E0"/>
    <w:rsid w:val="00E37659"/>
    <w:rsid w:val="00E73EE1"/>
    <w:rsid w:val="00F1567A"/>
    <w:rsid w:val="00F40366"/>
    <w:rsid w:val="00F96901"/>
    <w:rsid w:val="00FA661B"/>
    <w:rsid w:val="00FB0CAA"/>
    <w:rsid w:val="00FB3B14"/>
    <w:rsid w:val="00FE1ABC"/>
    <w:rsid w:val="742DB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B1189"/>
  <w15:chartTrackingRefBased/>
  <w15:docId w15:val="{FE49415B-AF47-49E1-ADF7-7354959B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78"/>
    <w:pPr>
      <w:spacing w:before="120" w:after="120" w:line="240" w:lineRule="auto"/>
    </w:pPr>
    <w:rPr>
      <w:rFonts w:ascii="Times New Roman" w:eastAsia="Times New Roman" w:hAnsi="Times New Roman" w:cs="Times New Roman"/>
      <w:sz w:val="24"/>
      <w:szCs w:val="20"/>
      <w:lang w:val="en-AU" w:eastAsia="en-AU"/>
    </w:rPr>
  </w:style>
  <w:style w:type="paragraph" w:styleId="Heading1">
    <w:name w:val="heading 1"/>
    <w:basedOn w:val="Normal"/>
    <w:next w:val="Normal"/>
    <w:link w:val="Heading1Char"/>
    <w:qFormat/>
    <w:rsid w:val="00231478"/>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231478"/>
    <w:pPr>
      <w:keepNext/>
      <w:spacing w:before="240" w:after="60"/>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1478"/>
    <w:rPr>
      <w:rFonts w:ascii="Arial Bold" w:eastAsia="Times New Roman" w:hAnsi="Arial Bold" w:cs="Times New Roman"/>
      <w:b/>
      <w:kern w:val="28"/>
      <w:sz w:val="28"/>
      <w:szCs w:val="20"/>
      <w:u w:val="single"/>
      <w:lang w:val="en-AU" w:eastAsia="en-AU"/>
    </w:rPr>
  </w:style>
  <w:style w:type="character" w:customStyle="1" w:styleId="Heading2Char">
    <w:name w:val="Heading 2 Char"/>
    <w:basedOn w:val="DefaultParagraphFont"/>
    <w:link w:val="Heading2"/>
    <w:rsid w:val="00231478"/>
    <w:rPr>
      <w:rFonts w:ascii="Times New Roman" w:eastAsia="Times New Roman" w:hAnsi="Times New Roman" w:cs="Times New Roman"/>
      <w:b/>
      <w:sz w:val="28"/>
      <w:szCs w:val="20"/>
      <w:u w:val="single"/>
      <w:lang w:val="en-AU" w:eastAsia="en-AU"/>
    </w:rPr>
  </w:style>
  <w:style w:type="paragraph" w:customStyle="1" w:styleId="Default">
    <w:name w:val="Default"/>
    <w:link w:val="DefaultChar"/>
    <w:rsid w:val="00231478"/>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paragraph" w:customStyle="1" w:styleId="Bullet">
    <w:name w:val="Bullet"/>
    <w:basedOn w:val="Normal"/>
    <w:link w:val="BulletChar"/>
    <w:rsid w:val="00231478"/>
    <w:pPr>
      <w:numPr>
        <w:numId w:val="1"/>
      </w:numPr>
      <w:spacing w:before="240"/>
    </w:pPr>
    <w:rPr>
      <w:color w:val="000000"/>
      <w:szCs w:val="23"/>
    </w:rPr>
  </w:style>
  <w:style w:type="character" w:customStyle="1" w:styleId="DefaultChar">
    <w:name w:val="Default Char"/>
    <w:basedOn w:val="DefaultParagraphFont"/>
    <w:link w:val="Default"/>
    <w:rsid w:val="00231478"/>
    <w:rPr>
      <w:rFonts w:ascii="Times New Roman" w:eastAsia="Times New Roman" w:hAnsi="Times New Roman" w:cs="Times New Roman"/>
      <w:color w:val="000000"/>
      <w:sz w:val="24"/>
      <w:szCs w:val="24"/>
      <w:lang w:val="en-AU" w:eastAsia="en-AU"/>
    </w:rPr>
  </w:style>
  <w:style w:type="character" w:customStyle="1" w:styleId="BulletChar">
    <w:name w:val="Bullet Char"/>
    <w:basedOn w:val="DefaultChar"/>
    <w:link w:val="Bullet"/>
    <w:rsid w:val="00231478"/>
    <w:rPr>
      <w:rFonts w:ascii="Times New Roman" w:eastAsia="Times New Roman" w:hAnsi="Times New Roman" w:cs="Times New Roman"/>
      <w:color w:val="000000"/>
      <w:sz w:val="24"/>
      <w:szCs w:val="23"/>
      <w:lang w:val="en-AU" w:eastAsia="en-AU"/>
    </w:rPr>
  </w:style>
  <w:style w:type="paragraph" w:customStyle="1" w:styleId="Dash">
    <w:name w:val="Dash"/>
    <w:basedOn w:val="Normal"/>
    <w:rsid w:val="00231478"/>
    <w:pPr>
      <w:numPr>
        <w:ilvl w:val="1"/>
        <w:numId w:val="1"/>
      </w:numPr>
      <w:spacing w:before="240"/>
    </w:pPr>
    <w:rPr>
      <w:szCs w:val="23"/>
    </w:rPr>
  </w:style>
  <w:style w:type="paragraph" w:customStyle="1" w:styleId="DoubleDot">
    <w:name w:val="Double Dot"/>
    <w:basedOn w:val="Normal"/>
    <w:rsid w:val="00231478"/>
    <w:pPr>
      <w:numPr>
        <w:ilvl w:val="2"/>
        <w:numId w:val="1"/>
      </w:numPr>
      <w:spacing w:before="240"/>
    </w:pPr>
    <w:rPr>
      <w:szCs w:val="23"/>
    </w:rPr>
  </w:style>
  <w:style w:type="paragraph" w:styleId="Header">
    <w:name w:val="header"/>
    <w:basedOn w:val="Normal"/>
    <w:link w:val="HeaderChar"/>
    <w:uiPriority w:val="99"/>
    <w:unhideWhenUsed/>
    <w:rsid w:val="00231478"/>
    <w:pPr>
      <w:tabs>
        <w:tab w:val="center" w:pos="4513"/>
        <w:tab w:val="right" w:pos="9026"/>
      </w:tabs>
      <w:spacing w:before="0" w:after="0"/>
    </w:pPr>
  </w:style>
  <w:style w:type="character" w:customStyle="1" w:styleId="HeaderChar">
    <w:name w:val="Header Char"/>
    <w:basedOn w:val="DefaultParagraphFont"/>
    <w:link w:val="Header"/>
    <w:uiPriority w:val="99"/>
    <w:rsid w:val="00231478"/>
    <w:rPr>
      <w:rFonts w:ascii="Times New Roman" w:eastAsia="Times New Roman" w:hAnsi="Times New Roman" w:cs="Times New Roman"/>
      <w:sz w:val="24"/>
      <w:szCs w:val="20"/>
      <w:lang w:val="en-AU" w:eastAsia="en-AU"/>
    </w:rPr>
  </w:style>
  <w:style w:type="paragraph" w:styleId="Footer">
    <w:name w:val="footer"/>
    <w:basedOn w:val="Normal"/>
    <w:link w:val="FooterChar"/>
    <w:uiPriority w:val="99"/>
    <w:unhideWhenUsed/>
    <w:rsid w:val="00231478"/>
    <w:pPr>
      <w:tabs>
        <w:tab w:val="center" w:pos="4513"/>
        <w:tab w:val="right" w:pos="9026"/>
      </w:tabs>
      <w:spacing w:before="0" w:after="0"/>
    </w:pPr>
  </w:style>
  <w:style w:type="character" w:customStyle="1" w:styleId="FooterChar">
    <w:name w:val="Footer Char"/>
    <w:basedOn w:val="DefaultParagraphFont"/>
    <w:link w:val="Footer"/>
    <w:uiPriority w:val="99"/>
    <w:rsid w:val="00231478"/>
    <w:rPr>
      <w:rFonts w:ascii="Times New Roman" w:eastAsia="Times New Roman" w:hAnsi="Times New Roman" w:cs="Times New Roman"/>
      <w:sz w:val="24"/>
      <w:szCs w:val="20"/>
      <w:lang w:val="en-AU" w:eastAsia="en-AU"/>
    </w:rPr>
  </w:style>
  <w:style w:type="paragraph" w:styleId="NormalWeb">
    <w:name w:val="Normal (Web)"/>
    <w:basedOn w:val="Normal"/>
    <w:uiPriority w:val="99"/>
    <w:unhideWhenUsed/>
    <w:rsid w:val="00231478"/>
    <w:pPr>
      <w:spacing w:before="100" w:beforeAutospacing="1" w:after="100" w:afterAutospacing="1"/>
    </w:pPr>
    <w:rPr>
      <w:szCs w:val="24"/>
    </w:rPr>
  </w:style>
  <w:style w:type="paragraph" w:styleId="Revision">
    <w:name w:val="Revision"/>
    <w:hidden/>
    <w:uiPriority w:val="99"/>
    <w:semiHidden/>
    <w:rsid w:val="00A02A77"/>
    <w:pPr>
      <w:spacing w:after="0" w:line="240" w:lineRule="auto"/>
    </w:pPr>
    <w:rPr>
      <w:rFonts w:ascii="Times New Roman" w:eastAsia="Times New Roman" w:hAnsi="Times New Roman" w:cs="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DD3AF4E8A04A2F8F0BC597E71B282D"/>
        <w:category>
          <w:name w:val="General"/>
          <w:gallery w:val="placeholder"/>
        </w:category>
        <w:types>
          <w:type w:val="bbPlcHdr"/>
        </w:types>
        <w:behaviors>
          <w:behavior w:val="content"/>
        </w:behaviors>
        <w:guid w:val="{D45F2315-D75F-4F25-A038-D1C940A6EAE0}"/>
      </w:docPartPr>
      <w:docPartBody>
        <w:p w:rsidR="00517B20" w:rsidRDefault="002B53B5" w:rsidP="002B53B5">
          <w:pPr>
            <w:pStyle w:val="7FDD3AF4E8A04A2F8F0BC597E71B282D"/>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B5"/>
    <w:rsid w:val="002B53B5"/>
    <w:rsid w:val="00517B20"/>
    <w:rsid w:val="00580AB8"/>
    <w:rsid w:val="00AA0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3B5"/>
    <w:rPr>
      <w:color w:val="808080"/>
    </w:rPr>
  </w:style>
  <w:style w:type="paragraph" w:customStyle="1" w:styleId="7FDD3AF4E8A04A2F8F0BC597E71B282D">
    <w:name w:val="7FDD3AF4E8A04A2F8F0BC597E71B282D"/>
    <w:rsid w:val="002B5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DocumentSetDescription xmlns="http://schemas.microsoft.com/sharepoint/v3" xsi:nil="true"/>
    <_dlc_DocId xmlns="fe39d773-a83d-4623-ae74-f25711a76616">5D7SUYYWNZQE-534668864-242</_dlc_DocId>
    <TaxCatchAll xmlns="ff38c824-6e29-4496-8487-69f397e7ed29">
      <Value>73</Value>
      <Value>66</Value>
      <Value>102</Value>
      <Value>101</Value>
      <Value>95</Value>
      <Value>93</Value>
      <Value>90</Value>
      <Value>28</Value>
      <Value>83</Value>
      <Value>80</Value>
      <Value>153</Value>
      <Value>3</Value>
      <Value>1</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697142a4-30e6-4927-b08c-6642f61f6a7d</TermId>
        </TermInfo>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Info xmlns="http://schemas.microsoft.com/office/infopath/2007/PartnerControls">
          <TermName xmlns="http://schemas.microsoft.com/office/infopath/2007/PartnerControls">Personal Tax</TermName>
          <TermId xmlns="http://schemas.microsoft.com/office/infopath/2007/PartnerControls">4ccbe142-44ee-4a73-b192-b57e486e389f</TermId>
        </TermInfo>
        <TermInfo xmlns="http://schemas.microsoft.com/office/infopath/2007/PartnerControls">
          <TermName xmlns="http://schemas.microsoft.com/office/infopath/2007/PartnerControls">Banking</TermName>
          <TermId xmlns="http://schemas.microsoft.com/office/infopath/2007/PartnerControls">a80f1bf8-7f20-4745-be5a-677803385232</TermId>
        </TermInfo>
        <TermInfo xmlns="http://schemas.microsoft.com/office/infopath/2007/PartnerControls">
          <TermName xmlns="http://schemas.microsoft.com/office/infopath/2007/PartnerControls">Insurance</TermName>
          <TermId xmlns="http://schemas.microsoft.com/office/infopath/2007/PartnerControls">b90cd62f-b048-4409-b585-751d11d9d856</TermId>
        </TermInfo>
        <TermInfo xmlns="http://schemas.microsoft.com/office/infopath/2007/PartnerControls">
          <TermName xmlns="http://schemas.microsoft.com/office/infopath/2007/PartnerControls">Other indirect taxes and levies</TermName>
          <TermId xmlns="http://schemas.microsoft.com/office/infopath/2007/PartnerControls">10ba3b99-4f4a-4727-8a42-546722046c72</TermId>
        </TermInfo>
        <TermInfo xmlns="http://schemas.microsoft.com/office/infopath/2007/PartnerControls">
          <TermName xmlns="http://schemas.microsoft.com/office/infopath/2007/PartnerControls">GST</TermName>
          <TermId xmlns="http://schemas.microsoft.com/office/infopath/2007/PartnerControls">49ddb4e0-48f4-4fc2-ad2f-e5e42f4a7f3a</TermId>
        </TermInfo>
        <TermInfo xmlns="http://schemas.microsoft.com/office/infopath/2007/PartnerControls">
          <TermName xmlns="http://schemas.microsoft.com/office/infopath/2007/PartnerControls">Consumer</TermName>
          <TermId xmlns="http://schemas.microsoft.com/office/infopath/2007/PartnerControls">061f16b5-21de-40bb-a136-07b896bfb829</TermId>
        </TermInfo>
      </Terms>
    </gfba5f33532c49208d2320ce38cc3c2b>
    <PT_x002f_Measure_x0020_No. xmlns="ff38c824-6e29-4496-8487-69f397e7ed29">To be confirmed</PT_x002f_Measure_x0020_No.>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_dlc_DocIdUrl xmlns="fe39d773-a83d-4623-ae74-f25711a76616">
      <Url>https://austreasury.sharepoint.com/sites/leg-meas-function/_layouts/15/DocIdRedir.aspx?ID=5D7SUYYWNZQE-534668864-242</Url>
      <Description>5D7SUYYWNZQE-534668864-242</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Measureorigin xmlns="a289cb20-8bb9-401f-8d7b-706fb1a2988d" xsi:nil="true"/>
    <Keydoc xmlns="a289cb20-8bb9-401f-8d7b-706fb1a2988d" xsi:nil="true"/>
    <Act_x0028_s_x0029_beingamended xmlns="a289cb20-8bb9-401f-8d7b-706fb1a2988d" xsi:nil="true"/>
    <Projectname xmlns="a289cb20-8bb9-401f-8d7b-706fb1a298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10DD124D63B648A29B58B4B94F8BAB" ma:contentTypeVersion="23" ma:contentTypeDescription="Create a new document." ma:contentTypeScope="" ma:versionID="b8be9e717bbeca998385aac56e499800">
  <xsd:schema xmlns:xsd="http://www.w3.org/2001/XMLSchema" xmlns:xs="http://www.w3.org/2001/XMLSchema" xmlns:p="http://schemas.microsoft.com/office/2006/metadata/properties" xmlns:ns1="http://schemas.microsoft.com/sharepoint/v3" xmlns:ns2="fe39d773-a83d-4623-ae74-f25711a76616" xmlns:ns3="ff38c824-6e29-4496-8487-69f397e7ed29" xmlns:ns4="a289cb20-8bb9-401f-8d7b-706fb1a2988d" targetNamespace="http://schemas.microsoft.com/office/2006/metadata/properties" ma:root="true" ma:fieldsID="d5c3f81ece80c50d43f22baed6e757fe" ns1:_="" ns2:_="" ns3:_="" ns4:_="">
    <xsd:import namespace="http://schemas.microsoft.com/sharepoint/v3"/>
    <xsd:import namespace="fe39d773-a83d-4623-ae74-f25711a76616"/>
    <xsd:import namespace="ff38c824-6e29-4496-8487-69f397e7ed29"/>
    <xsd:import namespace="a289cb20-8bb9-401f-8d7b-706fb1a2988d"/>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xsd:element ref="ns3:TaxCatchAll" minOccurs="0"/>
                <xsd:element ref="ns3:TaxCatchAllLabel" minOccurs="0"/>
                <xsd:element ref="ns2:e4fe7dcdd1c0411bbf19a4de3665191f"/>
                <xsd:element ref="ns2:gfba5f33532c49208d2320ce38cc3c2b"/>
                <xsd:element ref="ns2:kfc39f3e4e2747ae990d3c8bb74a5a64"/>
                <xsd:element ref="ns2: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3:PT_x002f_Measure_x0020_No." minOccurs="0"/>
                <xsd:element ref="ns1:DocumentSetDescrip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55799-EEA9-4714-98CA-2848D2E2BACC}">
  <ds:schemaRefs>
    <ds:schemaRef ds:uri="http://schemas.microsoft.com/sharepoint/v3/contenttype/forms"/>
  </ds:schemaRefs>
</ds:datastoreItem>
</file>

<file path=customXml/itemProps2.xml><?xml version="1.0" encoding="utf-8"?>
<ds:datastoreItem xmlns:ds="http://schemas.openxmlformats.org/officeDocument/2006/customXml" ds:itemID="{EDC7F94E-508C-405D-BE7F-118C1B6D9B0A}">
  <ds:schemaRefs>
    <ds:schemaRef ds:uri="http://schemas.microsoft.com/office/2006/metadata/properties"/>
    <ds:schemaRef ds:uri="http://schemas.microsoft.com/office/infopath/2007/PartnerControls"/>
    <ds:schemaRef ds:uri="fe39d773-a83d-4623-ae74-f25711a76616"/>
    <ds:schemaRef ds:uri="http://schemas.microsoft.com/sharepoint/v3"/>
    <ds:schemaRef ds:uri="ff38c824-6e29-4496-8487-69f397e7ed29"/>
    <ds:schemaRef ds:uri="a289cb20-8bb9-401f-8d7b-706fb1a2988d"/>
  </ds:schemaRefs>
</ds:datastoreItem>
</file>

<file path=customXml/itemProps3.xml><?xml version="1.0" encoding="utf-8"?>
<ds:datastoreItem xmlns:ds="http://schemas.openxmlformats.org/officeDocument/2006/customXml" ds:itemID="{586F5F55-003C-4DA6-BB7A-AE0B8623C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39d773-a83d-4623-ae74-f25711a76616"/>
    <ds:schemaRef ds:uri="ff38c824-6e29-4496-8487-69f397e7ed29"/>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7EB14-0F94-4EA7-8059-097B906792F9}">
  <ds:schemaRefs>
    <ds:schemaRef ds:uri="http://schemas.microsoft.com/sharepoint/events"/>
  </ds:schemaRefs>
</ds:datastoreItem>
</file>

<file path=customXml/itemProps5.xml><?xml version="1.0" encoding="utf-8"?>
<ds:datastoreItem xmlns:ds="http://schemas.openxmlformats.org/officeDocument/2006/customXml" ds:itemID="{0798F858-9051-4598-A6FB-6B4F6959C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Explanatory Statement: Treasury Laws Amendment (Measures for Consultation) Regulations 2023</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Treasury Laws Amendment (Measures for Consultation) Regulations 2023</dc:title>
  <dc:subject/>
  <dc:creator>Australian Government</dc:creator>
  <cp:keywords/>
  <dc:description/>
  <cp:lastModifiedBy>Smith, Matthew</cp:lastModifiedBy>
  <cp:revision>9</cp:revision>
  <cp:lastPrinted>2023-03-07T22:24:00Z</cp:lastPrinted>
  <dcterms:created xsi:type="dcterms:W3CDTF">2023-03-15T01:45:00Z</dcterms:created>
  <dcterms:modified xsi:type="dcterms:W3CDTF">2023-03-15T03:30:00Z</dcterms:modified>
</cp:coreProperties>
</file>