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E0F4" w14:textId="77777777" w:rsidR="00DD58B5" w:rsidRDefault="00DD58B5" w:rsidP="00DD58B5">
      <w:pPr>
        <w:pStyle w:val="Baseparagraphcentred"/>
        <w:pBdr>
          <w:bottom w:val="single" w:sz="4" w:space="1" w:color="auto"/>
        </w:pBdr>
      </w:pPr>
      <w:bookmarkStart w:id="0" w:name="BillName"/>
      <w:bookmarkStart w:id="1" w:name="_Toc78548463"/>
      <w:bookmarkStart w:id="2" w:name="_Toc78549734"/>
      <w:bookmarkStart w:id="3" w:name="_Toc78549779"/>
      <w:bookmarkStart w:id="4" w:name="_Toc80097481"/>
      <w:bookmarkStart w:id="5" w:name="_Toc80097775"/>
      <w:bookmarkStart w:id="6" w:name="_Hlk81640909"/>
      <w:bookmarkEnd w:id="0"/>
    </w:p>
    <w:p w14:paraId="14B7B222" w14:textId="0C3D87D5" w:rsidR="00DD58B5" w:rsidRPr="00E24AA1" w:rsidRDefault="00DD58B5" w:rsidP="00DD58B5">
      <w:pPr>
        <w:pStyle w:val="BillName"/>
      </w:pPr>
      <w:bookmarkStart w:id="7" w:name="_Hlk129879475"/>
      <w:r>
        <w:t xml:space="preserve">Treasury Laws Amendment (Measures for Consultation) Bill 2023: </w:t>
      </w:r>
      <w:r w:rsidR="00EE037A">
        <w:t>Multinational Tax Transparency – Disclosure of Subsidiaries</w:t>
      </w:r>
    </w:p>
    <w:bookmarkEnd w:id="7"/>
    <w:p w14:paraId="66396C62" w14:textId="77777777" w:rsidR="00DD58B5" w:rsidRDefault="00DD58B5" w:rsidP="00DD58B5">
      <w:pPr>
        <w:pStyle w:val="Baseparagraphcentred"/>
        <w:pBdr>
          <w:top w:val="single" w:sz="4" w:space="1" w:color="auto"/>
        </w:pBdr>
      </w:pPr>
    </w:p>
    <w:p w14:paraId="43FFE7FC" w14:textId="77777777" w:rsidR="00DD58B5" w:rsidRDefault="00DD58B5" w:rsidP="00DD58B5">
      <w:pPr>
        <w:pStyle w:val="Baseparagraphcentred"/>
      </w:pPr>
    </w:p>
    <w:p w14:paraId="4B73761A" w14:textId="77777777" w:rsidR="00DD58B5" w:rsidRDefault="00DD58B5" w:rsidP="00DD58B5">
      <w:pPr>
        <w:pStyle w:val="Baseparagraphcentred"/>
      </w:pPr>
    </w:p>
    <w:p w14:paraId="2786AF32" w14:textId="77777777" w:rsidR="00DD58B5" w:rsidRDefault="00DD58B5" w:rsidP="00DD58B5">
      <w:pPr>
        <w:pStyle w:val="Baseparagraphcentred"/>
      </w:pPr>
    </w:p>
    <w:p w14:paraId="74FBCC48" w14:textId="77777777" w:rsidR="00DD58B5" w:rsidRDefault="00DD58B5" w:rsidP="00DD58B5">
      <w:pPr>
        <w:pStyle w:val="Baseparagraphcentred"/>
      </w:pPr>
      <w:r>
        <w:t>EXPOSURE DRAFT EXPLANATORY MATERIALS</w:t>
      </w:r>
    </w:p>
    <w:p w14:paraId="7822C9A4" w14:textId="529A9F3B" w:rsidR="00E24AA1" w:rsidRDefault="00E24AA1" w:rsidP="00E24AA1">
      <w:pPr>
        <w:pStyle w:val="Baseparagraphcentred"/>
      </w:pPr>
    </w:p>
    <w:p w14:paraId="699E8BD1" w14:textId="77777777" w:rsidR="00E24AA1" w:rsidRDefault="00E24AA1" w:rsidP="00E24AA1">
      <w:pPr>
        <w:pStyle w:val="Baseparagraphcentred"/>
      </w:pPr>
    </w:p>
    <w:p w14:paraId="0266B8DB" w14:textId="77777777" w:rsidR="00E24AA1" w:rsidRDefault="00E24AA1" w:rsidP="00E24AA1">
      <w:pPr>
        <w:pStyle w:val="ParaCentredNoSpacing"/>
      </w:pPr>
    </w:p>
    <w:p w14:paraId="39CE5A90" w14:textId="77777777" w:rsidR="00E24AA1" w:rsidRPr="00967273" w:rsidRDefault="00E24AA1" w:rsidP="00E24AA1">
      <w:pPr>
        <w:pStyle w:val="Normalparatextnonumbers"/>
        <w:jc w:val="center"/>
        <w:rPr>
          <w:rFonts w:cs="Calibri"/>
          <w:color w:val="000000" w:themeColor="text1"/>
        </w:rPr>
      </w:pPr>
    </w:p>
    <w:p w14:paraId="732EAE8C" w14:textId="77777777" w:rsidR="00873094" w:rsidRDefault="00873094" w:rsidP="00873094">
      <w:pPr>
        <w:pStyle w:val="Normalparatextnonumbers"/>
      </w:pPr>
    </w:p>
    <w:p w14:paraId="60EB3661" w14:textId="77777777" w:rsidR="00E24AA1" w:rsidRPr="00020288" w:rsidRDefault="00E24AA1" w:rsidP="00873094">
      <w:pPr>
        <w:pStyle w:val="Normalparatextnonumbers"/>
      </w:pPr>
    </w:p>
    <w:p w14:paraId="3A921B74" w14:textId="77777777" w:rsidR="00873094" w:rsidRPr="00020288" w:rsidRDefault="00873094" w:rsidP="00873094">
      <w:pPr>
        <w:pStyle w:val="TOC1"/>
        <w:sectPr w:rsidR="00873094" w:rsidRPr="00020288" w:rsidSect="00000BFC">
          <w:headerReference w:type="first" r:id="rId12"/>
          <w:footerReference w:type="first" r:id="rId13"/>
          <w:type w:val="oddPage"/>
          <w:pgSz w:w="9979" w:h="14175" w:code="138"/>
          <w:pgMar w:top="567" w:right="1134" w:bottom="567" w:left="1134" w:header="709" w:footer="709" w:gutter="0"/>
          <w:cols w:space="708"/>
          <w:titlePg/>
          <w:docGrid w:linePitch="360"/>
        </w:sectPr>
      </w:pPr>
    </w:p>
    <w:p w14:paraId="1234006B" w14:textId="77777777" w:rsidR="00873094" w:rsidRPr="00020288" w:rsidRDefault="00873094" w:rsidP="00873094">
      <w:pPr>
        <w:pStyle w:val="TOCHeading"/>
      </w:pPr>
      <w:bookmarkStart w:id="8" w:name="_Toc80172450"/>
      <w:bookmarkStart w:id="9" w:name="_Toc80197114"/>
      <w:bookmarkStart w:id="10" w:name="_Toc81852681"/>
      <w:bookmarkEnd w:id="1"/>
      <w:bookmarkEnd w:id="2"/>
      <w:bookmarkEnd w:id="3"/>
      <w:bookmarkEnd w:id="4"/>
      <w:bookmarkEnd w:id="5"/>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682C23D6" w14:textId="4BB129B3" w:rsidR="00DD58B5" w:rsidRDefault="00873094" w:rsidP="00DD58B5">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DD58B5">
        <w:rPr>
          <w:noProof/>
        </w:rPr>
        <w:t>Glossary</w:t>
      </w:r>
      <w:r w:rsidR="00DD58B5">
        <w:rPr>
          <w:noProof/>
        </w:rPr>
        <w:tab/>
      </w:r>
      <w:r w:rsidR="00DD58B5">
        <w:rPr>
          <w:noProof/>
        </w:rPr>
        <w:fldChar w:fldCharType="begin"/>
      </w:r>
      <w:r w:rsidR="00DD58B5">
        <w:rPr>
          <w:noProof/>
        </w:rPr>
        <w:instrText xml:space="preserve"> PAGEREF _Toc128137793 \h </w:instrText>
      </w:r>
      <w:r w:rsidR="00DD58B5">
        <w:rPr>
          <w:noProof/>
        </w:rPr>
      </w:r>
      <w:r w:rsidR="00DD58B5">
        <w:rPr>
          <w:noProof/>
        </w:rPr>
        <w:fldChar w:fldCharType="separate"/>
      </w:r>
      <w:r w:rsidR="00FC284C">
        <w:rPr>
          <w:noProof/>
        </w:rPr>
        <w:t>iii</w:t>
      </w:r>
      <w:r w:rsidR="00DD58B5">
        <w:rPr>
          <w:noProof/>
        </w:rPr>
        <w:fldChar w:fldCharType="end"/>
      </w:r>
    </w:p>
    <w:p w14:paraId="0067C4D4" w14:textId="2C6F63F8" w:rsidR="00DD58B5" w:rsidRDefault="00DD58B5" w:rsidP="00DD58B5">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643F0B">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Multinational Tax Transparency - disclosure of subsidiaries</w:t>
      </w:r>
      <w:r>
        <w:rPr>
          <w:noProof/>
        </w:rPr>
        <w:tab/>
      </w:r>
      <w:r>
        <w:rPr>
          <w:noProof/>
        </w:rPr>
        <w:fldChar w:fldCharType="begin"/>
      </w:r>
      <w:r>
        <w:rPr>
          <w:noProof/>
        </w:rPr>
        <w:instrText xml:space="preserve"> PAGEREF _Toc128137794 \h </w:instrText>
      </w:r>
      <w:r>
        <w:rPr>
          <w:noProof/>
        </w:rPr>
      </w:r>
      <w:r>
        <w:rPr>
          <w:noProof/>
        </w:rPr>
        <w:fldChar w:fldCharType="separate"/>
      </w:r>
      <w:r w:rsidR="00FC284C">
        <w:rPr>
          <w:noProof/>
        </w:rPr>
        <w:t>5</w:t>
      </w:r>
      <w:r>
        <w:rPr>
          <w:noProof/>
        </w:rPr>
        <w:fldChar w:fldCharType="end"/>
      </w:r>
    </w:p>
    <w:p w14:paraId="40764AD7" w14:textId="27F6A4B3" w:rsidR="00873094" w:rsidRPr="00020288" w:rsidRDefault="00873094" w:rsidP="00BC2E4A">
      <w:pPr>
        <w:pStyle w:val="TOC1"/>
      </w:pPr>
      <w:r w:rsidRPr="00BC2E4A">
        <w:fldChar w:fldCharType="end"/>
      </w:r>
    </w:p>
    <w:p w14:paraId="06E070B1" w14:textId="77777777" w:rsidR="00873094" w:rsidRPr="00020288" w:rsidRDefault="00873094" w:rsidP="00873094"/>
    <w:p w14:paraId="6B4FEDAC" w14:textId="77777777" w:rsidR="00873094" w:rsidRPr="00020288" w:rsidRDefault="00873094" w:rsidP="00873094"/>
    <w:p w14:paraId="745DC23D" w14:textId="77777777" w:rsidR="00873094" w:rsidRPr="00020288" w:rsidRDefault="00873094" w:rsidP="00873094">
      <w:pPr>
        <w:sectPr w:rsidR="00873094" w:rsidRPr="00020288"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p>
    <w:p w14:paraId="4BF18795"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28137793"/>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BEB4EDA"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2DBA93A7" w14:textId="77777777" w:rsidTr="002425D9">
        <w:tc>
          <w:tcPr>
            <w:tcW w:w="3776" w:type="dxa"/>
            <w:shd w:val="clear" w:color="auto" w:fill="auto"/>
          </w:tcPr>
          <w:p w14:paraId="5D3CAE00"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7BEC27AA" w14:textId="77777777" w:rsidR="00873094" w:rsidRPr="002E7A73" w:rsidRDefault="00873094" w:rsidP="00B7393A">
            <w:pPr>
              <w:pStyle w:val="Tableheaderrowtext"/>
            </w:pPr>
            <w:r w:rsidRPr="002E7A73">
              <w:t>Definition</w:t>
            </w:r>
          </w:p>
        </w:tc>
      </w:tr>
      <w:tr w:rsidR="00E73696" w:rsidRPr="00020288" w14:paraId="357A87A1" w14:textId="77777777" w:rsidTr="001F119F">
        <w:tc>
          <w:tcPr>
            <w:tcW w:w="3776" w:type="dxa"/>
          </w:tcPr>
          <w:p w14:paraId="624584DA" w14:textId="782FD924" w:rsidR="00E73696" w:rsidRPr="00020288" w:rsidRDefault="00E73696" w:rsidP="001F119F">
            <w:pPr>
              <w:pStyle w:val="Normalparatextnonumbers"/>
            </w:pPr>
            <w:r>
              <w:t>Bill</w:t>
            </w:r>
          </w:p>
        </w:tc>
        <w:tc>
          <w:tcPr>
            <w:tcW w:w="3874" w:type="dxa"/>
          </w:tcPr>
          <w:p w14:paraId="20068720" w14:textId="0F23B0B7" w:rsidR="00E73696" w:rsidRPr="00020288" w:rsidRDefault="004D2034" w:rsidP="001F119F">
            <w:pPr>
              <w:pStyle w:val="Normalparatextnonumbers"/>
            </w:pPr>
            <w:r>
              <w:t># TBC</w:t>
            </w:r>
          </w:p>
        </w:tc>
      </w:tr>
      <w:tr w:rsidR="00873094" w:rsidRPr="00020288" w14:paraId="10984592" w14:textId="77777777" w:rsidTr="002425D9">
        <w:tc>
          <w:tcPr>
            <w:tcW w:w="3776" w:type="dxa"/>
          </w:tcPr>
          <w:p w14:paraId="69BF40E9" w14:textId="21BEFDC7" w:rsidR="00873094" w:rsidRPr="00020288" w:rsidRDefault="00A5268C" w:rsidP="002425D9">
            <w:pPr>
              <w:pStyle w:val="Normalparatextnonumbers"/>
            </w:pPr>
            <w:r>
              <w:t>Corporations Act</w:t>
            </w:r>
          </w:p>
        </w:tc>
        <w:tc>
          <w:tcPr>
            <w:tcW w:w="3874" w:type="dxa"/>
          </w:tcPr>
          <w:p w14:paraId="692A2347" w14:textId="10212CB0" w:rsidR="00873094" w:rsidRPr="00A5268C" w:rsidRDefault="00A5268C" w:rsidP="002425D9">
            <w:pPr>
              <w:pStyle w:val="Normalparatextnonumbers"/>
              <w:rPr>
                <w:i/>
                <w:iCs/>
              </w:rPr>
            </w:pPr>
            <w:r w:rsidRPr="00A5268C">
              <w:rPr>
                <w:i/>
                <w:iCs/>
              </w:rPr>
              <w:t>Corporations Act 2001</w:t>
            </w:r>
          </w:p>
        </w:tc>
      </w:tr>
    </w:tbl>
    <w:p w14:paraId="41004EF5" w14:textId="77777777" w:rsidR="00873094" w:rsidRPr="00020288" w:rsidRDefault="00873094" w:rsidP="00873094"/>
    <w:p w14:paraId="751A1520" w14:textId="77777777" w:rsidR="00873094" w:rsidRPr="00020288" w:rsidRDefault="00873094" w:rsidP="00873094">
      <w:pPr>
        <w:pStyle w:val="Heading1"/>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4CB29F1C" w14:textId="5E3B1A20" w:rsidR="00873094" w:rsidRPr="0073326A" w:rsidRDefault="00E73696" w:rsidP="00777A92">
      <w:pPr>
        <w:pStyle w:val="Chapterheading"/>
      </w:pPr>
      <w:bookmarkStart w:id="41" w:name="GeneralOutline"/>
      <w:bookmarkStart w:id="42" w:name="_Toc128137794"/>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Multinational Tax Transparency - disclosure of subsidiaries</w:t>
      </w:r>
      <w:bookmarkEnd w:id="42"/>
    </w:p>
    <w:p w14:paraId="609B4D6A" w14:textId="77777777" w:rsidR="00873094" w:rsidRPr="00020288" w:rsidRDefault="00873094" w:rsidP="005D0844">
      <w:pPr>
        <w:pStyle w:val="Heading2"/>
      </w:pPr>
      <w:r w:rsidRPr="00020288">
        <w:t xml:space="preserve">Outline </w:t>
      </w:r>
      <w:r w:rsidRPr="005D0844">
        <w:t>of</w:t>
      </w:r>
      <w:r w:rsidRPr="00020288">
        <w:t xml:space="preserve"> chapter</w:t>
      </w:r>
    </w:p>
    <w:p w14:paraId="0721388B" w14:textId="43189279" w:rsidR="004D2034" w:rsidRDefault="004D2034" w:rsidP="004D2034">
      <w:pPr>
        <w:pStyle w:val="Normalparatextwithnumbers"/>
      </w:pPr>
      <w:r>
        <w:t xml:space="preserve">For financial years commencing on or after 1 July 2023, </w:t>
      </w:r>
      <w:r w:rsidRPr="004D2034">
        <w:t xml:space="preserve">Australian public companies (listed and unlisted) </w:t>
      </w:r>
      <w:r>
        <w:t>must disclose information about subsidiaries in their financial reports.</w:t>
      </w:r>
    </w:p>
    <w:p w14:paraId="70197DD3" w14:textId="77777777" w:rsidR="00D525C9" w:rsidRPr="004D2034" w:rsidRDefault="00D525C9" w:rsidP="00D525C9">
      <w:pPr>
        <w:pStyle w:val="Normalparatextwithnumbers"/>
      </w:pPr>
      <w:r>
        <w:t>Legislative references in this Chapter are made to the Corporations Act unless otherwise specified.</w:t>
      </w:r>
    </w:p>
    <w:p w14:paraId="0D4AEB7C" w14:textId="77777777" w:rsidR="00873094" w:rsidRPr="00020288" w:rsidRDefault="00873094" w:rsidP="005D0844">
      <w:pPr>
        <w:pStyle w:val="Heading2"/>
      </w:pPr>
      <w:r w:rsidRPr="00020288">
        <w:t xml:space="preserve">Context of </w:t>
      </w:r>
      <w:r w:rsidRPr="005D0844">
        <w:t>amendments</w:t>
      </w:r>
    </w:p>
    <w:p w14:paraId="20F68CFE" w14:textId="77777777" w:rsidR="0026757D" w:rsidRDefault="0026757D" w:rsidP="0026757D">
      <w:pPr>
        <w:pStyle w:val="Normalparatextwithnumbers"/>
      </w:pPr>
      <w:r w:rsidRPr="00FF4906">
        <w:t xml:space="preserve">There are shifts globally towards public reporting as a means of enhancing public scrutiny of </w:t>
      </w:r>
      <w:r>
        <w:t>multinational</w:t>
      </w:r>
      <w:r w:rsidRPr="00FF4906">
        <w:t xml:space="preserve"> tax arrangements. This </w:t>
      </w:r>
      <w:r>
        <w:t>amendment</w:t>
      </w:r>
      <w:r w:rsidRPr="00FF4906">
        <w:t xml:space="preserve"> is part of the Government’s broader regulatory mix to improve corporate disclosures</w:t>
      </w:r>
      <w:r>
        <w:t xml:space="preserve">. </w:t>
      </w:r>
      <w:r w:rsidRPr="00FF4906">
        <w:t>Ensuring this information is in the public domain will facilitate an informed discussion on tax compliance, helping to build trust in the integrity of the tax system.</w:t>
      </w:r>
    </w:p>
    <w:p w14:paraId="2D8BB0AF" w14:textId="77777777" w:rsidR="0026757D" w:rsidRDefault="0026757D" w:rsidP="0026757D">
      <w:pPr>
        <w:pStyle w:val="Normalparatextwithnumbers"/>
      </w:pPr>
      <w:r>
        <w:t xml:space="preserve">Australian public companies (listed and unlisted) will be required to disclose information on their subsidiaries. This measure will place an onus on companies to be more transparent about their corporate structures. Disclosures would be made publicly available within the company’s annual financial report published on their website to minimise compliance burden. </w:t>
      </w:r>
    </w:p>
    <w:p w14:paraId="6305FD31" w14:textId="77777777" w:rsidR="0026757D" w:rsidRDefault="0026757D" w:rsidP="0026757D">
      <w:pPr>
        <w:pStyle w:val="Normalparatextwithnumbers"/>
      </w:pPr>
      <w:r>
        <w:t>The intent is that increased public disclosures will lead to enhanced scrutiny on companies’ arrangements, including how they structure their subsidiaries and operate in different jurisdictions, including for tax purposes. From a tax perspective, the expectation is that more information in the public domain will help to encourage behavioural change in terms of how companies view their tax obligations, including their approach to tax governance practices, decision making around aggressive tax planning strategies and potential simplification of group structures.</w:t>
      </w:r>
    </w:p>
    <w:p w14:paraId="2D5A89F2" w14:textId="56284452" w:rsidR="004D2034" w:rsidRDefault="004D2034" w:rsidP="004D2034">
      <w:pPr>
        <w:pStyle w:val="Normalparatextwithnumbers"/>
      </w:pPr>
      <w:r w:rsidRPr="004D2034">
        <w:t xml:space="preserve">The reporting of a company’s subsidiary information would be in line with international approaches to enhanced corporate tax transparency, such as that of the UK. Based on stakeholder feedback from the recent consultation process, this would also provide a more objective mechanism for disclosing information on a company’s tax arrangements. Requiring public companies to </w:t>
      </w:r>
      <w:r w:rsidRPr="004D2034">
        <w:lastRenderedPageBreak/>
        <w:t>disclose their subsidiaries information would also align with the Government’s commitment to implement a beneficial ownership register.</w:t>
      </w:r>
    </w:p>
    <w:p w14:paraId="51EC0910" w14:textId="77777777" w:rsidR="00873094" w:rsidRPr="00020288" w:rsidRDefault="00873094" w:rsidP="005D0844">
      <w:pPr>
        <w:pStyle w:val="Heading2"/>
      </w:pPr>
      <w:r w:rsidRPr="00020288">
        <w:t xml:space="preserve">Summary of </w:t>
      </w:r>
      <w:r w:rsidRPr="005D0844">
        <w:t>new</w:t>
      </w:r>
      <w:r w:rsidRPr="00020288">
        <w:t xml:space="preserve"> law</w:t>
      </w:r>
    </w:p>
    <w:p w14:paraId="67248E8A" w14:textId="4A3F9B51" w:rsidR="00873094" w:rsidRDefault="00D3427E" w:rsidP="00873094">
      <w:pPr>
        <w:pStyle w:val="Normalparatextwithnumbers"/>
        <w:numPr>
          <w:ilvl w:val="1"/>
          <w:numId w:val="3"/>
        </w:numPr>
      </w:pPr>
      <w:r>
        <w:t>For</w:t>
      </w:r>
      <w:r w:rsidR="00DA4132">
        <w:t xml:space="preserve"> each</w:t>
      </w:r>
      <w:r>
        <w:t xml:space="preserve"> financial year commencing on or after 1 July 2023, Australian public companies must, as part of their annual financial reporting obligations, </w:t>
      </w:r>
      <w:r w:rsidR="00926D24">
        <w:t xml:space="preserve">provide a </w:t>
      </w:r>
      <w:r w:rsidR="006364FA">
        <w:t>‘</w:t>
      </w:r>
      <w:r w:rsidR="00926D24">
        <w:t>consolidated entity statement</w:t>
      </w:r>
      <w:r w:rsidR="006364FA">
        <w:t>’</w:t>
      </w:r>
      <w:r w:rsidR="0013299D">
        <w:t>:</w:t>
      </w:r>
    </w:p>
    <w:p w14:paraId="0741A3F6" w14:textId="3E799FEB" w:rsidR="00DE5BE7" w:rsidRDefault="00926D24" w:rsidP="0013299D">
      <w:pPr>
        <w:pStyle w:val="Dotpoint1"/>
      </w:pPr>
      <w:r>
        <w:t xml:space="preserve">If the </w:t>
      </w:r>
      <w:r w:rsidR="00F56D25">
        <w:t>accounting standards require the public company to prepare financial statements in relation to a con</w:t>
      </w:r>
      <w:r>
        <w:t>solidated entity</w:t>
      </w:r>
      <w:r w:rsidR="00F56D25">
        <w:t>, the consolidated</w:t>
      </w:r>
      <w:r w:rsidR="00D21386">
        <w:t xml:space="preserve"> entity</w:t>
      </w:r>
      <w:r>
        <w:t xml:space="preserve"> statement must include disclosures</w:t>
      </w:r>
      <w:r w:rsidR="00D21386">
        <w:t xml:space="preserve"> </w:t>
      </w:r>
      <w:r w:rsidR="004C4742">
        <w:t xml:space="preserve">about entities within the consolidated entity </w:t>
      </w:r>
      <w:r w:rsidR="00D21386">
        <w:t>at the end of the financial year</w:t>
      </w:r>
      <w:r w:rsidR="00B07AAC">
        <w:t>.</w:t>
      </w:r>
    </w:p>
    <w:p w14:paraId="566AF6B7" w14:textId="730F7D83" w:rsidR="00F13DE5" w:rsidRDefault="00417411" w:rsidP="00DD246A">
      <w:pPr>
        <w:pStyle w:val="Dotpoint1"/>
      </w:pPr>
      <w:proofErr w:type="gramStart"/>
      <w:r>
        <w:t>If</w:t>
      </w:r>
      <w:proofErr w:type="gramEnd"/>
      <w:r>
        <w:t xml:space="preserve"> however, the accounting standards do not require the public company to prepare financial statements</w:t>
      </w:r>
      <w:r w:rsidR="00CF0A59">
        <w:t xml:space="preserve"> in relation to a consolidated entity, the public company must provide a statement to that effect.</w:t>
      </w:r>
    </w:p>
    <w:p w14:paraId="7397B504" w14:textId="3DED1CED" w:rsidR="00AA78C4" w:rsidRDefault="00D42515" w:rsidP="00AA78C4">
      <w:pPr>
        <w:pStyle w:val="Normalparatextwithnumbers"/>
      </w:pPr>
      <w:r>
        <w:t>Alongside the general reporting obligations, d</w:t>
      </w:r>
      <w:r w:rsidR="009B1938">
        <w:t>irectors</w:t>
      </w:r>
      <w:r w:rsidR="00FF1043">
        <w:t>, chief executive officers and chief financ</w:t>
      </w:r>
      <w:r w:rsidR="00E722E7">
        <w:t>ial officers</w:t>
      </w:r>
      <w:r w:rsidR="009B1938">
        <w:t xml:space="preserve"> must also </w:t>
      </w:r>
      <w:r w:rsidR="00A61ADF">
        <w:t xml:space="preserve">declare that the </w:t>
      </w:r>
      <w:r w:rsidR="006364FA">
        <w:t>consolidated entity statement</w:t>
      </w:r>
      <w:r w:rsidR="009A21FF">
        <w:t xml:space="preserve"> is in their opinion a true and </w:t>
      </w:r>
      <w:r w:rsidR="00C63169">
        <w:t>correct</w:t>
      </w:r>
      <w:r w:rsidR="009A21FF">
        <w:t xml:space="preserve"> at the end of the financial year.</w:t>
      </w:r>
    </w:p>
    <w:p w14:paraId="328AC6D9" w14:textId="77777777" w:rsidR="00873094" w:rsidRPr="00020288" w:rsidRDefault="00873094" w:rsidP="00873094">
      <w:pPr>
        <w:pStyle w:val="Heading2"/>
        <w:numPr>
          <w:ilvl w:val="1"/>
          <w:numId w:val="2"/>
        </w:numPr>
        <w:tabs>
          <w:tab w:val="num" w:pos="567"/>
        </w:tabs>
        <w:ind w:left="567" w:hanging="567"/>
      </w:pPr>
      <w:r w:rsidRPr="00020288">
        <w:t>Detailed explanation of new law</w:t>
      </w:r>
    </w:p>
    <w:p w14:paraId="61794F38" w14:textId="1AE478B8" w:rsidR="007425BF" w:rsidRDefault="00E722E7" w:rsidP="00D42DB9">
      <w:pPr>
        <w:pStyle w:val="Normalparatextwithnumbers"/>
        <w:numPr>
          <w:ilvl w:val="1"/>
          <w:numId w:val="3"/>
        </w:numPr>
      </w:pPr>
      <w:r>
        <w:t>Under the current law, p</w:t>
      </w:r>
      <w:r w:rsidR="00A62A31">
        <w:t>aragraph 292(1)(b) provides that</w:t>
      </w:r>
      <w:r w:rsidR="0071656A">
        <w:t xml:space="preserve"> public companies must prepare financial reports each financial year. </w:t>
      </w:r>
      <w:r w:rsidR="00F0617D">
        <w:t>In addition to public companies, a range of other bodies, including disclosing entities, large proprietary companies and registered schemes must also prepare financial reports. Those bodies are outside of the scope of these amendments.</w:t>
      </w:r>
    </w:p>
    <w:p w14:paraId="4127103A" w14:textId="56779AE2" w:rsidR="00E4234D" w:rsidRPr="00E4234D" w:rsidRDefault="00E4234D" w:rsidP="00E4234D">
      <w:pPr>
        <w:pStyle w:val="Normalparatextwithnumbers"/>
      </w:pPr>
      <w:r w:rsidRPr="00E4234D">
        <w:t>Section 295 provides for the contents of annual financial reports. Subsection</w:t>
      </w:r>
      <w:r w:rsidR="00ED0699">
        <w:t> </w:t>
      </w:r>
      <w:r w:rsidRPr="00E4234D">
        <w:t xml:space="preserve">295(1) provides for this in three broad categories. Further details for each category are provided for in subsections 295(2), (3) and (4). </w:t>
      </w:r>
    </w:p>
    <w:p w14:paraId="792E0C73" w14:textId="5591BCE6" w:rsidR="00D42DB9" w:rsidRDefault="00D42DB9" w:rsidP="00D42DB9">
      <w:pPr>
        <w:pStyle w:val="Normalparatextwithnumbers"/>
        <w:numPr>
          <w:ilvl w:val="1"/>
          <w:numId w:val="3"/>
        </w:numPr>
      </w:pPr>
      <w:r>
        <w:t>The amendments require Australian</w:t>
      </w:r>
      <w:r w:rsidRPr="00D42DB9">
        <w:t xml:space="preserve"> </w:t>
      </w:r>
      <w:r>
        <w:t xml:space="preserve">public companies to, as part of their annual financial reporting obligations, disclose additional information </w:t>
      </w:r>
      <w:r w:rsidR="004A120F">
        <w:t xml:space="preserve">in a </w:t>
      </w:r>
      <w:r w:rsidR="00935571">
        <w:t>‘</w:t>
      </w:r>
      <w:r w:rsidR="004A120F">
        <w:t>consolidated entity statement</w:t>
      </w:r>
      <w:r w:rsidR="00935571">
        <w:t>’</w:t>
      </w:r>
      <w:r>
        <w:t>.</w:t>
      </w:r>
    </w:p>
    <w:p w14:paraId="623445E1" w14:textId="666C96B4" w:rsidR="001A450F" w:rsidRPr="001A450F" w:rsidRDefault="001A450F" w:rsidP="001A450F">
      <w:pPr>
        <w:pStyle w:val="Normalparatextwithnumbers"/>
        <w:numPr>
          <w:ilvl w:val="0"/>
          <w:numId w:val="0"/>
        </w:numPr>
        <w:ind w:left="709"/>
        <w:rPr>
          <w:rStyle w:val="References"/>
        </w:rPr>
      </w:pPr>
      <w:r>
        <w:rPr>
          <w:rStyle w:val="References"/>
        </w:rPr>
        <w:t xml:space="preserve">[Schedule #, item </w:t>
      </w:r>
      <w:r w:rsidR="00ED0115">
        <w:rPr>
          <w:rStyle w:val="References"/>
        </w:rPr>
        <w:t>#, paragraph 295(</w:t>
      </w:r>
      <w:proofErr w:type="gramStart"/>
      <w:r w:rsidR="00ED0115">
        <w:rPr>
          <w:rStyle w:val="References"/>
        </w:rPr>
        <w:t>1)(</w:t>
      </w:r>
      <w:proofErr w:type="spellStart"/>
      <w:proofErr w:type="gramEnd"/>
      <w:r w:rsidR="00935571">
        <w:rPr>
          <w:rStyle w:val="References"/>
        </w:rPr>
        <w:t>ba</w:t>
      </w:r>
      <w:proofErr w:type="spellEnd"/>
      <w:r w:rsidR="00ED0115">
        <w:rPr>
          <w:rStyle w:val="References"/>
        </w:rPr>
        <w:t>)</w:t>
      </w:r>
      <w:r>
        <w:rPr>
          <w:rStyle w:val="References"/>
        </w:rPr>
        <w:t>]</w:t>
      </w:r>
    </w:p>
    <w:p w14:paraId="47054ACB" w14:textId="18E8468F" w:rsidR="00C06AF6" w:rsidRDefault="000757A3" w:rsidP="00D42DB9">
      <w:pPr>
        <w:pStyle w:val="Normalparatextwithnumbers"/>
        <w:numPr>
          <w:ilvl w:val="1"/>
          <w:numId w:val="3"/>
        </w:numPr>
      </w:pPr>
      <w:r>
        <w:t>T</w:t>
      </w:r>
      <w:r w:rsidR="00574671">
        <w:t>he term ‘public company’</w:t>
      </w:r>
      <w:r>
        <w:t xml:space="preserve"> is defined in section 9</w:t>
      </w:r>
      <w:r w:rsidR="00D310A2">
        <w:t>, which is</w:t>
      </w:r>
      <w:r w:rsidR="003378AF">
        <w:t xml:space="preserve"> generally</w:t>
      </w:r>
      <w:r w:rsidR="00D310A2">
        <w:t xml:space="preserve"> a company other than a proprietary company or a CCIV (collective corporate investment vehicle)</w:t>
      </w:r>
      <w:r>
        <w:t>.</w:t>
      </w:r>
    </w:p>
    <w:p w14:paraId="2563D72E" w14:textId="461ED004" w:rsidR="008435D1" w:rsidRDefault="004C1AE9" w:rsidP="00D42DB9">
      <w:pPr>
        <w:pStyle w:val="Normalparatextwithnumbers"/>
        <w:numPr>
          <w:ilvl w:val="1"/>
          <w:numId w:val="3"/>
        </w:numPr>
      </w:pPr>
      <w:r>
        <w:t>Currently, sub</w:t>
      </w:r>
      <w:r w:rsidR="00DE2A00">
        <w:t>s</w:t>
      </w:r>
      <w:r>
        <w:t xml:space="preserve">ection </w:t>
      </w:r>
      <w:r w:rsidR="00DE2A00">
        <w:t xml:space="preserve">295(2) requires </w:t>
      </w:r>
      <w:r w:rsidR="00EF30DE">
        <w:t xml:space="preserve">entities to prepare </w:t>
      </w:r>
      <w:r w:rsidR="0044204B">
        <w:t xml:space="preserve">financial </w:t>
      </w:r>
      <w:r w:rsidR="00EF30DE">
        <w:t xml:space="preserve">statements </w:t>
      </w:r>
      <w:r w:rsidR="0044204B">
        <w:t xml:space="preserve">differently, </w:t>
      </w:r>
      <w:r w:rsidR="00EF30DE">
        <w:t>depending on whether the accounting standards require them to prepare financial statements in relation to a consolidated entity.</w:t>
      </w:r>
    </w:p>
    <w:p w14:paraId="5287856D" w14:textId="5EC1F475" w:rsidR="00D42DB9" w:rsidRDefault="0044204B" w:rsidP="00D42DB9">
      <w:pPr>
        <w:pStyle w:val="Normalparatextwithnumbers"/>
        <w:numPr>
          <w:ilvl w:val="1"/>
          <w:numId w:val="3"/>
        </w:numPr>
      </w:pPr>
      <w:r>
        <w:t>Under the amendments, i</w:t>
      </w:r>
      <w:r w:rsidR="004A120F">
        <w:t xml:space="preserve">f the accounting standards require the public company to prepare financial statements in relation to a consolidated entity, the </w:t>
      </w:r>
      <w:r w:rsidR="004A120F">
        <w:lastRenderedPageBreak/>
        <w:t xml:space="preserve">consolidated entity statement must </w:t>
      </w:r>
      <w:r w:rsidR="006F371F">
        <w:t xml:space="preserve">provide </w:t>
      </w:r>
      <w:r w:rsidR="00C32249">
        <w:t xml:space="preserve">the following information </w:t>
      </w:r>
      <w:r>
        <w:t>in relation to</w:t>
      </w:r>
      <w:r w:rsidR="00C32249">
        <w:t xml:space="preserve"> entities within the consolidated entity</w:t>
      </w:r>
      <w:r w:rsidR="00ED0115">
        <w:t>:</w:t>
      </w:r>
    </w:p>
    <w:p w14:paraId="2C90DD53" w14:textId="49293259" w:rsidR="00ED0115" w:rsidRDefault="00ED0115" w:rsidP="00ED0115">
      <w:pPr>
        <w:pStyle w:val="Dotpoint1"/>
      </w:pPr>
      <w:r>
        <w:t xml:space="preserve">the names of </w:t>
      </w:r>
      <w:r w:rsidR="00C32249">
        <w:t>each entity</w:t>
      </w:r>
      <w:r>
        <w:t xml:space="preserve"> at the end of the financial </w:t>
      </w:r>
      <w:proofErr w:type="gramStart"/>
      <w:r>
        <w:t>year;</w:t>
      </w:r>
      <w:proofErr w:type="gramEnd"/>
    </w:p>
    <w:p w14:paraId="1F1C13BA" w14:textId="105598FB" w:rsidR="00C32249" w:rsidRDefault="00C32249" w:rsidP="00ED0115">
      <w:pPr>
        <w:pStyle w:val="Dotpoint1"/>
      </w:pPr>
      <w:r>
        <w:t>whether the entity was a body corporate, partnership or trust</w:t>
      </w:r>
      <w:r w:rsidR="006F371F">
        <w:t xml:space="preserve"> at the end of the financial </w:t>
      </w:r>
      <w:proofErr w:type="gramStart"/>
      <w:r w:rsidR="006F371F">
        <w:t>year</w:t>
      </w:r>
      <w:r>
        <w:t>;</w:t>
      </w:r>
      <w:proofErr w:type="gramEnd"/>
    </w:p>
    <w:p w14:paraId="2E879495" w14:textId="094A2312" w:rsidR="00C32249" w:rsidRDefault="00C32249" w:rsidP="00ED0115">
      <w:pPr>
        <w:pStyle w:val="Dotpoint1"/>
      </w:pPr>
      <w:r>
        <w:t xml:space="preserve">whether at the end of the financial year, </w:t>
      </w:r>
      <w:r w:rsidR="007C40B2">
        <w:t>the entity was any of the following:</w:t>
      </w:r>
    </w:p>
    <w:p w14:paraId="1412CD0E" w14:textId="54C56BCE" w:rsidR="007C40B2" w:rsidRDefault="007C40B2" w:rsidP="007C40B2">
      <w:pPr>
        <w:pStyle w:val="Dotpoint2"/>
      </w:pPr>
      <w:r>
        <w:t>a trustee of a trust within the consolidated entity,</w:t>
      </w:r>
    </w:p>
    <w:p w14:paraId="32B9BC89" w14:textId="75B7B89F" w:rsidR="007C40B2" w:rsidRDefault="007C40B2" w:rsidP="007C40B2">
      <w:pPr>
        <w:pStyle w:val="Dotpoint2"/>
      </w:pPr>
      <w:r>
        <w:t xml:space="preserve">a partner in a partnership within the consolidated </w:t>
      </w:r>
      <w:proofErr w:type="gramStart"/>
      <w:r>
        <w:t>entity;</w:t>
      </w:r>
      <w:proofErr w:type="gramEnd"/>
    </w:p>
    <w:p w14:paraId="194E08D7" w14:textId="75D77BF1" w:rsidR="007C40B2" w:rsidRDefault="007C40B2" w:rsidP="00DD246A">
      <w:pPr>
        <w:pStyle w:val="Dotpoint2"/>
      </w:pPr>
      <w:r>
        <w:t>a</w:t>
      </w:r>
      <w:r w:rsidR="00113574">
        <w:t xml:space="preserve"> participant in a joint venture within the consolidated </w:t>
      </w:r>
      <w:proofErr w:type="gramStart"/>
      <w:r w:rsidR="00113574">
        <w:t>entity;</w:t>
      </w:r>
      <w:proofErr w:type="gramEnd"/>
    </w:p>
    <w:p w14:paraId="4C8770F9" w14:textId="66584723" w:rsidR="00ED0115" w:rsidRDefault="00516AC6" w:rsidP="00ED0115">
      <w:pPr>
        <w:pStyle w:val="Dotpoint1"/>
      </w:pPr>
      <w:r>
        <w:t xml:space="preserve">if the entity was a body corporate, </w:t>
      </w:r>
      <w:r w:rsidR="00ED0115">
        <w:t xml:space="preserve">where </w:t>
      </w:r>
      <w:r w:rsidR="00113574">
        <w:t>the entity,</w:t>
      </w:r>
      <w:r w:rsidR="00ED0115">
        <w:t xml:space="preserve"> </w:t>
      </w:r>
      <w:r>
        <w:t>was</w:t>
      </w:r>
      <w:r w:rsidR="00ED0115">
        <w:t xml:space="preserve"> incorporated or </w:t>
      </w:r>
      <w:proofErr w:type="gramStart"/>
      <w:r w:rsidR="00ED0115">
        <w:t>formed;</w:t>
      </w:r>
      <w:proofErr w:type="gramEnd"/>
    </w:p>
    <w:p w14:paraId="0305E6AA" w14:textId="75D842F1" w:rsidR="00ED0115" w:rsidRDefault="006F371F" w:rsidP="00ED0115">
      <w:pPr>
        <w:pStyle w:val="Dotpoint1"/>
      </w:pPr>
      <w:r>
        <w:t xml:space="preserve">if the entity is a body corporate, </w:t>
      </w:r>
      <w:r w:rsidR="00ED0115">
        <w:t xml:space="preserve">the public company’s percentage ownership of each of those </w:t>
      </w:r>
      <w:r w:rsidR="008435D1">
        <w:t xml:space="preserve">entities </w:t>
      </w:r>
      <w:r w:rsidR="00ED0699">
        <w:t xml:space="preserve">that are body corporates </w:t>
      </w:r>
      <w:r w:rsidR="00ED0115">
        <w:t>at the end of the financial year; and</w:t>
      </w:r>
    </w:p>
    <w:p w14:paraId="146EB1F2" w14:textId="21B1F88E" w:rsidR="00ED0115" w:rsidRDefault="00ED0115" w:rsidP="00ED0115">
      <w:pPr>
        <w:pStyle w:val="Dotpoint1"/>
      </w:pPr>
      <w:r>
        <w:t xml:space="preserve">the tax residency of each of those </w:t>
      </w:r>
      <w:r w:rsidR="00ED0699">
        <w:t xml:space="preserve">entities </w:t>
      </w:r>
      <w:r>
        <w:t>during the financial year.</w:t>
      </w:r>
    </w:p>
    <w:p w14:paraId="7FFC0C13" w14:textId="48C7D50F" w:rsidR="002D334B" w:rsidRPr="002D334B" w:rsidRDefault="002D334B" w:rsidP="002D334B">
      <w:pPr>
        <w:pStyle w:val="Normalparatextwithnumbers"/>
        <w:numPr>
          <w:ilvl w:val="0"/>
          <w:numId w:val="0"/>
        </w:numPr>
        <w:ind w:left="709"/>
        <w:rPr>
          <w:rStyle w:val="References"/>
        </w:rPr>
      </w:pPr>
      <w:r w:rsidRPr="002D334B">
        <w:rPr>
          <w:rStyle w:val="References"/>
        </w:rPr>
        <w:t>[</w:t>
      </w:r>
      <w:r>
        <w:rPr>
          <w:rStyle w:val="References"/>
        </w:rPr>
        <w:t xml:space="preserve">Schedule #, item #, </w:t>
      </w:r>
      <w:r w:rsidR="00935571">
        <w:rPr>
          <w:rStyle w:val="References"/>
        </w:rPr>
        <w:t xml:space="preserve">paragraph </w:t>
      </w:r>
      <w:r>
        <w:rPr>
          <w:rStyle w:val="References"/>
        </w:rPr>
        <w:t>295(</w:t>
      </w:r>
      <w:r w:rsidR="00935571">
        <w:rPr>
          <w:rStyle w:val="References"/>
        </w:rPr>
        <w:t>3</w:t>
      </w:r>
      <w:proofErr w:type="gramStart"/>
      <w:r w:rsidR="00935571">
        <w:rPr>
          <w:rStyle w:val="References"/>
        </w:rPr>
        <w:t>A</w:t>
      </w:r>
      <w:r w:rsidR="00F101FD">
        <w:rPr>
          <w:rStyle w:val="References"/>
        </w:rPr>
        <w:t>)</w:t>
      </w:r>
      <w:r w:rsidR="00935571">
        <w:rPr>
          <w:rStyle w:val="References"/>
        </w:rPr>
        <w:t>(</w:t>
      </w:r>
      <w:proofErr w:type="gramEnd"/>
      <w:r w:rsidR="00935571">
        <w:rPr>
          <w:rStyle w:val="References"/>
        </w:rPr>
        <w:t>a)</w:t>
      </w:r>
      <w:r w:rsidRPr="002D334B">
        <w:rPr>
          <w:rStyle w:val="References"/>
        </w:rPr>
        <w:t>]</w:t>
      </w:r>
    </w:p>
    <w:p w14:paraId="2BBCDD76" w14:textId="7AAF0292" w:rsidR="008435D1" w:rsidRDefault="008435D1" w:rsidP="002830F1">
      <w:pPr>
        <w:pStyle w:val="Normalparatextwithnumbers"/>
      </w:pPr>
      <w:r>
        <w:t xml:space="preserve">If the accounting standards do not require the public company to prepare financial statements in relation to a consolidated entity, </w:t>
      </w:r>
      <w:r w:rsidR="00ED0699">
        <w:t>the public compan</w:t>
      </w:r>
      <w:r w:rsidR="00777DCC">
        <w:t>y</w:t>
      </w:r>
      <w:r w:rsidR="00ED0699">
        <w:t xml:space="preserve">’s financial report must include </w:t>
      </w:r>
      <w:r>
        <w:t>a statement to that effect.</w:t>
      </w:r>
      <w:r w:rsidR="00DA1578">
        <w:t xml:space="preserve"> This statement is the ‘consolidated entity statement’ for such a company.</w:t>
      </w:r>
    </w:p>
    <w:p w14:paraId="6527D986" w14:textId="1E51CD11" w:rsidR="00935571" w:rsidRPr="002D334B" w:rsidRDefault="00935571" w:rsidP="00935571">
      <w:pPr>
        <w:pStyle w:val="Normalparatextwithnumbers"/>
        <w:numPr>
          <w:ilvl w:val="0"/>
          <w:numId w:val="0"/>
        </w:numPr>
        <w:ind w:left="709"/>
        <w:rPr>
          <w:rStyle w:val="References"/>
        </w:rPr>
      </w:pPr>
      <w:r w:rsidRPr="002D334B">
        <w:rPr>
          <w:rStyle w:val="References"/>
        </w:rPr>
        <w:t>[</w:t>
      </w:r>
      <w:r>
        <w:rPr>
          <w:rStyle w:val="References"/>
        </w:rPr>
        <w:t>Schedule #, item #, paragraph 295(3</w:t>
      </w:r>
      <w:proofErr w:type="gramStart"/>
      <w:r>
        <w:rPr>
          <w:rStyle w:val="References"/>
        </w:rPr>
        <w:t>A)(</w:t>
      </w:r>
      <w:proofErr w:type="gramEnd"/>
      <w:r>
        <w:rPr>
          <w:rStyle w:val="References"/>
        </w:rPr>
        <w:t>b)</w:t>
      </w:r>
      <w:r w:rsidRPr="002D334B">
        <w:rPr>
          <w:rStyle w:val="References"/>
        </w:rPr>
        <w:t>]</w:t>
      </w:r>
    </w:p>
    <w:p w14:paraId="75D280A3" w14:textId="77777777" w:rsidR="00331205" w:rsidRDefault="007C7022" w:rsidP="00562D5C">
      <w:pPr>
        <w:pStyle w:val="Normalparatextwithnumbers"/>
      </w:pPr>
      <w:r>
        <w:t>A</w:t>
      </w:r>
      <w:r w:rsidR="00777DCC">
        <w:t>ccounting standards</w:t>
      </w:r>
      <w:r w:rsidR="002D43B9">
        <w:t xml:space="preserve"> refer to those made by the </w:t>
      </w:r>
      <w:r>
        <w:t xml:space="preserve">Australian Accounting Standards Board (under section 334). </w:t>
      </w:r>
    </w:p>
    <w:p w14:paraId="54D93E51" w14:textId="0D2C4151" w:rsidR="00D01CD3" w:rsidRDefault="009E44D9" w:rsidP="00331205">
      <w:pPr>
        <w:pStyle w:val="Dotpoint1"/>
      </w:pPr>
      <w:r>
        <w:t xml:space="preserve">At the time </w:t>
      </w:r>
      <w:r w:rsidR="00160D46">
        <w:t>these explanatory materials were prepared</w:t>
      </w:r>
      <w:r w:rsidR="00A03404">
        <w:t>,</w:t>
      </w:r>
      <w:r w:rsidR="00562D5C">
        <w:t xml:space="preserve"> Accounting Standard</w:t>
      </w:r>
      <w:r w:rsidR="00A03404">
        <w:t xml:space="preserve"> </w:t>
      </w:r>
      <w:r w:rsidR="00562D5C">
        <w:t xml:space="preserve">AASB 10 </w:t>
      </w:r>
      <w:r w:rsidR="00D728FD">
        <w:t>relate</w:t>
      </w:r>
      <w:r w:rsidR="003856FE">
        <w:t>d</w:t>
      </w:r>
      <w:r w:rsidR="00D728FD">
        <w:t xml:space="preserve"> to</w:t>
      </w:r>
      <w:r w:rsidR="00562D5C">
        <w:t xml:space="preserve"> consolidated financial statements</w:t>
      </w:r>
      <w:r w:rsidR="00331205">
        <w:t xml:space="preserve">; </w:t>
      </w:r>
      <w:r w:rsidR="003856FE">
        <w:t>t</w:t>
      </w:r>
      <w:r w:rsidR="00F12FBB">
        <w:t>hese a</w:t>
      </w:r>
      <w:r w:rsidR="00A03404">
        <w:t xml:space="preserve">ccounting standards </w:t>
      </w:r>
      <w:r w:rsidR="00F12FBB">
        <w:t>were</w:t>
      </w:r>
      <w:r w:rsidR="00A03404">
        <w:t xml:space="preserve"> publicly available at: </w:t>
      </w:r>
      <w:r w:rsidR="00D01CD3" w:rsidRPr="00DD246A">
        <w:t>https://aasb.gov.au/pronouncements/accounting-standards</w:t>
      </w:r>
      <w:r w:rsidR="00562D5C">
        <w:t xml:space="preserve">/ </w:t>
      </w:r>
    </w:p>
    <w:p w14:paraId="70156A83" w14:textId="6192ADC0" w:rsidR="00D27C49" w:rsidRDefault="00D27C49" w:rsidP="00D27C49">
      <w:pPr>
        <w:pStyle w:val="Normalparatextwithnumbers"/>
      </w:pPr>
      <w:r>
        <w:t>Alongside the general reporting obligations, directors</w:t>
      </w:r>
      <w:r w:rsidR="00F52265">
        <w:t>, c</w:t>
      </w:r>
      <w:r w:rsidR="00B771C0">
        <w:t>hief executive officers and chief financial officers</w:t>
      </w:r>
      <w:r>
        <w:t xml:space="preserve"> must also declare that the consolidated entity statement is in their opinion a</w:t>
      </w:r>
      <w:r w:rsidR="00407BC0">
        <w:t>re</w:t>
      </w:r>
      <w:r>
        <w:t xml:space="preserve"> true and correct.</w:t>
      </w:r>
    </w:p>
    <w:p w14:paraId="768A8845" w14:textId="725C47C3" w:rsidR="00D27C49" w:rsidRPr="002D334B" w:rsidRDefault="00D27C49" w:rsidP="00D27C49">
      <w:pPr>
        <w:pStyle w:val="Normalparatextwithnumbers"/>
        <w:numPr>
          <w:ilvl w:val="0"/>
          <w:numId w:val="0"/>
        </w:numPr>
        <w:ind w:left="709"/>
        <w:rPr>
          <w:rStyle w:val="References"/>
        </w:rPr>
      </w:pPr>
      <w:r w:rsidRPr="002D334B">
        <w:rPr>
          <w:rStyle w:val="References"/>
        </w:rPr>
        <w:t>[</w:t>
      </w:r>
      <w:r>
        <w:rPr>
          <w:rStyle w:val="References"/>
        </w:rPr>
        <w:t>Schedule #, item #, paragraph</w:t>
      </w:r>
      <w:r w:rsidR="00407BC0">
        <w:rPr>
          <w:rStyle w:val="References"/>
        </w:rPr>
        <w:t>s</w:t>
      </w:r>
      <w:r>
        <w:rPr>
          <w:rStyle w:val="References"/>
        </w:rPr>
        <w:t xml:space="preserve"> 295(</w:t>
      </w:r>
      <w:proofErr w:type="gramStart"/>
      <w:r w:rsidR="00FC2634">
        <w:rPr>
          <w:rStyle w:val="References"/>
        </w:rPr>
        <w:t>4</w:t>
      </w:r>
      <w:r>
        <w:rPr>
          <w:rStyle w:val="References"/>
        </w:rPr>
        <w:t>)(</w:t>
      </w:r>
      <w:proofErr w:type="gramEnd"/>
      <w:r w:rsidR="00FC2634">
        <w:rPr>
          <w:rStyle w:val="References"/>
        </w:rPr>
        <w:t>da</w:t>
      </w:r>
      <w:r>
        <w:rPr>
          <w:rStyle w:val="References"/>
        </w:rPr>
        <w:t>)</w:t>
      </w:r>
      <w:r w:rsidR="00FC2634">
        <w:rPr>
          <w:rStyle w:val="References"/>
        </w:rPr>
        <w:t xml:space="preserve"> and 295A(2)(ca)</w:t>
      </w:r>
      <w:r w:rsidRPr="002D334B">
        <w:rPr>
          <w:rStyle w:val="References"/>
        </w:rPr>
        <w:t>]</w:t>
      </w:r>
    </w:p>
    <w:p w14:paraId="4AA27A27" w14:textId="77777777" w:rsidR="00873094" w:rsidRPr="00020288" w:rsidRDefault="00873094" w:rsidP="00AF50CE">
      <w:pPr>
        <w:pStyle w:val="Heading2"/>
      </w:pPr>
      <w:bookmarkStart w:id="43" w:name="_Toc78193246"/>
      <w:bookmarkStart w:id="44" w:name="_Toc78193403"/>
      <w:bookmarkStart w:id="45" w:name="_Toc78548476"/>
      <w:bookmarkStart w:id="46" w:name="_Toc78549747"/>
      <w:bookmarkStart w:id="47" w:name="_Toc78549791"/>
      <w:r w:rsidRPr="00020288">
        <w:lastRenderedPageBreak/>
        <w:t xml:space="preserve">Commencement, </w:t>
      </w:r>
      <w:r w:rsidRPr="00AF50CE">
        <w:t>application</w:t>
      </w:r>
      <w:r w:rsidRPr="00020288">
        <w:t>, and transitional provisions</w:t>
      </w:r>
    </w:p>
    <w:p w14:paraId="563515D7" w14:textId="25BAD42F" w:rsidR="00873094" w:rsidRDefault="004E69C8" w:rsidP="00873094">
      <w:pPr>
        <w:pStyle w:val="Normalparatextwithnumbers"/>
        <w:numPr>
          <w:ilvl w:val="1"/>
          <w:numId w:val="3"/>
        </w:numPr>
      </w:pPr>
      <w:r>
        <w:t xml:space="preserve">The amendments apply to financial statements prepared </w:t>
      </w:r>
      <w:r w:rsidR="00E861AE">
        <w:t>by</w:t>
      </w:r>
      <w:r w:rsidR="00486768">
        <w:t xml:space="preserve"> public</w:t>
      </w:r>
      <w:r w:rsidR="00E861AE">
        <w:t xml:space="preserve"> companies </w:t>
      </w:r>
      <w:r>
        <w:t xml:space="preserve">for </w:t>
      </w:r>
      <w:r w:rsidR="00E861AE">
        <w:t xml:space="preserve">each </w:t>
      </w:r>
      <w:r>
        <w:t>financial year commencing on or after 1 July 2023.</w:t>
      </w:r>
    </w:p>
    <w:p w14:paraId="4F969947" w14:textId="578F6EEB" w:rsidR="00460080" w:rsidRPr="00460080" w:rsidRDefault="00471162" w:rsidP="00460080">
      <w:pPr>
        <w:pStyle w:val="Normalparatextwithnumbers"/>
        <w:numPr>
          <w:ilvl w:val="0"/>
          <w:numId w:val="0"/>
        </w:numPr>
        <w:ind w:left="709"/>
        <w:rPr>
          <w:rStyle w:val="References"/>
        </w:rPr>
      </w:pPr>
      <w:r>
        <w:rPr>
          <w:rStyle w:val="References"/>
        </w:rPr>
        <w:t>[Schedule #, item #, section 1700]</w:t>
      </w:r>
      <w:bookmarkEnd w:id="6"/>
      <w:bookmarkEnd w:id="43"/>
      <w:bookmarkEnd w:id="44"/>
      <w:bookmarkEnd w:id="45"/>
      <w:bookmarkEnd w:id="46"/>
      <w:bookmarkEnd w:id="47"/>
    </w:p>
    <w:sectPr w:rsidR="00460080" w:rsidRPr="00460080" w:rsidSect="00000BFC">
      <w:headerReference w:type="even" r:id="rId22"/>
      <w:headerReference w:type="default" r:id="rId23"/>
      <w:headerReference w:type="first" r:id="rId24"/>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1BF9" w14:textId="77777777" w:rsidR="000C70CF" w:rsidRDefault="000C70CF">
      <w:pPr>
        <w:spacing w:before="0" w:after="0"/>
      </w:pPr>
      <w:r>
        <w:separator/>
      </w:r>
    </w:p>
  </w:endnote>
  <w:endnote w:type="continuationSeparator" w:id="0">
    <w:p w14:paraId="327F543E" w14:textId="77777777" w:rsidR="000C70CF" w:rsidRDefault="000C70CF">
      <w:pPr>
        <w:spacing w:before="0" w:after="0"/>
      </w:pPr>
      <w:r>
        <w:continuationSeparator/>
      </w:r>
    </w:p>
  </w:endnote>
  <w:endnote w:type="continuationNotice" w:id="1">
    <w:p w14:paraId="0A395A7A" w14:textId="77777777" w:rsidR="000C70CF" w:rsidRDefault="000C70C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itica">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DF26"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FE90"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3188" w14:textId="77777777" w:rsidR="007A2DBD" w:rsidRPr="00091474" w:rsidRDefault="007A2DBD" w:rsidP="00DD58B5">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CC235" w14:textId="77777777" w:rsidR="000C70CF" w:rsidRDefault="000C70CF">
      <w:pPr>
        <w:spacing w:before="0" w:after="0"/>
      </w:pPr>
      <w:r>
        <w:separator/>
      </w:r>
    </w:p>
  </w:footnote>
  <w:footnote w:type="continuationSeparator" w:id="0">
    <w:p w14:paraId="07612387" w14:textId="77777777" w:rsidR="000C70CF" w:rsidRDefault="000C70CF">
      <w:pPr>
        <w:spacing w:before="0" w:after="0"/>
      </w:pPr>
      <w:r>
        <w:continuationSeparator/>
      </w:r>
    </w:p>
  </w:footnote>
  <w:footnote w:type="continuationNotice" w:id="1">
    <w:p w14:paraId="793BC8D6" w14:textId="77777777" w:rsidR="000C70CF" w:rsidRDefault="000C70C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Content>
      <w:p w14:paraId="1A1AB0F9" w14:textId="77777777" w:rsidR="007A2DBD" w:rsidRDefault="00000000">
        <w:pPr>
          <w:pStyle w:val="Header"/>
        </w:pPr>
        <w:r>
          <w:rPr>
            <w:noProof/>
          </w:rPr>
          <w:pict w14:anchorId="61A71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EC91"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C790"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9FAC" w14:textId="3060A5CA"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FC284C">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D23A"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3112" w14:textId="58B77CC7" w:rsidR="007A2DBD" w:rsidRPr="00816825" w:rsidRDefault="00000000" w:rsidP="002425D9">
    <w:pPr>
      <w:pStyle w:val="leftheader"/>
    </w:pPr>
    <w:fldSimple w:instr=" STYLEREF  &quot;Heading 1&quot;  \* MERGEFORMAT ">
      <w:r w:rsidR="00EF3113" w:rsidRPr="00EF3113">
        <w:rPr>
          <w:noProof/>
          <w:lang w:val="en-US"/>
        </w:rPr>
        <w:t>Glossary</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634C" w14:textId="77777777" w:rsidR="007A2DBD" w:rsidRPr="00091474" w:rsidRDefault="007A2DBD"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D874"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8D6B" w14:textId="2E099B3E" w:rsidR="007A2DBD" w:rsidRPr="00DD58B5" w:rsidRDefault="00000000" w:rsidP="00DD58B5">
    <w:pPr>
      <w:pStyle w:val="leftheader"/>
    </w:pPr>
    <w:fldSimple w:instr=" STYLEREF &quot;Chapter heading&quot; \* MERGEFORMAT ">
      <w:r w:rsidR="00EF3113">
        <w:rPr>
          <w:noProof/>
        </w:rPr>
        <w:t>Multinational Tax Transparency - disclosure of subsidiaries</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4421" w14:textId="3842BF81" w:rsidR="007A2DBD" w:rsidRPr="00A74B1A" w:rsidRDefault="00000000" w:rsidP="00A74B1A">
    <w:pPr>
      <w:pStyle w:val="rightheader"/>
    </w:pPr>
    <w:fldSimple w:instr=" STYLEREF &quot;Bill Name&quot; \* MERGEFORMAT ">
      <w:r w:rsidR="00EF3113">
        <w:rPr>
          <w:noProof/>
        </w:rPr>
        <w:t>Treasury Laws Amendment (Measures for Consultation) Bill 2023: Multinational Tax Transparency – Disclosure of Subsidiaries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3407D11"/>
    <w:multiLevelType w:val="hybridMultilevel"/>
    <w:tmpl w:val="2E0C0FB8"/>
    <w:lvl w:ilvl="0" w:tplc="684CBFC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BBD8CBD2"/>
    <w:lvl w:ilvl="0" w:tplc="F154CDD8">
      <w:start w:val="1"/>
      <w:numFmt w:val="bullet"/>
      <w:pStyle w:val="Dotpoint1"/>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5FBC7E8D"/>
    <w:multiLevelType w:val="singleLevel"/>
    <w:tmpl w:val="0A9C6B80"/>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10"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6576894">
    <w:abstractNumId w:val="0"/>
  </w:num>
  <w:num w:numId="2" w16cid:durableId="696856302">
    <w:abstractNumId w:val="12"/>
  </w:num>
  <w:num w:numId="3" w16cid:durableId="9162834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164592728">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00319284">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904334298">
    <w:abstractNumId w:val="4"/>
  </w:num>
  <w:num w:numId="7" w16cid:durableId="292833065">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491213604">
    <w:abstractNumId w:val="5"/>
  </w:num>
  <w:num w:numId="9" w16cid:durableId="1184855494">
    <w:abstractNumId w:val="14"/>
  </w:num>
  <w:num w:numId="10" w16cid:durableId="1339116399">
    <w:abstractNumId w:val="7"/>
  </w:num>
  <w:num w:numId="11" w16cid:durableId="1570651890">
    <w:abstractNumId w:val="6"/>
  </w:num>
  <w:num w:numId="12" w16cid:durableId="653876310">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348483821">
    <w:abstractNumId w:val="12"/>
  </w:num>
  <w:num w:numId="14" w16cid:durableId="726489703">
    <w:abstractNumId w:val="10"/>
  </w:num>
  <w:num w:numId="15" w16cid:durableId="1680081915">
    <w:abstractNumId w:val="11"/>
  </w:num>
  <w:num w:numId="16" w16cid:durableId="1138306765">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2133744089">
    <w:abstractNumId w:val="5"/>
  </w:num>
  <w:num w:numId="18" w16cid:durableId="119806251">
    <w:abstractNumId w:val="2"/>
  </w:num>
  <w:num w:numId="19" w16cid:durableId="2080707672">
    <w:abstractNumId w:val="8"/>
  </w:num>
  <w:num w:numId="20" w16cid:durableId="830373528">
    <w:abstractNumId w:val="13"/>
  </w:num>
  <w:num w:numId="21" w16cid:durableId="26568951">
    <w:abstractNumId w:val="12"/>
  </w:num>
  <w:num w:numId="22" w16cid:durableId="274294925">
    <w:abstractNumId w:val="1"/>
  </w:num>
  <w:num w:numId="23" w16cid:durableId="2027713406">
    <w:abstractNumId w:val="9"/>
  </w:num>
  <w:num w:numId="24" w16cid:durableId="1733888978">
    <w:abstractNumId w:val="4"/>
  </w:num>
  <w:num w:numId="25" w16cid:durableId="1370765498">
    <w:abstractNumId w:val="3"/>
  </w:num>
  <w:num w:numId="26" w16cid:durableId="1835997175">
    <w:abstractNumId w:val="5"/>
  </w:num>
  <w:num w:numId="27" w16cid:durableId="240913573">
    <w:abstractNumId w:val="5"/>
  </w:num>
  <w:num w:numId="28" w16cid:durableId="255941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E2"/>
    <w:rsid w:val="00000BFC"/>
    <w:rsid w:val="00012BC3"/>
    <w:rsid w:val="00017B8A"/>
    <w:rsid w:val="00021DAA"/>
    <w:rsid w:val="00040058"/>
    <w:rsid w:val="00041348"/>
    <w:rsid w:val="00047FF2"/>
    <w:rsid w:val="000649B1"/>
    <w:rsid w:val="000757A3"/>
    <w:rsid w:val="00087F47"/>
    <w:rsid w:val="00087FE9"/>
    <w:rsid w:val="00090A2C"/>
    <w:rsid w:val="000A3230"/>
    <w:rsid w:val="000B6B3E"/>
    <w:rsid w:val="000B7D6E"/>
    <w:rsid w:val="000C70CF"/>
    <w:rsid w:val="000D4CC3"/>
    <w:rsid w:val="000E4D39"/>
    <w:rsid w:val="000E521B"/>
    <w:rsid w:val="00105E85"/>
    <w:rsid w:val="001064C7"/>
    <w:rsid w:val="00106FDC"/>
    <w:rsid w:val="00113574"/>
    <w:rsid w:val="00115509"/>
    <w:rsid w:val="00116EE2"/>
    <w:rsid w:val="001227A2"/>
    <w:rsid w:val="0013299D"/>
    <w:rsid w:val="00141701"/>
    <w:rsid w:val="00157FCF"/>
    <w:rsid w:val="00160D46"/>
    <w:rsid w:val="00163457"/>
    <w:rsid w:val="00170C78"/>
    <w:rsid w:val="001741A2"/>
    <w:rsid w:val="00190202"/>
    <w:rsid w:val="00195D1C"/>
    <w:rsid w:val="001A450F"/>
    <w:rsid w:val="001B04DA"/>
    <w:rsid w:val="001B07FA"/>
    <w:rsid w:val="001B1306"/>
    <w:rsid w:val="001C5CBF"/>
    <w:rsid w:val="001E01BF"/>
    <w:rsid w:val="001E3421"/>
    <w:rsid w:val="00230C17"/>
    <w:rsid w:val="0023409D"/>
    <w:rsid w:val="002425D9"/>
    <w:rsid w:val="00242B2A"/>
    <w:rsid w:val="0024784F"/>
    <w:rsid w:val="00250844"/>
    <w:rsid w:val="00260B8B"/>
    <w:rsid w:val="0026757D"/>
    <w:rsid w:val="002704BC"/>
    <w:rsid w:val="00274D5C"/>
    <w:rsid w:val="00276753"/>
    <w:rsid w:val="00280FA9"/>
    <w:rsid w:val="002830F1"/>
    <w:rsid w:val="002872AB"/>
    <w:rsid w:val="002935AC"/>
    <w:rsid w:val="00294FB3"/>
    <w:rsid w:val="00297081"/>
    <w:rsid w:val="002A2137"/>
    <w:rsid w:val="002A52E5"/>
    <w:rsid w:val="002B0B67"/>
    <w:rsid w:val="002B13DC"/>
    <w:rsid w:val="002B1D9E"/>
    <w:rsid w:val="002B623C"/>
    <w:rsid w:val="002B6F60"/>
    <w:rsid w:val="002C78D6"/>
    <w:rsid w:val="002D080A"/>
    <w:rsid w:val="002D334B"/>
    <w:rsid w:val="002D43B9"/>
    <w:rsid w:val="002E1804"/>
    <w:rsid w:val="002E71AB"/>
    <w:rsid w:val="002F1CB0"/>
    <w:rsid w:val="002F4B60"/>
    <w:rsid w:val="002F5302"/>
    <w:rsid w:val="00315D81"/>
    <w:rsid w:val="00315FB1"/>
    <w:rsid w:val="00322FFD"/>
    <w:rsid w:val="00331205"/>
    <w:rsid w:val="003378AF"/>
    <w:rsid w:val="003510A8"/>
    <w:rsid w:val="00351274"/>
    <w:rsid w:val="00351D4D"/>
    <w:rsid w:val="003556BF"/>
    <w:rsid w:val="0036790F"/>
    <w:rsid w:val="00384250"/>
    <w:rsid w:val="003856FE"/>
    <w:rsid w:val="00387402"/>
    <w:rsid w:val="0039391C"/>
    <w:rsid w:val="003971ED"/>
    <w:rsid w:val="003A0372"/>
    <w:rsid w:val="003F1AD7"/>
    <w:rsid w:val="00407BC0"/>
    <w:rsid w:val="00414017"/>
    <w:rsid w:val="00417411"/>
    <w:rsid w:val="00427EDF"/>
    <w:rsid w:val="00430A32"/>
    <w:rsid w:val="0044204B"/>
    <w:rsid w:val="00443904"/>
    <w:rsid w:val="00457549"/>
    <w:rsid w:val="00460080"/>
    <w:rsid w:val="004603EF"/>
    <w:rsid w:val="004662E5"/>
    <w:rsid w:val="00471162"/>
    <w:rsid w:val="004754DE"/>
    <w:rsid w:val="0047593B"/>
    <w:rsid w:val="00477C04"/>
    <w:rsid w:val="00485FD0"/>
    <w:rsid w:val="00486768"/>
    <w:rsid w:val="00492729"/>
    <w:rsid w:val="00496642"/>
    <w:rsid w:val="00496C21"/>
    <w:rsid w:val="004971E2"/>
    <w:rsid w:val="004A120F"/>
    <w:rsid w:val="004B1C70"/>
    <w:rsid w:val="004B1F33"/>
    <w:rsid w:val="004C1AE9"/>
    <w:rsid w:val="004C4742"/>
    <w:rsid w:val="004C6ED8"/>
    <w:rsid w:val="004D2034"/>
    <w:rsid w:val="004E69C8"/>
    <w:rsid w:val="004F23C3"/>
    <w:rsid w:val="004F7C15"/>
    <w:rsid w:val="00505347"/>
    <w:rsid w:val="005066F5"/>
    <w:rsid w:val="0051558E"/>
    <w:rsid w:val="00516AC6"/>
    <w:rsid w:val="00517D6E"/>
    <w:rsid w:val="005225FE"/>
    <w:rsid w:val="00531087"/>
    <w:rsid w:val="00531C67"/>
    <w:rsid w:val="005356CB"/>
    <w:rsid w:val="005515C0"/>
    <w:rsid w:val="00562D5C"/>
    <w:rsid w:val="0056675C"/>
    <w:rsid w:val="0057163B"/>
    <w:rsid w:val="00574671"/>
    <w:rsid w:val="0059200B"/>
    <w:rsid w:val="00593CFE"/>
    <w:rsid w:val="005A3AA3"/>
    <w:rsid w:val="005A79BC"/>
    <w:rsid w:val="005B5C97"/>
    <w:rsid w:val="005C2BD1"/>
    <w:rsid w:val="005D0844"/>
    <w:rsid w:val="005D169F"/>
    <w:rsid w:val="005D5F12"/>
    <w:rsid w:val="005E1542"/>
    <w:rsid w:val="006042C2"/>
    <w:rsid w:val="00622763"/>
    <w:rsid w:val="006235C8"/>
    <w:rsid w:val="00624905"/>
    <w:rsid w:val="00630725"/>
    <w:rsid w:val="0063439D"/>
    <w:rsid w:val="006364FA"/>
    <w:rsid w:val="00642420"/>
    <w:rsid w:val="006479AC"/>
    <w:rsid w:val="00677F95"/>
    <w:rsid w:val="00683847"/>
    <w:rsid w:val="006A2BC6"/>
    <w:rsid w:val="006C192F"/>
    <w:rsid w:val="006C40A4"/>
    <w:rsid w:val="006C67F6"/>
    <w:rsid w:val="006E0237"/>
    <w:rsid w:val="006E699E"/>
    <w:rsid w:val="006F371F"/>
    <w:rsid w:val="007145E8"/>
    <w:rsid w:val="0071656A"/>
    <w:rsid w:val="007279E6"/>
    <w:rsid w:val="007316F6"/>
    <w:rsid w:val="00731BE4"/>
    <w:rsid w:val="0073326A"/>
    <w:rsid w:val="00734238"/>
    <w:rsid w:val="007425BF"/>
    <w:rsid w:val="007426A8"/>
    <w:rsid w:val="007479A1"/>
    <w:rsid w:val="00752137"/>
    <w:rsid w:val="00752190"/>
    <w:rsid w:val="00763484"/>
    <w:rsid w:val="00766AE2"/>
    <w:rsid w:val="00766B37"/>
    <w:rsid w:val="00777A92"/>
    <w:rsid w:val="00777DCC"/>
    <w:rsid w:val="007850A3"/>
    <w:rsid w:val="007A2DBD"/>
    <w:rsid w:val="007B1509"/>
    <w:rsid w:val="007B6304"/>
    <w:rsid w:val="007C1F94"/>
    <w:rsid w:val="007C40B2"/>
    <w:rsid w:val="007C6371"/>
    <w:rsid w:val="007C7022"/>
    <w:rsid w:val="007D0737"/>
    <w:rsid w:val="007E1ED8"/>
    <w:rsid w:val="007E62B0"/>
    <w:rsid w:val="007F3B53"/>
    <w:rsid w:val="008032AB"/>
    <w:rsid w:val="00806DC6"/>
    <w:rsid w:val="008111C7"/>
    <w:rsid w:val="008132B7"/>
    <w:rsid w:val="0082284C"/>
    <w:rsid w:val="00840882"/>
    <w:rsid w:val="008435D1"/>
    <w:rsid w:val="00854042"/>
    <w:rsid w:val="00870071"/>
    <w:rsid w:val="00873094"/>
    <w:rsid w:val="00883A1C"/>
    <w:rsid w:val="008919A6"/>
    <w:rsid w:val="00892420"/>
    <w:rsid w:val="008A5A27"/>
    <w:rsid w:val="008B0AEE"/>
    <w:rsid w:val="008C5717"/>
    <w:rsid w:val="008D269D"/>
    <w:rsid w:val="008E3DC9"/>
    <w:rsid w:val="009017D7"/>
    <w:rsid w:val="00905153"/>
    <w:rsid w:val="00907EB9"/>
    <w:rsid w:val="00926D24"/>
    <w:rsid w:val="009275EE"/>
    <w:rsid w:val="00935571"/>
    <w:rsid w:val="00945DEC"/>
    <w:rsid w:val="00963479"/>
    <w:rsid w:val="00966650"/>
    <w:rsid w:val="009673E0"/>
    <w:rsid w:val="00967DC0"/>
    <w:rsid w:val="009732E4"/>
    <w:rsid w:val="009747C3"/>
    <w:rsid w:val="0099381D"/>
    <w:rsid w:val="009A0D0C"/>
    <w:rsid w:val="009A1994"/>
    <w:rsid w:val="009A21FF"/>
    <w:rsid w:val="009A602C"/>
    <w:rsid w:val="009B1938"/>
    <w:rsid w:val="009C08AD"/>
    <w:rsid w:val="009D095E"/>
    <w:rsid w:val="009E44D9"/>
    <w:rsid w:val="009F3FA5"/>
    <w:rsid w:val="00A03404"/>
    <w:rsid w:val="00A04BF2"/>
    <w:rsid w:val="00A07C8D"/>
    <w:rsid w:val="00A13BEA"/>
    <w:rsid w:val="00A14B48"/>
    <w:rsid w:val="00A26C75"/>
    <w:rsid w:val="00A278CE"/>
    <w:rsid w:val="00A444AF"/>
    <w:rsid w:val="00A50270"/>
    <w:rsid w:val="00A5268C"/>
    <w:rsid w:val="00A61ADF"/>
    <w:rsid w:val="00A62A31"/>
    <w:rsid w:val="00A63A51"/>
    <w:rsid w:val="00A70F09"/>
    <w:rsid w:val="00A7111A"/>
    <w:rsid w:val="00A74B1A"/>
    <w:rsid w:val="00A855B9"/>
    <w:rsid w:val="00A85CDE"/>
    <w:rsid w:val="00A91794"/>
    <w:rsid w:val="00A9588A"/>
    <w:rsid w:val="00AA2654"/>
    <w:rsid w:val="00AA78C4"/>
    <w:rsid w:val="00AC3AD8"/>
    <w:rsid w:val="00AD5835"/>
    <w:rsid w:val="00AE66AC"/>
    <w:rsid w:val="00AF50CE"/>
    <w:rsid w:val="00AF7CC4"/>
    <w:rsid w:val="00B06C7A"/>
    <w:rsid w:val="00B07271"/>
    <w:rsid w:val="00B07AAC"/>
    <w:rsid w:val="00B15931"/>
    <w:rsid w:val="00B255C5"/>
    <w:rsid w:val="00B2643F"/>
    <w:rsid w:val="00B2784B"/>
    <w:rsid w:val="00B302AA"/>
    <w:rsid w:val="00B36649"/>
    <w:rsid w:val="00B61EF2"/>
    <w:rsid w:val="00B65CF9"/>
    <w:rsid w:val="00B7393A"/>
    <w:rsid w:val="00B771C0"/>
    <w:rsid w:val="00B77D03"/>
    <w:rsid w:val="00B8187E"/>
    <w:rsid w:val="00B87DC8"/>
    <w:rsid w:val="00B912EB"/>
    <w:rsid w:val="00B96479"/>
    <w:rsid w:val="00BA54C2"/>
    <w:rsid w:val="00BC2E4A"/>
    <w:rsid w:val="00BC3F1E"/>
    <w:rsid w:val="00BD0751"/>
    <w:rsid w:val="00BD38FF"/>
    <w:rsid w:val="00BE06ED"/>
    <w:rsid w:val="00BE5BC9"/>
    <w:rsid w:val="00C06AF6"/>
    <w:rsid w:val="00C2087B"/>
    <w:rsid w:val="00C2649F"/>
    <w:rsid w:val="00C32249"/>
    <w:rsid w:val="00C57052"/>
    <w:rsid w:val="00C62D89"/>
    <w:rsid w:val="00C63169"/>
    <w:rsid w:val="00C73CA2"/>
    <w:rsid w:val="00C93E28"/>
    <w:rsid w:val="00CA2352"/>
    <w:rsid w:val="00CB3CB6"/>
    <w:rsid w:val="00CB4F57"/>
    <w:rsid w:val="00CB5514"/>
    <w:rsid w:val="00CC0025"/>
    <w:rsid w:val="00CD3358"/>
    <w:rsid w:val="00CE2639"/>
    <w:rsid w:val="00CE5B6B"/>
    <w:rsid w:val="00CF04CD"/>
    <w:rsid w:val="00CF0A59"/>
    <w:rsid w:val="00CF16E1"/>
    <w:rsid w:val="00CF6524"/>
    <w:rsid w:val="00D01CD3"/>
    <w:rsid w:val="00D02601"/>
    <w:rsid w:val="00D04320"/>
    <w:rsid w:val="00D04933"/>
    <w:rsid w:val="00D21386"/>
    <w:rsid w:val="00D21B7A"/>
    <w:rsid w:val="00D27C49"/>
    <w:rsid w:val="00D310A2"/>
    <w:rsid w:val="00D33AF3"/>
    <w:rsid w:val="00D3427E"/>
    <w:rsid w:val="00D34E72"/>
    <w:rsid w:val="00D366DF"/>
    <w:rsid w:val="00D4083B"/>
    <w:rsid w:val="00D42515"/>
    <w:rsid w:val="00D42DB9"/>
    <w:rsid w:val="00D525C9"/>
    <w:rsid w:val="00D62D5A"/>
    <w:rsid w:val="00D7166A"/>
    <w:rsid w:val="00D71A86"/>
    <w:rsid w:val="00D728FD"/>
    <w:rsid w:val="00D750C3"/>
    <w:rsid w:val="00D85918"/>
    <w:rsid w:val="00D85956"/>
    <w:rsid w:val="00D85D04"/>
    <w:rsid w:val="00D92D54"/>
    <w:rsid w:val="00DA1578"/>
    <w:rsid w:val="00DA3496"/>
    <w:rsid w:val="00DA4132"/>
    <w:rsid w:val="00DB0A95"/>
    <w:rsid w:val="00DB5207"/>
    <w:rsid w:val="00DD246A"/>
    <w:rsid w:val="00DD58B5"/>
    <w:rsid w:val="00DD6655"/>
    <w:rsid w:val="00DD6CB7"/>
    <w:rsid w:val="00DE2A00"/>
    <w:rsid w:val="00DE5BE7"/>
    <w:rsid w:val="00DE6EBD"/>
    <w:rsid w:val="00DF5D0C"/>
    <w:rsid w:val="00DF647C"/>
    <w:rsid w:val="00E020D6"/>
    <w:rsid w:val="00E1142A"/>
    <w:rsid w:val="00E17D90"/>
    <w:rsid w:val="00E20B9B"/>
    <w:rsid w:val="00E2336E"/>
    <w:rsid w:val="00E24AA1"/>
    <w:rsid w:val="00E26B56"/>
    <w:rsid w:val="00E27D54"/>
    <w:rsid w:val="00E326A8"/>
    <w:rsid w:val="00E4234D"/>
    <w:rsid w:val="00E435F8"/>
    <w:rsid w:val="00E46AEA"/>
    <w:rsid w:val="00E46B82"/>
    <w:rsid w:val="00E50554"/>
    <w:rsid w:val="00E57971"/>
    <w:rsid w:val="00E722E7"/>
    <w:rsid w:val="00E72862"/>
    <w:rsid w:val="00E73696"/>
    <w:rsid w:val="00E7751B"/>
    <w:rsid w:val="00E861AE"/>
    <w:rsid w:val="00E92E7C"/>
    <w:rsid w:val="00E93DEB"/>
    <w:rsid w:val="00E95EB2"/>
    <w:rsid w:val="00ED0115"/>
    <w:rsid w:val="00ED0246"/>
    <w:rsid w:val="00ED0699"/>
    <w:rsid w:val="00ED2FE6"/>
    <w:rsid w:val="00ED5E39"/>
    <w:rsid w:val="00EE037A"/>
    <w:rsid w:val="00EF0E5B"/>
    <w:rsid w:val="00EF30DE"/>
    <w:rsid w:val="00EF3113"/>
    <w:rsid w:val="00EF62D2"/>
    <w:rsid w:val="00EF6DB8"/>
    <w:rsid w:val="00F00328"/>
    <w:rsid w:val="00F04C67"/>
    <w:rsid w:val="00F0617D"/>
    <w:rsid w:val="00F101FD"/>
    <w:rsid w:val="00F12FBB"/>
    <w:rsid w:val="00F13DE5"/>
    <w:rsid w:val="00F16C15"/>
    <w:rsid w:val="00F209F8"/>
    <w:rsid w:val="00F22F58"/>
    <w:rsid w:val="00F254C2"/>
    <w:rsid w:val="00F426D8"/>
    <w:rsid w:val="00F52265"/>
    <w:rsid w:val="00F554CF"/>
    <w:rsid w:val="00F56D25"/>
    <w:rsid w:val="00F62519"/>
    <w:rsid w:val="00F71310"/>
    <w:rsid w:val="00F72AEE"/>
    <w:rsid w:val="00F76029"/>
    <w:rsid w:val="00FC2634"/>
    <w:rsid w:val="00FC284C"/>
    <w:rsid w:val="00FE2322"/>
    <w:rsid w:val="00FE293C"/>
    <w:rsid w:val="00FE4C0F"/>
    <w:rsid w:val="00FF10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C62D2"/>
  <w15:chartTrackingRefBased/>
  <w15:docId w15:val="{2A9DDCB1-2315-4176-BE6B-9CFFDA8A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A5268C"/>
    <w:rPr>
      <w:sz w:val="16"/>
      <w:szCs w:val="16"/>
    </w:rPr>
  </w:style>
  <w:style w:type="paragraph" w:styleId="CommentText">
    <w:name w:val="annotation text"/>
    <w:basedOn w:val="Normal"/>
    <w:link w:val="CommentTextChar"/>
    <w:uiPriority w:val="99"/>
    <w:semiHidden/>
    <w:unhideWhenUsed/>
    <w:rsid w:val="00A5268C"/>
    <w:rPr>
      <w:sz w:val="20"/>
      <w:szCs w:val="20"/>
    </w:rPr>
  </w:style>
  <w:style w:type="character" w:customStyle="1" w:styleId="CommentTextChar">
    <w:name w:val="Comment Text Char"/>
    <w:basedOn w:val="DefaultParagraphFont"/>
    <w:link w:val="CommentText"/>
    <w:uiPriority w:val="99"/>
    <w:semiHidden/>
    <w:rsid w:val="00A5268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5268C"/>
    <w:rPr>
      <w:b/>
      <w:bCs/>
    </w:rPr>
  </w:style>
  <w:style w:type="character" w:customStyle="1" w:styleId="CommentSubjectChar">
    <w:name w:val="Comment Subject Char"/>
    <w:basedOn w:val="CommentTextChar"/>
    <w:link w:val="CommentSubject"/>
    <w:uiPriority w:val="99"/>
    <w:semiHidden/>
    <w:rsid w:val="00A5268C"/>
    <w:rPr>
      <w:rFonts w:ascii="Times New Roman" w:hAnsi="Times New Roman"/>
      <w:b/>
      <w:bCs/>
      <w:sz w:val="20"/>
      <w:szCs w:val="20"/>
    </w:rPr>
  </w:style>
  <w:style w:type="paragraph" w:customStyle="1" w:styleId="base-text-paragraph">
    <w:name w:val="base-text-paragraph"/>
    <w:link w:val="base-text-paragraphChar"/>
    <w:rsid w:val="00A5268C"/>
    <w:pPr>
      <w:numPr>
        <w:numId w:val="23"/>
      </w:numPr>
      <w:tabs>
        <w:tab w:val="clear" w:pos="1984"/>
        <w:tab w:val="num" w:pos="1276"/>
      </w:tabs>
      <w:spacing w:before="120" w:after="120" w:line="240" w:lineRule="auto"/>
      <w:ind w:left="709"/>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A5268C"/>
    <w:rPr>
      <w:rFonts w:ascii="Times New Roman" w:eastAsia="Times New Roman" w:hAnsi="Times New Roman" w:cs="Times New Roman"/>
      <w:szCs w:val="20"/>
      <w:lang w:eastAsia="en-AU"/>
    </w:rPr>
  </w:style>
  <w:style w:type="paragraph" w:styleId="ListParagraph">
    <w:name w:val="List Paragraph"/>
    <w:basedOn w:val="Normal"/>
    <w:uiPriority w:val="34"/>
    <w:qFormat/>
    <w:rsid w:val="00515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AA73F4CAE9B14BAF4AF27B78F1F7EB" ma:contentTypeVersion="22" ma:contentTypeDescription="Create a new document." ma:contentTypeScope="" ma:versionID="6c471951df1e6b85a5d53ee5edec3e25">
  <xsd:schema xmlns:xsd="http://www.w3.org/2001/XMLSchema" xmlns:xs="http://www.w3.org/2001/XMLSchema" xmlns:p="http://schemas.microsoft.com/office/2006/metadata/properties" xmlns:ns1="http://schemas.microsoft.com/sharepoint/v3" xmlns:ns2="fe39d773-a83d-4623-ae74-f25711a76616" xmlns:ns3="ff38c824-6e29-4496-8487-69f397e7ed29" xmlns:ns4="a289cb20-8bb9-401f-8d7b-706fb1a2988d" targetNamespace="http://schemas.microsoft.com/office/2006/metadata/properties" ma:root="true" ma:fieldsID="9b53fe0912df1d47ff3e87dc3aa3b3ee" ns1:_="" ns2:_="" ns3:_="" ns4:_="">
    <xsd:import namespace="http://schemas.microsoft.com/sharepoint/v3"/>
    <xsd:import namespace="fe39d773-a83d-4623-ae74-f25711a76616"/>
    <xsd:import namespace="ff38c824-6e29-4496-8487-69f397e7ed29"/>
    <xsd:import namespace="a289cb20-8bb9-401f-8d7b-706fb1a2988d"/>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xsd:element ref="ns3:TaxCatchAll" minOccurs="0"/>
                <xsd:element ref="ns3:TaxCatchAllLabel" minOccurs="0"/>
                <xsd:element ref="ns2:e4fe7dcdd1c0411bbf19a4de3665191f"/>
                <xsd:element ref="ns2:gfba5f33532c49208d2320ce38cc3c2b"/>
                <xsd:element ref="ns2:kfc39f3e4e2747ae990d3c8bb74a5a64"/>
                <xsd:element ref="ns2: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3:PT_x002f_Measure_x0020_No." minOccurs="0"/>
                <xsd:element ref="ns1:DocumentSetDescrip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5D7SUYYWNZQE-304961098-412</_dlc_DocId>
    <TaxCatchAll xmlns="ff38c824-6e29-4496-8487-69f397e7ed29">
      <Value>90</Value>
      <Value>75</Value>
      <Value>153</Value>
      <Value>1</Value>
      <Value>28</Value>
    </TaxCatchAll>
    <_dlc_DocIdUrl xmlns="fe39d773-a83d-4623-ae74-f25711a76616">
      <Url>https://austreasury.sharepoint.com/sites/leg-meas-function/_layouts/15/DocIdRedir.aspx?ID=5D7SUYYWNZQE-304961098-412</Url>
      <Description>5D7SUYYWNZQE-304961098-412</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TSY/47/0153</PT_x002f_Measure_x0020_No.>
    <Keydoc xmlns="a289cb20-8bb9-401f-8d7b-706fb1a2988d" xsi:nil="true"/>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Corporate Tax</TermName>
          <TermId xmlns="http://schemas.microsoft.com/office/infopath/2007/PartnerControls">7143b39c-3152-4f03-9a8b-9f25b68e1ca6</TermId>
        </TermInfo>
        <TermInfo xmlns="http://schemas.microsoft.com/office/infopath/2007/PartnerControls">
          <TermName xmlns="http://schemas.microsoft.com/office/infopath/2007/PartnerControls">Corporations Law</TermName>
          <TermId xmlns="http://schemas.microsoft.com/office/infopath/2007/PartnerControls">272b01ba-7d50-447b-a0f2-c5e953189886</TermId>
        </TermInfo>
      </Terms>
    </gfba5f33532c49208d2320ce38cc3c2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2.xml><?xml version="1.0" encoding="utf-8"?>
<ds:datastoreItem xmlns:ds="http://schemas.openxmlformats.org/officeDocument/2006/customXml" ds:itemID="{2B60D2FF-2FBC-4730-AE0C-C0EA3860D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39d773-a83d-4623-ae74-f25711a76616"/>
    <ds:schemaRef ds:uri="ff38c824-6e29-4496-8487-69f397e7ed29"/>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fe39d773-a83d-4623-ae74-f25711a76616"/>
    <ds:schemaRef ds:uri="ff38c824-6e29-4496-8487-69f397e7ed29"/>
    <ds:schemaRef ds:uri="http://schemas.microsoft.com/sharepoint/v3"/>
    <ds:schemaRef ds:uri="a289cb20-8bb9-401f-8d7b-706fb1a2988d"/>
  </ds:schemaRefs>
</ds:datastoreItem>
</file>

<file path=customXml/itemProps4.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5.xml><?xml version="1.0" encoding="utf-8"?>
<ds:datastoreItem xmlns:ds="http://schemas.openxmlformats.org/officeDocument/2006/customXml" ds:itemID="{E1FD7A28-23F3-4F6A-B6CB-EBD0E06FE13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Pri-EM.dotx</Template>
  <TotalTime>5</TotalTime>
  <Pages>10</Pages>
  <Words>1027</Words>
  <Characters>6071</Characters>
  <Application>Microsoft Office Word</Application>
  <DocSecurity>0</DocSecurity>
  <Lines>144</Lines>
  <Paragraphs>62</Paragraphs>
  <ScaleCrop>false</ScaleCrop>
  <HeadingPairs>
    <vt:vector size="2" baseType="variant">
      <vt:variant>
        <vt:lpstr>Title</vt:lpstr>
      </vt:variant>
      <vt:variant>
        <vt:i4>1</vt:i4>
      </vt:variant>
    </vt:vector>
  </HeadingPairs>
  <TitlesOfParts>
    <vt:vector size="1" baseType="lpstr">
      <vt:lpstr>Treasury Laws Amendment (Measures for Consultation) Bill 2023: Multinational Tax Transparency – Disclosure of Subsidiaries - Exposure draft - Explanatory materials</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(Measures for Consultation) Bill 2023: Multinational Tax Transparency – Disclosure of Subsidiaries - Exposure draft - Explanatory materials</dc:title>
  <dc:subject/>
  <dc:creator>Treasury</dc:creator>
  <cp:keywords/>
  <dc:description/>
  <cp:lastModifiedBy>Thompson, Lynette</cp:lastModifiedBy>
  <cp:revision>4</cp:revision>
  <cp:lastPrinted>2023-03-15T23:37:00Z</cp:lastPrinted>
  <dcterms:created xsi:type="dcterms:W3CDTF">2023-03-15T23:37:00Z</dcterms:created>
  <dcterms:modified xsi:type="dcterms:W3CDTF">2023-03-16T06:18:00Z</dcterms:modified>
</cp:coreProperties>
</file>