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C66BE6" w14:paraId="2CE78105" w14:textId="77777777" w:rsidTr="00C66BE6">
        <w:tc>
          <w:tcPr>
            <w:tcW w:w="5000" w:type="pct"/>
            <w:shd w:val="clear" w:color="auto" w:fill="auto"/>
          </w:tcPr>
          <w:p w14:paraId="60E5D1CF" w14:textId="77777777" w:rsidR="00C66BE6" w:rsidRDefault="00C66BE6" w:rsidP="00C66BE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6BAED327" w14:textId="77777777" w:rsidR="00C66BE6" w:rsidRPr="00C66BE6" w:rsidRDefault="00C66BE6" w:rsidP="00C66BE6">
            <w:pPr>
              <w:rPr>
                <w:b/>
                <w:sz w:val="20"/>
              </w:rPr>
            </w:pPr>
          </w:p>
        </w:tc>
      </w:tr>
    </w:tbl>
    <w:p w14:paraId="484D6E6A" w14:textId="77777777" w:rsidR="00C66BE6" w:rsidRDefault="00C66BE6" w:rsidP="003133F0">
      <w:pPr>
        <w:rPr>
          <w:sz w:val="32"/>
          <w:szCs w:val="32"/>
        </w:rPr>
      </w:pPr>
    </w:p>
    <w:p w14:paraId="5D91AAED" w14:textId="77777777" w:rsidR="00664C63" w:rsidRPr="00932FA3" w:rsidRDefault="00664C63" w:rsidP="003133F0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38573ECF" w14:textId="77777777" w:rsidR="00664C63" w:rsidRDefault="00483C20" w:rsidP="003133F0">
      <w:pPr>
        <w:pStyle w:val="ShortT"/>
      </w:pPr>
      <w:r>
        <w:t xml:space="preserve">Treasury Laws Amendment (Measures for </w:t>
      </w:r>
      <w:r w:rsidR="00352737">
        <w:t>Future Bills</w:t>
      </w:r>
      <w:r>
        <w:t>) Bill 2023</w:t>
      </w:r>
      <w:r w:rsidR="00664C63">
        <w:t xml:space="preserve">: </w:t>
      </w:r>
      <w:r w:rsidR="003E6144">
        <w:t>Financial reporting by public companies</w:t>
      </w:r>
    </w:p>
    <w:p w14:paraId="06115695" w14:textId="77777777" w:rsidR="00664C63" w:rsidRDefault="00664C63" w:rsidP="003133F0">
      <w:pPr>
        <w:jc w:val="center"/>
      </w:pPr>
    </w:p>
    <w:p w14:paraId="62333B43" w14:textId="77777777" w:rsidR="00664C63" w:rsidRDefault="00664C63" w:rsidP="003133F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4E298DA9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2756ED3" w14:textId="77777777" w:rsidR="00664C63" w:rsidRPr="00402376" w:rsidRDefault="00664C63" w:rsidP="003133F0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3FBA2F11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2C73A6" w14:textId="77777777" w:rsidR="00664C63" w:rsidRPr="00402376" w:rsidRDefault="00664C63" w:rsidP="003133F0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5D6651" w14:textId="77777777" w:rsidR="00664C63" w:rsidRPr="00402376" w:rsidRDefault="00664C63" w:rsidP="003133F0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B286A" w14:textId="77777777" w:rsidR="00664C63" w:rsidRPr="00402376" w:rsidRDefault="00664C63" w:rsidP="003133F0">
            <w:pPr>
              <w:pStyle w:val="TableHeading"/>
            </w:pPr>
            <w:r w:rsidRPr="00402376">
              <w:t>Column 3</w:t>
            </w:r>
          </w:p>
        </w:tc>
      </w:tr>
      <w:tr w:rsidR="00664C63" w14:paraId="4E16FD90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4AC80BB" w14:textId="77777777" w:rsidR="00664C63" w:rsidRPr="00402376" w:rsidRDefault="00664C63" w:rsidP="003133F0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8D372CE" w14:textId="77777777" w:rsidR="00664C63" w:rsidRPr="00402376" w:rsidRDefault="00664C63" w:rsidP="003133F0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2E81FC0" w14:textId="77777777" w:rsidR="00664C63" w:rsidRPr="00402376" w:rsidRDefault="00664C63" w:rsidP="003133F0">
            <w:pPr>
              <w:pStyle w:val="TableHeading"/>
            </w:pPr>
            <w:r w:rsidRPr="00402376">
              <w:t>Date/Details</w:t>
            </w:r>
          </w:p>
        </w:tc>
      </w:tr>
      <w:tr w:rsidR="00664C63" w14:paraId="32093A04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630A5E0B" w14:textId="77777777" w:rsidR="00664C63" w:rsidRDefault="00664C63" w:rsidP="003133F0">
            <w:pPr>
              <w:pStyle w:val="Tabletext"/>
            </w:pPr>
            <w:r>
              <w:t xml:space="preserve">1.  </w:t>
            </w:r>
            <w:r w:rsidR="00647756">
              <w:t>Schedule #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1FC6B8F2" w14:textId="77777777" w:rsidR="00664C63" w:rsidRDefault="00647756" w:rsidP="003133F0">
            <w:pPr>
              <w:pStyle w:val="Tabletext"/>
            </w:pPr>
            <w:r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25B1D370" w14:textId="77777777" w:rsidR="00664C63" w:rsidRDefault="00664C63" w:rsidP="003133F0">
            <w:pPr>
              <w:pStyle w:val="Tabletext"/>
            </w:pPr>
          </w:p>
        </w:tc>
      </w:tr>
      <w:tr w:rsidR="00664C63" w14:paraId="76D08187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7038C7D" w14:textId="77777777" w:rsidR="00664C63" w:rsidRDefault="00664C63" w:rsidP="003133F0">
            <w:pPr>
              <w:pStyle w:val="Tabletext"/>
            </w:pPr>
            <w:r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4E315381" w14:textId="77777777" w:rsidR="00664C63" w:rsidRDefault="00664C63" w:rsidP="003133F0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555D4943" w14:textId="77777777" w:rsidR="00664C63" w:rsidRDefault="00664C63" w:rsidP="003133F0">
            <w:pPr>
              <w:pStyle w:val="Tabletext"/>
            </w:pPr>
          </w:p>
        </w:tc>
      </w:tr>
      <w:tr w:rsidR="00664C63" w14:paraId="60038411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806115A" w14:textId="77777777" w:rsidR="00664C63" w:rsidRDefault="00664C63" w:rsidP="003133F0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5BD48688" w14:textId="77777777" w:rsidR="00664C63" w:rsidRDefault="00664C63" w:rsidP="003133F0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0339EB46" w14:textId="77777777" w:rsidR="00664C63" w:rsidRDefault="00664C63" w:rsidP="003133F0">
            <w:pPr>
              <w:pStyle w:val="Tabletext"/>
            </w:pPr>
          </w:p>
        </w:tc>
      </w:tr>
    </w:tbl>
    <w:p w14:paraId="01EE5D65" w14:textId="77777777" w:rsidR="0033411C" w:rsidRDefault="00647756" w:rsidP="003133F0">
      <w:pPr>
        <w:pStyle w:val="ActHead6"/>
        <w:pageBreakBefore/>
      </w:pPr>
      <w:r w:rsidRPr="00C66BE6">
        <w:rPr>
          <w:rStyle w:val="CharAmSchNo"/>
        </w:rPr>
        <w:lastRenderedPageBreak/>
        <w:t>Schedule #</w:t>
      </w:r>
      <w:r>
        <w:t>—</w:t>
      </w:r>
      <w:r w:rsidR="003E6144" w:rsidRPr="00C66BE6">
        <w:rPr>
          <w:rStyle w:val="CharAmSchText"/>
        </w:rPr>
        <w:t>Financial reporting by public companies</w:t>
      </w:r>
    </w:p>
    <w:p w14:paraId="30818E4F" w14:textId="77777777" w:rsidR="00647756" w:rsidRPr="00C66BE6" w:rsidRDefault="00647756" w:rsidP="003133F0">
      <w:pPr>
        <w:pStyle w:val="Header"/>
      </w:pPr>
      <w:r w:rsidRPr="00C66BE6">
        <w:rPr>
          <w:rStyle w:val="CharAmPartNo"/>
        </w:rPr>
        <w:t xml:space="preserve"> </w:t>
      </w:r>
      <w:r w:rsidRPr="00C66BE6">
        <w:rPr>
          <w:rStyle w:val="CharAmPartText"/>
        </w:rPr>
        <w:t xml:space="preserve"> </w:t>
      </w:r>
    </w:p>
    <w:p w14:paraId="753D4364" w14:textId="77777777" w:rsidR="00647756" w:rsidRDefault="00647756" w:rsidP="003133F0">
      <w:pPr>
        <w:pStyle w:val="ActHead9"/>
      </w:pPr>
      <w:r>
        <w:t>Corporations Act 2001</w:t>
      </w:r>
    </w:p>
    <w:p w14:paraId="4A4F4A3D" w14:textId="77777777" w:rsidR="006B74EC" w:rsidRDefault="006B74EC" w:rsidP="003133F0">
      <w:pPr>
        <w:pStyle w:val="ItemHead"/>
      </w:pPr>
      <w:r>
        <w:t xml:space="preserve">#  After </w:t>
      </w:r>
      <w:r w:rsidR="003133F0">
        <w:t>paragraph 2</w:t>
      </w:r>
      <w:r>
        <w:t>95(1)(b)</w:t>
      </w:r>
    </w:p>
    <w:p w14:paraId="5EDFEA30" w14:textId="77777777" w:rsidR="006B74EC" w:rsidRDefault="006B74EC" w:rsidP="003133F0">
      <w:pPr>
        <w:pStyle w:val="Item"/>
      </w:pPr>
      <w:r>
        <w:t>Insert:</w:t>
      </w:r>
    </w:p>
    <w:p w14:paraId="4F282015" w14:textId="77777777" w:rsidR="006B74EC" w:rsidRPr="006B74EC" w:rsidRDefault="006B74EC" w:rsidP="003133F0">
      <w:pPr>
        <w:pStyle w:val="paragraph"/>
      </w:pPr>
      <w:r>
        <w:tab/>
        <w:t>(</w:t>
      </w:r>
      <w:proofErr w:type="spellStart"/>
      <w:r>
        <w:t>ba</w:t>
      </w:r>
      <w:proofErr w:type="spellEnd"/>
      <w:r>
        <w:t>)</w:t>
      </w:r>
      <w:r>
        <w:tab/>
        <w:t xml:space="preserve">for a public company—the </w:t>
      </w:r>
      <w:r w:rsidR="00F229C3">
        <w:t xml:space="preserve">consolidated entity </w:t>
      </w:r>
      <w:r w:rsidR="00493340">
        <w:t xml:space="preserve">statement </w:t>
      </w:r>
      <w:r>
        <w:t>required by subsection (</w:t>
      </w:r>
      <w:r w:rsidR="002640AC">
        <w:t>3A</w:t>
      </w:r>
      <w:r>
        <w:t>); and</w:t>
      </w:r>
    </w:p>
    <w:p w14:paraId="5163AE01" w14:textId="77777777" w:rsidR="006B74EC" w:rsidRDefault="006B74EC" w:rsidP="003133F0">
      <w:pPr>
        <w:pStyle w:val="ItemHead"/>
      </w:pPr>
      <w:r>
        <w:t xml:space="preserve">#  After </w:t>
      </w:r>
      <w:r w:rsidR="003133F0">
        <w:t>subsection 2</w:t>
      </w:r>
      <w:r>
        <w:t>95(3)</w:t>
      </w:r>
    </w:p>
    <w:p w14:paraId="7817372C" w14:textId="77777777" w:rsidR="006B74EC" w:rsidRDefault="006B74EC" w:rsidP="003133F0">
      <w:pPr>
        <w:pStyle w:val="Item"/>
      </w:pPr>
      <w:r>
        <w:t>Insert:</w:t>
      </w:r>
    </w:p>
    <w:p w14:paraId="2DAC98E2" w14:textId="77777777" w:rsidR="00743AE7" w:rsidRDefault="00743AE7" w:rsidP="00743AE7">
      <w:pPr>
        <w:pStyle w:val="SubsectionHead"/>
      </w:pPr>
      <w:r>
        <w:t>Consolidated entity statement</w:t>
      </w:r>
    </w:p>
    <w:p w14:paraId="5171E05B" w14:textId="77777777" w:rsidR="00743AE7" w:rsidRDefault="00743AE7" w:rsidP="00743AE7">
      <w:pPr>
        <w:pStyle w:val="subsection"/>
      </w:pPr>
      <w:r>
        <w:tab/>
        <w:t>(3A)</w:t>
      </w:r>
      <w:r>
        <w:tab/>
        <w:t>The consolidated entity statement for a public company’s financial report for a financial year is:</w:t>
      </w:r>
    </w:p>
    <w:p w14:paraId="18B8DD20" w14:textId="77777777" w:rsidR="00743AE7" w:rsidRDefault="00743AE7" w:rsidP="00743AE7">
      <w:pPr>
        <w:pStyle w:val="paragraph"/>
      </w:pPr>
      <w:r>
        <w:tab/>
        <w:t>(a)</w:t>
      </w:r>
      <w:r>
        <w:tab/>
        <w:t xml:space="preserve">if the accounting standards require the public company to prepare financial statements in relation to a consolidated entity—a statement that includes the following information for each entity </w:t>
      </w:r>
      <w:r w:rsidRPr="00017CB6">
        <w:t xml:space="preserve">that </w:t>
      </w:r>
      <w:r w:rsidR="005A309E">
        <w:t>was</w:t>
      </w:r>
      <w:r>
        <w:t>, at the end of the financial year,</w:t>
      </w:r>
      <w:r w:rsidRPr="00017CB6">
        <w:t xml:space="preserve"> </w:t>
      </w:r>
      <w:r>
        <w:t>part of the consolidated entity:</w:t>
      </w:r>
    </w:p>
    <w:p w14:paraId="0707D4D8" w14:textId="77777777" w:rsidR="001D21BA" w:rsidRDefault="00743AE7" w:rsidP="00743AE7">
      <w:pPr>
        <w:pStyle w:val="paragraphsub"/>
      </w:pPr>
      <w:r w:rsidRPr="00404083">
        <w:tab/>
        <w:t>(</w:t>
      </w:r>
      <w:proofErr w:type="spellStart"/>
      <w:r>
        <w:t>i</w:t>
      </w:r>
      <w:proofErr w:type="spellEnd"/>
      <w:r w:rsidRPr="00404083">
        <w:t>)</w:t>
      </w:r>
      <w:r w:rsidRPr="00404083">
        <w:tab/>
        <w:t xml:space="preserve">the </w:t>
      </w:r>
      <w:r>
        <w:t>entity’s</w:t>
      </w:r>
      <w:r w:rsidRPr="00404083">
        <w:t xml:space="preserve"> name</w:t>
      </w:r>
      <w:r>
        <w:t xml:space="preserve"> (if any)</w:t>
      </w:r>
      <w:r w:rsidRPr="00404083">
        <w:t xml:space="preserve"> at t</w:t>
      </w:r>
      <w:r w:rsidR="005A309E">
        <w:t xml:space="preserve">hat </w:t>
      </w:r>
      <w:proofErr w:type="gramStart"/>
      <w:r w:rsidR="005A309E">
        <w:t>time</w:t>
      </w:r>
      <w:r w:rsidRPr="00404083">
        <w:t>;</w:t>
      </w:r>
      <w:proofErr w:type="gramEnd"/>
    </w:p>
    <w:p w14:paraId="527D0922" w14:textId="77777777" w:rsidR="001D21BA" w:rsidRDefault="001D21BA" w:rsidP="00743AE7">
      <w:pPr>
        <w:pStyle w:val="paragraphsub"/>
      </w:pPr>
      <w:r>
        <w:tab/>
        <w:t>(ii)</w:t>
      </w:r>
      <w:r>
        <w:tab/>
        <w:t>whether</w:t>
      </w:r>
      <w:r w:rsidR="00195AC0">
        <w:t>, at that time,</w:t>
      </w:r>
      <w:r w:rsidR="00EA36D9">
        <w:t xml:space="preserve"> </w:t>
      </w:r>
      <w:r>
        <w:t xml:space="preserve">the entity was a body corporate, partnership, </w:t>
      </w:r>
      <w:r w:rsidR="00E86F29">
        <w:t xml:space="preserve">or </w:t>
      </w:r>
      <w:proofErr w:type="gramStart"/>
      <w:r>
        <w:t>trust;</w:t>
      </w:r>
      <w:proofErr w:type="gramEnd"/>
    </w:p>
    <w:p w14:paraId="21D42CB4" w14:textId="77777777" w:rsidR="00E86F29" w:rsidRPr="00404083" w:rsidRDefault="00E86F29" w:rsidP="00743AE7">
      <w:pPr>
        <w:pStyle w:val="paragraphsub"/>
      </w:pPr>
      <w:r>
        <w:tab/>
        <w:t>(iii)</w:t>
      </w:r>
      <w:r>
        <w:tab/>
      </w:r>
      <w:r w:rsidR="00590FDD">
        <w:t>whether, at that time, the</w:t>
      </w:r>
      <w:r>
        <w:t xml:space="preserve"> entity was a trustee of a trust</w:t>
      </w:r>
      <w:r w:rsidR="00590FDD">
        <w:t xml:space="preserve"> within the consolidated entity</w:t>
      </w:r>
      <w:r>
        <w:t xml:space="preserve">, </w:t>
      </w:r>
      <w:r w:rsidR="00590FDD">
        <w:t xml:space="preserve">a </w:t>
      </w:r>
      <w:r>
        <w:t>partner in a partnership</w:t>
      </w:r>
      <w:r w:rsidR="00590FDD">
        <w:t xml:space="preserve"> within the consolidated entity</w:t>
      </w:r>
      <w:r>
        <w:t xml:space="preserve">, or </w:t>
      </w:r>
      <w:r w:rsidR="00590FDD">
        <w:t xml:space="preserve">a </w:t>
      </w:r>
      <w:r>
        <w:t>participant in a joint venture</w:t>
      </w:r>
      <w:r w:rsidR="00590FDD">
        <w:t xml:space="preserve"> within the consolidated </w:t>
      </w:r>
      <w:proofErr w:type="gramStart"/>
      <w:r w:rsidR="00590FDD">
        <w:t>entity</w:t>
      </w:r>
      <w:r>
        <w:t>;</w:t>
      </w:r>
      <w:proofErr w:type="gramEnd"/>
    </w:p>
    <w:p w14:paraId="63C3B694" w14:textId="77777777" w:rsidR="00DF4853" w:rsidRDefault="00DF4853" w:rsidP="00DF4853">
      <w:pPr>
        <w:pStyle w:val="paragraphsub"/>
      </w:pPr>
      <w:r w:rsidRPr="00404083">
        <w:tab/>
        <w:t>(</w:t>
      </w:r>
      <w:r>
        <w:t>i</w:t>
      </w:r>
      <w:r w:rsidR="00E86F29">
        <w:t>v</w:t>
      </w:r>
      <w:r w:rsidRPr="00404083">
        <w:t>)</w:t>
      </w:r>
      <w:r w:rsidRPr="00404083">
        <w:tab/>
      </w:r>
      <w:r>
        <w:t>if the entity is a body corporate—</w:t>
      </w:r>
      <w:r w:rsidRPr="00404083">
        <w:t xml:space="preserve">the place at which the </w:t>
      </w:r>
      <w:r>
        <w:t>entity</w:t>
      </w:r>
      <w:r w:rsidRPr="00404083">
        <w:t xml:space="preserve"> was incorporated or </w:t>
      </w:r>
      <w:proofErr w:type="gramStart"/>
      <w:r w:rsidRPr="00404083">
        <w:t>formed</w:t>
      </w:r>
      <w:r>
        <w:t>;</w:t>
      </w:r>
      <w:proofErr w:type="gramEnd"/>
    </w:p>
    <w:p w14:paraId="664026A7" w14:textId="77777777" w:rsidR="00743AE7" w:rsidRPr="00404083" w:rsidRDefault="00743AE7" w:rsidP="00743AE7">
      <w:pPr>
        <w:pStyle w:val="paragraphsub"/>
      </w:pPr>
      <w:r w:rsidRPr="00404083">
        <w:tab/>
        <w:t>(</w:t>
      </w:r>
      <w:r w:rsidR="00E86F29">
        <w:t>v</w:t>
      </w:r>
      <w:r w:rsidRPr="00404083">
        <w:t>)</w:t>
      </w:r>
      <w:r w:rsidRPr="00404083">
        <w:tab/>
      </w:r>
      <w:r>
        <w:t xml:space="preserve">if the entity </w:t>
      </w:r>
      <w:r w:rsidR="005A309E">
        <w:t>is</w:t>
      </w:r>
      <w:r w:rsidR="006D6237">
        <w:t xml:space="preserve"> a body corporate with</w:t>
      </w:r>
      <w:r w:rsidR="002B7808">
        <w:t xml:space="preserve"> </w:t>
      </w:r>
      <w:r w:rsidR="006D6237">
        <w:t xml:space="preserve">a </w:t>
      </w:r>
      <w:r w:rsidR="002B7808">
        <w:t>share capital</w:t>
      </w:r>
      <w:r>
        <w:t xml:space="preserve">—the percentage of the entity’s issued share capital </w:t>
      </w:r>
      <w:r w:rsidRPr="007E6A9C">
        <w:t>(excluding any part of that issued share capital that carries no right to participate beyond a specified amount in a distribution of either profits or capital)</w:t>
      </w:r>
      <w:r>
        <w:t xml:space="preserve"> that was held by the public company at t</w:t>
      </w:r>
      <w:r w:rsidR="00E95770">
        <w:t xml:space="preserve">hat </w:t>
      </w:r>
      <w:proofErr w:type="gramStart"/>
      <w:r w:rsidR="00E95770">
        <w:t>time</w:t>
      </w:r>
      <w:r w:rsidRPr="00404083">
        <w:t>;</w:t>
      </w:r>
      <w:proofErr w:type="gramEnd"/>
    </w:p>
    <w:p w14:paraId="4617BB2B" w14:textId="77777777" w:rsidR="00F766AD" w:rsidRDefault="00743AE7" w:rsidP="00743AE7">
      <w:pPr>
        <w:pStyle w:val="paragraphsub"/>
      </w:pPr>
      <w:r>
        <w:tab/>
        <w:t>(v</w:t>
      </w:r>
      <w:r w:rsidR="00E86F29">
        <w:t>i</w:t>
      </w:r>
      <w:r>
        <w:t>)</w:t>
      </w:r>
      <w:r>
        <w:tab/>
      </w:r>
      <w:r w:rsidRPr="00404083">
        <w:t>whether</w:t>
      </w:r>
      <w:r w:rsidR="00F766AD">
        <w:t>, at that time,</w:t>
      </w:r>
      <w:r w:rsidRPr="00404083">
        <w:t xml:space="preserve"> the </w:t>
      </w:r>
      <w:r>
        <w:t>entity</w:t>
      </w:r>
      <w:r w:rsidRPr="00404083">
        <w:t xml:space="preserve"> was an Australian resident (within the meaning of the </w:t>
      </w:r>
      <w:r w:rsidRPr="009E3213">
        <w:rPr>
          <w:i/>
        </w:rPr>
        <w:t xml:space="preserve">Income Tax </w:t>
      </w:r>
      <w:r w:rsidRPr="009E3213">
        <w:rPr>
          <w:i/>
        </w:rPr>
        <w:lastRenderedPageBreak/>
        <w:t>Assessment Act 1997</w:t>
      </w:r>
      <w:r w:rsidRPr="00404083">
        <w:t>)</w:t>
      </w:r>
      <w:r w:rsidR="00F766AD">
        <w:t xml:space="preserve"> or a foreign resident (within the meaning of that Act); and</w:t>
      </w:r>
    </w:p>
    <w:p w14:paraId="17744D0C" w14:textId="77777777" w:rsidR="00B03821" w:rsidRDefault="00F766AD" w:rsidP="00743AE7">
      <w:pPr>
        <w:pStyle w:val="paragraphsub"/>
      </w:pPr>
      <w:r>
        <w:tab/>
        <w:t>(vi</w:t>
      </w:r>
      <w:r w:rsidR="00E86F29">
        <w:t>i</w:t>
      </w:r>
      <w:r>
        <w:t>)</w:t>
      </w:r>
      <w:r>
        <w:tab/>
        <w:t>if the entity was a foreign resident as described in subparagraph (v</w:t>
      </w:r>
      <w:r w:rsidR="00195AC0">
        <w:t>i</w:t>
      </w:r>
      <w:r>
        <w:t xml:space="preserve">)—a list of </w:t>
      </w:r>
      <w:r w:rsidR="00D83A23">
        <w:t xml:space="preserve">each foreign country </w:t>
      </w:r>
      <w:r w:rsidR="00B62A36">
        <w:t>in which the entity was</w:t>
      </w:r>
      <w:r>
        <w:t xml:space="preserve">, at that time, </w:t>
      </w:r>
      <w:r w:rsidR="00B62A36">
        <w:t xml:space="preserve">a resident for the purposes of </w:t>
      </w:r>
      <w:r w:rsidR="00EA36D9">
        <w:t>the</w:t>
      </w:r>
      <w:r w:rsidR="00B62A36">
        <w:t xml:space="preserve"> law of </w:t>
      </w:r>
      <w:r w:rsidR="00EA36D9">
        <w:t>the</w:t>
      </w:r>
      <w:r w:rsidR="00B03821">
        <w:t xml:space="preserve"> foreign country </w:t>
      </w:r>
      <w:r w:rsidR="00E95770">
        <w:t>relating to foreign income tax (within the meaning of that Act); or</w:t>
      </w:r>
    </w:p>
    <w:p w14:paraId="63BC7277" w14:textId="77777777" w:rsidR="00743AE7" w:rsidRPr="006B74EC" w:rsidRDefault="00743AE7" w:rsidP="00743AE7">
      <w:pPr>
        <w:pStyle w:val="paragraph"/>
      </w:pPr>
      <w:r>
        <w:tab/>
        <w:t>(b)</w:t>
      </w:r>
      <w:r>
        <w:tab/>
        <w:t>if the accounting standards do not require the public company to prepare financial statements in relation to a consolidated entity—a statement to that effect.</w:t>
      </w:r>
    </w:p>
    <w:p w14:paraId="4F802668" w14:textId="77777777" w:rsidR="002640AC" w:rsidRDefault="002640AC" w:rsidP="003133F0">
      <w:pPr>
        <w:pStyle w:val="ItemHead"/>
      </w:pPr>
      <w:r>
        <w:t xml:space="preserve">#  After </w:t>
      </w:r>
      <w:r w:rsidR="003133F0">
        <w:t>paragraph 2</w:t>
      </w:r>
      <w:r>
        <w:t>95(4)(d)</w:t>
      </w:r>
    </w:p>
    <w:p w14:paraId="024E4232" w14:textId="77777777" w:rsidR="002640AC" w:rsidRDefault="002640AC" w:rsidP="003133F0">
      <w:pPr>
        <w:pStyle w:val="Item"/>
      </w:pPr>
      <w:r>
        <w:t>Insert:</w:t>
      </w:r>
    </w:p>
    <w:p w14:paraId="0F4E268C" w14:textId="77777777" w:rsidR="002640AC" w:rsidRDefault="002640AC" w:rsidP="003133F0">
      <w:pPr>
        <w:pStyle w:val="paragraph"/>
      </w:pPr>
      <w:r>
        <w:tab/>
        <w:t>(da)</w:t>
      </w:r>
      <w:r>
        <w:tab/>
        <w:t xml:space="preserve">whether, in the directors’ opinion, the </w:t>
      </w:r>
      <w:r w:rsidR="00B71BC9">
        <w:t xml:space="preserve">consolidated entity statement </w:t>
      </w:r>
      <w:r w:rsidR="007B5EE6">
        <w:t>required by s</w:t>
      </w:r>
      <w:r w:rsidRPr="002640AC">
        <w:t>ubsection (</w:t>
      </w:r>
      <w:r>
        <w:t>3A</w:t>
      </w:r>
      <w:r w:rsidRPr="002640AC">
        <w:t>)</w:t>
      </w:r>
      <w:r w:rsidR="00DD715E">
        <w:t xml:space="preserve"> is true and correct; and</w:t>
      </w:r>
    </w:p>
    <w:p w14:paraId="44298D0C" w14:textId="77777777" w:rsidR="00A20836" w:rsidRDefault="00A20836" w:rsidP="003133F0">
      <w:pPr>
        <w:pStyle w:val="ItemHead"/>
      </w:pPr>
      <w:r>
        <w:t xml:space="preserve">#  After </w:t>
      </w:r>
      <w:r w:rsidR="003133F0">
        <w:t>paragraph 2</w:t>
      </w:r>
      <w:r>
        <w:t>95A(2)(c)</w:t>
      </w:r>
    </w:p>
    <w:p w14:paraId="0914DB15" w14:textId="77777777" w:rsidR="00A20836" w:rsidRDefault="00A20836" w:rsidP="003133F0">
      <w:pPr>
        <w:pStyle w:val="Item"/>
      </w:pPr>
      <w:r>
        <w:t>Insert:</w:t>
      </w:r>
    </w:p>
    <w:p w14:paraId="00256051" w14:textId="77777777" w:rsidR="00A20836" w:rsidRPr="00A20836" w:rsidRDefault="00A20836" w:rsidP="003133F0">
      <w:pPr>
        <w:pStyle w:val="paragraph"/>
      </w:pPr>
      <w:r>
        <w:tab/>
        <w:t>(ca)</w:t>
      </w:r>
      <w:r>
        <w:tab/>
        <w:t xml:space="preserve">the </w:t>
      </w:r>
      <w:r w:rsidR="00B71BC9">
        <w:t xml:space="preserve">consolidated entity </w:t>
      </w:r>
      <w:r w:rsidR="007B5EE6">
        <w:t xml:space="preserve">statement required by </w:t>
      </w:r>
      <w:r w:rsidR="003133F0">
        <w:t>subsection 2</w:t>
      </w:r>
      <w:r w:rsidR="002A1EC9">
        <w:t>95(3A) is true and correct; and</w:t>
      </w:r>
    </w:p>
    <w:p w14:paraId="34ECB2EE" w14:textId="77777777" w:rsidR="003A3FDA" w:rsidRDefault="003A3FDA" w:rsidP="003133F0">
      <w:pPr>
        <w:pStyle w:val="ItemHead"/>
      </w:pPr>
      <w:r>
        <w:t xml:space="preserve">#  In the appropriate position in </w:t>
      </w:r>
      <w:r w:rsidR="00E1699A">
        <w:t>Chapter 1</w:t>
      </w:r>
      <w:r>
        <w:t>0</w:t>
      </w:r>
    </w:p>
    <w:p w14:paraId="77993471" w14:textId="77777777" w:rsidR="003A3FDA" w:rsidRDefault="003A3FDA" w:rsidP="003133F0">
      <w:pPr>
        <w:pStyle w:val="Item"/>
      </w:pPr>
      <w:r>
        <w:t>Insert:</w:t>
      </w:r>
    </w:p>
    <w:p w14:paraId="4B7DD56D" w14:textId="77777777" w:rsidR="003A3FDA" w:rsidRPr="00CD3957" w:rsidRDefault="003A3FDA" w:rsidP="003133F0">
      <w:pPr>
        <w:pStyle w:val="ActHead2"/>
      </w:pPr>
      <w:bookmarkStart w:id="0" w:name="_Toc124430288"/>
      <w:r w:rsidRPr="00C66BE6">
        <w:rPr>
          <w:rStyle w:val="CharPartNo"/>
        </w:rPr>
        <w:t>Part 10.70</w:t>
      </w:r>
      <w:r w:rsidRPr="00FF3252">
        <w:t>—</w:t>
      </w:r>
      <w:r w:rsidRPr="00C66BE6">
        <w:rPr>
          <w:rStyle w:val="CharPartText"/>
        </w:rPr>
        <w:t>Transitional provisions relating to Treasury Laws Amendment (</w:t>
      </w:r>
      <w:r w:rsidR="0031134E" w:rsidRPr="00C66BE6">
        <w:rPr>
          <w:rStyle w:val="CharPartText"/>
        </w:rPr>
        <w:t>2023</w:t>
      </w:r>
      <w:r w:rsidRPr="00C66BE6">
        <w:rPr>
          <w:rStyle w:val="CharPartText"/>
        </w:rPr>
        <w:t xml:space="preserve"> Measures No. #) Act </w:t>
      </w:r>
      <w:bookmarkEnd w:id="0"/>
      <w:r w:rsidR="0031134E" w:rsidRPr="00C66BE6">
        <w:rPr>
          <w:rStyle w:val="CharPartText"/>
        </w:rPr>
        <w:t>2023</w:t>
      </w:r>
    </w:p>
    <w:p w14:paraId="35719289" w14:textId="77777777" w:rsidR="003A3FDA" w:rsidRPr="00C66BE6" w:rsidRDefault="003A3FDA" w:rsidP="003133F0">
      <w:pPr>
        <w:pStyle w:val="Header"/>
      </w:pPr>
      <w:r w:rsidRPr="00C66BE6">
        <w:rPr>
          <w:rStyle w:val="CharDivNo"/>
        </w:rPr>
        <w:t xml:space="preserve"> </w:t>
      </w:r>
      <w:r w:rsidRPr="00C66BE6">
        <w:rPr>
          <w:rStyle w:val="CharDivText"/>
        </w:rPr>
        <w:t xml:space="preserve"> </w:t>
      </w:r>
    </w:p>
    <w:p w14:paraId="610F66BD" w14:textId="77777777" w:rsidR="003A3FDA" w:rsidRDefault="003A3FDA" w:rsidP="003133F0">
      <w:pPr>
        <w:pStyle w:val="ActHead5"/>
      </w:pPr>
      <w:bookmarkStart w:id="1" w:name="_Toc124430290"/>
      <w:proofErr w:type="gramStart"/>
      <w:r w:rsidRPr="00C66BE6">
        <w:rPr>
          <w:rStyle w:val="CharSectno"/>
        </w:rPr>
        <w:t>1700</w:t>
      </w:r>
      <w:r w:rsidRPr="00FF3252">
        <w:t xml:space="preserve">  </w:t>
      </w:r>
      <w:r>
        <w:t>Application</w:t>
      </w:r>
      <w:proofErr w:type="gramEnd"/>
      <w:r>
        <w:t xml:space="preserve"> of amendment</w:t>
      </w:r>
      <w:bookmarkEnd w:id="1"/>
      <w:r>
        <w:t>s</w:t>
      </w:r>
    </w:p>
    <w:p w14:paraId="26E539C0" w14:textId="77777777" w:rsidR="00597516" w:rsidRPr="00597516" w:rsidRDefault="0031134E" w:rsidP="003133F0">
      <w:pPr>
        <w:pStyle w:val="subsection"/>
      </w:pPr>
      <w:r>
        <w:tab/>
      </w:r>
      <w:r>
        <w:tab/>
      </w:r>
      <w:r w:rsidR="00E1699A">
        <w:t>Section 2</w:t>
      </w:r>
      <w:r>
        <w:t xml:space="preserve">95, as amended by </w:t>
      </w:r>
      <w:r w:rsidR="00AE5CA9">
        <w:t xml:space="preserve">Schedule # to </w:t>
      </w:r>
      <w:r>
        <w:t xml:space="preserve">the </w:t>
      </w:r>
      <w:r>
        <w:rPr>
          <w:i/>
        </w:rPr>
        <w:t>Treasury Laws Amendment (2023 Measures No. #) Act 2023</w:t>
      </w:r>
      <w:r>
        <w:t>, applies in relation to any financial report</w:t>
      </w:r>
      <w:r w:rsidR="00AE5CA9">
        <w:t>s</w:t>
      </w:r>
      <w:r>
        <w:t xml:space="preserve"> for </w:t>
      </w:r>
      <w:r w:rsidR="00E1699A">
        <w:t xml:space="preserve">a </w:t>
      </w:r>
      <w:r>
        <w:t xml:space="preserve">financial year commencing on or after </w:t>
      </w:r>
      <w:r w:rsidR="00E1699A">
        <w:t>1 July</w:t>
      </w:r>
      <w:r>
        <w:t xml:space="preserve"> 2023.</w:t>
      </w:r>
    </w:p>
    <w:sectPr w:rsidR="00597516" w:rsidRPr="00597516" w:rsidSect="003133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9591" w14:textId="77777777" w:rsidR="005A100E" w:rsidRDefault="005A100E" w:rsidP="00664C63">
      <w:pPr>
        <w:spacing w:line="240" w:lineRule="auto"/>
      </w:pPr>
      <w:r>
        <w:separator/>
      </w:r>
    </w:p>
  </w:endnote>
  <w:endnote w:type="continuationSeparator" w:id="0">
    <w:p w14:paraId="293B851A" w14:textId="77777777" w:rsidR="005A100E" w:rsidRDefault="005A100E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3E5D" w14:textId="77777777" w:rsidR="00B71BC9" w:rsidRPr="00BB4623" w:rsidRDefault="00B71BC9" w:rsidP="003133F0">
    <w:pPr>
      <w:pBdr>
        <w:top w:val="single" w:sz="6" w:space="1" w:color="auto"/>
      </w:pBdr>
      <w:spacing w:before="120"/>
      <w:jc w:val="right"/>
      <w:rPr>
        <w:sz w:val="18"/>
      </w:rPr>
    </w:pPr>
  </w:p>
  <w:p w14:paraId="71916161" w14:textId="77777777" w:rsidR="00B71BC9" w:rsidRPr="00BB4623" w:rsidRDefault="00B71BC9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151C025" w14:textId="77777777" w:rsidR="00B71BC9" w:rsidRPr="00BB4623" w:rsidRDefault="00B71BC9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E9BA" w14:textId="77777777" w:rsidR="00B71BC9" w:rsidRDefault="00B71BC9" w:rsidP="003133F0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B71BC9" w:rsidRPr="00B3608C" w14:paraId="6E5AD70C" w14:textId="77777777" w:rsidTr="00B71BC9">
      <w:trPr>
        <w:trHeight w:val="280"/>
      </w:trPr>
      <w:tc>
        <w:tcPr>
          <w:tcW w:w="7087" w:type="dxa"/>
        </w:tcPr>
        <w:p w14:paraId="24305C8A" w14:textId="77777777" w:rsidR="00B71BC9" w:rsidRPr="00B3608C" w:rsidRDefault="00B71BC9" w:rsidP="00B71BC9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B71BC9" w:rsidRPr="00B3608C" w14:paraId="3EF84695" w14:textId="77777777" w:rsidTr="00B71BC9">
      <w:tc>
        <w:tcPr>
          <w:tcW w:w="7087" w:type="dxa"/>
        </w:tcPr>
        <w:p w14:paraId="2DF8DB0D" w14:textId="77777777" w:rsidR="00B71BC9" w:rsidRPr="00B3608C" w:rsidRDefault="00B71BC9" w:rsidP="00B71BC9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55B89932" w14:textId="77777777" w:rsidR="00B71BC9" w:rsidRPr="00BB4623" w:rsidRDefault="00B71BC9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02DDEA" wp14:editId="0B085425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2DCE3A" w14:textId="77777777" w:rsidR="00B71BC9" w:rsidRPr="00324EB0" w:rsidRDefault="00B71BC9" w:rsidP="00B71B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4A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4A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4A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4A2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4A2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2DDE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6B2DCE3A" w14:textId="77777777" w:rsidR="00B71BC9" w:rsidRPr="00324EB0" w:rsidRDefault="00B71BC9" w:rsidP="00B71BC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4A2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4A2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4A2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4A2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4A2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4B84" w14:textId="77777777" w:rsidR="00B71BC9" w:rsidRPr="00BB4623" w:rsidRDefault="00B71BC9" w:rsidP="003133F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7AFC" w14:textId="77777777" w:rsidR="005A100E" w:rsidRDefault="005A100E" w:rsidP="00664C63">
      <w:pPr>
        <w:spacing w:line="240" w:lineRule="auto"/>
      </w:pPr>
      <w:r>
        <w:separator/>
      </w:r>
    </w:p>
  </w:footnote>
  <w:footnote w:type="continuationSeparator" w:id="0">
    <w:p w14:paraId="6BBA2BD6" w14:textId="77777777" w:rsidR="005A100E" w:rsidRDefault="005A100E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6E3C" w14:textId="77777777" w:rsidR="00B71BC9" w:rsidRPr="00BB4623" w:rsidRDefault="00B71BC9" w:rsidP="00664C63">
    <w:pPr>
      <w:rPr>
        <w:sz w:val="24"/>
      </w:rPr>
    </w:pPr>
  </w:p>
  <w:p w14:paraId="1157CF96" w14:textId="77777777" w:rsidR="00B71BC9" w:rsidRPr="00BB4623" w:rsidRDefault="00B71BC9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1A04" w14:textId="77777777" w:rsidR="00B71BC9" w:rsidRPr="00BB4623" w:rsidRDefault="00B71BC9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17F5661" wp14:editId="5D21854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0C5C3" w14:textId="5E5BE847" w:rsidR="00B71BC9" w:rsidRPr="00324EB0" w:rsidRDefault="00B71BC9" w:rsidP="00B71B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4A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4A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4A2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A34A2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33BF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F5661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990C5C3" w14:textId="5E5BE847" w:rsidR="00B71BC9" w:rsidRPr="00324EB0" w:rsidRDefault="00B71BC9" w:rsidP="00B71BC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4A2F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4A2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4A2F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A34A2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33BF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3CA4BD22" w14:textId="77777777" w:rsidR="00B71BC9" w:rsidRPr="00BB4623" w:rsidRDefault="00B71BC9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CCA4" w14:textId="77777777" w:rsidR="00B71BC9" w:rsidRPr="00BB4623" w:rsidRDefault="00B71BC9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C3720"/>
    <w:multiLevelType w:val="hybridMultilevel"/>
    <w:tmpl w:val="EF6202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D0EDA"/>
    <w:multiLevelType w:val="hybridMultilevel"/>
    <w:tmpl w:val="F16671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E41"/>
    <w:multiLevelType w:val="hybridMultilevel"/>
    <w:tmpl w:val="0A42E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DBB4255"/>
    <w:multiLevelType w:val="hybridMultilevel"/>
    <w:tmpl w:val="E9CCC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231163">
    <w:abstractNumId w:val="9"/>
  </w:num>
  <w:num w:numId="2" w16cid:durableId="265577767">
    <w:abstractNumId w:val="7"/>
  </w:num>
  <w:num w:numId="3" w16cid:durableId="912541701">
    <w:abstractNumId w:val="6"/>
  </w:num>
  <w:num w:numId="4" w16cid:durableId="1103185887">
    <w:abstractNumId w:val="5"/>
  </w:num>
  <w:num w:numId="5" w16cid:durableId="1940721527">
    <w:abstractNumId w:val="4"/>
  </w:num>
  <w:num w:numId="6" w16cid:durableId="2057316349">
    <w:abstractNumId w:val="8"/>
  </w:num>
  <w:num w:numId="7" w16cid:durableId="181668043">
    <w:abstractNumId w:val="3"/>
  </w:num>
  <w:num w:numId="8" w16cid:durableId="1146700819">
    <w:abstractNumId w:val="2"/>
  </w:num>
  <w:num w:numId="9" w16cid:durableId="436407110">
    <w:abstractNumId w:val="1"/>
  </w:num>
  <w:num w:numId="10" w16cid:durableId="2138376193">
    <w:abstractNumId w:val="0"/>
  </w:num>
  <w:num w:numId="11" w16cid:durableId="273366219">
    <w:abstractNumId w:val="14"/>
  </w:num>
  <w:num w:numId="12" w16cid:durableId="425273931">
    <w:abstractNumId w:val="10"/>
  </w:num>
  <w:num w:numId="13" w16cid:durableId="1743604182">
    <w:abstractNumId w:val="13"/>
  </w:num>
  <w:num w:numId="14" w16cid:durableId="1818645666">
    <w:abstractNumId w:val="15"/>
  </w:num>
  <w:num w:numId="15" w16cid:durableId="1498570120">
    <w:abstractNumId w:val="12"/>
  </w:num>
  <w:num w:numId="16" w16cid:durableId="8553419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3C20"/>
    <w:rsid w:val="000006A0"/>
    <w:rsid w:val="000136AF"/>
    <w:rsid w:val="00014B9A"/>
    <w:rsid w:val="00017061"/>
    <w:rsid w:val="00017CB6"/>
    <w:rsid w:val="0002388A"/>
    <w:rsid w:val="00034EB4"/>
    <w:rsid w:val="00055D20"/>
    <w:rsid w:val="000614BF"/>
    <w:rsid w:val="00062BE1"/>
    <w:rsid w:val="000632DF"/>
    <w:rsid w:val="00073C5A"/>
    <w:rsid w:val="00087033"/>
    <w:rsid w:val="00096016"/>
    <w:rsid w:val="000B7474"/>
    <w:rsid w:val="000C74F9"/>
    <w:rsid w:val="000C7F54"/>
    <w:rsid w:val="000D05EF"/>
    <w:rsid w:val="000D1F26"/>
    <w:rsid w:val="000D3899"/>
    <w:rsid w:val="000F21C1"/>
    <w:rsid w:val="000F4126"/>
    <w:rsid w:val="001016D1"/>
    <w:rsid w:val="0010240E"/>
    <w:rsid w:val="00103EF2"/>
    <w:rsid w:val="0010745C"/>
    <w:rsid w:val="0011206D"/>
    <w:rsid w:val="001249CD"/>
    <w:rsid w:val="001515AF"/>
    <w:rsid w:val="00166C2F"/>
    <w:rsid w:val="00182C9A"/>
    <w:rsid w:val="0018435F"/>
    <w:rsid w:val="00192376"/>
    <w:rsid w:val="001939E1"/>
    <w:rsid w:val="0019444A"/>
    <w:rsid w:val="00195382"/>
    <w:rsid w:val="00195AC0"/>
    <w:rsid w:val="001B0F61"/>
    <w:rsid w:val="001B1B49"/>
    <w:rsid w:val="001B3D2D"/>
    <w:rsid w:val="001C1DE0"/>
    <w:rsid w:val="001C5B01"/>
    <w:rsid w:val="001C69C4"/>
    <w:rsid w:val="001D21BA"/>
    <w:rsid w:val="001E3590"/>
    <w:rsid w:val="001E7407"/>
    <w:rsid w:val="001F1E11"/>
    <w:rsid w:val="0021250A"/>
    <w:rsid w:val="00226D5A"/>
    <w:rsid w:val="002277A0"/>
    <w:rsid w:val="00240749"/>
    <w:rsid w:val="002640AC"/>
    <w:rsid w:val="002761D5"/>
    <w:rsid w:val="002768D0"/>
    <w:rsid w:val="00296415"/>
    <w:rsid w:val="00297ECB"/>
    <w:rsid w:val="002A1EC9"/>
    <w:rsid w:val="002B1D6F"/>
    <w:rsid w:val="002B4DED"/>
    <w:rsid w:val="002B7808"/>
    <w:rsid w:val="002C085A"/>
    <w:rsid w:val="002D043A"/>
    <w:rsid w:val="002F08B3"/>
    <w:rsid w:val="002F7453"/>
    <w:rsid w:val="0031134E"/>
    <w:rsid w:val="003133F0"/>
    <w:rsid w:val="00313C6F"/>
    <w:rsid w:val="0033411C"/>
    <w:rsid w:val="00334771"/>
    <w:rsid w:val="003415D3"/>
    <w:rsid w:val="003506F7"/>
    <w:rsid w:val="00352737"/>
    <w:rsid w:val="00352B0F"/>
    <w:rsid w:val="00387EF7"/>
    <w:rsid w:val="003A3FDA"/>
    <w:rsid w:val="003A65C6"/>
    <w:rsid w:val="003B0F1E"/>
    <w:rsid w:val="003B18B9"/>
    <w:rsid w:val="003D0317"/>
    <w:rsid w:val="003D0BFE"/>
    <w:rsid w:val="003D2D96"/>
    <w:rsid w:val="003D5700"/>
    <w:rsid w:val="003E398C"/>
    <w:rsid w:val="003E6144"/>
    <w:rsid w:val="003F60D2"/>
    <w:rsid w:val="00402376"/>
    <w:rsid w:val="00404083"/>
    <w:rsid w:val="004043EE"/>
    <w:rsid w:val="0040616D"/>
    <w:rsid w:val="004116CD"/>
    <w:rsid w:val="004168B4"/>
    <w:rsid w:val="00424CA9"/>
    <w:rsid w:val="00427D10"/>
    <w:rsid w:val="0044291A"/>
    <w:rsid w:val="00483C20"/>
    <w:rsid w:val="00493340"/>
    <w:rsid w:val="00496F97"/>
    <w:rsid w:val="004D7B11"/>
    <w:rsid w:val="004E14A6"/>
    <w:rsid w:val="004E3680"/>
    <w:rsid w:val="004F62CC"/>
    <w:rsid w:val="005104CE"/>
    <w:rsid w:val="00516B8D"/>
    <w:rsid w:val="00537FBC"/>
    <w:rsid w:val="00543850"/>
    <w:rsid w:val="005759F3"/>
    <w:rsid w:val="005812AD"/>
    <w:rsid w:val="00582EDA"/>
    <w:rsid w:val="00584052"/>
    <w:rsid w:val="00584811"/>
    <w:rsid w:val="00590FDD"/>
    <w:rsid w:val="00593AA6"/>
    <w:rsid w:val="00594161"/>
    <w:rsid w:val="005941C4"/>
    <w:rsid w:val="00594749"/>
    <w:rsid w:val="00597516"/>
    <w:rsid w:val="005A100E"/>
    <w:rsid w:val="005A309E"/>
    <w:rsid w:val="005A6F34"/>
    <w:rsid w:val="005B4067"/>
    <w:rsid w:val="005C3F41"/>
    <w:rsid w:val="005C5800"/>
    <w:rsid w:val="005D4DEA"/>
    <w:rsid w:val="005D67DD"/>
    <w:rsid w:val="00600219"/>
    <w:rsid w:val="00611C2E"/>
    <w:rsid w:val="006444FB"/>
    <w:rsid w:val="0064759F"/>
    <w:rsid w:val="00647756"/>
    <w:rsid w:val="0065106B"/>
    <w:rsid w:val="006527A6"/>
    <w:rsid w:val="006528FD"/>
    <w:rsid w:val="00664C63"/>
    <w:rsid w:val="006708D5"/>
    <w:rsid w:val="00677CC2"/>
    <w:rsid w:val="00681A4A"/>
    <w:rsid w:val="00681EFB"/>
    <w:rsid w:val="0069207B"/>
    <w:rsid w:val="006B51F1"/>
    <w:rsid w:val="006B74EC"/>
    <w:rsid w:val="006C7F8C"/>
    <w:rsid w:val="006D29F2"/>
    <w:rsid w:val="006D2FDD"/>
    <w:rsid w:val="006D3764"/>
    <w:rsid w:val="006D6237"/>
    <w:rsid w:val="006E4AB2"/>
    <w:rsid w:val="006E55EE"/>
    <w:rsid w:val="00700B2C"/>
    <w:rsid w:val="00713084"/>
    <w:rsid w:val="007173B8"/>
    <w:rsid w:val="00731E00"/>
    <w:rsid w:val="00732A85"/>
    <w:rsid w:val="00735EF6"/>
    <w:rsid w:val="007438CB"/>
    <w:rsid w:val="00743AE7"/>
    <w:rsid w:val="007440B7"/>
    <w:rsid w:val="0075226A"/>
    <w:rsid w:val="00756ACE"/>
    <w:rsid w:val="007627F4"/>
    <w:rsid w:val="007715C9"/>
    <w:rsid w:val="00774EDD"/>
    <w:rsid w:val="007757EC"/>
    <w:rsid w:val="00780625"/>
    <w:rsid w:val="007845BF"/>
    <w:rsid w:val="00787F2D"/>
    <w:rsid w:val="00795FCE"/>
    <w:rsid w:val="007A659A"/>
    <w:rsid w:val="007B081F"/>
    <w:rsid w:val="007B31D1"/>
    <w:rsid w:val="007B5EE6"/>
    <w:rsid w:val="007E2773"/>
    <w:rsid w:val="007E4CC8"/>
    <w:rsid w:val="007E6A9C"/>
    <w:rsid w:val="00830815"/>
    <w:rsid w:val="00855454"/>
    <w:rsid w:val="00856A31"/>
    <w:rsid w:val="008754D0"/>
    <w:rsid w:val="00883892"/>
    <w:rsid w:val="008A6470"/>
    <w:rsid w:val="008B7828"/>
    <w:rsid w:val="008C70A8"/>
    <w:rsid w:val="008D0EE0"/>
    <w:rsid w:val="008E05CA"/>
    <w:rsid w:val="008E6A75"/>
    <w:rsid w:val="00905552"/>
    <w:rsid w:val="00911B2C"/>
    <w:rsid w:val="0092201F"/>
    <w:rsid w:val="00931D06"/>
    <w:rsid w:val="00932377"/>
    <w:rsid w:val="00932FA3"/>
    <w:rsid w:val="00942D51"/>
    <w:rsid w:val="009514F4"/>
    <w:rsid w:val="0095602D"/>
    <w:rsid w:val="009620C2"/>
    <w:rsid w:val="009E3213"/>
    <w:rsid w:val="009F15DC"/>
    <w:rsid w:val="00A120DD"/>
    <w:rsid w:val="00A20836"/>
    <w:rsid w:val="00A231E2"/>
    <w:rsid w:val="00A25627"/>
    <w:rsid w:val="00A26EDD"/>
    <w:rsid w:val="00A30418"/>
    <w:rsid w:val="00A34A2F"/>
    <w:rsid w:val="00A415B9"/>
    <w:rsid w:val="00A43B14"/>
    <w:rsid w:val="00A64912"/>
    <w:rsid w:val="00A70A74"/>
    <w:rsid w:val="00AA5445"/>
    <w:rsid w:val="00AB5A90"/>
    <w:rsid w:val="00AD0466"/>
    <w:rsid w:val="00AD0732"/>
    <w:rsid w:val="00AD27B3"/>
    <w:rsid w:val="00AD5641"/>
    <w:rsid w:val="00AE59F7"/>
    <w:rsid w:val="00AE5CA9"/>
    <w:rsid w:val="00AE7BD7"/>
    <w:rsid w:val="00AF64BB"/>
    <w:rsid w:val="00B03821"/>
    <w:rsid w:val="00B05DED"/>
    <w:rsid w:val="00B26413"/>
    <w:rsid w:val="00B30654"/>
    <w:rsid w:val="00B30BBF"/>
    <w:rsid w:val="00B33B3C"/>
    <w:rsid w:val="00B340B6"/>
    <w:rsid w:val="00B3608C"/>
    <w:rsid w:val="00B372A6"/>
    <w:rsid w:val="00B429C2"/>
    <w:rsid w:val="00B61C25"/>
    <w:rsid w:val="00B62A36"/>
    <w:rsid w:val="00B70E56"/>
    <w:rsid w:val="00B71BC9"/>
    <w:rsid w:val="00BA739E"/>
    <w:rsid w:val="00BC30F2"/>
    <w:rsid w:val="00BD1655"/>
    <w:rsid w:val="00BD32FB"/>
    <w:rsid w:val="00BE719A"/>
    <w:rsid w:val="00BE720A"/>
    <w:rsid w:val="00C34767"/>
    <w:rsid w:val="00C36EA0"/>
    <w:rsid w:val="00C42BF8"/>
    <w:rsid w:val="00C50043"/>
    <w:rsid w:val="00C53114"/>
    <w:rsid w:val="00C5394D"/>
    <w:rsid w:val="00C6598F"/>
    <w:rsid w:val="00C66BE6"/>
    <w:rsid w:val="00C723B9"/>
    <w:rsid w:val="00C7573B"/>
    <w:rsid w:val="00C766BB"/>
    <w:rsid w:val="00C77D10"/>
    <w:rsid w:val="00CB0EA8"/>
    <w:rsid w:val="00CB5091"/>
    <w:rsid w:val="00CC7A09"/>
    <w:rsid w:val="00CD7AC4"/>
    <w:rsid w:val="00CF0BB2"/>
    <w:rsid w:val="00CF4975"/>
    <w:rsid w:val="00D13441"/>
    <w:rsid w:val="00D15B97"/>
    <w:rsid w:val="00D26BAA"/>
    <w:rsid w:val="00D270E0"/>
    <w:rsid w:val="00D3213F"/>
    <w:rsid w:val="00D374CE"/>
    <w:rsid w:val="00D40252"/>
    <w:rsid w:val="00D467B9"/>
    <w:rsid w:val="00D54EBA"/>
    <w:rsid w:val="00D633BF"/>
    <w:rsid w:val="00D67311"/>
    <w:rsid w:val="00D70DFB"/>
    <w:rsid w:val="00D7186F"/>
    <w:rsid w:val="00D7669C"/>
    <w:rsid w:val="00D766DF"/>
    <w:rsid w:val="00D83A23"/>
    <w:rsid w:val="00D9284D"/>
    <w:rsid w:val="00DC3E4C"/>
    <w:rsid w:val="00DD314D"/>
    <w:rsid w:val="00DD715E"/>
    <w:rsid w:val="00DF4853"/>
    <w:rsid w:val="00E05704"/>
    <w:rsid w:val="00E1363F"/>
    <w:rsid w:val="00E1699A"/>
    <w:rsid w:val="00E54CAB"/>
    <w:rsid w:val="00E55957"/>
    <w:rsid w:val="00E65E5F"/>
    <w:rsid w:val="00E74DC7"/>
    <w:rsid w:val="00E85CB9"/>
    <w:rsid w:val="00E86F29"/>
    <w:rsid w:val="00E94998"/>
    <w:rsid w:val="00E95770"/>
    <w:rsid w:val="00EA0AC7"/>
    <w:rsid w:val="00EA1F4C"/>
    <w:rsid w:val="00EA36D9"/>
    <w:rsid w:val="00ED1A6C"/>
    <w:rsid w:val="00ED28EF"/>
    <w:rsid w:val="00EE25A8"/>
    <w:rsid w:val="00EE6DCC"/>
    <w:rsid w:val="00EF2E3A"/>
    <w:rsid w:val="00F0132A"/>
    <w:rsid w:val="00F078DC"/>
    <w:rsid w:val="00F17410"/>
    <w:rsid w:val="00F20BA4"/>
    <w:rsid w:val="00F229C3"/>
    <w:rsid w:val="00F3013F"/>
    <w:rsid w:val="00F5076A"/>
    <w:rsid w:val="00F63C6F"/>
    <w:rsid w:val="00F71234"/>
    <w:rsid w:val="00F766AD"/>
    <w:rsid w:val="00F8103A"/>
    <w:rsid w:val="00F8106A"/>
    <w:rsid w:val="00FA3991"/>
    <w:rsid w:val="00FC104F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D5A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3F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7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7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7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7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7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7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75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75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133F0"/>
  </w:style>
  <w:style w:type="paragraph" w:customStyle="1" w:styleId="OPCParaBase">
    <w:name w:val="OPCParaBase"/>
    <w:qFormat/>
    <w:rsid w:val="003133F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133F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133F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133F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133F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33F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133F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33F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33F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33F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33F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33F0"/>
  </w:style>
  <w:style w:type="paragraph" w:customStyle="1" w:styleId="Blocks">
    <w:name w:val="Blocks"/>
    <w:aliases w:val="bb"/>
    <w:basedOn w:val="OPCParaBase"/>
    <w:qFormat/>
    <w:rsid w:val="003133F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33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33F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33F0"/>
    <w:rPr>
      <w:i/>
    </w:rPr>
  </w:style>
  <w:style w:type="paragraph" w:customStyle="1" w:styleId="BoxList">
    <w:name w:val="BoxList"/>
    <w:aliases w:val="bl"/>
    <w:basedOn w:val="BoxText"/>
    <w:qFormat/>
    <w:rsid w:val="003133F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33F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33F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33F0"/>
    <w:pPr>
      <w:ind w:left="1985" w:hanging="851"/>
    </w:pPr>
  </w:style>
  <w:style w:type="character" w:customStyle="1" w:styleId="CharAmPartNo">
    <w:name w:val="CharAmPartNo"/>
    <w:basedOn w:val="OPCCharBase"/>
    <w:qFormat/>
    <w:rsid w:val="003133F0"/>
  </w:style>
  <w:style w:type="character" w:customStyle="1" w:styleId="CharAmPartText">
    <w:name w:val="CharAmPartText"/>
    <w:basedOn w:val="OPCCharBase"/>
    <w:qFormat/>
    <w:rsid w:val="003133F0"/>
  </w:style>
  <w:style w:type="character" w:customStyle="1" w:styleId="CharAmSchNo">
    <w:name w:val="CharAmSchNo"/>
    <w:basedOn w:val="OPCCharBase"/>
    <w:qFormat/>
    <w:rsid w:val="003133F0"/>
  </w:style>
  <w:style w:type="character" w:customStyle="1" w:styleId="CharAmSchText">
    <w:name w:val="CharAmSchText"/>
    <w:basedOn w:val="OPCCharBase"/>
    <w:qFormat/>
    <w:rsid w:val="003133F0"/>
  </w:style>
  <w:style w:type="character" w:customStyle="1" w:styleId="CharBoldItalic">
    <w:name w:val="CharBoldItalic"/>
    <w:basedOn w:val="OPCCharBase"/>
    <w:uiPriority w:val="1"/>
    <w:qFormat/>
    <w:rsid w:val="003133F0"/>
    <w:rPr>
      <w:b/>
      <w:i/>
    </w:rPr>
  </w:style>
  <w:style w:type="character" w:customStyle="1" w:styleId="CharChapNo">
    <w:name w:val="CharChapNo"/>
    <w:basedOn w:val="OPCCharBase"/>
    <w:uiPriority w:val="1"/>
    <w:qFormat/>
    <w:rsid w:val="003133F0"/>
  </w:style>
  <w:style w:type="character" w:customStyle="1" w:styleId="CharChapText">
    <w:name w:val="CharChapText"/>
    <w:basedOn w:val="OPCCharBase"/>
    <w:uiPriority w:val="1"/>
    <w:qFormat/>
    <w:rsid w:val="003133F0"/>
  </w:style>
  <w:style w:type="character" w:customStyle="1" w:styleId="CharDivNo">
    <w:name w:val="CharDivNo"/>
    <w:basedOn w:val="OPCCharBase"/>
    <w:uiPriority w:val="1"/>
    <w:qFormat/>
    <w:rsid w:val="003133F0"/>
  </w:style>
  <w:style w:type="character" w:customStyle="1" w:styleId="CharDivText">
    <w:name w:val="CharDivText"/>
    <w:basedOn w:val="OPCCharBase"/>
    <w:uiPriority w:val="1"/>
    <w:qFormat/>
    <w:rsid w:val="003133F0"/>
  </w:style>
  <w:style w:type="character" w:customStyle="1" w:styleId="CharItalic">
    <w:name w:val="CharItalic"/>
    <w:basedOn w:val="OPCCharBase"/>
    <w:uiPriority w:val="1"/>
    <w:qFormat/>
    <w:rsid w:val="003133F0"/>
    <w:rPr>
      <w:i/>
    </w:rPr>
  </w:style>
  <w:style w:type="character" w:customStyle="1" w:styleId="CharPartNo">
    <w:name w:val="CharPartNo"/>
    <w:basedOn w:val="OPCCharBase"/>
    <w:uiPriority w:val="1"/>
    <w:qFormat/>
    <w:rsid w:val="003133F0"/>
  </w:style>
  <w:style w:type="character" w:customStyle="1" w:styleId="CharPartText">
    <w:name w:val="CharPartText"/>
    <w:basedOn w:val="OPCCharBase"/>
    <w:uiPriority w:val="1"/>
    <w:qFormat/>
    <w:rsid w:val="003133F0"/>
  </w:style>
  <w:style w:type="character" w:customStyle="1" w:styleId="CharSectno">
    <w:name w:val="CharSectno"/>
    <w:basedOn w:val="OPCCharBase"/>
    <w:qFormat/>
    <w:rsid w:val="003133F0"/>
  </w:style>
  <w:style w:type="character" w:customStyle="1" w:styleId="CharSubdNo">
    <w:name w:val="CharSubdNo"/>
    <w:basedOn w:val="OPCCharBase"/>
    <w:uiPriority w:val="1"/>
    <w:qFormat/>
    <w:rsid w:val="003133F0"/>
  </w:style>
  <w:style w:type="character" w:customStyle="1" w:styleId="CharSubdText">
    <w:name w:val="CharSubdText"/>
    <w:basedOn w:val="OPCCharBase"/>
    <w:uiPriority w:val="1"/>
    <w:qFormat/>
    <w:rsid w:val="003133F0"/>
  </w:style>
  <w:style w:type="paragraph" w:customStyle="1" w:styleId="CTA--">
    <w:name w:val="CTA --"/>
    <w:basedOn w:val="OPCParaBase"/>
    <w:next w:val="Normal"/>
    <w:rsid w:val="003133F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33F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33F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33F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33F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33F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33F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33F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33F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33F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33F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33F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33F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33F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133F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33F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33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33F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33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33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133F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133F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133F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133F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33F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33F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33F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33F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33F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133F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33F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133F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133F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133F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33F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33F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33F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133F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133F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33F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33F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33F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33F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33F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33F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33F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33F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33F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33F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33F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3133F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33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33F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33F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33F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133F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133F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133F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133F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3133F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133F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133F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133F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133F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133F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33F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33F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33F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33F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133F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133F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133F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133F0"/>
    <w:rPr>
      <w:sz w:val="16"/>
    </w:rPr>
  </w:style>
  <w:style w:type="table" w:customStyle="1" w:styleId="CFlag">
    <w:name w:val="CFlag"/>
    <w:basedOn w:val="TableNormal"/>
    <w:uiPriority w:val="99"/>
    <w:rsid w:val="003133F0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3133F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33F0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133F0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3133F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133F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133F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133F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133F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133F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133F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133F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133F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133F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133F0"/>
  </w:style>
  <w:style w:type="character" w:customStyle="1" w:styleId="CharSubPartNoCASA">
    <w:name w:val="CharSubPartNo(CASA)"/>
    <w:basedOn w:val="OPCCharBase"/>
    <w:uiPriority w:val="1"/>
    <w:rsid w:val="003133F0"/>
  </w:style>
  <w:style w:type="paragraph" w:customStyle="1" w:styleId="ENoteTTIndentHeadingSub">
    <w:name w:val="ENoteTTIndentHeadingSub"/>
    <w:aliases w:val="enTTHis"/>
    <w:basedOn w:val="OPCParaBase"/>
    <w:rsid w:val="003133F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133F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133F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133F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3133F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133F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133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133F0"/>
    <w:rPr>
      <w:sz w:val="22"/>
    </w:rPr>
  </w:style>
  <w:style w:type="paragraph" w:customStyle="1" w:styleId="SOTextNote">
    <w:name w:val="SO TextNote"/>
    <w:aliases w:val="sont"/>
    <w:basedOn w:val="SOText"/>
    <w:qFormat/>
    <w:rsid w:val="003133F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133F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133F0"/>
    <w:rPr>
      <w:sz w:val="22"/>
    </w:rPr>
  </w:style>
  <w:style w:type="paragraph" w:customStyle="1" w:styleId="FileName">
    <w:name w:val="FileName"/>
    <w:basedOn w:val="Normal"/>
    <w:rsid w:val="003133F0"/>
  </w:style>
  <w:style w:type="paragraph" w:customStyle="1" w:styleId="TableHeading">
    <w:name w:val="TableHeading"/>
    <w:aliases w:val="th"/>
    <w:basedOn w:val="OPCParaBase"/>
    <w:next w:val="Tabletext"/>
    <w:rsid w:val="003133F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133F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133F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133F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133F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133F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133F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133F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133F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133F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133F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133F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3133F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33F0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133F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133F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3133F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133F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133F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133F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133F0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31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3133F0"/>
  </w:style>
  <w:style w:type="character" w:customStyle="1" w:styleId="Heading1Char">
    <w:name w:val="Heading 1 Char"/>
    <w:basedOn w:val="DefaultParagraphFont"/>
    <w:link w:val="Heading1"/>
    <w:uiPriority w:val="9"/>
    <w:rsid w:val="006477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7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7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756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756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75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7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7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7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abletextChar">
    <w:name w:val="Tabletext Char"/>
    <w:aliases w:val="tt Char"/>
    <w:basedOn w:val="DefaultParagraphFont"/>
    <w:link w:val="Tabletext"/>
    <w:rsid w:val="003A65C6"/>
    <w:rPr>
      <w:rFonts w:eastAsia="Times New Roman" w:cs="Times New Roman"/>
      <w:lang w:eastAsia="en-AU"/>
    </w:rPr>
  </w:style>
  <w:style w:type="character" w:customStyle="1" w:styleId="ActHead5Char">
    <w:name w:val="ActHead 5 Char"/>
    <w:aliases w:val="s Char"/>
    <w:link w:val="ActHead5"/>
    <w:rsid w:val="003A3FD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TSY/47/0153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28</Value>
      <Value>75</Value>
      <Value>90</Value>
      <Value>3</Value>
      <Value>1</Value>
      <Value>68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Tax</TermName>
          <TermId xmlns="http://schemas.microsoft.com/office/infopath/2007/PartnerControls">7143b39c-3152-4f03-9a8b-9f25b68e1ca6</TermId>
        </TermInfo>
        <TermInfo xmlns="http://schemas.microsoft.com/office/infopath/2007/PartnerControls">
          <TermName xmlns="http://schemas.microsoft.com/office/infopath/2007/PartnerControls">Corporations Law</TermName>
          <TermId xmlns="http://schemas.microsoft.com/office/infopath/2007/PartnerControls">272b01ba-7d50-447b-a0f2-c5e953189886</TermId>
        </TermInfo>
      </Terms>
    </gfba5f33532c49208d2320ce38cc3c2b>
    <_dlc_DocId xmlns="fe39d773-a83d-4623-ae74-f25711a76616">5D7SUYYWNZQE-304961098-414</_dlc_DocId>
    <_dlc_DocIdUrl xmlns="fe39d773-a83d-4623-ae74-f25711a76616">
      <Url>https://austreasury.sharepoint.com/sites/leg-meas-function/_layouts/15/DocIdRedir.aspx?ID=5D7SUYYWNZQE-304961098-414</Url>
      <Description>5D7SUYYWNZQE-304961098-414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A73F4CAE9B14BAF4AF27B78F1F7EB" ma:contentTypeVersion="22" ma:contentTypeDescription="Create a new document." ma:contentTypeScope="" ma:versionID="6c471951df1e6b85a5d53ee5edec3e25">
  <xsd:schema xmlns:xsd="http://www.w3.org/2001/XMLSchema" xmlns:xs="http://www.w3.org/2001/XMLSchema" xmlns:p="http://schemas.microsoft.com/office/2006/metadata/properties" xmlns:ns1="http://schemas.microsoft.com/sharepoint/v3" xmlns:ns2="fe39d773-a83d-4623-ae74-f25711a76616" xmlns:ns3="ff38c824-6e29-4496-8487-69f397e7ed29" xmlns:ns4="a289cb20-8bb9-401f-8d7b-706fb1a2988d" targetNamespace="http://schemas.microsoft.com/office/2006/metadata/properties" ma:root="true" ma:fieldsID="9b53fe0912df1d47ff3e87dc3aa3b3ee" ns1:_="" ns2:_="" ns3:_="" ns4:_="">
    <xsd:import namespace="http://schemas.microsoft.com/sharepoint/v3"/>
    <xsd:import namespace="fe39d773-a83d-4623-ae74-f25711a76616"/>
    <xsd:import namespace="ff38c824-6e29-4496-8487-69f397e7ed29"/>
    <xsd:import namespace="a289cb20-8bb9-401f-8d7b-706fb1a298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/>
                <xsd:element ref="ns3:TaxCatchAll" minOccurs="0"/>
                <xsd:element ref="ns3:TaxCatchAllLabel" minOccurs="0"/>
                <xsd:element ref="ns2:e4fe7dcdd1c0411bbf19a4de3665191f"/>
                <xsd:element ref="ns2:gfba5f33532c49208d2320ce38cc3c2b"/>
                <xsd:element ref="ns2:kfc39f3e4e2747ae990d3c8bb74a5a64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3:PT_x002f_Measure_x0020_No." minOccurs="0"/>
                <xsd:element ref="ns1:DocumentSetDescrip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B0511-F945-4492-B845-9863FAC90ADE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http://schemas.microsoft.com/sharepoint/v3"/>
    <ds:schemaRef ds:uri="a289cb20-8bb9-401f-8d7b-706fb1a2988d"/>
    <ds:schemaRef ds:uri="ff38c824-6e29-4496-8487-69f397e7ed29"/>
  </ds:schemaRefs>
</ds:datastoreItem>
</file>

<file path=customXml/itemProps2.xml><?xml version="1.0" encoding="utf-8"?>
<ds:datastoreItem xmlns:ds="http://schemas.openxmlformats.org/officeDocument/2006/customXml" ds:itemID="{7F0AD300-A1C5-46DE-8C42-D39909925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573AC-129F-4616-998A-34C06E9A4B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04B155-897C-4829-B4B9-A9EC2FFE5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9d773-a83d-4623-ae74-f25711a76616"/>
    <ds:schemaRef ds:uri="ff38c824-6e29-4496-8487-69f397e7ed29"/>
    <ds:schemaRef ds:uri="a289cb20-8bb9-401f-8d7b-706fb1a29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3</Pages>
  <Words>495</Words>
  <Characters>2565</Characters>
  <Application>Microsoft Office Word</Application>
  <DocSecurity>2</DocSecurity>
  <PresentationFormat/>
  <Lines>51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(Measures for Future Bills) Bill 2023: Financial reporting by public companies - Exposure draft</vt:lpstr>
    </vt:vector>
  </TitlesOfParts>
  <Manager/>
  <Company/>
  <LinksUpToDate>false</LinksUpToDate>
  <CharactersWithSpaces>3042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Laws Amendment (Measures for Future Bills) Bill 2023: Financial reporting by public companies - Exposure draft</dc:title>
  <dc:subject/>
  <dc:creator/>
  <cp:keywords/>
  <dc:description/>
  <cp:lastModifiedBy/>
  <cp:revision>1</cp:revision>
  <cp:lastPrinted>2014-02-19T03:48:00Z</cp:lastPrinted>
  <dcterms:created xsi:type="dcterms:W3CDTF">2023-02-26T23:25:00Z</dcterms:created>
  <dcterms:modified xsi:type="dcterms:W3CDTF">2023-03-16T06:15:00Z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Future Bills) Bill 2023: Financial reporting by public companies</vt:lpwstr>
  </property>
  <property fmtid="{D5CDD505-2E9C-101B-9397-08002B2CF9AE}" pid="6" name="Actno">
    <vt:lpwstr/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ID">
    <vt:lpwstr>OPC8217</vt:lpwstr>
  </property>
  <property fmtid="{D5CDD505-2E9C-101B-9397-08002B2CF9AE}" pid="10" name="TrimID">
    <vt:lpwstr>PC:D23/2508</vt:lpwstr>
  </property>
  <property fmtid="{D5CDD505-2E9C-101B-9397-08002B2CF9AE}" pid="11" name="ContentTypeId">
    <vt:lpwstr>0x010100A2AA73F4CAE9B14BAF4AF27B78F1F7EB</vt:lpwstr>
  </property>
  <property fmtid="{D5CDD505-2E9C-101B-9397-08002B2CF9AE}" pid="12" name="eActivity">
    <vt:lpwstr>28;#Legislative measures|0d31ce10-0017-4a46-8d2d-ba60058cb6a2</vt:lpwstr>
  </property>
  <property fmtid="{D5CDD505-2E9C-101B-9397-08002B2CF9AE}" pid="13" name="k8424359e03846678cc4a99dd97e9705">
    <vt:lpwstr>Treasury Enterprise Terms|69519368-d55f-4403-adc0-7b3d464d5501</vt:lpwstr>
  </property>
  <property fmtid="{D5CDD505-2E9C-101B-9397-08002B2CF9AE}" pid="14" name="eTopic">
    <vt:lpwstr>75;#Corporate Tax|7143b39c-3152-4f03-9a8b-9f25b68e1ca6;#90;#Corporations Law|272b01ba-7d50-447b-a0f2-c5e953189886</vt:lpwstr>
  </property>
  <property fmtid="{D5CDD505-2E9C-101B-9397-08002B2CF9AE}" pid="15" name="eTheme">
    <vt:lpwstr>1;#Law Design|318dd2d2-18da-4b8e-a458-14db2c1af95f</vt:lpwstr>
  </property>
  <property fmtid="{D5CDD505-2E9C-101B-9397-08002B2CF9AE}" pid="16" name="_dlc_DocIdItemGuid">
    <vt:lpwstr>d8079aa5-60bd-49c3-9627-2e4d9976f292</vt:lpwstr>
  </property>
  <property fmtid="{D5CDD505-2E9C-101B-9397-08002B2CF9AE}" pid="17" name="TSYStatus">
    <vt:lpwstr/>
  </property>
  <property fmtid="{D5CDD505-2E9C-101B-9397-08002B2CF9AE}" pid="18" name="eDocumentType">
    <vt:lpwstr>68;#Legislation|bc5c492f-641e-4b74-8651-322acd553d0f</vt:lpwstr>
  </property>
  <property fmtid="{D5CDD505-2E9C-101B-9397-08002B2CF9AE}" pid="19" name="LMDivision">
    <vt:lpwstr>3;#Treasury Enterprise Terms|69519368-d55f-4403-adc0-7b3d464d5501</vt:lpwstr>
  </property>
</Properties>
</file>