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292D88" w14:paraId="6937473F" w14:textId="77777777" w:rsidTr="00292D88">
        <w:tc>
          <w:tcPr>
            <w:tcW w:w="5000" w:type="pct"/>
            <w:shd w:val="clear" w:color="auto" w:fill="auto"/>
          </w:tcPr>
          <w:p w14:paraId="6937473D" w14:textId="77777777" w:rsidR="00292D88" w:rsidRDefault="00292D88" w:rsidP="00292D8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6937473E" w14:textId="77777777" w:rsidR="00292D88" w:rsidRPr="00292D88" w:rsidRDefault="00292D88" w:rsidP="00292D88">
            <w:pPr>
              <w:rPr>
                <w:b/>
                <w:sz w:val="20"/>
              </w:rPr>
            </w:pPr>
          </w:p>
        </w:tc>
      </w:tr>
    </w:tbl>
    <w:p w14:paraId="69374740" w14:textId="77777777" w:rsidR="00292D88" w:rsidRDefault="00292D88" w:rsidP="00932FA3">
      <w:pPr>
        <w:rPr>
          <w:sz w:val="32"/>
          <w:szCs w:val="32"/>
        </w:rPr>
      </w:pPr>
    </w:p>
    <w:p w14:paraId="69374741" w14:textId="77777777" w:rsidR="00664C63" w:rsidRPr="00932FA3" w:rsidRDefault="00664C63" w:rsidP="00932FA3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69374742" w14:textId="7DD42C05" w:rsidR="00664C63" w:rsidRPr="000A1E64" w:rsidRDefault="002970C9" w:rsidP="000A1E64">
      <w:pPr>
        <w:pStyle w:val="ShortT"/>
        <w:rPr>
          <w:lang w:eastAsia="en-US"/>
        </w:rPr>
      </w:pPr>
      <w:r w:rsidRPr="002970C9">
        <w:t xml:space="preserve">Treasury Laws Amendment (Measures for </w:t>
      </w:r>
      <w:r w:rsidR="004F1923">
        <w:t>Consultation</w:t>
      </w:r>
      <w:r w:rsidRPr="002970C9">
        <w:t>) Bill 202</w:t>
      </w:r>
      <w:r w:rsidR="00475C64">
        <w:t>3</w:t>
      </w:r>
      <w:r w:rsidRPr="002970C9">
        <w:t>:</w:t>
      </w:r>
      <w:r>
        <w:t xml:space="preserve"> Anti-avoidance rule for product intervention orders</w:t>
      </w:r>
    </w:p>
    <w:p w14:paraId="69374743" w14:textId="77777777" w:rsidR="005B6514" w:rsidRPr="005B6514" w:rsidRDefault="005B6514" w:rsidP="005B6514">
      <w:pPr>
        <w:rPr>
          <w:lang w:eastAsia="en-AU"/>
        </w:rPr>
      </w:pPr>
    </w:p>
    <w:p w14:paraId="69374744" w14:textId="77777777" w:rsidR="00664C63" w:rsidRDefault="00664C63" w:rsidP="00664C63">
      <w:pPr>
        <w:jc w:val="center"/>
      </w:pPr>
    </w:p>
    <w:p w14:paraId="69374745" w14:textId="77777777" w:rsidR="00664C63" w:rsidRDefault="00664C63" w:rsidP="00664C6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69374747" w14:textId="77777777" w:rsidTr="004F192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9374746" w14:textId="77777777" w:rsidR="00664C63" w:rsidRPr="00402376" w:rsidRDefault="00664C63" w:rsidP="00402376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6937474B" w14:textId="77777777" w:rsidTr="004F192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74748" w14:textId="77777777" w:rsidR="00664C63" w:rsidRPr="00402376" w:rsidRDefault="00664C63" w:rsidP="00402376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74749" w14:textId="77777777" w:rsidR="00664C63" w:rsidRPr="00402376" w:rsidRDefault="00664C63" w:rsidP="00402376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7474A" w14:textId="77777777" w:rsidR="00664C63" w:rsidRPr="00402376" w:rsidRDefault="00664C63" w:rsidP="00402376">
            <w:pPr>
              <w:pStyle w:val="TableHeading"/>
            </w:pPr>
            <w:r w:rsidRPr="00402376">
              <w:t>Column 3</w:t>
            </w:r>
          </w:p>
        </w:tc>
      </w:tr>
      <w:tr w:rsidR="00664C63" w14:paraId="6937474F" w14:textId="77777777" w:rsidTr="004F192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37474C" w14:textId="77777777" w:rsidR="00664C63" w:rsidRPr="00402376" w:rsidRDefault="00664C63" w:rsidP="00B61C25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37474D" w14:textId="77777777" w:rsidR="00664C63" w:rsidRPr="00402376" w:rsidRDefault="00664C63" w:rsidP="00402376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37474E" w14:textId="77777777" w:rsidR="00664C63" w:rsidRPr="00402376" w:rsidRDefault="00664C63" w:rsidP="00402376">
            <w:pPr>
              <w:pStyle w:val="TableHeading"/>
            </w:pPr>
            <w:r w:rsidRPr="00402376">
              <w:t>Date/Details</w:t>
            </w:r>
          </w:p>
        </w:tc>
      </w:tr>
      <w:tr w:rsidR="00664C63" w14:paraId="69374753" w14:textId="77777777" w:rsidTr="004F192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374750" w14:textId="77777777" w:rsidR="00664C63" w:rsidRDefault="00664C63" w:rsidP="007D3BA2">
            <w:pPr>
              <w:pStyle w:val="Tabletext"/>
            </w:pPr>
            <w:r>
              <w:t xml:space="preserve">1.  </w:t>
            </w:r>
            <w:r w:rsidR="00032880">
              <w:t xml:space="preserve">Schedule </w:t>
            </w:r>
            <w:r w:rsidR="002375E6"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374751" w14:textId="77777777" w:rsidR="00664C63" w:rsidRDefault="00032880" w:rsidP="007D3BA2">
            <w:pPr>
              <w:pStyle w:val="Tabletext"/>
            </w:pPr>
            <w:r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374752" w14:textId="77777777" w:rsidR="00664C63" w:rsidRDefault="00664C63" w:rsidP="007D3BA2">
            <w:pPr>
              <w:pStyle w:val="Tabletext"/>
            </w:pPr>
          </w:p>
        </w:tc>
      </w:tr>
    </w:tbl>
    <w:p w14:paraId="69374754" w14:textId="77777777" w:rsidR="0033411C" w:rsidRDefault="005B6514" w:rsidP="005B6514">
      <w:pPr>
        <w:pStyle w:val="ActHead6"/>
        <w:pageBreakBefore/>
      </w:pPr>
      <w:r w:rsidRPr="00292D88">
        <w:rPr>
          <w:rStyle w:val="CharAmSchNo"/>
        </w:rPr>
        <w:lastRenderedPageBreak/>
        <w:t xml:space="preserve">Schedule </w:t>
      </w:r>
      <w:r w:rsidR="002375E6" w:rsidRPr="00292D88">
        <w:rPr>
          <w:rStyle w:val="CharAmSchNo"/>
        </w:rPr>
        <w:t>1</w:t>
      </w:r>
      <w:r>
        <w:t>—</w:t>
      </w:r>
      <w:r w:rsidRPr="00292D88">
        <w:rPr>
          <w:rStyle w:val="CharAmSchText"/>
        </w:rPr>
        <w:t>Avoidance of certain product intervention orders</w:t>
      </w:r>
    </w:p>
    <w:p w14:paraId="69374755" w14:textId="77777777" w:rsidR="004F1923" w:rsidRPr="00292D88" w:rsidRDefault="004F1923" w:rsidP="004F1923">
      <w:pPr>
        <w:pStyle w:val="Header"/>
      </w:pPr>
      <w:r w:rsidRPr="00292D88">
        <w:rPr>
          <w:rStyle w:val="CharAmPartNo"/>
        </w:rPr>
        <w:t xml:space="preserve"> </w:t>
      </w:r>
      <w:r w:rsidRPr="00292D88">
        <w:rPr>
          <w:rStyle w:val="CharAmPartText"/>
        </w:rPr>
        <w:t xml:space="preserve"> </w:t>
      </w:r>
    </w:p>
    <w:p w14:paraId="69374756" w14:textId="77777777" w:rsidR="005B6514" w:rsidRDefault="005B6514" w:rsidP="005B6514">
      <w:pPr>
        <w:pStyle w:val="ActHead9"/>
      </w:pPr>
      <w:r w:rsidRPr="005B6514">
        <w:t>Corporations Act 2001</w:t>
      </w:r>
    </w:p>
    <w:p w14:paraId="69374757" w14:textId="77777777" w:rsidR="005B6514" w:rsidRDefault="008F0C4C" w:rsidP="00247374">
      <w:pPr>
        <w:pStyle w:val="ItemHead"/>
      </w:pPr>
      <w:proofErr w:type="gramStart"/>
      <w:r>
        <w:t>1</w:t>
      </w:r>
      <w:r w:rsidR="00415765">
        <w:t xml:space="preserve">  At</w:t>
      </w:r>
      <w:proofErr w:type="gramEnd"/>
      <w:r w:rsidR="00415765">
        <w:t xml:space="preserve"> the end of Part 7.9A</w:t>
      </w:r>
    </w:p>
    <w:p w14:paraId="69374758" w14:textId="77777777" w:rsidR="00415765" w:rsidRDefault="00415765" w:rsidP="00415765">
      <w:pPr>
        <w:pStyle w:val="Item"/>
      </w:pPr>
      <w:r>
        <w:t>Add:</w:t>
      </w:r>
    </w:p>
    <w:p w14:paraId="69374759" w14:textId="77777777" w:rsidR="00415765" w:rsidRDefault="00415765" w:rsidP="00415765">
      <w:pPr>
        <w:pStyle w:val="ActHead5"/>
      </w:pPr>
      <w:r w:rsidRPr="00292D88">
        <w:rPr>
          <w:rStyle w:val="CharSectno"/>
        </w:rPr>
        <w:t>1023</w:t>
      </w:r>
      <w:proofErr w:type="gramStart"/>
      <w:r w:rsidR="00835554" w:rsidRPr="00292D88">
        <w:rPr>
          <w:rStyle w:val="CharSectno"/>
        </w:rPr>
        <w:t>S</w:t>
      </w:r>
      <w:r>
        <w:t xml:space="preserve">  </w:t>
      </w:r>
      <w:r w:rsidR="0056055A">
        <w:t>Avoidance</w:t>
      </w:r>
      <w:proofErr w:type="gramEnd"/>
      <w:r w:rsidR="0056055A">
        <w:t xml:space="preserve"> schemes—prohibition</w:t>
      </w:r>
    </w:p>
    <w:p w14:paraId="6937475A" w14:textId="77777777" w:rsidR="00AD2406" w:rsidRPr="007D0648" w:rsidRDefault="00AD2406" w:rsidP="00AD2406">
      <w:pPr>
        <w:pStyle w:val="SubsectionHead"/>
      </w:pPr>
      <w:r w:rsidRPr="007D0648">
        <w:t>General prohibition</w:t>
      </w:r>
    </w:p>
    <w:p w14:paraId="6937475B" w14:textId="77777777" w:rsidR="00AD2406" w:rsidRPr="007D0648" w:rsidRDefault="00AD2406" w:rsidP="00AD2406">
      <w:pPr>
        <w:pStyle w:val="subsection"/>
      </w:pPr>
      <w:r w:rsidRPr="007D0648">
        <w:tab/>
        <w:t>(1)</w:t>
      </w:r>
      <w:r w:rsidRPr="007D0648">
        <w:tab/>
        <w:t>A person must not, either alone or with others, engage in any of the following conduct:</w:t>
      </w:r>
    </w:p>
    <w:p w14:paraId="6937475C" w14:textId="77777777" w:rsidR="00AD2406" w:rsidRPr="007D0648" w:rsidRDefault="00AD2406" w:rsidP="00AD2406">
      <w:pPr>
        <w:pStyle w:val="paragraph"/>
      </w:pPr>
      <w:r w:rsidRPr="007D0648">
        <w:tab/>
        <w:t>(a)</w:t>
      </w:r>
      <w:r w:rsidRPr="007D0648">
        <w:tab/>
        <w:t xml:space="preserve">enter into a </w:t>
      </w:r>
      <w:proofErr w:type="gramStart"/>
      <w:r w:rsidRPr="007D0648">
        <w:t>scheme;</w:t>
      </w:r>
      <w:proofErr w:type="gramEnd"/>
    </w:p>
    <w:p w14:paraId="6937475D" w14:textId="77777777" w:rsidR="00AD2406" w:rsidRPr="007D0648" w:rsidRDefault="00AD2406" w:rsidP="00AD2406">
      <w:pPr>
        <w:pStyle w:val="paragraph"/>
      </w:pPr>
      <w:r w:rsidRPr="007D0648">
        <w:tab/>
        <w:t>(b)</w:t>
      </w:r>
      <w:r w:rsidRPr="007D0648">
        <w:tab/>
        <w:t xml:space="preserve">begin to carry out a </w:t>
      </w:r>
      <w:proofErr w:type="gramStart"/>
      <w:r w:rsidRPr="007D0648">
        <w:t>scheme;</w:t>
      </w:r>
      <w:proofErr w:type="gramEnd"/>
    </w:p>
    <w:p w14:paraId="6937475E" w14:textId="77777777" w:rsidR="00AD2406" w:rsidRPr="007D0648" w:rsidRDefault="00AD2406" w:rsidP="00AD2406">
      <w:pPr>
        <w:pStyle w:val="paragraph"/>
      </w:pPr>
      <w:r w:rsidRPr="007D0648">
        <w:tab/>
        <w:t>(c)</w:t>
      </w:r>
      <w:r w:rsidRPr="007D0648">
        <w:tab/>
        <w:t xml:space="preserve">carry out a </w:t>
      </w:r>
      <w:proofErr w:type="gramStart"/>
      <w:r w:rsidRPr="007D0648">
        <w:t>scheme</w:t>
      </w:r>
      <w:bookmarkStart w:id="0" w:name="_Hlk110603389"/>
      <w:r w:rsidRPr="007D0648">
        <w:t>;</w:t>
      </w:r>
      <w:proofErr w:type="gramEnd"/>
    </w:p>
    <w:p w14:paraId="6937475F" w14:textId="77777777" w:rsidR="00AD2406" w:rsidRPr="007D0648" w:rsidRDefault="00AD2406" w:rsidP="00AD2406">
      <w:pPr>
        <w:pStyle w:val="subsection2"/>
      </w:pPr>
      <w:bookmarkStart w:id="1" w:name="_Hlk110606667"/>
      <w:bookmarkEnd w:id="0"/>
      <w:r w:rsidRPr="007D0648">
        <w:t>if, having regard to any matters as required under subsection </w:t>
      </w:r>
      <w:r w:rsidR="00B850D6">
        <w:t>(</w:t>
      </w:r>
      <w:r w:rsidR="00693C7C">
        <w:t>8</w:t>
      </w:r>
      <w:r w:rsidR="00B850D6">
        <w:t>)</w:t>
      </w:r>
      <w:r w:rsidRPr="007D0648">
        <w:t xml:space="preserve">, it would be reasonable to conclude that the purpose, or one of the purposes, of the person engaging in that conduct was </w:t>
      </w:r>
      <w:r w:rsidR="00693C7C">
        <w:t xml:space="preserve">to avoid the application of a </w:t>
      </w:r>
      <w:r w:rsidR="00CE210A">
        <w:t>credit product intervention order</w:t>
      </w:r>
      <w:r w:rsidR="00835554">
        <w:t>.</w:t>
      </w:r>
      <w:bookmarkEnd w:id="1"/>
    </w:p>
    <w:p w14:paraId="69374760" w14:textId="77777777" w:rsidR="00A27BE4" w:rsidRDefault="00A27BE4" w:rsidP="00630ADD">
      <w:pPr>
        <w:pStyle w:val="notetext"/>
      </w:pPr>
      <w:r>
        <w:t>Note:</w:t>
      </w:r>
      <w:r>
        <w:tab/>
        <w:t>This subsection is a civil penalty provision (see section 1317E). For relief from liability to a civil penalty relating to this subsection, see section 1317S.</w:t>
      </w:r>
    </w:p>
    <w:p w14:paraId="69374761" w14:textId="77777777" w:rsidR="00AD2406" w:rsidRPr="007D0648" w:rsidRDefault="00AD2406" w:rsidP="00AD2406">
      <w:pPr>
        <w:pStyle w:val="SubsectionHead"/>
      </w:pPr>
      <w:r w:rsidRPr="007D0648">
        <w:t>Constitutional corporations</w:t>
      </w:r>
    </w:p>
    <w:p w14:paraId="69374762" w14:textId="77777777" w:rsidR="00AD2406" w:rsidRPr="007D0648" w:rsidRDefault="00AD2406" w:rsidP="00AD2406">
      <w:pPr>
        <w:pStyle w:val="subsection"/>
      </w:pPr>
      <w:r w:rsidRPr="007D0648">
        <w:tab/>
        <w:t>(</w:t>
      </w:r>
      <w:r w:rsidR="00736C13">
        <w:t>2</w:t>
      </w:r>
      <w:r w:rsidRPr="007D0648">
        <w:t>)</w:t>
      </w:r>
      <w:r w:rsidRPr="007D0648">
        <w:tab/>
        <w:t>A constitutional corporation must not, either alone or with other</w:t>
      </w:r>
      <w:r w:rsidR="00B839DF">
        <w:t>s</w:t>
      </w:r>
      <w:r w:rsidRPr="007D0648">
        <w:t>, engage in any of the following conduct:</w:t>
      </w:r>
    </w:p>
    <w:p w14:paraId="69374763" w14:textId="77777777" w:rsidR="00AD2406" w:rsidRPr="007D0648" w:rsidRDefault="00AD2406" w:rsidP="00AD2406">
      <w:pPr>
        <w:pStyle w:val="paragraph"/>
      </w:pPr>
      <w:r w:rsidRPr="007D0648">
        <w:tab/>
        <w:t>(a)</w:t>
      </w:r>
      <w:r w:rsidRPr="007D0648">
        <w:tab/>
        <w:t xml:space="preserve">enter into a </w:t>
      </w:r>
      <w:proofErr w:type="gramStart"/>
      <w:r w:rsidRPr="007D0648">
        <w:t>scheme;</w:t>
      </w:r>
      <w:proofErr w:type="gramEnd"/>
    </w:p>
    <w:p w14:paraId="69374764" w14:textId="77777777" w:rsidR="00AD2406" w:rsidRPr="007D0648" w:rsidRDefault="00AD2406" w:rsidP="00AD2406">
      <w:pPr>
        <w:pStyle w:val="paragraph"/>
      </w:pPr>
      <w:r w:rsidRPr="007D0648">
        <w:tab/>
        <w:t>(b)</w:t>
      </w:r>
      <w:r w:rsidRPr="007D0648">
        <w:tab/>
        <w:t xml:space="preserve">begin to carry out a </w:t>
      </w:r>
      <w:proofErr w:type="gramStart"/>
      <w:r w:rsidRPr="007D0648">
        <w:t>scheme;</w:t>
      </w:r>
      <w:proofErr w:type="gramEnd"/>
    </w:p>
    <w:p w14:paraId="69374765" w14:textId="77777777" w:rsidR="00AD2406" w:rsidRPr="007D0648" w:rsidRDefault="00AD2406" w:rsidP="00AD2406">
      <w:pPr>
        <w:pStyle w:val="paragraph"/>
      </w:pPr>
      <w:r w:rsidRPr="007D0648">
        <w:tab/>
        <w:t>(c)</w:t>
      </w:r>
      <w:r w:rsidRPr="007D0648">
        <w:tab/>
        <w:t xml:space="preserve">carry out a </w:t>
      </w:r>
      <w:proofErr w:type="gramStart"/>
      <w:r w:rsidRPr="007D0648">
        <w:t>scheme;</w:t>
      </w:r>
      <w:proofErr w:type="gramEnd"/>
    </w:p>
    <w:p w14:paraId="69374766" w14:textId="77777777" w:rsidR="00AD2406" w:rsidRPr="007D0648" w:rsidRDefault="00B850D6" w:rsidP="00AD2406">
      <w:pPr>
        <w:pStyle w:val="subsection2"/>
      </w:pPr>
      <w:r w:rsidRPr="007D0648">
        <w:t>if, having regard to any matters as required under subsection </w:t>
      </w:r>
      <w:r>
        <w:t>(</w:t>
      </w:r>
      <w:r w:rsidR="00693C7C">
        <w:t>8</w:t>
      </w:r>
      <w:r>
        <w:t>)</w:t>
      </w:r>
      <w:r w:rsidR="00AD2406" w:rsidRPr="007D0648">
        <w:t>, it would be reasonable to conclude that the purpose, or one of the purposes, of the constitutional corporation engaging in that conduct was</w:t>
      </w:r>
      <w:r w:rsidR="00835554">
        <w:t xml:space="preserve"> </w:t>
      </w:r>
      <w:r w:rsidR="00693C7C">
        <w:t xml:space="preserve">to avoid the application of a </w:t>
      </w:r>
      <w:r w:rsidR="00CE210A">
        <w:t>credit product intervention order</w:t>
      </w:r>
      <w:r w:rsidR="00835554">
        <w:t>.</w:t>
      </w:r>
    </w:p>
    <w:p w14:paraId="69374767" w14:textId="77777777" w:rsidR="00B85453" w:rsidRDefault="00B85453" w:rsidP="00B85453">
      <w:pPr>
        <w:pStyle w:val="notetext"/>
      </w:pPr>
      <w:r>
        <w:t>Note:</w:t>
      </w:r>
      <w:r>
        <w:tab/>
        <w:t>This subsection is a civil penalty provision (see section 1317E). For relief from liability to a civil penalty relating to this subsection, see section 1317S.</w:t>
      </w:r>
    </w:p>
    <w:p w14:paraId="69374768" w14:textId="77777777" w:rsidR="00AD2406" w:rsidRPr="007D0648" w:rsidRDefault="00AD2406" w:rsidP="00AD2406">
      <w:pPr>
        <w:pStyle w:val="SubsectionHead"/>
      </w:pPr>
      <w:r w:rsidRPr="007D0648">
        <w:lastRenderedPageBreak/>
        <w:t>Constitutional trade and commerce</w:t>
      </w:r>
    </w:p>
    <w:p w14:paraId="69374769" w14:textId="77777777" w:rsidR="00AD2406" w:rsidRPr="007D0648" w:rsidRDefault="00AD2406" w:rsidP="00AD2406">
      <w:pPr>
        <w:pStyle w:val="subsection"/>
      </w:pPr>
      <w:r w:rsidRPr="007D0648">
        <w:tab/>
        <w:t>(</w:t>
      </w:r>
      <w:r w:rsidR="00736C13">
        <w:t>3</w:t>
      </w:r>
      <w:r w:rsidRPr="007D0648">
        <w:t>)</w:t>
      </w:r>
      <w:r w:rsidRPr="007D0648">
        <w:tab/>
        <w:t xml:space="preserve">A person must not </w:t>
      </w:r>
      <w:proofErr w:type="gramStart"/>
      <w:r w:rsidRPr="007D0648">
        <w:t>in the course of</w:t>
      </w:r>
      <w:proofErr w:type="gramEnd"/>
      <w:r w:rsidRPr="007D0648">
        <w:t xml:space="preserve"> constitutional trade and commerce, either alone or with others, engage in any of the following conduct:</w:t>
      </w:r>
    </w:p>
    <w:p w14:paraId="6937476A" w14:textId="77777777" w:rsidR="00AD2406" w:rsidRPr="007D0648" w:rsidRDefault="00AD2406" w:rsidP="00AD2406">
      <w:pPr>
        <w:pStyle w:val="paragraph"/>
      </w:pPr>
      <w:r w:rsidRPr="007D0648">
        <w:tab/>
        <w:t>(a)</w:t>
      </w:r>
      <w:r w:rsidRPr="007D0648">
        <w:tab/>
        <w:t xml:space="preserve">enter into a </w:t>
      </w:r>
      <w:proofErr w:type="gramStart"/>
      <w:r w:rsidRPr="007D0648">
        <w:t>scheme;</w:t>
      </w:r>
      <w:proofErr w:type="gramEnd"/>
    </w:p>
    <w:p w14:paraId="6937476B" w14:textId="77777777" w:rsidR="00AD2406" w:rsidRPr="007D0648" w:rsidRDefault="00AD2406" w:rsidP="00AD2406">
      <w:pPr>
        <w:pStyle w:val="paragraph"/>
      </w:pPr>
      <w:r w:rsidRPr="007D0648">
        <w:tab/>
        <w:t>(b)</w:t>
      </w:r>
      <w:r w:rsidRPr="007D0648">
        <w:tab/>
        <w:t xml:space="preserve">begin to carry out a </w:t>
      </w:r>
      <w:proofErr w:type="gramStart"/>
      <w:r w:rsidRPr="007D0648">
        <w:t>scheme;</w:t>
      </w:r>
      <w:proofErr w:type="gramEnd"/>
    </w:p>
    <w:p w14:paraId="6937476C" w14:textId="77777777" w:rsidR="00AD2406" w:rsidRPr="007D0648" w:rsidRDefault="00AD2406" w:rsidP="00AD2406">
      <w:pPr>
        <w:pStyle w:val="paragraph"/>
      </w:pPr>
      <w:r w:rsidRPr="007D0648">
        <w:tab/>
        <w:t>(c)</w:t>
      </w:r>
      <w:r w:rsidRPr="007D0648">
        <w:tab/>
        <w:t xml:space="preserve">carry out a </w:t>
      </w:r>
      <w:proofErr w:type="gramStart"/>
      <w:r w:rsidRPr="007D0648">
        <w:t>scheme;</w:t>
      </w:r>
      <w:proofErr w:type="gramEnd"/>
    </w:p>
    <w:p w14:paraId="6937476D" w14:textId="77777777" w:rsidR="00AD2406" w:rsidRPr="007D0648" w:rsidRDefault="00B850D6" w:rsidP="00AD2406">
      <w:pPr>
        <w:pStyle w:val="subsection2"/>
      </w:pPr>
      <w:r w:rsidRPr="007D0648">
        <w:t>if, having regard to any matters as required under subsection </w:t>
      </w:r>
      <w:r>
        <w:t>(</w:t>
      </w:r>
      <w:r w:rsidR="00693C7C">
        <w:t>8</w:t>
      </w:r>
      <w:r>
        <w:t>)</w:t>
      </w:r>
      <w:r w:rsidR="00AD2406" w:rsidRPr="007D0648">
        <w:t xml:space="preserve">, it would be reasonable to conclude that the purpose, or one of the purposes, of the person engaging in that conduct was </w:t>
      </w:r>
      <w:r w:rsidR="00693C7C">
        <w:t xml:space="preserve">to avoid the application of a </w:t>
      </w:r>
      <w:r w:rsidR="00CE210A">
        <w:t>credit product intervention order</w:t>
      </w:r>
      <w:r w:rsidR="00AD2406" w:rsidRPr="007D0648">
        <w:t>.</w:t>
      </w:r>
    </w:p>
    <w:p w14:paraId="6937476E" w14:textId="77777777" w:rsidR="00B85453" w:rsidRDefault="00B85453" w:rsidP="00B85453">
      <w:pPr>
        <w:pStyle w:val="notetext"/>
      </w:pPr>
      <w:r>
        <w:t>Note:</w:t>
      </w:r>
      <w:r>
        <w:tab/>
        <w:t>This subsection is a civil penalty provision (see section 1317E). For relief from liability to a civil penalty relating to this subsection, see section 1317S.</w:t>
      </w:r>
    </w:p>
    <w:p w14:paraId="6937476F" w14:textId="77777777" w:rsidR="00AD2406" w:rsidRPr="007D0648" w:rsidRDefault="00AD2406" w:rsidP="00AD2406">
      <w:pPr>
        <w:pStyle w:val="SubsectionHead"/>
      </w:pPr>
      <w:r w:rsidRPr="007D0648">
        <w:t>Use of communications service</w:t>
      </w:r>
    </w:p>
    <w:p w14:paraId="69374770" w14:textId="77777777" w:rsidR="00AD2406" w:rsidRPr="007D0648" w:rsidRDefault="00AD2406" w:rsidP="00AD2406">
      <w:pPr>
        <w:pStyle w:val="subsection"/>
      </w:pPr>
      <w:r w:rsidRPr="007D0648">
        <w:tab/>
        <w:t>(</w:t>
      </w:r>
      <w:r w:rsidR="00736C13">
        <w:t>4</w:t>
      </w:r>
      <w:r w:rsidRPr="007D0648">
        <w:t>)</w:t>
      </w:r>
      <w:r w:rsidRPr="007D0648">
        <w:tab/>
        <w:t xml:space="preserve">A person must not use postal, telegraphic, </w:t>
      </w:r>
      <w:proofErr w:type="gramStart"/>
      <w:r w:rsidRPr="007D0648">
        <w:t>telephonic</w:t>
      </w:r>
      <w:proofErr w:type="gramEnd"/>
      <w:r w:rsidRPr="007D0648">
        <w:t xml:space="preserve"> or other like services (within the meaning of paragraph 51(v) of the Constitution), either alone or with other</w:t>
      </w:r>
      <w:r w:rsidR="00B839DF">
        <w:t>s</w:t>
      </w:r>
      <w:r w:rsidRPr="007D0648">
        <w:t>, in order to engage in any of the following conduct:</w:t>
      </w:r>
    </w:p>
    <w:p w14:paraId="69374771" w14:textId="77777777" w:rsidR="00AD2406" w:rsidRPr="007D0648" w:rsidRDefault="00AD2406" w:rsidP="00AD2406">
      <w:pPr>
        <w:pStyle w:val="paragraph"/>
      </w:pPr>
      <w:r w:rsidRPr="007D0648">
        <w:tab/>
        <w:t>(a)</w:t>
      </w:r>
      <w:r w:rsidRPr="007D0648">
        <w:tab/>
        <w:t xml:space="preserve">enter into a </w:t>
      </w:r>
      <w:proofErr w:type="gramStart"/>
      <w:r w:rsidRPr="007D0648">
        <w:t>scheme;</w:t>
      </w:r>
      <w:proofErr w:type="gramEnd"/>
    </w:p>
    <w:p w14:paraId="69374772" w14:textId="77777777" w:rsidR="00AD2406" w:rsidRPr="007D0648" w:rsidRDefault="00AD2406" w:rsidP="00AD2406">
      <w:pPr>
        <w:pStyle w:val="paragraph"/>
      </w:pPr>
      <w:r w:rsidRPr="007D0648">
        <w:tab/>
        <w:t>(b)</w:t>
      </w:r>
      <w:r w:rsidRPr="007D0648">
        <w:tab/>
        <w:t xml:space="preserve">begin to carry out a </w:t>
      </w:r>
      <w:proofErr w:type="gramStart"/>
      <w:r w:rsidRPr="007D0648">
        <w:t>scheme;</w:t>
      </w:r>
      <w:proofErr w:type="gramEnd"/>
    </w:p>
    <w:p w14:paraId="69374773" w14:textId="77777777" w:rsidR="00AD2406" w:rsidRPr="007D0648" w:rsidRDefault="00AD2406" w:rsidP="00AD2406">
      <w:pPr>
        <w:pStyle w:val="paragraph"/>
      </w:pPr>
      <w:r w:rsidRPr="007D0648">
        <w:tab/>
        <w:t>(c)</w:t>
      </w:r>
      <w:r w:rsidRPr="007D0648">
        <w:tab/>
        <w:t xml:space="preserve">carry out a </w:t>
      </w:r>
      <w:proofErr w:type="gramStart"/>
      <w:r w:rsidRPr="007D0648">
        <w:t>scheme;</w:t>
      </w:r>
      <w:proofErr w:type="gramEnd"/>
    </w:p>
    <w:p w14:paraId="69374774" w14:textId="77777777" w:rsidR="00AD2406" w:rsidRPr="007D0648" w:rsidRDefault="00B850D6" w:rsidP="00AD2406">
      <w:pPr>
        <w:pStyle w:val="subsection2"/>
      </w:pPr>
      <w:r w:rsidRPr="007D0648">
        <w:t>if, having regard to any matters as required under subsection </w:t>
      </w:r>
      <w:r>
        <w:t>(</w:t>
      </w:r>
      <w:r w:rsidR="00693C7C">
        <w:t>8</w:t>
      </w:r>
      <w:r>
        <w:t>)</w:t>
      </w:r>
      <w:r w:rsidR="00AD2406" w:rsidRPr="007D0648">
        <w:t xml:space="preserve">, it would be reasonable to conclude that the purpose, or one of the purposes, of the person engaging in that conduct was </w:t>
      </w:r>
      <w:r w:rsidR="00693C7C">
        <w:t xml:space="preserve">to avoid the application of a </w:t>
      </w:r>
      <w:r w:rsidR="00CE210A">
        <w:t>credit product intervention order</w:t>
      </w:r>
      <w:r w:rsidR="00AD2406" w:rsidRPr="007D0648">
        <w:t>.</w:t>
      </w:r>
    </w:p>
    <w:p w14:paraId="69374775" w14:textId="77777777" w:rsidR="00B85453" w:rsidRDefault="00B85453" w:rsidP="00B85453">
      <w:pPr>
        <w:pStyle w:val="notetext"/>
      </w:pPr>
      <w:r>
        <w:t>Note:</w:t>
      </w:r>
      <w:r>
        <w:tab/>
        <w:t>This subsection is a civil penalty provision (see section 1317E). For relief from liability to a civil penalty relating to this subsection, see section 1317S.</w:t>
      </w:r>
    </w:p>
    <w:p w14:paraId="69374776" w14:textId="77777777" w:rsidR="00AD2406" w:rsidRPr="007D0648" w:rsidRDefault="00AD2406" w:rsidP="00AD2406">
      <w:pPr>
        <w:pStyle w:val="SubsectionHead"/>
      </w:pPr>
      <w:r w:rsidRPr="007D0648">
        <w:t>Prohibitions independent of each other</w:t>
      </w:r>
    </w:p>
    <w:p w14:paraId="69374777" w14:textId="77777777" w:rsidR="00AD2406" w:rsidRDefault="00AD2406" w:rsidP="00AD2406">
      <w:pPr>
        <w:pStyle w:val="subsection"/>
      </w:pPr>
      <w:r w:rsidRPr="007D0648">
        <w:tab/>
        <w:t>(</w:t>
      </w:r>
      <w:r w:rsidR="00736C13">
        <w:t>5</w:t>
      </w:r>
      <w:r w:rsidRPr="007D0648">
        <w:t>)</w:t>
      </w:r>
      <w:r w:rsidRPr="007D0648">
        <w:tab/>
        <w:t>To avoid doubt, subsections (1), (</w:t>
      </w:r>
      <w:r w:rsidR="00C44C14">
        <w:t>2</w:t>
      </w:r>
      <w:r w:rsidRPr="007D0648">
        <w:t>), (</w:t>
      </w:r>
      <w:r w:rsidR="00C44C14">
        <w:t>3</w:t>
      </w:r>
      <w:r w:rsidRPr="007D0648">
        <w:t>) and (</w:t>
      </w:r>
      <w:r w:rsidR="00C44C14">
        <w:t>4</w:t>
      </w:r>
      <w:r w:rsidRPr="007D0648">
        <w:t>) are independent from and do not limit each other.</w:t>
      </w:r>
    </w:p>
    <w:p w14:paraId="69374778" w14:textId="77777777" w:rsidR="006A1659" w:rsidRPr="00D240E1" w:rsidRDefault="006A1659" w:rsidP="006A1659">
      <w:pPr>
        <w:pStyle w:val="subsection"/>
      </w:pPr>
      <w:r w:rsidRPr="00D240E1">
        <w:tab/>
        <w:t>(</w:t>
      </w:r>
      <w:r>
        <w:t>6</w:t>
      </w:r>
      <w:r w:rsidRPr="00D240E1">
        <w:t>)</w:t>
      </w:r>
      <w:r w:rsidRPr="00D240E1">
        <w:tab/>
        <w:t xml:space="preserve">If conduct constitutes a contravention of 2 or more </w:t>
      </w:r>
      <w:r>
        <w:t>subsections of this section</w:t>
      </w:r>
      <w:r w:rsidRPr="00D240E1">
        <w:t>, proceedings may be</w:t>
      </w:r>
      <w:r>
        <w:t xml:space="preserve"> started </w:t>
      </w:r>
      <w:r w:rsidRPr="00D240E1">
        <w:t xml:space="preserve">against a person in relation to the contravention of any one or more of those </w:t>
      </w:r>
      <w:r>
        <w:t>subsections</w:t>
      </w:r>
      <w:r w:rsidRPr="00D240E1">
        <w:t>.</w:t>
      </w:r>
    </w:p>
    <w:p w14:paraId="69374779" w14:textId="77777777" w:rsidR="006A1659" w:rsidRPr="00D240E1" w:rsidRDefault="006A1659" w:rsidP="006A1659">
      <w:pPr>
        <w:pStyle w:val="subsection"/>
      </w:pPr>
      <w:r w:rsidRPr="00D240E1">
        <w:tab/>
        <w:t>(</w:t>
      </w:r>
      <w:r>
        <w:t>7</w:t>
      </w:r>
      <w:r w:rsidRPr="00D240E1">
        <w:t>)</w:t>
      </w:r>
      <w:r w:rsidRPr="00D240E1">
        <w:tab/>
        <w:t>However, the person is not liable to more than one pecuniary penalty in relation to the same conduct.</w:t>
      </w:r>
    </w:p>
    <w:p w14:paraId="6937477A" w14:textId="77777777" w:rsidR="00B850D6" w:rsidRPr="007D0648" w:rsidRDefault="002B0CFA" w:rsidP="00B850D6">
      <w:pPr>
        <w:pStyle w:val="SubsectionHead"/>
      </w:pPr>
      <w:r>
        <w:lastRenderedPageBreak/>
        <w:t>Matters to which regard must be had</w:t>
      </w:r>
    </w:p>
    <w:p w14:paraId="6937477B" w14:textId="77777777" w:rsidR="00B850D6" w:rsidRPr="007D0648" w:rsidRDefault="00B850D6" w:rsidP="00B850D6">
      <w:pPr>
        <w:pStyle w:val="subsection"/>
      </w:pPr>
      <w:r w:rsidRPr="007D0648">
        <w:tab/>
        <w:t>(</w:t>
      </w:r>
      <w:r w:rsidR="006A1659">
        <w:t>8</w:t>
      </w:r>
      <w:r w:rsidRPr="007D0648">
        <w:t>)</w:t>
      </w:r>
      <w:r w:rsidRPr="007D0648">
        <w:tab/>
        <w:t xml:space="preserve">In determining, for the purposes of </w:t>
      </w:r>
      <w:r>
        <w:t>sub</w:t>
      </w:r>
      <w:r w:rsidRPr="007D0648">
        <w:t>section </w:t>
      </w:r>
      <w:r>
        <w:t>(1), (2), (3) or (4)</w:t>
      </w:r>
      <w:r w:rsidRPr="007D0648">
        <w:t xml:space="preserve">, whether it would be reasonable to conclude that a purpose of a person </w:t>
      </w:r>
      <w:proofErr w:type="gramStart"/>
      <w:r w:rsidRPr="007D0648">
        <w:t>entering into</w:t>
      </w:r>
      <w:proofErr w:type="gramEnd"/>
      <w:r w:rsidRPr="007D0648">
        <w:t xml:space="preserve"> or carrying out (to any extent) a scheme was </w:t>
      </w:r>
      <w:r w:rsidR="002B0CFA">
        <w:t xml:space="preserve">to avoid the application of a </w:t>
      </w:r>
      <w:r w:rsidR="00CE210A">
        <w:t>credit product intervention order</w:t>
      </w:r>
      <w:r w:rsidRPr="007D0648">
        <w:t>, regard must be had to any matters prescribed by the regulations.</w:t>
      </w:r>
    </w:p>
    <w:p w14:paraId="6937477C" w14:textId="77777777" w:rsidR="00B850D6" w:rsidRPr="007D0648" w:rsidRDefault="00B850D6" w:rsidP="00B850D6">
      <w:pPr>
        <w:pStyle w:val="subsection"/>
      </w:pPr>
      <w:r w:rsidRPr="007D0648">
        <w:tab/>
        <w:t>(</w:t>
      </w:r>
      <w:r w:rsidR="006A1659">
        <w:t>9</w:t>
      </w:r>
      <w:r w:rsidRPr="007D0648">
        <w:t>)</w:t>
      </w:r>
      <w:r w:rsidRPr="007D0648">
        <w:tab/>
        <w:t>Subsection (</w:t>
      </w:r>
      <w:r w:rsidR="00693C7C">
        <w:t>8</w:t>
      </w:r>
      <w:r w:rsidRPr="007D0648">
        <w:t xml:space="preserve">) does not limit the matters to which regard may be had in </w:t>
      </w:r>
      <w:proofErr w:type="gramStart"/>
      <w:r w:rsidRPr="007D0648">
        <w:t>making a determination</w:t>
      </w:r>
      <w:proofErr w:type="gramEnd"/>
      <w:r w:rsidRPr="007D0648">
        <w:t xml:space="preserve"> described in that subsection.</w:t>
      </w:r>
    </w:p>
    <w:p w14:paraId="6937477D" w14:textId="77777777" w:rsidR="00E9632E" w:rsidRPr="007D0648" w:rsidRDefault="00E9632E" w:rsidP="00E9632E">
      <w:pPr>
        <w:pStyle w:val="SubsectionHead"/>
      </w:pPr>
      <w:r w:rsidRPr="007D0648">
        <w:t>Offence</w:t>
      </w:r>
    </w:p>
    <w:p w14:paraId="6937477E" w14:textId="77777777" w:rsidR="00E9632E" w:rsidRPr="007D0648" w:rsidRDefault="00E9632E" w:rsidP="00E9632E">
      <w:pPr>
        <w:pStyle w:val="subsection"/>
      </w:pPr>
      <w:r w:rsidRPr="007D0648">
        <w:tab/>
        <w:t>(</w:t>
      </w:r>
      <w:r w:rsidR="006A1659">
        <w:t>10</w:t>
      </w:r>
      <w:r w:rsidRPr="007D0648">
        <w:t>)</w:t>
      </w:r>
      <w:r w:rsidRPr="007D0648">
        <w:tab/>
        <w:t>A person commits an offence if:</w:t>
      </w:r>
    </w:p>
    <w:p w14:paraId="6937477F" w14:textId="77777777" w:rsidR="00E9632E" w:rsidRPr="007D0648" w:rsidRDefault="00E9632E" w:rsidP="00E9632E">
      <w:pPr>
        <w:pStyle w:val="paragraph"/>
      </w:pPr>
      <w:r w:rsidRPr="007D0648">
        <w:tab/>
        <w:t>(a)</w:t>
      </w:r>
      <w:r w:rsidRPr="007D0648">
        <w:tab/>
        <w:t>the person is subject to a requirement under subsection (1), (</w:t>
      </w:r>
      <w:r w:rsidR="00794B6E">
        <w:t>2</w:t>
      </w:r>
      <w:r w:rsidRPr="007D0648">
        <w:t>), (</w:t>
      </w:r>
      <w:r w:rsidR="00794B6E">
        <w:t>3</w:t>
      </w:r>
      <w:r w:rsidRPr="007D0648">
        <w:t>) or (</w:t>
      </w:r>
      <w:r w:rsidR="00794B6E">
        <w:t>4</w:t>
      </w:r>
      <w:r w:rsidRPr="007D0648">
        <w:t>); and</w:t>
      </w:r>
    </w:p>
    <w:p w14:paraId="69374780" w14:textId="77777777" w:rsidR="00E9632E" w:rsidRPr="007D0648" w:rsidRDefault="00E9632E" w:rsidP="00E9632E">
      <w:pPr>
        <w:pStyle w:val="paragraph"/>
      </w:pPr>
      <w:r w:rsidRPr="007D0648">
        <w:tab/>
        <w:t>(b)</w:t>
      </w:r>
      <w:r w:rsidRPr="007D0648">
        <w:tab/>
        <w:t>the person engages in conduct; and</w:t>
      </w:r>
    </w:p>
    <w:p w14:paraId="69374781" w14:textId="77777777" w:rsidR="00E9632E" w:rsidRPr="007D0648" w:rsidRDefault="00E9632E" w:rsidP="00E9632E">
      <w:pPr>
        <w:pStyle w:val="paragraph"/>
      </w:pPr>
      <w:r w:rsidRPr="007D0648">
        <w:tab/>
        <w:t>(c)</w:t>
      </w:r>
      <w:r w:rsidRPr="007D0648">
        <w:tab/>
        <w:t>the conduct contravenes the requirement.</w:t>
      </w:r>
    </w:p>
    <w:p w14:paraId="69374782" w14:textId="77777777" w:rsidR="00B850D6" w:rsidRPr="00B850D6" w:rsidRDefault="00B850D6" w:rsidP="00B850D6">
      <w:pPr>
        <w:pStyle w:val="SubsectionHead"/>
      </w:pPr>
      <w:r>
        <w:t>Definitions</w:t>
      </w:r>
    </w:p>
    <w:p w14:paraId="69374783" w14:textId="77777777" w:rsidR="00845A67" w:rsidRDefault="00B850D6" w:rsidP="00845A67">
      <w:pPr>
        <w:pStyle w:val="subsection"/>
      </w:pPr>
      <w:r>
        <w:tab/>
      </w:r>
      <w:r w:rsidR="00845A67">
        <w:t>(</w:t>
      </w:r>
      <w:r w:rsidR="006A1659">
        <w:t>11</w:t>
      </w:r>
      <w:r w:rsidR="00845A67">
        <w:t>)</w:t>
      </w:r>
      <w:r w:rsidR="00845A67">
        <w:tab/>
        <w:t>In this section:</w:t>
      </w:r>
    </w:p>
    <w:p w14:paraId="69374784" w14:textId="77777777" w:rsidR="000738DD" w:rsidRPr="007D0648" w:rsidRDefault="000738DD" w:rsidP="000738DD">
      <w:pPr>
        <w:pStyle w:val="Definition"/>
      </w:pPr>
      <w:r w:rsidRPr="007D0648">
        <w:rPr>
          <w:b/>
          <w:i/>
        </w:rPr>
        <w:t>constitutional corporation</w:t>
      </w:r>
      <w:r w:rsidRPr="007D0648">
        <w:t xml:space="preserve"> means a corporation to which paragraph 51(xx) of the Constitution applies.</w:t>
      </w:r>
    </w:p>
    <w:p w14:paraId="69374785" w14:textId="77777777" w:rsidR="000738DD" w:rsidRPr="007D0648" w:rsidRDefault="000738DD" w:rsidP="000738DD">
      <w:pPr>
        <w:pStyle w:val="Definition"/>
      </w:pPr>
      <w:r w:rsidRPr="007D0648">
        <w:rPr>
          <w:b/>
          <w:i/>
        </w:rPr>
        <w:t>constitutional trade and commerce</w:t>
      </w:r>
      <w:r w:rsidRPr="007D0648">
        <w:t xml:space="preserve"> </w:t>
      </w:r>
      <w:proofErr w:type="gramStart"/>
      <w:r w:rsidRPr="007D0648">
        <w:t>means</w:t>
      </w:r>
      <w:proofErr w:type="gramEnd"/>
      <w:r w:rsidRPr="007D0648">
        <w:t xml:space="preserve"> trade and commerce:</w:t>
      </w:r>
    </w:p>
    <w:p w14:paraId="69374786" w14:textId="77777777" w:rsidR="000738DD" w:rsidRPr="007D0648" w:rsidRDefault="000738DD" w:rsidP="000738DD">
      <w:pPr>
        <w:pStyle w:val="paragraph"/>
      </w:pPr>
      <w:r w:rsidRPr="007D0648">
        <w:tab/>
        <w:t>(a)</w:t>
      </w:r>
      <w:r w:rsidRPr="007D0648">
        <w:tab/>
        <w:t>between Australia and places outside Australia; or</w:t>
      </w:r>
    </w:p>
    <w:p w14:paraId="69374787" w14:textId="77777777" w:rsidR="000738DD" w:rsidRPr="007D0648" w:rsidRDefault="000738DD" w:rsidP="000738DD">
      <w:pPr>
        <w:pStyle w:val="paragraph"/>
      </w:pPr>
      <w:r w:rsidRPr="007D0648">
        <w:tab/>
        <w:t>(b)</w:t>
      </w:r>
      <w:r w:rsidRPr="007D0648">
        <w:tab/>
        <w:t>between the States; or</w:t>
      </w:r>
    </w:p>
    <w:p w14:paraId="69374788" w14:textId="77777777" w:rsidR="000738DD" w:rsidRPr="007D0648" w:rsidRDefault="000738DD" w:rsidP="000738DD">
      <w:pPr>
        <w:pStyle w:val="paragraph"/>
      </w:pPr>
      <w:r w:rsidRPr="007D0648">
        <w:tab/>
        <w:t>(c)</w:t>
      </w:r>
      <w:r w:rsidRPr="007D0648">
        <w:tab/>
        <w:t>between a State and a Territory; or</w:t>
      </w:r>
    </w:p>
    <w:p w14:paraId="69374789" w14:textId="77777777" w:rsidR="000738DD" w:rsidRPr="007D0648" w:rsidRDefault="000738DD" w:rsidP="000738DD">
      <w:pPr>
        <w:pStyle w:val="paragraph"/>
      </w:pPr>
      <w:r w:rsidRPr="007D0648">
        <w:tab/>
        <w:t>(d)</w:t>
      </w:r>
      <w:r w:rsidRPr="007D0648">
        <w:tab/>
        <w:t>between 2 Territories; or</w:t>
      </w:r>
    </w:p>
    <w:p w14:paraId="6937478A" w14:textId="77777777" w:rsidR="000738DD" w:rsidRPr="007D0648" w:rsidRDefault="000738DD" w:rsidP="000738DD">
      <w:pPr>
        <w:pStyle w:val="paragraph"/>
      </w:pPr>
      <w:r w:rsidRPr="007D0648">
        <w:tab/>
        <w:t>(e)</w:t>
      </w:r>
      <w:r w:rsidRPr="007D0648">
        <w:tab/>
        <w:t>within a Territory.</w:t>
      </w:r>
    </w:p>
    <w:p w14:paraId="6937478B" w14:textId="77777777" w:rsidR="00693C7C" w:rsidRPr="00693C7C" w:rsidRDefault="00CE210A" w:rsidP="00845A67">
      <w:pPr>
        <w:pStyle w:val="Definition"/>
      </w:pPr>
      <w:r>
        <w:rPr>
          <w:b/>
          <w:i/>
        </w:rPr>
        <w:t>credit product intervention order</w:t>
      </w:r>
      <w:r w:rsidR="00693C7C">
        <w:t xml:space="preserve"> means a </w:t>
      </w:r>
      <w:r w:rsidR="00693C7C" w:rsidRPr="007D0648">
        <w:t>product intervention order</w:t>
      </w:r>
      <w:r w:rsidR="00693C7C">
        <w:t xml:space="preserve"> made in relation to a financial product of the kind covered by paragraph 12BAA(7)(k) of the </w:t>
      </w:r>
      <w:r w:rsidR="00693C7C" w:rsidRPr="00E4649C">
        <w:rPr>
          <w:i/>
        </w:rPr>
        <w:t>Australian Securities and Investments Commission Act 2001</w:t>
      </w:r>
      <w:r w:rsidR="00693C7C">
        <w:t xml:space="preserve"> (which is about credit facilities).</w:t>
      </w:r>
    </w:p>
    <w:p w14:paraId="6937478C" w14:textId="77777777" w:rsidR="00845A67" w:rsidRDefault="00845A67" w:rsidP="00845A67">
      <w:pPr>
        <w:pStyle w:val="Definition"/>
      </w:pPr>
      <w:r w:rsidRPr="00845A67">
        <w:rPr>
          <w:b/>
          <w:i/>
        </w:rPr>
        <w:t>scheme</w:t>
      </w:r>
      <w:r>
        <w:t xml:space="preserve"> means:</w:t>
      </w:r>
    </w:p>
    <w:p w14:paraId="6937478D" w14:textId="77777777" w:rsidR="00845A67" w:rsidRDefault="00845A67" w:rsidP="00845A67">
      <w:pPr>
        <w:pStyle w:val="paragraph"/>
      </w:pPr>
      <w:r>
        <w:tab/>
        <w:t>(a)</w:t>
      </w:r>
      <w:r>
        <w:tab/>
        <w:t xml:space="preserve">any agreement, </w:t>
      </w:r>
      <w:r w:rsidR="0056055A">
        <w:t>arrangement</w:t>
      </w:r>
      <w:r>
        <w:t>, understanding, promise or undertaking, whether express or implied; or</w:t>
      </w:r>
    </w:p>
    <w:p w14:paraId="6937478E" w14:textId="77777777" w:rsidR="00845A67" w:rsidRDefault="00845A67" w:rsidP="00845A67">
      <w:pPr>
        <w:pStyle w:val="paragraph"/>
      </w:pPr>
      <w:r>
        <w:tab/>
        <w:t>(b)</w:t>
      </w:r>
      <w:r>
        <w:tab/>
        <w:t>any scheme, plan, proposal, action, course of action or course of conduct, whether unilateral or otherwise; or</w:t>
      </w:r>
    </w:p>
    <w:p w14:paraId="6937478F" w14:textId="77777777" w:rsidR="00845A67" w:rsidRDefault="00845A67" w:rsidP="00845A67">
      <w:pPr>
        <w:pStyle w:val="paragraph"/>
      </w:pPr>
      <w:r>
        <w:lastRenderedPageBreak/>
        <w:tab/>
        <w:t>(c)</w:t>
      </w:r>
      <w:r>
        <w:tab/>
        <w:t>any combination of 2 or more things that are schemes because of paragraph (a) or (b).</w:t>
      </w:r>
    </w:p>
    <w:p w14:paraId="69374790" w14:textId="77777777" w:rsidR="004E4547" w:rsidRPr="007D0648" w:rsidRDefault="004E4547" w:rsidP="004E4547">
      <w:pPr>
        <w:pStyle w:val="ActHead5"/>
      </w:pPr>
      <w:bookmarkStart w:id="2" w:name="_Toc111703478"/>
      <w:r w:rsidRPr="00292D88">
        <w:rPr>
          <w:rStyle w:val="CharSectno"/>
        </w:rPr>
        <w:t>1023</w:t>
      </w:r>
      <w:proofErr w:type="gramStart"/>
      <w:r w:rsidRPr="00292D88">
        <w:rPr>
          <w:rStyle w:val="CharSectno"/>
        </w:rPr>
        <w:t>T</w:t>
      </w:r>
      <w:r w:rsidRPr="007D0648">
        <w:t xml:space="preserve">  </w:t>
      </w:r>
      <w:bookmarkEnd w:id="2"/>
      <w:r w:rsidR="0056055A">
        <w:t>Avoidance</w:t>
      </w:r>
      <w:proofErr w:type="gramEnd"/>
      <w:r w:rsidR="0056055A">
        <w:t xml:space="preserve"> schemes—</w:t>
      </w:r>
      <w:r w:rsidR="0056055A" w:rsidRPr="007D0648">
        <w:t xml:space="preserve">presumption </w:t>
      </w:r>
      <w:r w:rsidR="00AD1984" w:rsidRPr="007D0648">
        <w:t>of avoidance for certain schemes in civil cases</w:t>
      </w:r>
    </w:p>
    <w:p w14:paraId="69374791" w14:textId="77777777" w:rsidR="00AD1984" w:rsidRPr="007D0648" w:rsidRDefault="00AD1984" w:rsidP="00AD1984">
      <w:pPr>
        <w:pStyle w:val="subsection"/>
      </w:pPr>
      <w:r>
        <w:tab/>
        <w:t>(1)</w:t>
      </w:r>
      <w:r>
        <w:tab/>
      </w:r>
      <w:r w:rsidRPr="007D0648">
        <w:t>For the purposes of subsection </w:t>
      </w:r>
      <w:r>
        <w:t>1023</w:t>
      </w:r>
      <w:proofErr w:type="gramStart"/>
      <w:r>
        <w:t>S</w:t>
      </w:r>
      <w:r w:rsidRPr="007D0648">
        <w:t>(</w:t>
      </w:r>
      <w:proofErr w:type="gramEnd"/>
      <w:r w:rsidRPr="007D0648">
        <w:t>1), (</w:t>
      </w:r>
      <w:r>
        <w:t>2</w:t>
      </w:r>
      <w:r w:rsidRPr="007D0648">
        <w:t>), (</w:t>
      </w:r>
      <w:r>
        <w:t>3</w:t>
      </w:r>
      <w:r w:rsidRPr="007D0648">
        <w:t>) or (</w:t>
      </w:r>
      <w:r>
        <w:t>4</w:t>
      </w:r>
      <w:r w:rsidRPr="007D0648">
        <w:t>), it is reasonable to conclude</w:t>
      </w:r>
      <w:r w:rsidR="00413C47">
        <w:t>, unless the contrary is proved,</w:t>
      </w:r>
      <w:r w:rsidRPr="007D0648">
        <w:t xml:space="preserve"> that a person entered into or carried out a scheme for </w:t>
      </w:r>
      <w:r w:rsidR="00693C7C">
        <w:t xml:space="preserve">the purpose of avoiding a </w:t>
      </w:r>
      <w:r w:rsidR="00CE210A">
        <w:t>credit product intervention order</w:t>
      </w:r>
      <w:r w:rsidR="00693C7C">
        <w:t xml:space="preserve"> (within the meaning of </w:t>
      </w:r>
      <w:r w:rsidR="004F1923">
        <w:t>sub</w:t>
      </w:r>
      <w:r w:rsidR="00693C7C">
        <w:t>section 1023S</w:t>
      </w:r>
      <w:r w:rsidR="004F1923">
        <w:t>(11)</w:t>
      </w:r>
      <w:r w:rsidR="00693C7C">
        <w:t>) if</w:t>
      </w:r>
      <w:r w:rsidRPr="007D0648">
        <w:t>:</w:t>
      </w:r>
    </w:p>
    <w:p w14:paraId="69374792" w14:textId="77777777" w:rsidR="00AD1984" w:rsidRPr="007D0648" w:rsidRDefault="00AD1984" w:rsidP="00AD1984">
      <w:pPr>
        <w:pStyle w:val="paragraph"/>
      </w:pPr>
      <w:r w:rsidRPr="007D0648">
        <w:tab/>
        <w:t>(a)</w:t>
      </w:r>
      <w:r w:rsidRPr="007D0648">
        <w:tab/>
        <w:t>the scheme is of a kind prescribed by the regulations; or</w:t>
      </w:r>
    </w:p>
    <w:p w14:paraId="69374793" w14:textId="77777777" w:rsidR="00AD1984" w:rsidRDefault="00AD1984" w:rsidP="00AD1984">
      <w:pPr>
        <w:pStyle w:val="paragraph"/>
      </w:pPr>
      <w:r w:rsidRPr="007D0648">
        <w:tab/>
        <w:t>(b)</w:t>
      </w:r>
      <w:r w:rsidRPr="007D0648">
        <w:tab/>
        <w:t>the scheme is of a kind determined by ASIC under subsection (3).</w:t>
      </w:r>
    </w:p>
    <w:p w14:paraId="69374794" w14:textId="77777777" w:rsidR="00AD1984" w:rsidRPr="007D0648" w:rsidRDefault="00AD1984" w:rsidP="00AD1984">
      <w:pPr>
        <w:pStyle w:val="subsection"/>
      </w:pPr>
      <w:bookmarkStart w:id="3" w:name="_Hlk110603571"/>
      <w:r w:rsidRPr="007D0648">
        <w:tab/>
        <w:t>(2)</w:t>
      </w:r>
      <w:r w:rsidRPr="007D0648">
        <w:tab/>
      </w:r>
      <w:r w:rsidR="00413C47">
        <w:t xml:space="preserve">In proving the contrary for the purposes of subsection (1), </w:t>
      </w:r>
      <w:bookmarkEnd w:id="3"/>
      <w:r w:rsidRPr="007D0648">
        <w:t xml:space="preserve">regard </w:t>
      </w:r>
      <w:r w:rsidR="00413C47">
        <w:t xml:space="preserve">must be had </w:t>
      </w:r>
      <w:r w:rsidRPr="007D0648">
        <w:t>to any matters as required under subsection </w:t>
      </w:r>
      <w:r w:rsidR="00B85453">
        <w:t>1023</w:t>
      </w:r>
      <w:proofErr w:type="gramStart"/>
      <w:r w:rsidR="00B85453">
        <w:t>S</w:t>
      </w:r>
      <w:r w:rsidRPr="007D0648">
        <w:t>(</w:t>
      </w:r>
      <w:proofErr w:type="gramEnd"/>
      <w:r w:rsidR="00CE210A">
        <w:t>8</w:t>
      </w:r>
      <w:r w:rsidRPr="007D0648">
        <w:t>).</w:t>
      </w:r>
    </w:p>
    <w:p w14:paraId="69374795" w14:textId="77777777" w:rsidR="00AD1984" w:rsidRPr="007D0648" w:rsidRDefault="00AD1984" w:rsidP="00AD1984">
      <w:pPr>
        <w:pStyle w:val="subsection"/>
      </w:pPr>
      <w:r w:rsidRPr="007D0648">
        <w:tab/>
        <w:t>(3)</w:t>
      </w:r>
      <w:r w:rsidRPr="007D0648">
        <w:tab/>
        <w:t xml:space="preserve">ASIC may, by legislative instrument, determine a scheme, or a class of schemes, for the purposes of </w:t>
      </w:r>
      <w:r w:rsidR="00413C47">
        <w:t>paragraph (1)(b) of this section.</w:t>
      </w:r>
    </w:p>
    <w:p w14:paraId="69374796" w14:textId="77777777" w:rsidR="00AD1984" w:rsidRPr="007D0648" w:rsidRDefault="00AD1984" w:rsidP="00AD1984">
      <w:pPr>
        <w:pStyle w:val="subsection"/>
      </w:pPr>
      <w:r w:rsidRPr="007D0648">
        <w:tab/>
        <w:t>(4)</w:t>
      </w:r>
      <w:r w:rsidRPr="007D0648">
        <w:tab/>
        <w:t>This section does not have effect for the purposes of</w:t>
      </w:r>
      <w:r w:rsidR="00413C47">
        <w:t xml:space="preserve"> determining whether a person has committed an offence against</w:t>
      </w:r>
      <w:r w:rsidRPr="007D0648">
        <w:t xml:space="preserve"> subsection</w:t>
      </w:r>
      <w:r w:rsidR="00B85453">
        <w:t xml:space="preserve"> 1023</w:t>
      </w:r>
      <w:proofErr w:type="gramStart"/>
      <w:r w:rsidR="00B85453">
        <w:t>S</w:t>
      </w:r>
      <w:r w:rsidRPr="007D0648">
        <w:t>(</w:t>
      </w:r>
      <w:proofErr w:type="gramEnd"/>
      <w:r w:rsidR="00302575">
        <w:t>10</w:t>
      </w:r>
      <w:r w:rsidRPr="007D0648">
        <w:t>).</w:t>
      </w:r>
    </w:p>
    <w:p w14:paraId="69374797" w14:textId="77777777" w:rsidR="00AD1984" w:rsidRPr="007D0648" w:rsidRDefault="00B85453" w:rsidP="00AD1984">
      <w:pPr>
        <w:pStyle w:val="ActHead5"/>
      </w:pPr>
      <w:bookmarkStart w:id="4" w:name="_Toc111703480"/>
      <w:r w:rsidRPr="00292D88">
        <w:rPr>
          <w:rStyle w:val="CharSectno"/>
        </w:rPr>
        <w:t>1023</w:t>
      </w:r>
      <w:proofErr w:type="gramStart"/>
      <w:r w:rsidRPr="00292D88">
        <w:rPr>
          <w:rStyle w:val="CharSectno"/>
        </w:rPr>
        <w:t>U</w:t>
      </w:r>
      <w:r w:rsidR="00AD1984" w:rsidRPr="007D0648">
        <w:t xml:space="preserve">  </w:t>
      </w:r>
      <w:r w:rsidR="0056055A">
        <w:t>Avoidance</w:t>
      </w:r>
      <w:proofErr w:type="gramEnd"/>
      <w:r w:rsidR="0056055A">
        <w:t xml:space="preserve"> schemes—</w:t>
      </w:r>
      <w:r w:rsidR="0056055A" w:rsidRPr="007D0648">
        <w:t xml:space="preserve">exemption </w:t>
      </w:r>
      <w:r w:rsidR="00AD1984" w:rsidRPr="007D0648">
        <w:t>by ASIC</w:t>
      </w:r>
      <w:bookmarkEnd w:id="4"/>
    </w:p>
    <w:p w14:paraId="69374798" w14:textId="77777777" w:rsidR="00AD1984" w:rsidRPr="007D0648" w:rsidRDefault="00AD1984" w:rsidP="00AD1984">
      <w:pPr>
        <w:pStyle w:val="subsection"/>
      </w:pPr>
      <w:r w:rsidRPr="007D0648">
        <w:tab/>
        <w:t>(1)</w:t>
      </w:r>
      <w:r w:rsidRPr="007D0648">
        <w:tab/>
        <w:t>ASIC may, by legislative instrument, exempt a scheme, or class of schemes, from all or specified provisions of section </w:t>
      </w:r>
      <w:r w:rsidR="00B85453">
        <w:t>1023S</w:t>
      </w:r>
      <w:r w:rsidRPr="007D0648">
        <w:t>.</w:t>
      </w:r>
    </w:p>
    <w:p w14:paraId="69374799" w14:textId="77777777" w:rsidR="00AD1984" w:rsidRPr="007D0648" w:rsidRDefault="00AD1984" w:rsidP="00AD1984">
      <w:pPr>
        <w:pStyle w:val="subsection"/>
      </w:pPr>
      <w:r w:rsidRPr="007D0648">
        <w:tab/>
        <w:t>(2)</w:t>
      </w:r>
      <w:r w:rsidRPr="007D0648">
        <w:tab/>
      </w:r>
      <w:r w:rsidR="000473F2">
        <w:t>The</w:t>
      </w:r>
      <w:r w:rsidRPr="007D0648">
        <w:t xml:space="preserve"> exemption may apply subject to any specific conditions imposed by ASIC.</w:t>
      </w:r>
    </w:p>
    <w:p w14:paraId="6937479A" w14:textId="77777777" w:rsidR="006A1659" w:rsidRDefault="008F0C4C" w:rsidP="006A1659">
      <w:pPr>
        <w:pStyle w:val="ItemHead"/>
      </w:pPr>
      <w:proofErr w:type="gramStart"/>
      <w:r>
        <w:t>2</w:t>
      </w:r>
      <w:r w:rsidR="006A1659">
        <w:t xml:space="preserve">  In</w:t>
      </w:r>
      <w:proofErr w:type="gramEnd"/>
      <w:r w:rsidR="006A1659">
        <w:t xml:space="preserve"> the appropriate position in the table in subsection </w:t>
      </w:r>
      <w:r w:rsidR="006A1659" w:rsidRPr="00A46870">
        <w:t>1317E</w:t>
      </w:r>
      <w:r w:rsidR="006A1659">
        <w:t>(3)</w:t>
      </w:r>
    </w:p>
    <w:p w14:paraId="6937479B" w14:textId="77777777" w:rsidR="006A1659" w:rsidRDefault="006A1659" w:rsidP="006A1659">
      <w:pPr>
        <w:pStyle w:val="Item"/>
      </w:pPr>
      <w:r>
        <w:t>Insert:</w:t>
      </w:r>
    </w:p>
    <w:p w14:paraId="6937479C" w14:textId="77777777" w:rsidR="006A1659" w:rsidRPr="00736C13" w:rsidRDefault="006A1659" w:rsidP="006A1659">
      <w:pPr>
        <w:pStyle w:val="Tabletext"/>
      </w:pPr>
    </w:p>
    <w:tbl>
      <w:tblPr>
        <w:tblW w:w="74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09"/>
        <w:gridCol w:w="3118"/>
        <w:gridCol w:w="1908"/>
      </w:tblGrid>
      <w:tr w:rsidR="006A1659" w:rsidRPr="00FB7B65" w14:paraId="693747A0" w14:textId="77777777" w:rsidTr="00422392">
        <w:tc>
          <w:tcPr>
            <w:tcW w:w="2409" w:type="dxa"/>
            <w:shd w:val="clear" w:color="auto" w:fill="auto"/>
          </w:tcPr>
          <w:p w14:paraId="6937479D" w14:textId="77777777" w:rsidR="006A1659" w:rsidRPr="00B5299D" w:rsidRDefault="006A1659" w:rsidP="00422392">
            <w:pPr>
              <w:pStyle w:val="Tabletext"/>
            </w:pPr>
            <w:r>
              <w:t>subsection 1</w:t>
            </w:r>
            <w:r w:rsidRPr="00B5299D">
              <w:t>023</w:t>
            </w:r>
            <w:proofErr w:type="gramStart"/>
            <w:r>
              <w:t>S</w:t>
            </w:r>
            <w:r w:rsidRPr="00B5299D">
              <w:t>(</w:t>
            </w:r>
            <w:proofErr w:type="gramEnd"/>
            <w:r>
              <w:t>1</w:t>
            </w:r>
            <w:r w:rsidRPr="00B5299D">
              <w:t>)</w:t>
            </w:r>
            <w:r>
              <w:t>, (2), (3) or (4)</w:t>
            </w:r>
          </w:p>
        </w:tc>
        <w:tc>
          <w:tcPr>
            <w:tcW w:w="3118" w:type="dxa"/>
            <w:shd w:val="clear" w:color="auto" w:fill="auto"/>
          </w:tcPr>
          <w:p w14:paraId="6937479E" w14:textId="77777777" w:rsidR="006A1659" w:rsidRPr="00B5299D" w:rsidRDefault="006A1659" w:rsidP="00422392">
            <w:pPr>
              <w:pStyle w:val="Tabletext"/>
            </w:pPr>
            <w:r>
              <w:t>schemes for avoiding certain product intervention orders</w:t>
            </w:r>
          </w:p>
        </w:tc>
        <w:tc>
          <w:tcPr>
            <w:tcW w:w="1908" w:type="dxa"/>
            <w:shd w:val="clear" w:color="auto" w:fill="auto"/>
          </w:tcPr>
          <w:p w14:paraId="6937479F" w14:textId="77777777" w:rsidR="006A1659" w:rsidRPr="00B5299D" w:rsidRDefault="006A1659" w:rsidP="00422392">
            <w:pPr>
              <w:pStyle w:val="Tabletext"/>
            </w:pPr>
            <w:r w:rsidRPr="0097074D">
              <w:t>uncategorised</w:t>
            </w:r>
          </w:p>
        </w:tc>
      </w:tr>
    </w:tbl>
    <w:p w14:paraId="693747A1" w14:textId="77777777" w:rsidR="006A1659" w:rsidRDefault="006A1659" w:rsidP="006A1659">
      <w:pPr>
        <w:pStyle w:val="Tabletext"/>
      </w:pPr>
    </w:p>
    <w:p w14:paraId="693747A2" w14:textId="77777777" w:rsidR="004E4547" w:rsidRDefault="004F1923" w:rsidP="00A601A4">
      <w:pPr>
        <w:pStyle w:val="ItemHead"/>
      </w:pPr>
      <w:proofErr w:type="gramStart"/>
      <w:r>
        <w:lastRenderedPageBreak/>
        <w:t>3</w:t>
      </w:r>
      <w:r w:rsidR="00A601A4">
        <w:t xml:space="preserve">  In</w:t>
      </w:r>
      <w:proofErr w:type="gramEnd"/>
      <w:r w:rsidR="00A601A4">
        <w:t xml:space="preserve"> the appropriate position in Chapter 10</w:t>
      </w:r>
    </w:p>
    <w:p w14:paraId="693747A3" w14:textId="77777777" w:rsidR="00A601A4" w:rsidRDefault="00A601A4" w:rsidP="00A601A4">
      <w:pPr>
        <w:pStyle w:val="Item"/>
      </w:pPr>
      <w:r>
        <w:t>Insert:</w:t>
      </w:r>
    </w:p>
    <w:p w14:paraId="693747A4" w14:textId="77777777" w:rsidR="00A601A4" w:rsidRDefault="00347D66" w:rsidP="004F1923">
      <w:pPr>
        <w:pStyle w:val="ActHead2"/>
      </w:pPr>
      <w:r w:rsidRPr="00292D88">
        <w:rPr>
          <w:rStyle w:val="CharPartNo"/>
        </w:rPr>
        <w:t>Part 10.</w:t>
      </w:r>
      <w:r w:rsidR="000873DD" w:rsidRPr="00292D88">
        <w:rPr>
          <w:rStyle w:val="CharPartNo"/>
        </w:rPr>
        <w:t>71</w:t>
      </w:r>
      <w:r>
        <w:t>—</w:t>
      </w:r>
      <w:r w:rsidRPr="00292D88">
        <w:rPr>
          <w:rStyle w:val="CharPartText"/>
        </w:rPr>
        <w:t xml:space="preserve">Application provisions relating to the Treasury Laws Amendment (Measures for </w:t>
      </w:r>
      <w:r w:rsidR="004F1923" w:rsidRPr="00292D88">
        <w:rPr>
          <w:rStyle w:val="CharPartText"/>
        </w:rPr>
        <w:t>Consultation</w:t>
      </w:r>
      <w:r w:rsidRPr="00292D88">
        <w:rPr>
          <w:rStyle w:val="CharPartText"/>
        </w:rPr>
        <w:t xml:space="preserve">) </w:t>
      </w:r>
      <w:r w:rsidR="004F1923" w:rsidRPr="00292D88">
        <w:rPr>
          <w:rStyle w:val="CharPartText"/>
        </w:rPr>
        <w:t>Act</w:t>
      </w:r>
      <w:r w:rsidRPr="00292D88">
        <w:rPr>
          <w:rStyle w:val="CharPartText"/>
        </w:rPr>
        <w:t xml:space="preserve"> 202</w:t>
      </w:r>
      <w:r w:rsidR="006A1659" w:rsidRPr="00292D88">
        <w:rPr>
          <w:rStyle w:val="CharPartText"/>
        </w:rPr>
        <w:t>3</w:t>
      </w:r>
    </w:p>
    <w:p w14:paraId="693747A5" w14:textId="77777777" w:rsidR="004F1923" w:rsidRPr="00292D88" w:rsidRDefault="004F1923" w:rsidP="004F1923">
      <w:pPr>
        <w:pStyle w:val="Header"/>
      </w:pPr>
      <w:r w:rsidRPr="00292D88">
        <w:rPr>
          <w:rStyle w:val="CharDivNo"/>
        </w:rPr>
        <w:t xml:space="preserve"> </w:t>
      </w:r>
      <w:r w:rsidRPr="00292D88">
        <w:rPr>
          <w:rStyle w:val="CharDivText"/>
        </w:rPr>
        <w:t xml:space="preserve"> </w:t>
      </w:r>
    </w:p>
    <w:p w14:paraId="693747A6" w14:textId="77777777" w:rsidR="00347D66" w:rsidRDefault="000873DD" w:rsidP="00347D66">
      <w:pPr>
        <w:pStyle w:val="ActHead5"/>
      </w:pPr>
      <w:proofErr w:type="gramStart"/>
      <w:r w:rsidRPr="00292D88">
        <w:rPr>
          <w:rStyle w:val="CharSectno"/>
        </w:rPr>
        <w:t>1701</w:t>
      </w:r>
      <w:r w:rsidR="00347D66">
        <w:t xml:space="preserve">  Schemes</w:t>
      </w:r>
      <w:proofErr w:type="gramEnd"/>
      <w:r w:rsidR="00347D66">
        <w:t xml:space="preserve"> for avoiding certain product intervention orders</w:t>
      </w:r>
    </w:p>
    <w:p w14:paraId="693747A7" w14:textId="77777777" w:rsidR="00347D66" w:rsidRDefault="00347D66" w:rsidP="00347D66">
      <w:pPr>
        <w:pStyle w:val="subsection"/>
      </w:pPr>
      <w:r>
        <w:tab/>
      </w:r>
      <w:r>
        <w:tab/>
        <w:t xml:space="preserve">Section 1023S, as inserted by Schedule </w:t>
      </w:r>
      <w:r w:rsidR="002375E6">
        <w:t>1</w:t>
      </w:r>
      <w:r>
        <w:t xml:space="preserve"> to the </w:t>
      </w:r>
      <w:r>
        <w:rPr>
          <w:i/>
        </w:rPr>
        <w:t xml:space="preserve">Treasury Laws Amendment (Measures for </w:t>
      </w:r>
      <w:r w:rsidR="004F1923">
        <w:rPr>
          <w:i/>
        </w:rPr>
        <w:t>Consultation</w:t>
      </w:r>
      <w:r>
        <w:rPr>
          <w:i/>
        </w:rPr>
        <w:t xml:space="preserve">) </w:t>
      </w:r>
      <w:r w:rsidR="004F1923">
        <w:rPr>
          <w:i/>
        </w:rPr>
        <w:t>Act</w:t>
      </w:r>
      <w:r>
        <w:rPr>
          <w:i/>
        </w:rPr>
        <w:t xml:space="preserve"> 202</w:t>
      </w:r>
      <w:r w:rsidR="00C641C7">
        <w:rPr>
          <w:i/>
        </w:rPr>
        <w:t>3</w:t>
      </w:r>
      <w:r>
        <w:t xml:space="preserve"> applies in relation to conduct that is engaged in on or after the commencement of that section</w:t>
      </w:r>
      <w:r w:rsidR="008F0C4C">
        <w:t xml:space="preserve">, whether the </w:t>
      </w:r>
      <w:r w:rsidR="00CE210A">
        <w:t>credit product intervention order</w:t>
      </w:r>
      <w:r w:rsidR="008F0C4C">
        <w:t xml:space="preserve"> was made before, on or after that commencement.</w:t>
      </w:r>
    </w:p>
    <w:p w14:paraId="693747A8" w14:textId="77777777" w:rsidR="004F1923" w:rsidRDefault="004F1923" w:rsidP="004F1923">
      <w:pPr>
        <w:pStyle w:val="ItemHead"/>
      </w:pPr>
      <w:proofErr w:type="gramStart"/>
      <w:r>
        <w:t>4  In</w:t>
      </w:r>
      <w:proofErr w:type="gramEnd"/>
      <w:r>
        <w:t xml:space="preserve"> the appropriate position in Schedule 3</w:t>
      </w:r>
    </w:p>
    <w:p w14:paraId="693747A9" w14:textId="77777777" w:rsidR="004F1923" w:rsidRDefault="004F1923" w:rsidP="004F1923">
      <w:pPr>
        <w:pStyle w:val="Item"/>
      </w:pPr>
      <w:r>
        <w:t>Insert:</w:t>
      </w:r>
    </w:p>
    <w:tbl>
      <w:tblPr>
        <w:tblW w:w="73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1"/>
        <w:gridCol w:w="4111"/>
      </w:tblGrid>
      <w:tr w:rsidR="004F1923" w:rsidRPr="006A541E" w14:paraId="693747AC" w14:textId="77777777" w:rsidTr="00DC6B96">
        <w:tc>
          <w:tcPr>
            <w:tcW w:w="3261" w:type="dxa"/>
            <w:shd w:val="clear" w:color="auto" w:fill="auto"/>
          </w:tcPr>
          <w:p w14:paraId="693747AA" w14:textId="77777777" w:rsidR="004F1923" w:rsidRPr="00282117" w:rsidRDefault="004F1923" w:rsidP="00DC6B96">
            <w:pPr>
              <w:pStyle w:val="Tabletext"/>
            </w:pPr>
            <w:r>
              <w:t>Subsection 1</w:t>
            </w:r>
            <w:r w:rsidRPr="00282117">
              <w:t>023</w:t>
            </w:r>
            <w:proofErr w:type="gramStart"/>
            <w:r>
              <w:t>S</w:t>
            </w:r>
            <w:r w:rsidRPr="00282117">
              <w:t>(</w:t>
            </w:r>
            <w:proofErr w:type="gramEnd"/>
            <w:r w:rsidRPr="00282117">
              <w:t>1</w:t>
            </w:r>
            <w:r>
              <w:t>0</w:t>
            </w:r>
            <w:r w:rsidRPr="00282117">
              <w:t>)</w:t>
            </w:r>
          </w:p>
        </w:tc>
        <w:tc>
          <w:tcPr>
            <w:tcW w:w="4111" w:type="dxa"/>
            <w:shd w:val="clear" w:color="auto" w:fill="auto"/>
          </w:tcPr>
          <w:p w14:paraId="693747AB" w14:textId="77777777" w:rsidR="004F1923" w:rsidRPr="00282117" w:rsidRDefault="004F1923" w:rsidP="00DC6B96">
            <w:pPr>
              <w:pStyle w:val="Tabletext"/>
            </w:pPr>
            <w:r>
              <w:t>100 penalty units</w:t>
            </w:r>
          </w:p>
        </w:tc>
      </w:tr>
    </w:tbl>
    <w:p w14:paraId="693747AD" w14:textId="77777777" w:rsidR="004F1923" w:rsidRDefault="004F1923" w:rsidP="00347D66">
      <w:pPr>
        <w:pStyle w:val="subsection"/>
      </w:pPr>
    </w:p>
    <w:sectPr w:rsidR="004F1923" w:rsidSect="00BD16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0CD4" w14:textId="77777777" w:rsidR="007B6D62" w:rsidRDefault="007B6D62" w:rsidP="00664C63">
      <w:pPr>
        <w:spacing w:line="240" w:lineRule="auto"/>
      </w:pPr>
      <w:r>
        <w:separator/>
      </w:r>
    </w:p>
  </w:endnote>
  <w:endnote w:type="continuationSeparator" w:id="0">
    <w:p w14:paraId="2A52F6C9" w14:textId="77777777" w:rsidR="007B6D62" w:rsidRDefault="007B6D62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47B6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693747B7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693747B8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47B9" w14:textId="77777777" w:rsidR="0095602D" w:rsidRDefault="0095602D" w:rsidP="0095602D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693747BB" w14:textId="77777777" w:rsidTr="00A91C76">
      <w:trPr>
        <w:trHeight w:val="280"/>
      </w:trPr>
      <w:tc>
        <w:tcPr>
          <w:tcW w:w="7087" w:type="dxa"/>
        </w:tcPr>
        <w:p w14:paraId="693747BA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693747BD" w14:textId="77777777" w:rsidTr="00A91C76">
      <w:tc>
        <w:tcPr>
          <w:tcW w:w="7087" w:type="dxa"/>
        </w:tcPr>
        <w:p w14:paraId="693747BC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93747BE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693747C3" wp14:editId="693747C4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747C6" w14:textId="5D4541FF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35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E100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E100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35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35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35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35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747C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77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693747C6" w14:textId="5D4541FF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35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E100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E100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35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35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35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35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47C0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7440" w14:textId="77777777" w:rsidR="007B6D62" w:rsidRDefault="007B6D62" w:rsidP="00664C63">
      <w:pPr>
        <w:spacing w:line="240" w:lineRule="auto"/>
      </w:pPr>
      <w:r>
        <w:separator/>
      </w:r>
    </w:p>
  </w:footnote>
  <w:footnote w:type="continuationSeparator" w:id="0">
    <w:p w14:paraId="22516F60" w14:textId="77777777" w:rsidR="007B6D62" w:rsidRDefault="007B6D62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47B2" w14:textId="77777777" w:rsidR="00664C63" w:rsidRPr="00BB4623" w:rsidRDefault="00664C63" w:rsidP="00664C63">
    <w:pPr>
      <w:rPr>
        <w:sz w:val="24"/>
      </w:rPr>
    </w:pPr>
  </w:p>
  <w:p w14:paraId="693747B3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47B4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93747C1" wp14:editId="693747C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747C5" w14:textId="6A22BCFC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35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E100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E100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35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35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35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2168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747C1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693747C5" w14:textId="6A22BCFC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35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E1000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E1000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35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35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35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2168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693747B5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47BF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506743290">
    <w:abstractNumId w:val="9"/>
  </w:num>
  <w:num w:numId="2" w16cid:durableId="377319230">
    <w:abstractNumId w:val="7"/>
  </w:num>
  <w:num w:numId="3" w16cid:durableId="1442535187">
    <w:abstractNumId w:val="6"/>
  </w:num>
  <w:num w:numId="4" w16cid:durableId="611862504">
    <w:abstractNumId w:val="5"/>
  </w:num>
  <w:num w:numId="5" w16cid:durableId="1462067713">
    <w:abstractNumId w:val="4"/>
  </w:num>
  <w:num w:numId="6" w16cid:durableId="711467102">
    <w:abstractNumId w:val="8"/>
  </w:num>
  <w:num w:numId="7" w16cid:durableId="898322721">
    <w:abstractNumId w:val="3"/>
  </w:num>
  <w:num w:numId="8" w16cid:durableId="837842443">
    <w:abstractNumId w:val="2"/>
  </w:num>
  <w:num w:numId="9" w16cid:durableId="423570407">
    <w:abstractNumId w:val="1"/>
  </w:num>
  <w:num w:numId="10" w16cid:durableId="1513061585">
    <w:abstractNumId w:val="0"/>
  </w:num>
  <w:num w:numId="11" w16cid:durableId="1365135633">
    <w:abstractNumId w:val="11"/>
  </w:num>
  <w:num w:numId="12" w16cid:durableId="1447459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70C9"/>
    <w:rsid w:val="000136AF"/>
    <w:rsid w:val="00014B9A"/>
    <w:rsid w:val="00032880"/>
    <w:rsid w:val="000473F2"/>
    <w:rsid w:val="00055D20"/>
    <w:rsid w:val="00055E0D"/>
    <w:rsid w:val="000614BF"/>
    <w:rsid w:val="000738DD"/>
    <w:rsid w:val="00073C5A"/>
    <w:rsid w:val="0008526A"/>
    <w:rsid w:val="00087033"/>
    <w:rsid w:val="000873DD"/>
    <w:rsid w:val="00092633"/>
    <w:rsid w:val="00093449"/>
    <w:rsid w:val="000A1E64"/>
    <w:rsid w:val="000C74F9"/>
    <w:rsid w:val="000D05EF"/>
    <w:rsid w:val="000D3899"/>
    <w:rsid w:val="000D7238"/>
    <w:rsid w:val="000F21C1"/>
    <w:rsid w:val="000F4126"/>
    <w:rsid w:val="001016D1"/>
    <w:rsid w:val="0010240E"/>
    <w:rsid w:val="00103556"/>
    <w:rsid w:val="0010745C"/>
    <w:rsid w:val="0011206D"/>
    <w:rsid w:val="00166C2F"/>
    <w:rsid w:val="00182C9A"/>
    <w:rsid w:val="0018435F"/>
    <w:rsid w:val="001939E1"/>
    <w:rsid w:val="00195382"/>
    <w:rsid w:val="001A06F1"/>
    <w:rsid w:val="001B0F61"/>
    <w:rsid w:val="001B2077"/>
    <w:rsid w:val="001C69C4"/>
    <w:rsid w:val="001E3590"/>
    <w:rsid w:val="001E7407"/>
    <w:rsid w:val="002113DF"/>
    <w:rsid w:val="0021250A"/>
    <w:rsid w:val="002277A0"/>
    <w:rsid w:val="002375E6"/>
    <w:rsid w:val="00240749"/>
    <w:rsid w:val="00247374"/>
    <w:rsid w:val="00263B0F"/>
    <w:rsid w:val="00292D88"/>
    <w:rsid w:val="00296415"/>
    <w:rsid w:val="002970C9"/>
    <w:rsid w:val="00297ECB"/>
    <w:rsid w:val="002B0CFA"/>
    <w:rsid w:val="002B1D6F"/>
    <w:rsid w:val="002C085A"/>
    <w:rsid w:val="002D043A"/>
    <w:rsid w:val="002F08B3"/>
    <w:rsid w:val="00302575"/>
    <w:rsid w:val="00313C6F"/>
    <w:rsid w:val="0033411C"/>
    <w:rsid w:val="00334771"/>
    <w:rsid w:val="003415D3"/>
    <w:rsid w:val="00347D66"/>
    <w:rsid w:val="00352B0F"/>
    <w:rsid w:val="003534CF"/>
    <w:rsid w:val="003612FD"/>
    <w:rsid w:val="0038579D"/>
    <w:rsid w:val="003B0F1E"/>
    <w:rsid w:val="003D0317"/>
    <w:rsid w:val="003D0BFE"/>
    <w:rsid w:val="003D0D16"/>
    <w:rsid w:val="003D2D96"/>
    <w:rsid w:val="003D5700"/>
    <w:rsid w:val="003F60D2"/>
    <w:rsid w:val="00402376"/>
    <w:rsid w:val="004043EE"/>
    <w:rsid w:val="0040616D"/>
    <w:rsid w:val="004116CD"/>
    <w:rsid w:val="00413C47"/>
    <w:rsid w:val="00415765"/>
    <w:rsid w:val="004168B4"/>
    <w:rsid w:val="00424CA9"/>
    <w:rsid w:val="00427D10"/>
    <w:rsid w:val="0044291A"/>
    <w:rsid w:val="00442B3B"/>
    <w:rsid w:val="00475C64"/>
    <w:rsid w:val="00496F97"/>
    <w:rsid w:val="004E3680"/>
    <w:rsid w:val="004E4547"/>
    <w:rsid w:val="004F1923"/>
    <w:rsid w:val="005104CE"/>
    <w:rsid w:val="00516B8D"/>
    <w:rsid w:val="005366B8"/>
    <w:rsid w:val="00537FBC"/>
    <w:rsid w:val="00543850"/>
    <w:rsid w:val="0056055A"/>
    <w:rsid w:val="00562C2C"/>
    <w:rsid w:val="00576CE6"/>
    <w:rsid w:val="00584052"/>
    <w:rsid w:val="00584811"/>
    <w:rsid w:val="00593AA6"/>
    <w:rsid w:val="00594161"/>
    <w:rsid w:val="00594749"/>
    <w:rsid w:val="005A02A7"/>
    <w:rsid w:val="005A6F34"/>
    <w:rsid w:val="005B4067"/>
    <w:rsid w:val="005B6514"/>
    <w:rsid w:val="005C3F41"/>
    <w:rsid w:val="005C5800"/>
    <w:rsid w:val="005D4DEA"/>
    <w:rsid w:val="00600219"/>
    <w:rsid w:val="00611C2E"/>
    <w:rsid w:val="00630ADD"/>
    <w:rsid w:val="006444FB"/>
    <w:rsid w:val="00650B6C"/>
    <w:rsid w:val="0065106B"/>
    <w:rsid w:val="006527A6"/>
    <w:rsid w:val="00661EFC"/>
    <w:rsid w:val="00664C63"/>
    <w:rsid w:val="00677CC2"/>
    <w:rsid w:val="00681A4A"/>
    <w:rsid w:val="0069207B"/>
    <w:rsid w:val="00693C7C"/>
    <w:rsid w:val="006A1659"/>
    <w:rsid w:val="006B51F1"/>
    <w:rsid w:val="006C7F8C"/>
    <w:rsid w:val="006D3764"/>
    <w:rsid w:val="006E4AB2"/>
    <w:rsid w:val="00700B2C"/>
    <w:rsid w:val="00713084"/>
    <w:rsid w:val="007173B8"/>
    <w:rsid w:val="0072168C"/>
    <w:rsid w:val="00731E00"/>
    <w:rsid w:val="00732A85"/>
    <w:rsid w:val="00736C13"/>
    <w:rsid w:val="007440B7"/>
    <w:rsid w:val="0075226A"/>
    <w:rsid w:val="0075432F"/>
    <w:rsid w:val="00761F92"/>
    <w:rsid w:val="007627F4"/>
    <w:rsid w:val="007664E4"/>
    <w:rsid w:val="007715C9"/>
    <w:rsid w:val="00774EDD"/>
    <w:rsid w:val="007757EC"/>
    <w:rsid w:val="007845BF"/>
    <w:rsid w:val="0078751A"/>
    <w:rsid w:val="00794B6E"/>
    <w:rsid w:val="00795FCE"/>
    <w:rsid w:val="007A659A"/>
    <w:rsid w:val="007B081F"/>
    <w:rsid w:val="007B6D62"/>
    <w:rsid w:val="007E4CC8"/>
    <w:rsid w:val="00801B3B"/>
    <w:rsid w:val="00830815"/>
    <w:rsid w:val="00835554"/>
    <w:rsid w:val="00845A67"/>
    <w:rsid w:val="00856A31"/>
    <w:rsid w:val="008735FE"/>
    <w:rsid w:val="008754D0"/>
    <w:rsid w:val="00883892"/>
    <w:rsid w:val="00886CA2"/>
    <w:rsid w:val="00891BF5"/>
    <w:rsid w:val="008A204D"/>
    <w:rsid w:val="008A6470"/>
    <w:rsid w:val="008C0CE1"/>
    <w:rsid w:val="008D0EE0"/>
    <w:rsid w:val="008E05CA"/>
    <w:rsid w:val="008F0C4C"/>
    <w:rsid w:val="009225C7"/>
    <w:rsid w:val="00931D06"/>
    <w:rsid w:val="00932377"/>
    <w:rsid w:val="00932FA3"/>
    <w:rsid w:val="00946697"/>
    <w:rsid w:val="0095602D"/>
    <w:rsid w:val="009620C2"/>
    <w:rsid w:val="0097074D"/>
    <w:rsid w:val="009A55B4"/>
    <w:rsid w:val="009C38D7"/>
    <w:rsid w:val="009E212E"/>
    <w:rsid w:val="00A111FD"/>
    <w:rsid w:val="00A120DD"/>
    <w:rsid w:val="00A22620"/>
    <w:rsid w:val="00A231E2"/>
    <w:rsid w:val="00A25627"/>
    <w:rsid w:val="00A27BE4"/>
    <w:rsid w:val="00A415B9"/>
    <w:rsid w:val="00A46870"/>
    <w:rsid w:val="00A47A4E"/>
    <w:rsid w:val="00A5313B"/>
    <w:rsid w:val="00A601A4"/>
    <w:rsid w:val="00A64912"/>
    <w:rsid w:val="00A70A74"/>
    <w:rsid w:val="00AA5445"/>
    <w:rsid w:val="00AB5A90"/>
    <w:rsid w:val="00AC391A"/>
    <w:rsid w:val="00AD1984"/>
    <w:rsid w:val="00AD1BE6"/>
    <w:rsid w:val="00AD2406"/>
    <w:rsid w:val="00AD27B3"/>
    <w:rsid w:val="00AD5641"/>
    <w:rsid w:val="00AE1000"/>
    <w:rsid w:val="00AE59F7"/>
    <w:rsid w:val="00AE78D1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70D7C"/>
    <w:rsid w:val="00B70E56"/>
    <w:rsid w:val="00B818B5"/>
    <w:rsid w:val="00B839DF"/>
    <w:rsid w:val="00B850D6"/>
    <w:rsid w:val="00B85453"/>
    <w:rsid w:val="00BC30F2"/>
    <w:rsid w:val="00BD1655"/>
    <w:rsid w:val="00BE719A"/>
    <w:rsid w:val="00BE720A"/>
    <w:rsid w:val="00C42BF8"/>
    <w:rsid w:val="00C44C14"/>
    <w:rsid w:val="00C50043"/>
    <w:rsid w:val="00C53114"/>
    <w:rsid w:val="00C641C7"/>
    <w:rsid w:val="00C723B9"/>
    <w:rsid w:val="00C7573B"/>
    <w:rsid w:val="00C77D10"/>
    <w:rsid w:val="00CA57A1"/>
    <w:rsid w:val="00CB0EA8"/>
    <w:rsid w:val="00CC7A09"/>
    <w:rsid w:val="00CE210A"/>
    <w:rsid w:val="00CF0BB2"/>
    <w:rsid w:val="00CF4975"/>
    <w:rsid w:val="00D13441"/>
    <w:rsid w:val="00D240E1"/>
    <w:rsid w:val="00D3213F"/>
    <w:rsid w:val="00D374CE"/>
    <w:rsid w:val="00D40252"/>
    <w:rsid w:val="00D467B9"/>
    <w:rsid w:val="00D541D8"/>
    <w:rsid w:val="00D67311"/>
    <w:rsid w:val="00D70DFB"/>
    <w:rsid w:val="00D7186F"/>
    <w:rsid w:val="00D766DF"/>
    <w:rsid w:val="00D9284D"/>
    <w:rsid w:val="00DD314D"/>
    <w:rsid w:val="00DD7E18"/>
    <w:rsid w:val="00E05704"/>
    <w:rsid w:val="00E1363F"/>
    <w:rsid w:val="00E335B5"/>
    <w:rsid w:val="00E42361"/>
    <w:rsid w:val="00E4649C"/>
    <w:rsid w:val="00E54CAB"/>
    <w:rsid w:val="00E74DC7"/>
    <w:rsid w:val="00E85CB9"/>
    <w:rsid w:val="00E92421"/>
    <w:rsid w:val="00E94998"/>
    <w:rsid w:val="00E9632E"/>
    <w:rsid w:val="00ED1A6C"/>
    <w:rsid w:val="00ED28EF"/>
    <w:rsid w:val="00EE25A8"/>
    <w:rsid w:val="00EE6DCC"/>
    <w:rsid w:val="00EF2E3A"/>
    <w:rsid w:val="00EF4E4F"/>
    <w:rsid w:val="00F0132A"/>
    <w:rsid w:val="00F0165C"/>
    <w:rsid w:val="00F078DC"/>
    <w:rsid w:val="00F307A1"/>
    <w:rsid w:val="00F5076A"/>
    <w:rsid w:val="00F71234"/>
    <w:rsid w:val="00F8103A"/>
    <w:rsid w:val="00F8719A"/>
    <w:rsid w:val="00FA1DC1"/>
    <w:rsid w:val="00FA3991"/>
    <w:rsid w:val="00FC104F"/>
    <w:rsid w:val="00FC3140"/>
    <w:rsid w:val="00FE3F38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74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8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8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8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8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8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8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8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8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link w:val="ActHead7Char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character" w:customStyle="1" w:styleId="paragraphChar">
    <w:name w:val="paragraph Char"/>
    <w:aliases w:val="a Char"/>
    <w:link w:val="paragraph"/>
    <w:rsid w:val="000A1E64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A1E64"/>
    <w:rPr>
      <w:rFonts w:eastAsia="Times New Roman" w:cs="Times New Roman"/>
      <w:sz w:val="22"/>
      <w:lang w:eastAsia="en-AU"/>
    </w:rPr>
  </w:style>
  <w:style w:type="character" w:customStyle="1" w:styleId="ActHead7Char">
    <w:name w:val="ActHead 7 Char"/>
    <w:aliases w:val="ap Char"/>
    <w:link w:val="ActHead7"/>
    <w:rsid w:val="000A1E64"/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A1E64"/>
    <w:rPr>
      <w:rFonts w:eastAsia="Times New Roman" w:cs="Times New Roman"/>
      <w:sz w:val="18"/>
      <w:lang w:eastAsia="en-AU"/>
    </w:rPr>
  </w:style>
  <w:style w:type="character" w:customStyle="1" w:styleId="DefinitionChar">
    <w:name w:val="Definition Char"/>
    <w:aliases w:val="dd Char"/>
    <w:link w:val="Definition"/>
    <w:rsid w:val="000A1E64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0A1E64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2Char">
    <w:name w:val="subsection2 Char"/>
    <w:aliases w:val="ss2 Char"/>
    <w:link w:val="subsection2"/>
    <w:rsid w:val="000A1E64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0A1E64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0A1E64"/>
    <w:rPr>
      <w:rFonts w:eastAsia="Times New Roman" w:cs="Times New Roman"/>
      <w:sz w:val="22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736C13"/>
    <w:rPr>
      <w:rFonts w:eastAsia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328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8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8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88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88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88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88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TSY/47/0119</PT_x002f_Measure_x0020_No.>
    <Keydoc xmlns="a289cb20-8bb9-401f-8d7b-706fb1a2988d">Yes</Keydoc>
    <Act_x0028_s_x0029_beingamended xmlns="a289cb20-8bb9-401f-8d7b-706fb1a2988d">Corporations Act 2001</Act_x0028_s_x0029_beingamended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28</Value>
      <Value>95</Value>
      <Value>90</Value>
      <Value>3</Value>
      <Value>1</Value>
      <Value>68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  <TermInfo xmlns="http://schemas.microsoft.com/office/infopath/2007/PartnerControls">
          <TermName xmlns="http://schemas.microsoft.com/office/infopath/2007/PartnerControls">Consumer</TermName>
          <TermId xmlns="http://schemas.microsoft.com/office/infopath/2007/PartnerControls">061f16b5-21de-40bb-a136-07b896bfb829</TermId>
        </TermInfo>
      </Terms>
    </gfba5f33532c49208d2320ce38cc3c2b>
    <_dlc_DocId xmlns="fe39d773-a83d-4623-ae74-f25711a76616">5D7SUYYWNZQE-1616336108-390</_dlc_DocId>
    <_dlc_DocIdUrl xmlns="fe39d773-a83d-4623-ae74-f25711a76616">
      <Url>https://austreasury.sharepoint.com/sites/leg-meas-function/_layouts/15/DocIdRedir.aspx?ID=5D7SUYYWNZQE-1616336108-390</Url>
      <Description>5D7SUYYWNZQE-1616336108-390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666C557CD6C41B02D0F5E9912B6FE" ma:contentTypeVersion="22" ma:contentTypeDescription="Create a new document." ma:contentTypeScope="" ma:versionID="9c8b23ea432625bb798f5c374917b678">
  <xsd:schema xmlns:xsd="http://www.w3.org/2001/XMLSchema" xmlns:xs="http://www.w3.org/2001/XMLSchema" xmlns:p="http://schemas.microsoft.com/office/2006/metadata/properties" xmlns:ns1="http://schemas.microsoft.com/sharepoint/v3" xmlns:ns2="fe39d773-a83d-4623-ae74-f25711a76616" xmlns:ns3="ff38c824-6e29-4496-8487-69f397e7ed29" xmlns:ns4="a289cb20-8bb9-401f-8d7b-706fb1a2988d" targetNamespace="http://schemas.microsoft.com/office/2006/metadata/properties" ma:root="true" ma:fieldsID="9b53fe0912df1d47ff3e87dc3aa3b3ee" ns1:_="" ns2:_="" ns3:_="" ns4:_="">
    <xsd:import namespace="http://schemas.microsoft.com/sharepoint/v3"/>
    <xsd:import namespace="fe39d773-a83d-4623-ae74-f25711a76616"/>
    <xsd:import namespace="ff38c824-6e29-4496-8487-69f397e7ed29"/>
    <xsd:import namespace="a289cb20-8bb9-401f-8d7b-706fb1a298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/>
                <xsd:element ref="ns3:TaxCatchAll" minOccurs="0"/>
                <xsd:element ref="ns3:TaxCatchAllLabel" minOccurs="0"/>
                <xsd:element ref="ns2:e4fe7dcdd1c0411bbf19a4de3665191f"/>
                <xsd:element ref="ns2:gfba5f33532c49208d2320ce38cc3c2b"/>
                <xsd:element ref="ns2:kfc39f3e4e2747ae990d3c8bb74a5a64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3:PT_x002f_Measure_x0020_No." minOccurs="0"/>
                <xsd:element ref="ns1:DocumentSetDescrip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7735FC-2125-4661-B848-C054E230A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54477-1301-4F57-BA39-CA42870A06C4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http://schemas.microsoft.com/sharepoint/v3"/>
    <ds:schemaRef ds:uri="a289cb20-8bb9-401f-8d7b-706fb1a2988d"/>
    <ds:schemaRef ds:uri="ff38c824-6e29-4496-8487-69f397e7ed29"/>
  </ds:schemaRefs>
</ds:datastoreItem>
</file>

<file path=customXml/itemProps3.xml><?xml version="1.0" encoding="utf-8"?>
<ds:datastoreItem xmlns:ds="http://schemas.openxmlformats.org/officeDocument/2006/customXml" ds:itemID="{003C054A-6679-4495-8F52-84E05C4426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C2317-C2D6-4C69-B994-89787E6EC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9d773-a83d-4623-ae74-f25711a76616"/>
    <ds:schemaRef ds:uri="ff38c824-6e29-4496-8487-69f397e7ed29"/>
    <ds:schemaRef ds:uri="a289cb20-8bb9-401f-8d7b-706fb1a29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494CAB-CD0E-40A7-838B-96F3E52993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6</Pages>
  <Words>1089</Words>
  <Characters>6208</Characters>
  <Application>Microsoft Office Word</Application>
  <DocSecurity>2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2023: Anti-avoidance rule for product intervention orders</vt:lpstr>
    </vt:vector>
  </TitlesOfParts>
  <Manager/>
  <Company/>
  <LinksUpToDate>false</LinksUpToDate>
  <CharactersWithSpaces>7283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2023: Anti-avoidance rule for product intervention orders</dc:title>
  <dc:subject/>
  <dc:creator/>
  <cp:keywords/>
  <dc:description/>
  <cp:lastModifiedBy/>
  <cp:revision>1</cp:revision>
  <cp:lastPrinted>2023-01-20T04:14:00Z</cp:lastPrinted>
  <dcterms:created xsi:type="dcterms:W3CDTF">2023-02-20T04:08:00Z</dcterms:created>
  <dcterms:modified xsi:type="dcterms:W3CDTF">2023-02-20T05:21:00Z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Consultation) Bill 2023: TSY/47/0119 - Anti-avoidance rule for product intervention orders</vt:lpwstr>
  </property>
  <property fmtid="{D5CDD505-2E9C-101B-9397-08002B2CF9AE}" pid="6" name="Actno">
    <vt:lpwstr/>
  </property>
  <property fmtid="{D5CDD505-2E9C-101B-9397-08002B2CF9AE}" pid="7" name="ID">
    <vt:lpwstr>OPC8244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PC:D23/1510</vt:lpwstr>
  </property>
  <property fmtid="{D5CDD505-2E9C-101B-9397-08002B2CF9AE}" pid="11" name="ContentTypeId">
    <vt:lpwstr>0x01010069F666C557CD6C41B02D0F5E9912B6FE</vt:lpwstr>
  </property>
  <property fmtid="{D5CDD505-2E9C-101B-9397-08002B2CF9AE}" pid="12" name="eActivity">
    <vt:lpwstr>28;#Legislative measures|0d31ce10-0017-4a46-8d2d-ba60058cb6a2</vt:lpwstr>
  </property>
  <property fmtid="{D5CDD505-2E9C-101B-9397-08002B2CF9AE}" pid="13" name="k8424359e03846678cc4a99dd97e9705">
    <vt:lpwstr>Treasury Enterprise Terms|69519368-d55f-4403-adc0-7b3d464d5501</vt:lpwstr>
  </property>
  <property fmtid="{D5CDD505-2E9C-101B-9397-08002B2CF9AE}" pid="14" name="eTopic">
    <vt:lpwstr>90;#Corporations Law|272b01ba-7d50-447b-a0f2-c5e953189886;#95;#Consumer|061f16b5-21de-40bb-a136-07b896bfb829</vt:lpwstr>
  </property>
  <property fmtid="{D5CDD505-2E9C-101B-9397-08002B2CF9AE}" pid="15" name="eTheme">
    <vt:lpwstr>1;#Law Design|318dd2d2-18da-4b8e-a458-14db2c1af95f</vt:lpwstr>
  </property>
  <property fmtid="{D5CDD505-2E9C-101B-9397-08002B2CF9AE}" pid="16" name="_dlc_DocIdItemGuid">
    <vt:lpwstr>cd3ab87b-ed7d-44b4-a55b-2d7261c8ee97</vt:lpwstr>
  </property>
  <property fmtid="{D5CDD505-2E9C-101B-9397-08002B2CF9AE}" pid="17" name="TSYStatus">
    <vt:lpwstr/>
  </property>
  <property fmtid="{D5CDD505-2E9C-101B-9397-08002B2CF9AE}" pid="18" name="eDocumentType">
    <vt:lpwstr>68;#Legislation|bc5c492f-641e-4b74-8651-322acd553d0f</vt:lpwstr>
  </property>
  <property fmtid="{D5CDD505-2E9C-101B-9397-08002B2CF9AE}" pid="19" name="LMDivision">
    <vt:lpwstr>3;#Treasury Enterprise Terms|69519368-d55f-4403-adc0-7b3d464d5501</vt:lpwstr>
  </property>
</Properties>
</file>