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6D0B"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487FE73B" w14:textId="77777777" w:rsidR="00E24AA1" w:rsidRDefault="00E24AA1" w:rsidP="00E24AA1">
      <w:pPr>
        <w:pStyle w:val="Baseparagraphcentred"/>
      </w:pPr>
    </w:p>
    <w:p w14:paraId="6DD6B106" w14:textId="77777777" w:rsidR="00E24AA1" w:rsidRDefault="00E24AA1" w:rsidP="00E24AA1">
      <w:pPr>
        <w:pStyle w:val="Baseparagraphcentred"/>
      </w:pPr>
      <w:r>
        <w:t>THE PARLIAMENT OF THE COMMONWEALTH OF AUSTRALIA</w:t>
      </w:r>
    </w:p>
    <w:p w14:paraId="60523747" w14:textId="77777777" w:rsidR="00E24AA1" w:rsidRDefault="00E24AA1" w:rsidP="00E24AA1">
      <w:pPr>
        <w:pStyle w:val="Baseparagraphcentred"/>
      </w:pPr>
    </w:p>
    <w:p w14:paraId="4D1F819F" w14:textId="77777777" w:rsidR="00E24AA1" w:rsidRDefault="00E24AA1" w:rsidP="00E24AA1">
      <w:pPr>
        <w:pStyle w:val="Baseparagraphcentred"/>
      </w:pPr>
    </w:p>
    <w:p w14:paraId="4CBCA101" w14:textId="77777777" w:rsidR="00E24AA1" w:rsidRDefault="00E24AA1" w:rsidP="00E24AA1">
      <w:pPr>
        <w:pStyle w:val="Baseparagraphcentred"/>
      </w:pPr>
    </w:p>
    <w:p w14:paraId="7B7980F2" w14:textId="76509525" w:rsidR="00E24AA1" w:rsidRDefault="002F5302" w:rsidP="00E24AA1">
      <w:pPr>
        <w:pStyle w:val="Baseparagraphcentred"/>
      </w:pPr>
      <w:r w:rsidRPr="00726D17">
        <w:t>HOUSE OF REPRESEN</w:t>
      </w:r>
      <w:r w:rsidR="003510A8" w:rsidRPr="00726D17">
        <w:t>T</w:t>
      </w:r>
      <w:r w:rsidRPr="00726D17">
        <w:t>ATIVES</w:t>
      </w:r>
    </w:p>
    <w:p w14:paraId="7F54BF18" w14:textId="77777777" w:rsidR="00E24AA1" w:rsidRDefault="00E24AA1" w:rsidP="00E24AA1">
      <w:pPr>
        <w:pStyle w:val="Baseparagraphcentred"/>
      </w:pPr>
    </w:p>
    <w:p w14:paraId="7133ED3C" w14:textId="77777777" w:rsidR="00E24AA1" w:rsidRDefault="00E24AA1" w:rsidP="00E24AA1">
      <w:pPr>
        <w:pStyle w:val="Baseparagraphcentred"/>
      </w:pPr>
    </w:p>
    <w:p w14:paraId="7020F7D4" w14:textId="77777777" w:rsidR="00E24AA1" w:rsidRDefault="00E24AA1" w:rsidP="00E24AA1">
      <w:pPr>
        <w:pStyle w:val="Baseparagraphcentred"/>
        <w:pBdr>
          <w:bottom w:val="single" w:sz="4" w:space="1" w:color="auto"/>
        </w:pBdr>
      </w:pPr>
    </w:p>
    <w:p w14:paraId="3BD0628C" w14:textId="26BFE94F" w:rsidR="00E24AA1" w:rsidRPr="00E24AA1" w:rsidRDefault="00CD6AC4" w:rsidP="00E24AA1">
      <w:pPr>
        <w:pStyle w:val="BillName"/>
      </w:pPr>
      <w:r>
        <w:t>Treasury Laws Amendment (Measures for Consultation) Bill 2022: ALRC Financial Services Interim Report Recommendations</w:t>
      </w:r>
      <w:r w:rsidR="00695FAD">
        <w:t xml:space="preserve"> </w:t>
      </w:r>
    </w:p>
    <w:p w14:paraId="4461694E" w14:textId="77777777" w:rsidR="00E24AA1" w:rsidRDefault="00E24AA1" w:rsidP="00E24AA1">
      <w:pPr>
        <w:pStyle w:val="Baseparagraphcentred"/>
        <w:pBdr>
          <w:top w:val="single" w:sz="4" w:space="1" w:color="auto"/>
        </w:pBdr>
      </w:pPr>
    </w:p>
    <w:p w14:paraId="6811A402" w14:textId="77777777" w:rsidR="00E24AA1" w:rsidRDefault="00E24AA1" w:rsidP="00E24AA1">
      <w:pPr>
        <w:pStyle w:val="Baseparagraphcentred"/>
      </w:pPr>
    </w:p>
    <w:p w14:paraId="07CDD64B" w14:textId="77777777" w:rsidR="00E24AA1" w:rsidRDefault="00E24AA1" w:rsidP="00E24AA1">
      <w:pPr>
        <w:pStyle w:val="Baseparagraphcentred"/>
      </w:pPr>
    </w:p>
    <w:p w14:paraId="7EA2AE7E" w14:textId="77777777" w:rsidR="00E24AA1" w:rsidRDefault="00E24AA1" w:rsidP="00E24AA1">
      <w:pPr>
        <w:pStyle w:val="Baseparagraphcentred"/>
      </w:pPr>
    </w:p>
    <w:p w14:paraId="795C6084" w14:textId="77777777" w:rsidR="00705E94" w:rsidRDefault="00705E94" w:rsidP="00E24AA1">
      <w:pPr>
        <w:pStyle w:val="Baseparagraphcentred"/>
      </w:pPr>
      <w:r>
        <w:t>EXPOSURE DRAFT EXPLANATORY MATERIALS</w:t>
      </w:r>
    </w:p>
    <w:p w14:paraId="0CC21389" w14:textId="77777777" w:rsidR="00E24AA1" w:rsidRDefault="00E24AA1" w:rsidP="00E24AA1">
      <w:pPr>
        <w:pStyle w:val="Baseparagraphcentred"/>
      </w:pPr>
    </w:p>
    <w:p w14:paraId="0C741C7B" w14:textId="77777777" w:rsidR="00E24AA1" w:rsidRDefault="00E24AA1" w:rsidP="00E24AA1">
      <w:pPr>
        <w:pStyle w:val="Baseparagraphcentred"/>
      </w:pPr>
    </w:p>
    <w:p w14:paraId="5D754684" w14:textId="77777777" w:rsidR="00E24AA1" w:rsidRDefault="00E24AA1" w:rsidP="00E24AA1">
      <w:pPr>
        <w:pStyle w:val="ParaCentredNoSpacing"/>
      </w:pPr>
    </w:p>
    <w:p w14:paraId="771F19C1" w14:textId="77777777" w:rsidR="00E24AA1" w:rsidRPr="00967273" w:rsidRDefault="00E24AA1" w:rsidP="00E24AA1">
      <w:pPr>
        <w:pStyle w:val="Normalparatextnonumbers"/>
        <w:jc w:val="center"/>
        <w:rPr>
          <w:rFonts w:cs="Calibri"/>
          <w:color w:val="000000" w:themeColor="text1"/>
        </w:rPr>
      </w:pPr>
    </w:p>
    <w:p w14:paraId="55EAD5CB" w14:textId="77777777" w:rsidR="00873094" w:rsidRDefault="00873094" w:rsidP="00873094">
      <w:pPr>
        <w:pStyle w:val="Normalparatextnonumbers"/>
      </w:pPr>
    </w:p>
    <w:p w14:paraId="2D18AD7B" w14:textId="77777777" w:rsidR="00E24AA1" w:rsidRPr="00020288" w:rsidRDefault="00E24AA1" w:rsidP="00873094">
      <w:pPr>
        <w:pStyle w:val="Normalparatextnonumbers"/>
      </w:pPr>
    </w:p>
    <w:p w14:paraId="26C40E45" w14:textId="77777777" w:rsidR="00873094" w:rsidRPr="00020288" w:rsidRDefault="00873094" w:rsidP="00873094">
      <w:pPr>
        <w:pStyle w:val="TOC1"/>
        <w:sectPr w:rsidR="00873094" w:rsidRPr="00020288" w:rsidSect="00000BFC">
          <w:footerReference w:type="even" r:id="rId13"/>
          <w:footerReference w:type="default" r:id="rId14"/>
          <w:headerReference w:type="first" r:id="rId15"/>
          <w:footerReference w:type="first" r:id="rId16"/>
          <w:type w:val="oddPage"/>
          <w:pgSz w:w="9979" w:h="14175" w:code="138"/>
          <w:pgMar w:top="567" w:right="1134" w:bottom="567" w:left="1134" w:header="709" w:footer="709" w:gutter="0"/>
          <w:cols w:space="708"/>
          <w:titlePg/>
          <w:docGrid w:linePitch="360"/>
        </w:sectPr>
      </w:pPr>
    </w:p>
    <w:p w14:paraId="4A642497" w14:textId="77777777" w:rsidR="00873094" w:rsidRPr="00020288" w:rsidRDefault="00873094" w:rsidP="00873094">
      <w:pPr>
        <w:pStyle w:val="TOCHeading"/>
      </w:pPr>
      <w:bookmarkStart w:id="6" w:name="_Toc80172450"/>
      <w:bookmarkStart w:id="7" w:name="_Toc80197114"/>
      <w:bookmarkStart w:id="8" w:name="_Toc81852681"/>
      <w:bookmarkEnd w:id="0"/>
      <w:bookmarkEnd w:id="1"/>
      <w:bookmarkEnd w:id="2"/>
      <w:bookmarkEnd w:id="3"/>
      <w:bookmarkEnd w:id="4"/>
      <w:r w:rsidRPr="00020288">
        <w:lastRenderedPageBreak/>
        <w:t>Table of Contents</w:t>
      </w:r>
      <w:bookmarkStart w:id="9" w:name="_Toc78549733"/>
      <w:bookmarkStart w:id="10" w:name="_Toc78549778"/>
      <w:bookmarkStart w:id="11" w:name="_Toc80097483"/>
      <w:bookmarkStart w:id="12" w:name="_Toc80097777"/>
      <w:bookmarkStart w:id="13" w:name="_Toc80115276"/>
      <w:bookmarkStart w:id="14" w:name="_Toc80172451"/>
      <w:bookmarkStart w:id="15" w:name="_Toc80197115"/>
      <w:bookmarkStart w:id="16" w:name="_Toc81852682"/>
      <w:bookmarkStart w:id="17" w:name="_Toc81852727"/>
      <w:bookmarkEnd w:id="6"/>
      <w:bookmarkEnd w:id="7"/>
      <w:bookmarkEnd w:id="8"/>
    </w:p>
    <w:p w14:paraId="62BB4CB7" w14:textId="0D7F88B1" w:rsidR="00705E94" w:rsidRDefault="00873094" w:rsidP="00705E94">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705E94">
        <w:rPr>
          <w:noProof/>
        </w:rPr>
        <w:t>Glossary</w:t>
      </w:r>
      <w:r w:rsidR="00705E94">
        <w:rPr>
          <w:noProof/>
        </w:rPr>
        <w:tab/>
      </w:r>
      <w:r w:rsidR="00705E94">
        <w:rPr>
          <w:noProof/>
        </w:rPr>
        <w:fldChar w:fldCharType="begin"/>
      </w:r>
      <w:r w:rsidR="00705E94">
        <w:rPr>
          <w:noProof/>
        </w:rPr>
        <w:instrText xml:space="preserve"> PAGEREF _Toc119482430 \h </w:instrText>
      </w:r>
      <w:r w:rsidR="00705E94">
        <w:rPr>
          <w:noProof/>
        </w:rPr>
      </w:r>
      <w:r w:rsidR="00705E94">
        <w:rPr>
          <w:noProof/>
        </w:rPr>
        <w:fldChar w:fldCharType="separate"/>
      </w:r>
      <w:r w:rsidR="006B5F85">
        <w:rPr>
          <w:noProof/>
        </w:rPr>
        <w:t>iii</w:t>
      </w:r>
      <w:r w:rsidR="00705E94">
        <w:rPr>
          <w:noProof/>
        </w:rPr>
        <w:fldChar w:fldCharType="end"/>
      </w:r>
    </w:p>
    <w:p w14:paraId="467AE0BF" w14:textId="06B17B35" w:rsidR="00705E94" w:rsidRDefault="00705E94">
      <w:pPr>
        <w:pStyle w:val="TOC1"/>
        <w:rPr>
          <w:rFonts w:asciiTheme="minorHAnsi" w:eastAsiaTheme="minorEastAsia" w:hAnsiTheme="minorHAnsi" w:cstheme="minorBidi"/>
          <w:bCs w:val="0"/>
          <w:noProof/>
          <w:sz w:val="22"/>
          <w:szCs w:val="22"/>
          <w:lang w:eastAsia="en-AU"/>
        </w:rPr>
      </w:pPr>
      <w:r>
        <w:rPr>
          <w:noProof/>
        </w:rPr>
        <w:t>Interim Report Recommendations</w:t>
      </w:r>
      <w:r>
        <w:rPr>
          <w:noProof/>
        </w:rPr>
        <w:tab/>
      </w:r>
      <w:r>
        <w:rPr>
          <w:noProof/>
        </w:rPr>
        <w:fldChar w:fldCharType="begin"/>
      </w:r>
      <w:r>
        <w:rPr>
          <w:noProof/>
        </w:rPr>
        <w:instrText xml:space="preserve"> PAGEREF _Toc119482431 \h </w:instrText>
      </w:r>
      <w:r>
        <w:rPr>
          <w:noProof/>
        </w:rPr>
      </w:r>
      <w:r>
        <w:rPr>
          <w:noProof/>
        </w:rPr>
        <w:fldChar w:fldCharType="separate"/>
      </w:r>
      <w:r w:rsidR="006B5F85">
        <w:rPr>
          <w:noProof/>
        </w:rPr>
        <w:t>5</w:t>
      </w:r>
      <w:r>
        <w:rPr>
          <w:noProof/>
        </w:rPr>
        <w:fldChar w:fldCharType="end"/>
      </w:r>
    </w:p>
    <w:p w14:paraId="41ED5F3A" w14:textId="1EB49CDE" w:rsidR="00873094" w:rsidRPr="00020288" w:rsidRDefault="00873094" w:rsidP="00BC2E4A">
      <w:pPr>
        <w:pStyle w:val="TOC1"/>
      </w:pPr>
      <w:r w:rsidRPr="00BC2E4A">
        <w:fldChar w:fldCharType="end"/>
      </w:r>
    </w:p>
    <w:p w14:paraId="4EF7472A" w14:textId="77777777" w:rsidR="00873094" w:rsidRPr="00020288" w:rsidRDefault="00873094" w:rsidP="00873094"/>
    <w:p w14:paraId="7F71F45D" w14:textId="77777777" w:rsidR="00873094" w:rsidRPr="00020288" w:rsidRDefault="00873094" w:rsidP="00873094"/>
    <w:p w14:paraId="51B89962" w14:textId="77777777" w:rsidR="00873094" w:rsidRPr="00020288" w:rsidRDefault="00873094" w:rsidP="00873094">
      <w:pPr>
        <w:sectPr w:rsidR="00873094" w:rsidRPr="00020288" w:rsidSect="00000BFC">
          <w:headerReference w:type="even" r:id="rId17"/>
          <w:headerReference w:type="default" r:id="rId18"/>
          <w:headerReference w:type="first" r:id="rId19"/>
          <w:footerReference w:type="first" r:id="rId20"/>
          <w:type w:val="oddPage"/>
          <w:pgSz w:w="9979" w:h="14175" w:code="9"/>
          <w:pgMar w:top="567" w:right="1134" w:bottom="567" w:left="1134" w:header="709" w:footer="709" w:gutter="0"/>
          <w:pgNumType w:start="1"/>
          <w:cols w:space="708"/>
          <w:titlePg/>
          <w:docGrid w:linePitch="360"/>
        </w:sectPr>
      </w:pPr>
    </w:p>
    <w:p w14:paraId="31E11959" w14:textId="77777777" w:rsidR="00873094" w:rsidRPr="00020288" w:rsidRDefault="00873094" w:rsidP="00873094">
      <w:pPr>
        <w:pStyle w:val="Heading1"/>
      </w:pPr>
      <w:bookmarkStart w:id="18" w:name="_Toc82021619"/>
      <w:bookmarkStart w:id="19" w:name="_Toc82067318"/>
      <w:bookmarkStart w:id="20" w:name="_Toc82072959"/>
      <w:bookmarkStart w:id="21" w:name="_Toc82073275"/>
      <w:bookmarkStart w:id="22" w:name="_Toc82073912"/>
      <w:bookmarkStart w:id="23" w:name="_Toc82074016"/>
      <w:bookmarkStart w:id="24" w:name="_Toc119482430"/>
      <w:r w:rsidRPr="00020288">
        <w:lastRenderedPageBreak/>
        <w:t>Glossary</w:t>
      </w:r>
      <w:bookmarkStart w:id="25" w:name="_Toc485286223"/>
      <w:bookmarkStart w:id="26" w:name="_Toc78193244"/>
      <w:bookmarkStart w:id="27" w:name="_Toc7819340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3962F8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695FAD" w:rsidRPr="002E7A73" w14:paraId="4CAB0C20" w14:textId="77777777" w:rsidTr="002425D9">
        <w:tc>
          <w:tcPr>
            <w:tcW w:w="3776" w:type="dxa"/>
            <w:shd w:val="clear" w:color="auto" w:fill="auto"/>
          </w:tcPr>
          <w:p w14:paraId="21CD6EBB" w14:textId="77777777" w:rsidR="00695FAD" w:rsidRPr="002E7A73" w:rsidRDefault="00695FAD" w:rsidP="00B7393A">
            <w:pPr>
              <w:pStyle w:val="Tableheaderrowtext"/>
            </w:pPr>
            <w:bookmarkStart w:id="28" w:name="GlossaryTableStart"/>
            <w:bookmarkEnd w:id="28"/>
            <w:r w:rsidRPr="002E7A73">
              <w:t>Abbreviation</w:t>
            </w:r>
          </w:p>
        </w:tc>
        <w:tc>
          <w:tcPr>
            <w:tcW w:w="3874" w:type="dxa"/>
            <w:shd w:val="clear" w:color="auto" w:fill="auto"/>
          </w:tcPr>
          <w:p w14:paraId="611DBB65" w14:textId="77777777" w:rsidR="00695FAD" w:rsidRPr="002E7A73" w:rsidRDefault="00695FAD" w:rsidP="00B7393A">
            <w:pPr>
              <w:pStyle w:val="Tableheaderrowtext"/>
            </w:pPr>
            <w:r w:rsidRPr="002E7A73">
              <w:t>Definition</w:t>
            </w:r>
          </w:p>
        </w:tc>
      </w:tr>
      <w:tr w:rsidR="00695FAD" w:rsidRPr="005F59A4" w14:paraId="76483573" w14:textId="77777777" w:rsidTr="00695FAD">
        <w:tc>
          <w:tcPr>
            <w:tcW w:w="3776" w:type="dxa"/>
            <w:tcBorders>
              <w:top w:val="single" w:sz="4" w:space="0" w:color="auto"/>
              <w:left w:val="single" w:sz="4" w:space="0" w:color="auto"/>
              <w:bottom w:val="single" w:sz="4" w:space="0" w:color="auto"/>
              <w:right w:val="single" w:sz="4" w:space="0" w:color="auto"/>
            </w:tcBorders>
          </w:tcPr>
          <w:p w14:paraId="3F624D68" w14:textId="77777777" w:rsidR="00695FAD" w:rsidRDefault="00695FAD" w:rsidP="00054268">
            <w:pPr>
              <w:pStyle w:val="Normalparatextnonumbers"/>
            </w:pPr>
            <w:r>
              <w:t>AIA</w:t>
            </w:r>
          </w:p>
        </w:tc>
        <w:tc>
          <w:tcPr>
            <w:tcW w:w="3874" w:type="dxa"/>
            <w:tcBorders>
              <w:top w:val="single" w:sz="4" w:space="0" w:color="auto"/>
              <w:left w:val="single" w:sz="4" w:space="0" w:color="auto"/>
              <w:bottom w:val="single" w:sz="4" w:space="0" w:color="auto"/>
              <w:right w:val="single" w:sz="4" w:space="0" w:color="auto"/>
            </w:tcBorders>
          </w:tcPr>
          <w:p w14:paraId="394063FA" w14:textId="77777777" w:rsidR="00695FAD" w:rsidRPr="00E832EF" w:rsidRDefault="00695FAD" w:rsidP="00054268">
            <w:pPr>
              <w:pStyle w:val="Normalparatextnonumbers"/>
              <w:rPr>
                <w:i/>
              </w:rPr>
            </w:pPr>
            <w:r w:rsidRPr="00E832EF">
              <w:rPr>
                <w:i/>
              </w:rPr>
              <w:t>Acts Interpretation Act 1901</w:t>
            </w:r>
          </w:p>
        </w:tc>
      </w:tr>
      <w:tr w:rsidR="00695FAD" w:rsidRPr="00020288" w14:paraId="7870687F" w14:textId="77777777" w:rsidTr="00695FAD">
        <w:tc>
          <w:tcPr>
            <w:tcW w:w="3776" w:type="dxa"/>
            <w:tcBorders>
              <w:top w:val="single" w:sz="4" w:space="0" w:color="auto"/>
              <w:left w:val="single" w:sz="4" w:space="0" w:color="auto"/>
              <w:bottom w:val="single" w:sz="4" w:space="0" w:color="auto"/>
              <w:right w:val="single" w:sz="4" w:space="0" w:color="auto"/>
            </w:tcBorders>
          </w:tcPr>
          <w:p w14:paraId="4B376F7E" w14:textId="77777777" w:rsidR="00695FAD" w:rsidRPr="00020288" w:rsidRDefault="00695FAD" w:rsidP="00054268">
            <w:pPr>
              <w:pStyle w:val="Normalparatextnonumbers"/>
            </w:pPr>
            <w:r>
              <w:t>ALRC</w:t>
            </w:r>
          </w:p>
        </w:tc>
        <w:tc>
          <w:tcPr>
            <w:tcW w:w="3874" w:type="dxa"/>
            <w:tcBorders>
              <w:top w:val="single" w:sz="4" w:space="0" w:color="auto"/>
              <w:left w:val="single" w:sz="4" w:space="0" w:color="auto"/>
              <w:bottom w:val="single" w:sz="4" w:space="0" w:color="auto"/>
              <w:right w:val="single" w:sz="4" w:space="0" w:color="auto"/>
            </w:tcBorders>
          </w:tcPr>
          <w:p w14:paraId="28BD1236" w14:textId="77777777" w:rsidR="00695FAD" w:rsidRPr="00020288" w:rsidRDefault="00695FAD" w:rsidP="00054268">
            <w:pPr>
              <w:pStyle w:val="Normalparatextnonumbers"/>
            </w:pPr>
            <w:r>
              <w:t xml:space="preserve">Australian Law Reform Commission </w:t>
            </w:r>
          </w:p>
        </w:tc>
      </w:tr>
      <w:tr w:rsidR="00695FAD" w:rsidRPr="00020288" w14:paraId="0BD9A976" w14:textId="77777777" w:rsidTr="00695FAD">
        <w:tc>
          <w:tcPr>
            <w:tcW w:w="3776" w:type="dxa"/>
            <w:tcBorders>
              <w:top w:val="single" w:sz="4" w:space="0" w:color="auto"/>
              <w:left w:val="single" w:sz="4" w:space="0" w:color="auto"/>
              <w:bottom w:val="single" w:sz="4" w:space="0" w:color="auto"/>
              <w:right w:val="single" w:sz="4" w:space="0" w:color="auto"/>
            </w:tcBorders>
          </w:tcPr>
          <w:p w14:paraId="0B65C9E6" w14:textId="77777777" w:rsidR="00695FAD" w:rsidRPr="00020288" w:rsidRDefault="00695FAD" w:rsidP="00054268">
            <w:pPr>
              <w:pStyle w:val="Normalparatextnonumbers"/>
            </w:pPr>
            <w:r>
              <w:t>ALRC Review</w:t>
            </w:r>
          </w:p>
        </w:tc>
        <w:tc>
          <w:tcPr>
            <w:tcW w:w="3874" w:type="dxa"/>
            <w:tcBorders>
              <w:top w:val="single" w:sz="4" w:space="0" w:color="auto"/>
              <w:left w:val="single" w:sz="4" w:space="0" w:color="auto"/>
              <w:bottom w:val="single" w:sz="4" w:space="0" w:color="auto"/>
              <w:right w:val="single" w:sz="4" w:space="0" w:color="auto"/>
            </w:tcBorders>
          </w:tcPr>
          <w:p w14:paraId="5AFF3679" w14:textId="77777777" w:rsidR="00695FAD" w:rsidRPr="00020288" w:rsidRDefault="00695FAD" w:rsidP="00054268">
            <w:pPr>
              <w:pStyle w:val="Normalparatextnonumbers"/>
            </w:pPr>
            <w:r w:rsidRPr="004B297C">
              <w:t>Review of the Legisl</w:t>
            </w:r>
            <w:r>
              <w:t>a</w:t>
            </w:r>
            <w:r w:rsidRPr="004B297C">
              <w:t>tive Framework for Corporations and Financial Services Regulation</w:t>
            </w:r>
          </w:p>
        </w:tc>
      </w:tr>
      <w:tr w:rsidR="00695FAD" w:rsidRPr="00020288" w14:paraId="160616F7" w14:textId="77777777" w:rsidTr="00695FAD">
        <w:tc>
          <w:tcPr>
            <w:tcW w:w="3776" w:type="dxa"/>
            <w:tcBorders>
              <w:top w:val="single" w:sz="4" w:space="0" w:color="auto"/>
              <w:left w:val="single" w:sz="4" w:space="0" w:color="auto"/>
              <w:bottom w:val="single" w:sz="4" w:space="0" w:color="auto"/>
              <w:right w:val="single" w:sz="4" w:space="0" w:color="auto"/>
            </w:tcBorders>
          </w:tcPr>
          <w:p w14:paraId="3846BDC1" w14:textId="77777777" w:rsidR="00695FAD" w:rsidRPr="00020288" w:rsidRDefault="00695FAD" w:rsidP="00054268">
            <w:pPr>
              <w:pStyle w:val="Normalparatextnonumbers"/>
            </w:pPr>
            <w:r>
              <w:t>ASIC</w:t>
            </w:r>
          </w:p>
        </w:tc>
        <w:tc>
          <w:tcPr>
            <w:tcW w:w="3874" w:type="dxa"/>
            <w:tcBorders>
              <w:top w:val="single" w:sz="4" w:space="0" w:color="auto"/>
              <w:left w:val="single" w:sz="4" w:space="0" w:color="auto"/>
              <w:bottom w:val="single" w:sz="4" w:space="0" w:color="auto"/>
              <w:right w:val="single" w:sz="4" w:space="0" w:color="auto"/>
            </w:tcBorders>
          </w:tcPr>
          <w:p w14:paraId="0CEA5D33" w14:textId="77777777" w:rsidR="00695FAD" w:rsidRPr="00020288" w:rsidRDefault="00695FAD" w:rsidP="00054268">
            <w:pPr>
              <w:pStyle w:val="Normalparatextnonumbers"/>
            </w:pPr>
            <w:r>
              <w:t xml:space="preserve">Australian Securities and Investments Commission </w:t>
            </w:r>
          </w:p>
        </w:tc>
      </w:tr>
      <w:tr w:rsidR="00695FAD" w:rsidRPr="00020288" w14:paraId="13F5AD74" w14:textId="77777777" w:rsidTr="00695FAD">
        <w:tc>
          <w:tcPr>
            <w:tcW w:w="3776" w:type="dxa"/>
            <w:tcBorders>
              <w:top w:val="single" w:sz="4" w:space="0" w:color="auto"/>
              <w:left w:val="single" w:sz="4" w:space="0" w:color="auto"/>
              <w:bottom w:val="single" w:sz="4" w:space="0" w:color="auto"/>
              <w:right w:val="single" w:sz="4" w:space="0" w:color="auto"/>
            </w:tcBorders>
          </w:tcPr>
          <w:p w14:paraId="02ABC65E" w14:textId="77777777" w:rsidR="00695FAD" w:rsidRPr="00020288" w:rsidRDefault="00695FAD" w:rsidP="00054268">
            <w:pPr>
              <w:pStyle w:val="Normalparatextnonumbers"/>
            </w:pPr>
            <w:r>
              <w:t xml:space="preserve">ASIC Act </w:t>
            </w:r>
          </w:p>
        </w:tc>
        <w:tc>
          <w:tcPr>
            <w:tcW w:w="3874" w:type="dxa"/>
            <w:tcBorders>
              <w:top w:val="single" w:sz="4" w:space="0" w:color="auto"/>
              <w:left w:val="single" w:sz="4" w:space="0" w:color="auto"/>
              <w:bottom w:val="single" w:sz="4" w:space="0" w:color="auto"/>
              <w:right w:val="single" w:sz="4" w:space="0" w:color="auto"/>
            </w:tcBorders>
          </w:tcPr>
          <w:p w14:paraId="12E5C650" w14:textId="77777777" w:rsidR="00695FAD" w:rsidRPr="00797A8A" w:rsidRDefault="00695FAD" w:rsidP="00054268">
            <w:pPr>
              <w:pStyle w:val="Normalparatextnonumbers"/>
              <w:rPr>
                <w:i/>
              </w:rPr>
            </w:pPr>
            <w:r w:rsidRPr="00797A8A">
              <w:rPr>
                <w:i/>
              </w:rPr>
              <w:t>Australian Securities and Investments Commission Act 2001</w:t>
            </w:r>
          </w:p>
        </w:tc>
      </w:tr>
      <w:tr w:rsidR="00695FAD" w:rsidRPr="004B297C" w14:paraId="10567915" w14:textId="77777777" w:rsidTr="00695FAD">
        <w:tc>
          <w:tcPr>
            <w:tcW w:w="3776" w:type="dxa"/>
            <w:tcBorders>
              <w:top w:val="single" w:sz="4" w:space="0" w:color="auto"/>
              <w:left w:val="single" w:sz="4" w:space="0" w:color="auto"/>
              <w:bottom w:val="single" w:sz="4" w:space="0" w:color="auto"/>
              <w:right w:val="single" w:sz="4" w:space="0" w:color="auto"/>
            </w:tcBorders>
          </w:tcPr>
          <w:p w14:paraId="530C0312" w14:textId="77777777" w:rsidR="00695FAD" w:rsidRDefault="00695FAD" w:rsidP="00054268">
            <w:pPr>
              <w:pStyle w:val="Normalparatextnonumbers"/>
            </w:pPr>
            <w:r>
              <w:t>Bill</w:t>
            </w:r>
          </w:p>
        </w:tc>
        <w:tc>
          <w:tcPr>
            <w:tcW w:w="3874" w:type="dxa"/>
            <w:tcBorders>
              <w:top w:val="single" w:sz="4" w:space="0" w:color="auto"/>
              <w:left w:val="single" w:sz="4" w:space="0" w:color="auto"/>
              <w:bottom w:val="single" w:sz="4" w:space="0" w:color="auto"/>
              <w:right w:val="single" w:sz="4" w:space="0" w:color="auto"/>
            </w:tcBorders>
          </w:tcPr>
          <w:p w14:paraId="0EDEB1C5" w14:textId="77777777" w:rsidR="00695FAD" w:rsidRPr="004B297C" w:rsidRDefault="00695FAD" w:rsidP="00054268">
            <w:pPr>
              <w:pStyle w:val="Normalparatextnonumbers"/>
            </w:pPr>
            <w:r>
              <w:t>Treasury Laws Amendment (Measures for consultation) Bill 2022: ALRC Financial Services Interim Report Recommendations</w:t>
            </w:r>
          </w:p>
        </w:tc>
      </w:tr>
      <w:tr w:rsidR="00695FAD" w14:paraId="05153EBE" w14:textId="77777777" w:rsidTr="00695FAD">
        <w:tc>
          <w:tcPr>
            <w:tcW w:w="3776" w:type="dxa"/>
            <w:tcBorders>
              <w:top w:val="single" w:sz="4" w:space="0" w:color="auto"/>
              <w:left w:val="single" w:sz="4" w:space="0" w:color="auto"/>
              <w:bottom w:val="single" w:sz="4" w:space="0" w:color="auto"/>
              <w:right w:val="single" w:sz="4" w:space="0" w:color="auto"/>
            </w:tcBorders>
          </w:tcPr>
          <w:p w14:paraId="606FDC0A" w14:textId="77777777" w:rsidR="00695FAD" w:rsidRDefault="00695FAD" w:rsidP="00054268">
            <w:pPr>
              <w:pStyle w:val="Normalparatextnonumbers"/>
            </w:pPr>
            <w:r>
              <w:t xml:space="preserve">Corporations (Review Fees) Act </w:t>
            </w:r>
          </w:p>
        </w:tc>
        <w:tc>
          <w:tcPr>
            <w:tcW w:w="3874" w:type="dxa"/>
            <w:tcBorders>
              <w:top w:val="single" w:sz="4" w:space="0" w:color="auto"/>
              <w:left w:val="single" w:sz="4" w:space="0" w:color="auto"/>
              <w:bottom w:val="single" w:sz="4" w:space="0" w:color="auto"/>
              <w:right w:val="single" w:sz="4" w:space="0" w:color="auto"/>
            </w:tcBorders>
          </w:tcPr>
          <w:p w14:paraId="3E595B6D" w14:textId="77777777" w:rsidR="00695FAD" w:rsidRPr="00797A8A" w:rsidRDefault="00695FAD" w:rsidP="00054268">
            <w:pPr>
              <w:pStyle w:val="Normalparatextnonumbers"/>
              <w:rPr>
                <w:i/>
              </w:rPr>
            </w:pPr>
            <w:r w:rsidRPr="00797A8A">
              <w:rPr>
                <w:i/>
              </w:rPr>
              <w:t>Corporations (Review Fees) Act 2003</w:t>
            </w:r>
          </w:p>
        </w:tc>
      </w:tr>
      <w:tr w:rsidR="00695FAD" w:rsidRPr="00DD3758" w14:paraId="4BE03499" w14:textId="77777777" w:rsidTr="00695FAD">
        <w:tc>
          <w:tcPr>
            <w:tcW w:w="3776" w:type="dxa"/>
            <w:tcBorders>
              <w:top w:val="single" w:sz="4" w:space="0" w:color="auto"/>
              <w:left w:val="single" w:sz="4" w:space="0" w:color="auto"/>
              <w:bottom w:val="single" w:sz="4" w:space="0" w:color="auto"/>
              <w:right w:val="single" w:sz="4" w:space="0" w:color="auto"/>
            </w:tcBorders>
          </w:tcPr>
          <w:p w14:paraId="1B149FD8" w14:textId="77777777" w:rsidR="00695FAD" w:rsidRPr="000B547E" w:rsidRDefault="00695FAD" w:rsidP="00054268">
            <w:pPr>
              <w:pStyle w:val="Normalparatextnonumbers"/>
            </w:pPr>
            <w:r>
              <w:t>Corporations Act</w:t>
            </w:r>
          </w:p>
        </w:tc>
        <w:tc>
          <w:tcPr>
            <w:tcW w:w="3874" w:type="dxa"/>
            <w:tcBorders>
              <w:top w:val="single" w:sz="4" w:space="0" w:color="auto"/>
              <w:left w:val="single" w:sz="4" w:space="0" w:color="auto"/>
              <w:bottom w:val="single" w:sz="4" w:space="0" w:color="auto"/>
              <w:right w:val="single" w:sz="4" w:space="0" w:color="auto"/>
            </w:tcBorders>
          </w:tcPr>
          <w:p w14:paraId="0144EA61" w14:textId="77777777" w:rsidR="00695FAD" w:rsidRPr="00797A8A" w:rsidRDefault="00695FAD" w:rsidP="00054268">
            <w:pPr>
              <w:pStyle w:val="Normalparatextnonumbers"/>
              <w:rPr>
                <w:i/>
              </w:rPr>
            </w:pPr>
            <w:r w:rsidRPr="00797A8A">
              <w:rPr>
                <w:i/>
              </w:rPr>
              <w:t>Corporations Act 2001</w:t>
            </w:r>
          </w:p>
        </w:tc>
      </w:tr>
      <w:tr w:rsidR="00695FAD" w:rsidRPr="00DD3758" w14:paraId="0BDBEE18" w14:textId="77777777" w:rsidTr="00695FAD">
        <w:tc>
          <w:tcPr>
            <w:tcW w:w="3776" w:type="dxa"/>
            <w:tcBorders>
              <w:top w:val="single" w:sz="4" w:space="0" w:color="auto"/>
              <w:left w:val="single" w:sz="4" w:space="0" w:color="auto"/>
              <w:bottom w:val="single" w:sz="4" w:space="0" w:color="auto"/>
              <w:right w:val="single" w:sz="4" w:space="0" w:color="auto"/>
            </w:tcBorders>
          </w:tcPr>
          <w:p w14:paraId="734EB59C" w14:textId="77777777" w:rsidR="00695FAD" w:rsidRDefault="00695FAD" w:rsidP="00054268">
            <w:pPr>
              <w:pStyle w:val="Normalparatextnonumbers"/>
            </w:pPr>
            <w:r>
              <w:t>Corporations Regulations</w:t>
            </w:r>
          </w:p>
        </w:tc>
        <w:tc>
          <w:tcPr>
            <w:tcW w:w="3874" w:type="dxa"/>
            <w:tcBorders>
              <w:top w:val="single" w:sz="4" w:space="0" w:color="auto"/>
              <w:left w:val="single" w:sz="4" w:space="0" w:color="auto"/>
              <w:bottom w:val="single" w:sz="4" w:space="0" w:color="auto"/>
              <w:right w:val="single" w:sz="4" w:space="0" w:color="auto"/>
            </w:tcBorders>
          </w:tcPr>
          <w:p w14:paraId="2D9A19C9" w14:textId="77777777" w:rsidR="00695FAD" w:rsidRPr="00797A8A" w:rsidRDefault="00695FAD" w:rsidP="00054268">
            <w:pPr>
              <w:pStyle w:val="Normalparatextnonumbers"/>
              <w:rPr>
                <w:i/>
              </w:rPr>
            </w:pPr>
            <w:r w:rsidRPr="00797A8A">
              <w:rPr>
                <w:i/>
              </w:rPr>
              <w:t>Corporations Regulations 2001</w:t>
            </w:r>
          </w:p>
        </w:tc>
      </w:tr>
      <w:tr w:rsidR="00695FAD" w:rsidRPr="00C84F36" w14:paraId="423C8AED" w14:textId="77777777" w:rsidTr="00695FAD">
        <w:tc>
          <w:tcPr>
            <w:tcW w:w="3776" w:type="dxa"/>
            <w:tcBorders>
              <w:top w:val="single" w:sz="4" w:space="0" w:color="auto"/>
              <w:left w:val="single" w:sz="4" w:space="0" w:color="auto"/>
              <w:bottom w:val="single" w:sz="4" w:space="0" w:color="auto"/>
              <w:right w:val="single" w:sz="4" w:space="0" w:color="auto"/>
            </w:tcBorders>
          </w:tcPr>
          <w:p w14:paraId="0F49B96E" w14:textId="77777777" w:rsidR="00695FAD" w:rsidRDefault="00695FAD" w:rsidP="00054268">
            <w:pPr>
              <w:pStyle w:val="Normalparatextnonumbers"/>
            </w:pPr>
            <w:r>
              <w:t>Crimes Act</w:t>
            </w:r>
          </w:p>
        </w:tc>
        <w:tc>
          <w:tcPr>
            <w:tcW w:w="3874" w:type="dxa"/>
            <w:tcBorders>
              <w:top w:val="single" w:sz="4" w:space="0" w:color="auto"/>
              <w:left w:val="single" w:sz="4" w:space="0" w:color="auto"/>
              <w:bottom w:val="single" w:sz="4" w:space="0" w:color="auto"/>
              <w:right w:val="single" w:sz="4" w:space="0" w:color="auto"/>
            </w:tcBorders>
          </w:tcPr>
          <w:p w14:paraId="1A5B78F8" w14:textId="77777777" w:rsidR="00695FAD" w:rsidRPr="00797A8A" w:rsidRDefault="00695FAD" w:rsidP="00054268">
            <w:pPr>
              <w:pStyle w:val="Normalparatextnonumbers"/>
              <w:rPr>
                <w:i/>
              </w:rPr>
            </w:pPr>
            <w:r w:rsidRPr="00797A8A">
              <w:rPr>
                <w:i/>
              </w:rPr>
              <w:t>Crimes Act 1914</w:t>
            </w:r>
          </w:p>
        </w:tc>
      </w:tr>
      <w:tr w:rsidR="00695FAD" w:rsidRPr="00DD3758" w14:paraId="4880E13D" w14:textId="77777777" w:rsidTr="00695FAD">
        <w:tc>
          <w:tcPr>
            <w:tcW w:w="3776" w:type="dxa"/>
            <w:tcBorders>
              <w:top w:val="single" w:sz="4" w:space="0" w:color="auto"/>
              <w:left w:val="single" w:sz="4" w:space="0" w:color="auto"/>
              <w:bottom w:val="single" w:sz="4" w:space="0" w:color="auto"/>
              <w:right w:val="single" w:sz="4" w:space="0" w:color="auto"/>
            </w:tcBorders>
          </w:tcPr>
          <w:p w14:paraId="27AA6EDB" w14:textId="77777777" w:rsidR="00695FAD" w:rsidRDefault="00695FAD" w:rsidP="00054268">
            <w:pPr>
              <w:pStyle w:val="Normalparatextnonumbers"/>
            </w:pPr>
            <w:r>
              <w:t>Criminal Code</w:t>
            </w:r>
          </w:p>
        </w:tc>
        <w:tc>
          <w:tcPr>
            <w:tcW w:w="3874" w:type="dxa"/>
            <w:tcBorders>
              <w:top w:val="single" w:sz="4" w:space="0" w:color="auto"/>
              <w:left w:val="single" w:sz="4" w:space="0" w:color="auto"/>
              <w:bottom w:val="single" w:sz="4" w:space="0" w:color="auto"/>
              <w:right w:val="single" w:sz="4" w:space="0" w:color="auto"/>
            </w:tcBorders>
          </w:tcPr>
          <w:p w14:paraId="506B8958" w14:textId="77777777" w:rsidR="00695FAD" w:rsidRPr="00DD3758" w:rsidRDefault="00695FAD" w:rsidP="00054268">
            <w:pPr>
              <w:pStyle w:val="Normalparatextnonumbers"/>
            </w:pPr>
            <w:r>
              <w:t xml:space="preserve">Schedule to the </w:t>
            </w:r>
            <w:r w:rsidRPr="00797A8A">
              <w:rPr>
                <w:i/>
              </w:rPr>
              <w:t>Criminal Code Act 1995</w:t>
            </w:r>
          </w:p>
        </w:tc>
      </w:tr>
      <w:tr w:rsidR="00695FAD" w:rsidRPr="00020288" w14:paraId="36350F86" w14:textId="77777777" w:rsidTr="00695FAD">
        <w:tc>
          <w:tcPr>
            <w:tcW w:w="3776" w:type="dxa"/>
            <w:tcBorders>
              <w:top w:val="single" w:sz="4" w:space="0" w:color="auto"/>
              <w:left w:val="single" w:sz="4" w:space="0" w:color="auto"/>
              <w:bottom w:val="single" w:sz="4" w:space="0" w:color="auto"/>
              <w:right w:val="single" w:sz="4" w:space="0" w:color="auto"/>
            </w:tcBorders>
          </w:tcPr>
          <w:p w14:paraId="134DCD0F" w14:textId="77777777" w:rsidR="00695FAD" w:rsidRPr="00020288" w:rsidRDefault="00695FAD" w:rsidP="00054268">
            <w:pPr>
              <w:pStyle w:val="Normalparatextnonumbers"/>
            </w:pPr>
            <w:r>
              <w:t>Interim Report A</w:t>
            </w:r>
          </w:p>
        </w:tc>
        <w:tc>
          <w:tcPr>
            <w:tcW w:w="3874" w:type="dxa"/>
            <w:tcBorders>
              <w:top w:val="single" w:sz="4" w:space="0" w:color="auto"/>
              <w:left w:val="single" w:sz="4" w:space="0" w:color="auto"/>
              <w:bottom w:val="single" w:sz="4" w:space="0" w:color="auto"/>
              <w:right w:val="single" w:sz="4" w:space="0" w:color="auto"/>
            </w:tcBorders>
          </w:tcPr>
          <w:p w14:paraId="2AC08182" w14:textId="77777777" w:rsidR="00695FAD" w:rsidRPr="00020288" w:rsidRDefault="00695FAD" w:rsidP="00054268">
            <w:pPr>
              <w:pStyle w:val="Normalparatextnonumbers"/>
            </w:pPr>
            <w:r w:rsidRPr="004B297C">
              <w:t xml:space="preserve">Interim Report A of </w:t>
            </w:r>
            <w:r>
              <w:t>the ALRC</w:t>
            </w:r>
            <w:r w:rsidRPr="004B297C">
              <w:t xml:space="preserve"> Review</w:t>
            </w:r>
            <w:r>
              <w:t xml:space="preserve"> (ALRC Report 137)</w:t>
            </w:r>
          </w:p>
        </w:tc>
      </w:tr>
      <w:tr w:rsidR="004B3CCC" w:rsidRPr="00020288" w14:paraId="71A7F0C0" w14:textId="77777777" w:rsidTr="00695FAD">
        <w:tc>
          <w:tcPr>
            <w:tcW w:w="3776" w:type="dxa"/>
            <w:tcBorders>
              <w:top w:val="single" w:sz="4" w:space="0" w:color="auto"/>
              <w:left w:val="single" w:sz="4" w:space="0" w:color="auto"/>
              <w:bottom w:val="single" w:sz="4" w:space="0" w:color="auto"/>
              <w:right w:val="single" w:sz="4" w:space="0" w:color="auto"/>
            </w:tcBorders>
          </w:tcPr>
          <w:p w14:paraId="7D1EFF62" w14:textId="58137C4A" w:rsidR="004B3CCC" w:rsidRDefault="004B3CCC" w:rsidP="00054268">
            <w:pPr>
              <w:pStyle w:val="Normalparatextnonumbers"/>
            </w:pPr>
            <w:r>
              <w:t>Interim Report B</w:t>
            </w:r>
          </w:p>
        </w:tc>
        <w:tc>
          <w:tcPr>
            <w:tcW w:w="3874" w:type="dxa"/>
            <w:tcBorders>
              <w:top w:val="single" w:sz="4" w:space="0" w:color="auto"/>
              <w:left w:val="single" w:sz="4" w:space="0" w:color="auto"/>
              <w:bottom w:val="single" w:sz="4" w:space="0" w:color="auto"/>
              <w:right w:val="single" w:sz="4" w:space="0" w:color="auto"/>
            </w:tcBorders>
          </w:tcPr>
          <w:p w14:paraId="29385880" w14:textId="09E6BB32" w:rsidR="004B3CCC" w:rsidRPr="004B297C" w:rsidRDefault="004B3CCC" w:rsidP="00054268">
            <w:pPr>
              <w:pStyle w:val="Normalparatextnonumbers"/>
            </w:pPr>
            <w:r>
              <w:t>Interim Report B of the ALRC Review (ALRC Report 139)</w:t>
            </w:r>
          </w:p>
        </w:tc>
      </w:tr>
      <w:tr w:rsidR="00695FAD" w:rsidRPr="00FF40D7" w14:paraId="13EB1076" w14:textId="77777777" w:rsidTr="00695FAD">
        <w:tc>
          <w:tcPr>
            <w:tcW w:w="3776" w:type="dxa"/>
            <w:tcBorders>
              <w:top w:val="single" w:sz="4" w:space="0" w:color="auto"/>
              <w:left w:val="single" w:sz="4" w:space="0" w:color="auto"/>
              <w:bottom w:val="single" w:sz="4" w:space="0" w:color="auto"/>
              <w:right w:val="single" w:sz="4" w:space="0" w:color="auto"/>
            </w:tcBorders>
          </w:tcPr>
          <w:p w14:paraId="2CA16378" w14:textId="77777777" w:rsidR="00695FAD" w:rsidRDefault="00695FAD" w:rsidP="00054268">
            <w:pPr>
              <w:pStyle w:val="Normalparatextnonumbers"/>
            </w:pPr>
            <w:r>
              <w:lastRenderedPageBreak/>
              <w:t>SIS Act</w:t>
            </w:r>
          </w:p>
        </w:tc>
        <w:tc>
          <w:tcPr>
            <w:tcW w:w="3874" w:type="dxa"/>
            <w:tcBorders>
              <w:top w:val="single" w:sz="4" w:space="0" w:color="auto"/>
              <w:left w:val="single" w:sz="4" w:space="0" w:color="auto"/>
              <w:bottom w:val="single" w:sz="4" w:space="0" w:color="auto"/>
              <w:right w:val="single" w:sz="4" w:space="0" w:color="auto"/>
            </w:tcBorders>
          </w:tcPr>
          <w:p w14:paraId="4671B9A0" w14:textId="77777777" w:rsidR="00695FAD" w:rsidRPr="00797A8A" w:rsidRDefault="00695FAD" w:rsidP="00054268">
            <w:pPr>
              <w:pStyle w:val="Normalparatextnonumbers"/>
              <w:rPr>
                <w:i/>
              </w:rPr>
            </w:pPr>
            <w:r w:rsidRPr="00797A8A">
              <w:rPr>
                <w:i/>
              </w:rPr>
              <w:t xml:space="preserve">Superannuation Industry (Supervision) Act 1993 </w:t>
            </w:r>
          </w:p>
        </w:tc>
      </w:tr>
    </w:tbl>
    <w:p w14:paraId="0743903C" w14:textId="77777777" w:rsidR="00873094" w:rsidRPr="00020288" w:rsidRDefault="00873094" w:rsidP="00873094"/>
    <w:p w14:paraId="1D31445C" w14:textId="77777777" w:rsidR="00873094" w:rsidRPr="00020288" w:rsidRDefault="00873094" w:rsidP="00873094"/>
    <w:p w14:paraId="06184BE0" w14:textId="77777777" w:rsidR="00873094" w:rsidRPr="00020288" w:rsidRDefault="00873094" w:rsidP="00873094">
      <w:pPr>
        <w:pStyle w:val="Heading1"/>
        <w:sectPr w:rsidR="00873094" w:rsidRPr="00020288" w:rsidSect="00000BFC">
          <w:headerReference w:type="even" r:id="rId21"/>
          <w:headerReference w:type="default" r:id="rId22"/>
          <w:headerReference w:type="first" r:id="rId23"/>
          <w:footerReference w:type="first" r:id="rId24"/>
          <w:type w:val="oddPage"/>
          <w:pgSz w:w="9979" w:h="14175" w:code="9"/>
          <w:pgMar w:top="567" w:right="1134" w:bottom="567" w:left="1134" w:header="709" w:footer="709" w:gutter="0"/>
          <w:pgNumType w:fmt="lowerRoman"/>
          <w:cols w:space="708"/>
          <w:docGrid w:linePitch="360"/>
        </w:sectPr>
      </w:pPr>
      <w:bookmarkStart w:id="29" w:name="_Toc78548464"/>
      <w:bookmarkStart w:id="30" w:name="_Toc78549735"/>
      <w:bookmarkStart w:id="31" w:name="_Toc78549780"/>
      <w:bookmarkStart w:id="32" w:name="_Toc80097484"/>
      <w:bookmarkStart w:id="33" w:name="_Toc80097778"/>
      <w:bookmarkStart w:id="34" w:name="_Toc80115277"/>
      <w:bookmarkStart w:id="35" w:name="_Toc80172452"/>
      <w:bookmarkStart w:id="36" w:name="_Toc80197116"/>
      <w:bookmarkStart w:id="37" w:name="_Toc81852683"/>
      <w:bookmarkStart w:id="38" w:name="_Toc81852728"/>
    </w:p>
    <w:p w14:paraId="1CE6CD4D" w14:textId="22867F2A" w:rsidR="00695FAD" w:rsidRPr="0073326A" w:rsidRDefault="00695FAD" w:rsidP="00695FAD">
      <w:pPr>
        <w:pStyle w:val="Chapterheading"/>
      </w:pPr>
      <w:bookmarkStart w:id="39" w:name="GeneralOutline"/>
      <w:bookmarkStart w:id="40" w:name="_Toc109843400"/>
      <w:bookmarkStart w:id="41" w:name="_Toc119482431"/>
      <w:bookmarkStart w:id="42" w:name="_Hlk83390738"/>
      <w:bookmarkStart w:id="43" w:name="_Toc78193246"/>
      <w:bookmarkStart w:id="44" w:name="_Toc78193403"/>
      <w:bookmarkStart w:id="45" w:name="_Toc78548476"/>
      <w:bookmarkStart w:id="46" w:name="_Toc78549747"/>
      <w:bookmarkStart w:id="47" w:name="_Toc78549791"/>
      <w:bookmarkEnd w:id="25"/>
      <w:bookmarkEnd w:id="26"/>
      <w:bookmarkEnd w:id="27"/>
      <w:bookmarkEnd w:id="29"/>
      <w:bookmarkEnd w:id="30"/>
      <w:bookmarkEnd w:id="31"/>
      <w:bookmarkEnd w:id="32"/>
      <w:bookmarkEnd w:id="33"/>
      <w:bookmarkEnd w:id="34"/>
      <w:bookmarkEnd w:id="35"/>
      <w:bookmarkEnd w:id="36"/>
      <w:bookmarkEnd w:id="37"/>
      <w:bookmarkEnd w:id="38"/>
      <w:bookmarkEnd w:id="39"/>
      <w:r>
        <w:lastRenderedPageBreak/>
        <w:t>Interim Report Recommendations</w:t>
      </w:r>
      <w:bookmarkEnd w:id="40"/>
      <w:bookmarkEnd w:id="41"/>
    </w:p>
    <w:p w14:paraId="5D5ED1DF" w14:textId="77777777" w:rsidR="00695FAD" w:rsidRDefault="00695FAD" w:rsidP="00695FAD">
      <w:bookmarkStart w:id="48" w:name="Chapter1"/>
      <w:r>
        <w:rPr>
          <w:rFonts w:ascii="Helvitica" w:hAnsi="Helvitica"/>
          <w:sz w:val="40"/>
        </w:rPr>
        <w:t xml:space="preserve">Table of Contents: </w:t>
      </w:r>
    </w:p>
    <w:p w14:paraId="3E93C476" w14:textId="2E9C0F83" w:rsidR="00705E94" w:rsidRDefault="00695FAD">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705E94">
        <w:t>Outline of chapter</w:t>
      </w:r>
      <w:r w:rsidR="00705E94">
        <w:rPr>
          <w:webHidden/>
        </w:rPr>
        <w:tab/>
      </w:r>
      <w:r w:rsidR="00705E94">
        <w:rPr>
          <w:webHidden/>
        </w:rPr>
        <w:fldChar w:fldCharType="begin"/>
      </w:r>
      <w:r w:rsidR="00705E94">
        <w:rPr>
          <w:webHidden/>
        </w:rPr>
        <w:instrText xml:space="preserve"> PAGEREF _Toc119482434 \h </w:instrText>
      </w:r>
      <w:r w:rsidR="00705E94">
        <w:rPr>
          <w:webHidden/>
        </w:rPr>
      </w:r>
      <w:r w:rsidR="00705E94">
        <w:rPr>
          <w:webHidden/>
        </w:rPr>
        <w:fldChar w:fldCharType="separate"/>
      </w:r>
      <w:r w:rsidR="006B5F85">
        <w:rPr>
          <w:webHidden/>
        </w:rPr>
        <w:t>5</w:t>
      </w:r>
      <w:r w:rsidR="00705E94">
        <w:rPr>
          <w:webHidden/>
        </w:rPr>
        <w:fldChar w:fldCharType="end"/>
      </w:r>
    </w:p>
    <w:p w14:paraId="45E4A8ED" w14:textId="4825CAE0" w:rsidR="00705E94" w:rsidRDefault="00705E94">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_Toc119482435 \h </w:instrText>
      </w:r>
      <w:r>
        <w:rPr>
          <w:webHidden/>
        </w:rPr>
      </w:r>
      <w:r>
        <w:rPr>
          <w:webHidden/>
        </w:rPr>
        <w:fldChar w:fldCharType="separate"/>
      </w:r>
      <w:r w:rsidR="006B5F85">
        <w:rPr>
          <w:webHidden/>
        </w:rPr>
        <w:t>5</w:t>
      </w:r>
      <w:r>
        <w:rPr>
          <w:webHidden/>
        </w:rPr>
        <w:fldChar w:fldCharType="end"/>
      </w:r>
    </w:p>
    <w:p w14:paraId="70315F91" w14:textId="20A74865" w:rsidR="00705E94" w:rsidRDefault="00705E94">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_Toc119482436 \h </w:instrText>
      </w:r>
      <w:r>
        <w:rPr>
          <w:webHidden/>
        </w:rPr>
      </w:r>
      <w:r>
        <w:rPr>
          <w:webHidden/>
        </w:rPr>
        <w:fldChar w:fldCharType="separate"/>
      </w:r>
      <w:r w:rsidR="006B5F85">
        <w:rPr>
          <w:webHidden/>
        </w:rPr>
        <w:t>6</w:t>
      </w:r>
      <w:r>
        <w:rPr>
          <w:webHidden/>
        </w:rPr>
        <w:fldChar w:fldCharType="end"/>
      </w:r>
    </w:p>
    <w:p w14:paraId="312C24DA" w14:textId="75E5D614" w:rsidR="00705E94" w:rsidRDefault="00705E94">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_Toc119482437 \h </w:instrText>
      </w:r>
      <w:r>
        <w:rPr>
          <w:webHidden/>
        </w:rPr>
      </w:r>
      <w:r>
        <w:rPr>
          <w:webHidden/>
        </w:rPr>
        <w:fldChar w:fldCharType="separate"/>
      </w:r>
      <w:r w:rsidR="006B5F85">
        <w:rPr>
          <w:webHidden/>
        </w:rPr>
        <w:t>7</w:t>
      </w:r>
      <w:r>
        <w:rPr>
          <w:webHidden/>
        </w:rPr>
        <w:fldChar w:fldCharType="end"/>
      </w:r>
    </w:p>
    <w:p w14:paraId="058E9DAF" w14:textId="3710DAD0" w:rsidR="00705E94" w:rsidRDefault="00705E94">
      <w:pPr>
        <w:pStyle w:val="TOC3"/>
        <w:rPr>
          <w:rFonts w:asciiTheme="minorHAnsi" w:eastAsiaTheme="minorEastAsia" w:hAnsiTheme="minorHAnsi" w:cstheme="minorBidi"/>
          <w:iCs w:val="0"/>
          <w:noProof/>
          <w:sz w:val="22"/>
          <w:szCs w:val="22"/>
          <w:lang w:eastAsia="en-AU"/>
        </w:rPr>
      </w:pPr>
      <w:r>
        <w:rPr>
          <w:noProof/>
        </w:rPr>
        <w:t>Unfreezing the AIA</w:t>
      </w:r>
      <w:r>
        <w:rPr>
          <w:noProof/>
          <w:webHidden/>
        </w:rPr>
        <w:tab/>
      </w:r>
      <w:r>
        <w:rPr>
          <w:noProof/>
          <w:webHidden/>
        </w:rPr>
        <w:fldChar w:fldCharType="begin"/>
      </w:r>
      <w:r>
        <w:rPr>
          <w:noProof/>
          <w:webHidden/>
        </w:rPr>
        <w:instrText xml:space="preserve"> PAGEREF _Toc119482438 \h </w:instrText>
      </w:r>
      <w:r>
        <w:rPr>
          <w:noProof/>
          <w:webHidden/>
        </w:rPr>
      </w:r>
      <w:r>
        <w:rPr>
          <w:noProof/>
          <w:webHidden/>
        </w:rPr>
        <w:fldChar w:fldCharType="separate"/>
      </w:r>
      <w:r w:rsidR="006B5F85">
        <w:rPr>
          <w:noProof/>
          <w:webHidden/>
        </w:rPr>
        <w:t>8</w:t>
      </w:r>
      <w:r>
        <w:rPr>
          <w:noProof/>
          <w:webHidden/>
        </w:rPr>
        <w:fldChar w:fldCharType="end"/>
      </w:r>
    </w:p>
    <w:p w14:paraId="4B43F7EC" w14:textId="52EEBFA7" w:rsidR="00705E94" w:rsidRDefault="00705E94">
      <w:pPr>
        <w:pStyle w:val="TOC3"/>
        <w:rPr>
          <w:rFonts w:asciiTheme="minorHAnsi" w:eastAsiaTheme="minorEastAsia" w:hAnsiTheme="minorHAnsi" w:cstheme="minorBidi"/>
          <w:iCs w:val="0"/>
          <w:noProof/>
          <w:sz w:val="22"/>
          <w:szCs w:val="22"/>
          <w:lang w:eastAsia="en-AU"/>
        </w:rPr>
      </w:pPr>
      <w:r>
        <w:rPr>
          <w:noProof/>
        </w:rPr>
        <w:t>Single Glossary</w:t>
      </w:r>
      <w:r>
        <w:rPr>
          <w:noProof/>
          <w:webHidden/>
        </w:rPr>
        <w:tab/>
      </w:r>
      <w:r>
        <w:rPr>
          <w:noProof/>
          <w:webHidden/>
        </w:rPr>
        <w:fldChar w:fldCharType="begin"/>
      </w:r>
      <w:r>
        <w:rPr>
          <w:noProof/>
          <w:webHidden/>
        </w:rPr>
        <w:instrText xml:space="preserve"> PAGEREF _Toc119482439 \h </w:instrText>
      </w:r>
      <w:r>
        <w:rPr>
          <w:noProof/>
          <w:webHidden/>
        </w:rPr>
      </w:r>
      <w:r>
        <w:rPr>
          <w:noProof/>
          <w:webHidden/>
        </w:rPr>
        <w:fldChar w:fldCharType="separate"/>
      </w:r>
      <w:r w:rsidR="006B5F85">
        <w:rPr>
          <w:noProof/>
          <w:webHidden/>
        </w:rPr>
        <w:t>13</w:t>
      </w:r>
      <w:r>
        <w:rPr>
          <w:noProof/>
          <w:webHidden/>
        </w:rPr>
        <w:fldChar w:fldCharType="end"/>
      </w:r>
    </w:p>
    <w:p w14:paraId="098AFF2A" w14:textId="7BA4A0D9" w:rsidR="00705E94" w:rsidRDefault="00705E94">
      <w:pPr>
        <w:pStyle w:val="TOC3"/>
        <w:rPr>
          <w:rFonts w:asciiTheme="minorHAnsi" w:eastAsiaTheme="minorEastAsia" w:hAnsiTheme="minorHAnsi" w:cstheme="minorBidi"/>
          <w:iCs w:val="0"/>
          <w:noProof/>
          <w:sz w:val="22"/>
          <w:szCs w:val="22"/>
          <w:lang w:eastAsia="en-AU"/>
        </w:rPr>
      </w:pPr>
      <w:r>
        <w:rPr>
          <w:noProof/>
        </w:rPr>
        <w:t>Other Amendments</w:t>
      </w:r>
      <w:r>
        <w:rPr>
          <w:noProof/>
          <w:webHidden/>
        </w:rPr>
        <w:tab/>
      </w:r>
      <w:r>
        <w:rPr>
          <w:noProof/>
          <w:webHidden/>
        </w:rPr>
        <w:fldChar w:fldCharType="begin"/>
      </w:r>
      <w:r>
        <w:rPr>
          <w:noProof/>
          <w:webHidden/>
        </w:rPr>
        <w:instrText xml:space="preserve"> PAGEREF _Toc119482440 \h </w:instrText>
      </w:r>
      <w:r>
        <w:rPr>
          <w:noProof/>
          <w:webHidden/>
        </w:rPr>
      </w:r>
      <w:r>
        <w:rPr>
          <w:noProof/>
          <w:webHidden/>
        </w:rPr>
        <w:fldChar w:fldCharType="separate"/>
      </w:r>
      <w:r w:rsidR="006B5F85">
        <w:rPr>
          <w:noProof/>
          <w:webHidden/>
        </w:rPr>
        <w:t>18</w:t>
      </w:r>
      <w:r>
        <w:rPr>
          <w:noProof/>
          <w:webHidden/>
        </w:rPr>
        <w:fldChar w:fldCharType="end"/>
      </w:r>
    </w:p>
    <w:p w14:paraId="346BAD59" w14:textId="3A020417" w:rsidR="00705E94" w:rsidRDefault="00705E94">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_Toc119482441 \h </w:instrText>
      </w:r>
      <w:r>
        <w:rPr>
          <w:webHidden/>
        </w:rPr>
      </w:r>
      <w:r>
        <w:rPr>
          <w:webHidden/>
        </w:rPr>
        <w:fldChar w:fldCharType="separate"/>
      </w:r>
      <w:r w:rsidR="006B5F85">
        <w:rPr>
          <w:webHidden/>
        </w:rPr>
        <w:t>26</w:t>
      </w:r>
      <w:r>
        <w:rPr>
          <w:webHidden/>
        </w:rPr>
        <w:fldChar w:fldCharType="end"/>
      </w:r>
    </w:p>
    <w:p w14:paraId="21E606ED" w14:textId="5E6C9FDF" w:rsidR="00705E94" w:rsidRDefault="00705E94">
      <w:pPr>
        <w:pStyle w:val="TOC2"/>
        <w:rPr>
          <w:rFonts w:asciiTheme="minorHAnsi" w:eastAsiaTheme="minorEastAsia" w:hAnsiTheme="minorHAnsi"/>
          <w:sz w:val="22"/>
          <w:lang w:eastAsia="en-AU"/>
        </w:rPr>
      </w:pPr>
      <w:r>
        <w:t>Contingent amendments</w:t>
      </w:r>
      <w:r>
        <w:rPr>
          <w:webHidden/>
        </w:rPr>
        <w:tab/>
      </w:r>
      <w:r>
        <w:rPr>
          <w:webHidden/>
        </w:rPr>
        <w:fldChar w:fldCharType="begin"/>
      </w:r>
      <w:r>
        <w:rPr>
          <w:webHidden/>
        </w:rPr>
        <w:instrText xml:space="preserve"> PAGEREF _Toc119482442 \h </w:instrText>
      </w:r>
      <w:r>
        <w:rPr>
          <w:webHidden/>
        </w:rPr>
      </w:r>
      <w:r>
        <w:rPr>
          <w:webHidden/>
        </w:rPr>
        <w:fldChar w:fldCharType="separate"/>
      </w:r>
      <w:r w:rsidR="006B5F85">
        <w:rPr>
          <w:webHidden/>
        </w:rPr>
        <w:t>27</w:t>
      </w:r>
      <w:r>
        <w:rPr>
          <w:webHidden/>
        </w:rPr>
        <w:fldChar w:fldCharType="end"/>
      </w:r>
    </w:p>
    <w:p w14:paraId="0E2108D5" w14:textId="7D712A0B" w:rsidR="00695FAD" w:rsidRPr="00020288" w:rsidRDefault="00695FAD" w:rsidP="00695FAD">
      <w:r>
        <w:fldChar w:fldCharType="end"/>
      </w:r>
    </w:p>
    <w:p w14:paraId="245C8941" w14:textId="77777777" w:rsidR="00695FAD" w:rsidRPr="00020288" w:rsidRDefault="00695FAD" w:rsidP="00695FAD">
      <w:pPr>
        <w:pStyle w:val="Heading2"/>
      </w:pPr>
      <w:bookmarkStart w:id="49" w:name="_Toc119482434"/>
      <w:r w:rsidRPr="00020288">
        <w:t xml:space="preserve">Outline </w:t>
      </w:r>
      <w:r w:rsidRPr="005D0844">
        <w:t>of</w:t>
      </w:r>
      <w:r w:rsidRPr="00020288">
        <w:t xml:space="preserve"> chapter</w:t>
      </w:r>
      <w:bookmarkEnd w:id="49"/>
    </w:p>
    <w:p w14:paraId="0D0A4D18" w14:textId="77777777" w:rsidR="00695FAD" w:rsidRPr="000E521B" w:rsidRDefault="00695FAD" w:rsidP="00695FAD">
      <w:pPr>
        <w:pStyle w:val="Normalparatextwithnumbers"/>
        <w:rPr>
          <w:noProof/>
        </w:rPr>
      </w:pPr>
      <w:r>
        <w:t xml:space="preserve">This chapter outlines how </w:t>
      </w:r>
      <w:r w:rsidRPr="00726D17">
        <w:t>Schedule 1</w:t>
      </w:r>
      <w:r>
        <w:t xml:space="preserve"> to the Bill simplifies and improves the navigability of Australia’s corporations and financial services laws.</w:t>
      </w:r>
      <w:r>
        <w:rPr>
          <w:noProof/>
        </w:rPr>
        <w:t xml:space="preserve"> </w:t>
      </w:r>
    </w:p>
    <w:p w14:paraId="5F3C5A53" w14:textId="77777777" w:rsidR="00695FAD" w:rsidRPr="00020288" w:rsidRDefault="00695FAD" w:rsidP="00695FAD">
      <w:pPr>
        <w:pStyle w:val="Heading2"/>
      </w:pPr>
      <w:bookmarkStart w:id="50" w:name="_Toc119482435"/>
      <w:r w:rsidRPr="00020288">
        <w:t xml:space="preserve">Context of </w:t>
      </w:r>
      <w:r w:rsidRPr="005D0844">
        <w:t>amendments</w:t>
      </w:r>
      <w:bookmarkEnd w:id="50"/>
    </w:p>
    <w:p w14:paraId="2961FC5E" w14:textId="1C71C1FB" w:rsidR="00695FAD" w:rsidRDefault="00695FAD" w:rsidP="00695FAD">
      <w:pPr>
        <w:pStyle w:val="Normalparatextwithnumbers"/>
        <w:numPr>
          <w:ilvl w:val="1"/>
          <w:numId w:val="23"/>
        </w:numPr>
      </w:pPr>
      <w:r w:rsidDel="00FD3ED7">
        <w:t xml:space="preserve">In September 2020, </w:t>
      </w:r>
      <w:r>
        <w:t>the then Attorney-General asked the ALRC to inquire into the potential simplification of laws regulating Australian financial services</w:t>
      </w:r>
      <w:r w:rsidR="002E37CC">
        <w:t xml:space="preserve"> as part of the Government’s response to </w:t>
      </w:r>
      <w:r>
        <w:t xml:space="preserve">the 2019 Royal Commission into Misconduct in the Banking, Superannuation and Financial Services Industry (the Hayne Royal Commission). </w:t>
      </w:r>
    </w:p>
    <w:p w14:paraId="7CCC1D1F" w14:textId="5441DA1F" w:rsidR="0069350D" w:rsidRDefault="0069350D" w:rsidP="00695FAD">
      <w:pPr>
        <w:pStyle w:val="Normalparatextwithnumbers"/>
        <w:numPr>
          <w:ilvl w:val="1"/>
          <w:numId w:val="23"/>
        </w:numPr>
      </w:pPr>
      <w:r>
        <w:t>T</w:t>
      </w:r>
      <w:r w:rsidR="00695FAD" w:rsidRPr="00D17E77">
        <w:t xml:space="preserve">he ALRC found </w:t>
      </w:r>
      <w:r w:rsidR="00726D17" w:rsidRPr="00726D17">
        <w:t xml:space="preserve">that </w:t>
      </w:r>
      <w:r w:rsidR="00695FAD" w:rsidRPr="00D17E77">
        <w:t xml:space="preserve">the law is challenging to navigate and complex for individuals and businesses </w:t>
      </w:r>
      <w:r w:rsidR="00695FAD">
        <w:t>and that it needs to be simplified to ensure its intent is met</w:t>
      </w:r>
      <w:r w:rsidR="00695FAD" w:rsidRPr="00D65B9C">
        <w:rPr>
          <w:noProof/>
        </w:rPr>
        <w:t xml:space="preserve">. </w:t>
      </w:r>
    </w:p>
    <w:p w14:paraId="2F1B704D" w14:textId="304A1F32" w:rsidR="00695FAD" w:rsidRDefault="0069350D" w:rsidP="00695FAD">
      <w:pPr>
        <w:pStyle w:val="Normalparatextwithnumbers"/>
        <w:numPr>
          <w:ilvl w:val="1"/>
          <w:numId w:val="23"/>
        </w:numPr>
      </w:pPr>
      <w:r>
        <w:t xml:space="preserve">The ALRC’s Interim Report A focused on the use of definitions. </w:t>
      </w:r>
      <w:r w:rsidR="006F6395">
        <w:t xml:space="preserve">It found that complexity could be reduced by </w:t>
      </w:r>
      <w:r w:rsidR="002D77E7">
        <w:t xml:space="preserve">only </w:t>
      </w:r>
      <w:r w:rsidR="00C10168">
        <w:t>using</w:t>
      </w:r>
      <w:r w:rsidR="002D77E7">
        <w:t xml:space="preserve"> defined terms where this reduces repetition and enhances readability,</w:t>
      </w:r>
      <w:r w:rsidR="00D316AD">
        <w:t xml:space="preserve"> improving</w:t>
      </w:r>
      <w:r w:rsidR="006F6395">
        <w:t xml:space="preserve"> the </w:t>
      </w:r>
      <w:r w:rsidR="00D316AD">
        <w:t>design</w:t>
      </w:r>
      <w:r w:rsidR="006F6395">
        <w:t xml:space="preserve"> of definitions</w:t>
      </w:r>
      <w:r w:rsidR="00D316AD">
        <w:t xml:space="preserve"> and using defined terms consistently throughout the </w:t>
      </w:r>
      <w:proofErr w:type="gramStart"/>
      <w:r w:rsidR="00D316AD">
        <w:t>corporations</w:t>
      </w:r>
      <w:proofErr w:type="gramEnd"/>
      <w:r w:rsidR="00D316AD">
        <w:t xml:space="preserve"> law.</w:t>
      </w:r>
      <w:r w:rsidR="006F6395">
        <w:t xml:space="preserve"> </w:t>
      </w:r>
      <w:r w:rsidR="00695FAD">
        <w:t>T</w:t>
      </w:r>
      <w:r w:rsidR="00695FAD" w:rsidRPr="00D17E77">
        <w:t>he ALRC</w:t>
      </w:r>
      <w:r w:rsidR="00695FAD">
        <w:t xml:space="preserve"> </w:t>
      </w:r>
      <w:r w:rsidR="00695FAD">
        <w:lastRenderedPageBreak/>
        <w:t xml:space="preserve">made </w:t>
      </w:r>
      <w:r w:rsidR="00695FAD" w:rsidRPr="00F2508D">
        <w:t>13</w:t>
      </w:r>
      <w:r w:rsidR="00695FAD">
        <w:t xml:space="preserve"> recommendations</w:t>
      </w:r>
      <w:r>
        <w:t xml:space="preserve">, </w:t>
      </w:r>
      <w:r w:rsidR="00D631A9">
        <w:t>along with 24</w:t>
      </w:r>
      <w:r>
        <w:t xml:space="preserve"> proposals and questions for further consideration.</w:t>
      </w:r>
    </w:p>
    <w:p w14:paraId="4AAFFEC2" w14:textId="5E917D67" w:rsidR="00695FAD" w:rsidRDefault="00695FAD" w:rsidP="00695FAD">
      <w:pPr>
        <w:pStyle w:val="Normalparatextwithnumbers"/>
        <w:numPr>
          <w:ilvl w:val="1"/>
          <w:numId w:val="23"/>
        </w:numPr>
      </w:pPr>
      <w:r>
        <w:t>In Interim Report B, the ALRC focussed on design choices relevant to determining where material is located in the legislative hierarchy</w:t>
      </w:r>
      <w:r w:rsidR="004B3CCC">
        <w:t xml:space="preserve">. </w:t>
      </w:r>
      <w:r>
        <w:t xml:space="preserve"> </w:t>
      </w:r>
      <w:r w:rsidR="00D631A9">
        <w:t>It found</w:t>
      </w:r>
      <w:r>
        <w:t xml:space="preserve"> that the particular design choices made in relation to the Corporations Act are a significant source of complexity. The ALRC made a further six recommendations, largely centred around opportunities for technical simplification, </w:t>
      </w:r>
      <w:r w:rsidR="00D631A9">
        <w:t>and raised 18 proposals for further consideration</w:t>
      </w:r>
      <w:r>
        <w:t xml:space="preserve">. </w:t>
      </w:r>
    </w:p>
    <w:p w14:paraId="5CCD2893" w14:textId="67267BBA" w:rsidR="00695FAD" w:rsidRDefault="00695FAD" w:rsidP="00695FAD">
      <w:pPr>
        <w:pStyle w:val="Normalparatextwithnumbers"/>
        <w:numPr>
          <w:ilvl w:val="1"/>
          <w:numId w:val="23"/>
        </w:numPr>
      </w:pPr>
      <w:r>
        <w:t>In November 2022, the Government intro</w:t>
      </w:r>
      <w:r w:rsidRPr="00F2508D">
        <w:t xml:space="preserve">duced the </w:t>
      </w:r>
      <w:r w:rsidRPr="00F2508D">
        <w:rPr>
          <w:noProof/>
        </w:rPr>
        <w:t>Treasury Laws Amendment (Modernising Business Communications</w:t>
      </w:r>
      <w:r w:rsidR="0069350D">
        <w:rPr>
          <w:noProof/>
        </w:rPr>
        <w:t xml:space="preserve"> and Other Measures</w:t>
      </w:r>
      <w:r w:rsidRPr="00F2508D">
        <w:rPr>
          <w:noProof/>
        </w:rPr>
        <w:t>) Bill</w:t>
      </w:r>
      <w:r>
        <w:rPr>
          <w:noProof/>
        </w:rPr>
        <w:t xml:space="preserve"> </w:t>
      </w:r>
      <w:r w:rsidRPr="00527C8D">
        <w:t>2022</w:t>
      </w:r>
      <w:r w:rsidRPr="00F2508D">
        <w:rPr>
          <w:noProof/>
        </w:rPr>
        <w:t xml:space="preserve">, </w:t>
      </w:r>
      <w:r>
        <w:rPr>
          <w:noProof/>
        </w:rPr>
        <w:t xml:space="preserve">which </w:t>
      </w:r>
      <w:r w:rsidRPr="00F2508D">
        <w:rPr>
          <w:noProof/>
        </w:rPr>
        <w:t>c</w:t>
      </w:r>
      <w:r>
        <w:rPr>
          <w:noProof/>
        </w:rPr>
        <w:t>ontained a first tranche of amendments to implement recommendations from Interim Report A and other easily implementable opporutnities to improve the law.</w:t>
      </w:r>
    </w:p>
    <w:p w14:paraId="459A6FE9" w14:textId="77777777" w:rsidR="00695FAD" w:rsidRDefault="00695FAD" w:rsidP="00695FAD">
      <w:pPr>
        <w:pStyle w:val="Normalparatextwithnumbers"/>
        <w:numPr>
          <w:ilvl w:val="1"/>
          <w:numId w:val="23"/>
        </w:numPr>
      </w:pPr>
      <w:r>
        <w:t xml:space="preserve">This Bill implements a further two recommendations from Interim Report A and partially implements three recommendations from Interim Report B. </w:t>
      </w:r>
    </w:p>
    <w:p w14:paraId="50C415AF" w14:textId="4B9E8F09" w:rsidR="00695FAD" w:rsidRDefault="00695FAD" w:rsidP="00695FAD">
      <w:pPr>
        <w:pStyle w:val="Normalparatextwithnumbers"/>
        <w:numPr>
          <w:ilvl w:val="1"/>
          <w:numId w:val="23"/>
        </w:numPr>
      </w:pPr>
      <w:r>
        <w:rPr>
          <w:noProof/>
        </w:rPr>
        <w:t>The Interim Reports’ r</w:t>
      </w:r>
      <w:r w:rsidRPr="00B83E36">
        <w:rPr>
          <w:noProof/>
        </w:rPr>
        <w:t>ecommendations, as opposed to</w:t>
      </w:r>
      <w:r>
        <w:rPr>
          <w:noProof/>
        </w:rPr>
        <w:t xml:space="preserve"> their</w:t>
      </w:r>
      <w:r w:rsidRPr="00B83E36">
        <w:rPr>
          <w:noProof/>
        </w:rPr>
        <w:t xml:space="preserve"> proposals and questions, were designed for immediate implementation</w:t>
      </w:r>
      <w:r>
        <w:rPr>
          <w:noProof/>
        </w:rPr>
        <w:t xml:space="preserve">. They </w:t>
      </w:r>
      <w:r w:rsidRPr="00B83E36">
        <w:rPr>
          <w:noProof/>
        </w:rPr>
        <w:t xml:space="preserve">address technical aspects of the legislation, do not raise significant policy issues and </w:t>
      </w:r>
      <w:r w:rsidR="00C37E23">
        <w:rPr>
          <w:noProof/>
        </w:rPr>
        <w:t xml:space="preserve">had broad </w:t>
      </w:r>
      <w:r w:rsidRPr="00B83E36">
        <w:rPr>
          <w:noProof/>
        </w:rPr>
        <w:t>support from stakeholders.</w:t>
      </w:r>
      <w:r>
        <w:rPr>
          <w:noProof/>
        </w:rPr>
        <w:t xml:space="preserve"> The Government is progressing these amendments</w:t>
      </w:r>
      <w:r w:rsidR="00C37E23">
        <w:t xml:space="preserve">as part of </w:t>
      </w:r>
      <w:r w:rsidR="00152805">
        <w:t>its ongoing commitment to practical and effective stewardship of Treasury laws</w:t>
      </w:r>
      <w:r w:rsidRPr="00726D17">
        <w:t>.</w:t>
      </w:r>
    </w:p>
    <w:p w14:paraId="0D80C4D3" w14:textId="1EA5A6FB" w:rsidR="00695FAD" w:rsidRDefault="00695FAD" w:rsidP="00695FAD">
      <w:pPr>
        <w:pStyle w:val="Normalparatextwithnumbers"/>
        <w:numPr>
          <w:ilvl w:val="1"/>
          <w:numId w:val="23"/>
        </w:numPr>
      </w:pPr>
      <w:r w:rsidRPr="00726D17">
        <w:t xml:space="preserve">The recommendations primarily address </w:t>
      </w:r>
      <w:r w:rsidR="00D316AD">
        <w:t>unnecessary</w:t>
      </w:r>
      <w:r w:rsidRPr="00726D17">
        <w:t xml:space="preserve"> complexity in the </w:t>
      </w:r>
      <w:r w:rsidR="00D316AD" w:rsidRPr="00726D17">
        <w:t xml:space="preserve">corporations and financial services </w:t>
      </w:r>
      <w:r w:rsidRPr="00726D17">
        <w:t xml:space="preserve">law. </w:t>
      </w:r>
      <w:r w:rsidR="00D316AD">
        <w:t>They</w:t>
      </w:r>
      <w:r w:rsidRPr="00726D17">
        <w:t xml:space="preserve"> unfreez</w:t>
      </w:r>
      <w:r w:rsidR="00D316AD">
        <w:t>e</w:t>
      </w:r>
      <w:r w:rsidRPr="00726D17">
        <w:t xml:space="preserve"> the AIA, creat</w:t>
      </w:r>
      <w:r w:rsidR="00D316AD">
        <w:t>e</w:t>
      </w:r>
      <w:r w:rsidRPr="00726D17">
        <w:t xml:space="preserve"> a single glossary </w:t>
      </w:r>
      <w:r w:rsidR="00D316AD">
        <w:t>of terms</w:t>
      </w:r>
      <w:r w:rsidRPr="00726D17">
        <w:t>, remov</w:t>
      </w:r>
      <w:r w:rsidR="00D316AD">
        <w:t>e</w:t>
      </w:r>
      <w:r w:rsidRPr="00726D17">
        <w:t xml:space="preserve"> redundant </w:t>
      </w:r>
      <w:proofErr w:type="gramStart"/>
      <w:r w:rsidRPr="00726D17">
        <w:t>definitions</w:t>
      </w:r>
      <w:proofErr w:type="gramEnd"/>
      <w:r w:rsidR="00D316AD">
        <w:t xml:space="preserve"> and make</w:t>
      </w:r>
      <w:r w:rsidRPr="00726D17">
        <w:t xml:space="preserve"> other simplifications</w:t>
      </w:r>
      <w:r w:rsidR="00D316AD">
        <w:t xml:space="preserve"> to </w:t>
      </w:r>
      <w:r w:rsidRPr="00726D17">
        <w:t>improves the navigability and clarity of the law.</w:t>
      </w:r>
    </w:p>
    <w:p w14:paraId="0B09E552" w14:textId="1635A73B" w:rsidR="00573807" w:rsidRDefault="00573807" w:rsidP="00573807">
      <w:pPr>
        <w:pStyle w:val="Normalparatextwithnumbers"/>
        <w:numPr>
          <w:ilvl w:val="1"/>
          <w:numId w:val="23"/>
        </w:numPr>
      </w:pPr>
      <w:r>
        <w:t xml:space="preserve">This Bill is part of an ongoing program of </w:t>
      </w:r>
      <w:r w:rsidR="00152805">
        <w:t xml:space="preserve">an ongoing </w:t>
      </w:r>
      <w:r>
        <w:t>Law Improvement Program that is designed to ensure that Treasury laws remain current and fit-for-purpose.</w:t>
      </w:r>
    </w:p>
    <w:p w14:paraId="200B9BDC" w14:textId="77777777" w:rsidR="00695FAD" w:rsidRPr="00020288" w:rsidRDefault="00695FAD" w:rsidP="00695FAD">
      <w:pPr>
        <w:pStyle w:val="Heading2"/>
      </w:pPr>
      <w:bookmarkStart w:id="51" w:name="_Toc119482436"/>
      <w:r w:rsidRPr="00AF50CE">
        <w:t>Comparison</w:t>
      </w:r>
      <w:r w:rsidRPr="00020288">
        <w:t xml:space="preserve"> of key features of new law and current law</w:t>
      </w:r>
      <w:bookmarkEnd w:id="51"/>
    </w:p>
    <w:p w14:paraId="78670C27" w14:textId="3C2EE59C" w:rsidR="00695FAD" w:rsidRPr="002D3B91" w:rsidRDefault="00695FAD" w:rsidP="00695FAD">
      <w:pPr>
        <w:pStyle w:val="TableHeading"/>
        <w:numPr>
          <w:ilvl w:val="4"/>
          <w:numId w:val="2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695FAD" w:rsidRPr="00020288" w14:paraId="5B8AEF84" w14:textId="77777777" w:rsidTr="00054268">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244A2E14" w14:textId="77777777" w:rsidR="00695FAD" w:rsidRPr="00A61FE9" w:rsidRDefault="00695FAD" w:rsidP="00054268">
            <w:pPr>
              <w:pStyle w:val="Tableheaderrowtext"/>
              <w:numPr>
                <w:ilvl w:val="3"/>
                <w:numId w:val="2"/>
              </w:numPr>
              <w:ind w:left="1701" w:hanging="1701"/>
            </w:pPr>
            <w:r w:rsidRPr="00A61FE9">
              <w:t>New law</w:t>
            </w:r>
          </w:p>
        </w:tc>
        <w:tc>
          <w:tcPr>
            <w:tcW w:w="3874" w:type="dxa"/>
          </w:tcPr>
          <w:p w14:paraId="4CD67D1F" w14:textId="77777777" w:rsidR="00695FAD" w:rsidRPr="00A61FE9" w:rsidRDefault="00695FAD" w:rsidP="00054268">
            <w:pPr>
              <w:pStyle w:val="Tableheaderrowtext"/>
              <w:numPr>
                <w:ilvl w:val="3"/>
                <w:numId w:val="2"/>
              </w:numPr>
              <w:ind w:left="1701" w:hanging="1701"/>
            </w:pPr>
            <w:r w:rsidRPr="00A61FE9">
              <w:t>Current law</w:t>
            </w:r>
          </w:p>
        </w:tc>
      </w:tr>
      <w:tr w:rsidR="00695FAD" w:rsidRPr="00020288" w14:paraId="50918B74" w14:textId="77777777" w:rsidTr="00054268">
        <w:tc>
          <w:tcPr>
            <w:tcW w:w="3776" w:type="dxa"/>
          </w:tcPr>
          <w:p w14:paraId="7C139250" w14:textId="0FD2FB2E" w:rsidR="00695FAD" w:rsidRPr="00D65B9C" w:rsidRDefault="00695FAD" w:rsidP="00054268">
            <w:pPr>
              <w:pStyle w:val="Tabletext"/>
            </w:pPr>
            <w:r w:rsidRPr="00D65B9C">
              <w:t>The AIA</w:t>
            </w:r>
            <w:r>
              <w:t>,</w:t>
            </w:r>
            <w:r w:rsidRPr="00D65B9C">
              <w:t xml:space="preserve"> </w:t>
            </w:r>
            <w:r>
              <w:t>as in force at the relevant point in time,</w:t>
            </w:r>
            <w:r w:rsidRPr="00D65B9C">
              <w:t xml:space="preserve"> applies to the ASIC Act, Corporations </w:t>
            </w:r>
            <w:r w:rsidRPr="00D65B9C">
              <w:lastRenderedPageBreak/>
              <w:t>Act and all instruments made under those Acts.</w:t>
            </w:r>
          </w:p>
        </w:tc>
        <w:tc>
          <w:tcPr>
            <w:tcW w:w="3874" w:type="dxa"/>
          </w:tcPr>
          <w:p w14:paraId="7129182E" w14:textId="55CCA1A3" w:rsidR="00695FAD" w:rsidRPr="00D65B9C" w:rsidRDefault="00E85746" w:rsidP="00054268">
            <w:pPr>
              <w:pStyle w:val="Tabletext"/>
            </w:pPr>
            <w:r>
              <w:lastRenderedPageBreak/>
              <w:t>T</w:t>
            </w:r>
            <w:r w:rsidR="00695FAD" w:rsidRPr="00726D17">
              <w:t>he</w:t>
            </w:r>
            <w:r w:rsidR="00695FAD" w:rsidRPr="004822E6">
              <w:t xml:space="preserve"> AIA</w:t>
            </w:r>
            <w:r w:rsidR="00695FAD">
              <w:t>,</w:t>
            </w:r>
            <w:r w:rsidR="00695FAD" w:rsidRPr="00A752FD">
              <w:t xml:space="preserve"> as in force on 1 January 2005,</w:t>
            </w:r>
            <w:r w:rsidR="00695FAD" w:rsidRPr="00D65B9C">
              <w:t xml:space="preserve"> applies to the ASIC Act</w:t>
            </w:r>
            <w:r w:rsidR="00695FAD">
              <w:t xml:space="preserve">, </w:t>
            </w:r>
            <w:r w:rsidR="00695FAD" w:rsidRPr="00D65B9C">
              <w:t xml:space="preserve">Corporations Act </w:t>
            </w:r>
            <w:r w:rsidR="00695FAD">
              <w:lastRenderedPageBreak/>
              <w:t>and certain legislative instruments made under those Acts</w:t>
            </w:r>
            <w:r w:rsidR="00695FAD" w:rsidRPr="00D65B9C">
              <w:t>.</w:t>
            </w:r>
          </w:p>
        </w:tc>
      </w:tr>
      <w:tr w:rsidR="009E225F" w:rsidRPr="00726D17" w14:paraId="2323D544" w14:textId="77777777" w:rsidTr="00054268">
        <w:tc>
          <w:tcPr>
            <w:tcW w:w="3776" w:type="dxa"/>
          </w:tcPr>
          <w:p w14:paraId="532D9C10" w14:textId="1693524A" w:rsidR="00470BCF" w:rsidRDefault="009E225F" w:rsidP="00054268">
            <w:pPr>
              <w:pStyle w:val="Tabletext"/>
            </w:pPr>
            <w:r>
              <w:lastRenderedPageBreak/>
              <w:t>The Corporation</w:t>
            </w:r>
            <w:r w:rsidR="00260C8D">
              <w:t>s</w:t>
            </w:r>
            <w:r>
              <w:t xml:space="preserve"> Act </w:t>
            </w:r>
            <w:r w:rsidR="005966DE">
              <w:t>contains all rules relevant to the</w:t>
            </w:r>
            <w:r w:rsidR="00260C8D">
              <w:t xml:space="preserve"> calculation of time</w:t>
            </w:r>
            <w:r w:rsidR="00470BCF">
              <w:t xml:space="preserve">. </w:t>
            </w:r>
          </w:p>
          <w:p w14:paraId="544FC120" w14:textId="2E9FA4C6" w:rsidR="009E225F" w:rsidRPr="00726D17" w:rsidRDefault="00470BCF" w:rsidP="00054268">
            <w:pPr>
              <w:pStyle w:val="Tabletext"/>
            </w:pPr>
            <w:r>
              <w:t>These rules state that the first day is counted when calculating the number of days before or after another day, but periods of time otherwise exclude the first day of the period.</w:t>
            </w:r>
          </w:p>
        </w:tc>
        <w:tc>
          <w:tcPr>
            <w:tcW w:w="3874" w:type="dxa"/>
          </w:tcPr>
          <w:p w14:paraId="1B564371" w14:textId="77777777" w:rsidR="00470BCF" w:rsidRDefault="00CC47E1" w:rsidP="00D802D7">
            <w:pPr>
              <w:pStyle w:val="Tabletext"/>
            </w:pPr>
            <w:r>
              <w:t xml:space="preserve">The corporations law applies bespoke rules for reckoning time which apply in addition to the rules in the frozen AIA. </w:t>
            </w:r>
          </w:p>
          <w:p w14:paraId="4679B318" w14:textId="0864BA93" w:rsidR="00CC47E1" w:rsidRDefault="00CC47E1" w:rsidP="00D802D7">
            <w:pPr>
              <w:pStyle w:val="Tabletext"/>
            </w:pPr>
            <w:r>
              <w:t>These rules state that the first day is counted when calculating the number of days before or after another day</w:t>
            </w:r>
            <w:r w:rsidR="00470BCF">
              <w:t>, but periods of time otherwise exclude the first day of the period</w:t>
            </w:r>
            <w:r>
              <w:t>.</w:t>
            </w:r>
          </w:p>
          <w:p w14:paraId="12B0C936" w14:textId="6EFFF9F8" w:rsidR="00F16E3A" w:rsidRDefault="00CC47E1" w:rsidP="00470BCF">
            <w:pPr>
              <w:pStyle w:val="Tabletext"/>
              <w:ind w:left="0"/>
            </w:pPr>
            <w:r>
              <w:t xml:space="preserve">  </w:t>
            </w:r>
          </w:p>
        </w:tc>
      </w:tr>
      <w:tr w:rsidR="00695FAD" w:rsidRPr="00020288" w14:paraId="689DBD66" w14:textId="77777777" w:rsidTr="00054268">
        <w:tc>
          <w:tcPr>
            <w:tcW w:w="3776" w:type="dxa"/>
          </w:tcPr>
          <w:p w14:paraId="0E9F39DD" w14:textId="2F233628" w:rsidR="00695FAD" w:rsidRDefault="00695FAD" w:rsidP="00054268">
            <w:pPr>
              <w:pStyle w:val="Tabletext"/>
            </w:pPr>
            <w:r>
              <w:t>Section 9 of the Corporations Act contains a single glossary for all defined terms used in the Corporations Act</w:t>
            </w:r>
            <w:r w:rsidR="00DC2C6D">
              <w:t xml:space="preserve"> (apart from the Schedules to the Act</w:t>
            </w:r>
            <w:r w:rsidR="004323CA">
              <w:t>,</w:t>
            </w:r>
            <w:r w:rsidR="00DC2C6D">
              <w:t xml:space="preserve"> the transitional </w:t>
            </w:r>
            <w:proofErr w:type="gramStart"/>
            <w:r w:rsidR="00DC2C6D">
              <w:t>provisions</w:t>
            </w:r>
            <w:proofErr w:type="gramEnd"/>
            <w:r w:rsidR="004323CA">
              <w:t xml:space="preserve"> and just-in-time definitions</w:t>
            </w:r>
            <w:r w:rsidR="00DC2C6D">
              <w:t>)</w:t>
            </w:r>
            <w:r>
              <w:t>.</w:t>
            </w:r>
          </w:p>
          <w:p w14:paraId="7DD1EAE8" w14:textId="2DFDCAB9" w:rsidR="00695FAD" w:rsidRDefault="00DC2C6D" w:rsidP="00054268">
            <w:pPr>
              <w:pStyle w:val="Tabletext"/>
            </w:pPr>
            <w:r>
              <w:t>The glossary either contains the definition of the term, or if the definition is long and complex, signposts to the relevant section that contains the definition</w:t>
            </w:r>
            <w:r w:rsidR="00695FAD">
              <w:t>.</w:t>
            </w:r>
          </w:p>
        </w:tc>
        <w:tc>
          <w:tcPr>
            <w:tcW w:w="3874" w:type="dxa"/>
          </w:tcPr>
          <w:p w14:paraId="792DAEF4" w14:textId="0E72A3F0" w:rsidR="00695FAD" w:rsidRPr="00D65B9C" w:rsidRDefault="00695FAD" w:rsidP="00054268">
            <w:pPr>
              <w:pStyle w:val="Tabletext"/>
            </w:pPr>
            <w:r>
              <w:t>There is no single location for all defined terms in the Corporations Act. Definitions are scattered throughout the Corporations Act</w:t>
            </w:r>
            <w:r w:rsidR="007778CC">
              <w:t xml:space="preserve"> and there are multiple</w:t>
            </w:r>
            <w:r>
              <w:t xml:space="preserve"> dictionary sections. </w:t>
            </w:r>
          </w:p>
        </w:tc>
      </w:tr>
      <w:tr w:rsidR="00695FAD" w:rsidRPr="00020288" w14:paraId="37386287" w14:textId="77777777" w:rsidTr="00054268">
        <w:tc>
          <w:tcPr>
            <w:tcW w:w="3776" w:type="dxa"/>
          </w:tcPr>
          <w:p w14:paraId="4205E61D" w14:textId="3B1AA140" w:rsidR="00695FAD" w:rsidRPr="00D65B9C" w:rsidRDefault="00695FAD" w:rsidP="00054268">
            <w:pPr>
              <w:pStyle w:val="Tabletext"/>
            </w:pPr>
            <w:r>
              <w:t>Terms are only defined in the Corporations Act if they are subsequently</w:t>
            </w:r>
            <w:r w:rsidRPr="00D65B9C">
              <w:t xml:space="preserve"> used </w:t>
            </w:r>
            <w:r>
              <w:t xml:space="preserve">throughout </w:t>
            </w:r>
            <w:r w:rsidRPr="00D65B9C">
              <w:t xml:space="preserve">the Act. </w:t>
            </w:r>
          </w:p>
        </w:tc>
        <w:tc>
          <w:tcPr>
            <w:tcW w:w="3874" w:type="dxa"/>
          </w:tcPr>
          <w:p w14:paraId="788F9447" w14:textId="4ED61B33" w:rsidR="00695FAD" w:rsidRPr="00D65B9C" w:rsidRDefault="00695FAD" w:rsidP="007778CC">
            <w:pPr>
              <w:pStyle w:val="Tabletext"/>
            </w:pPr>
            <w:r>
              <w:t>Some terms are defined in the Corporations Act, but are</w:t>
            </w:r>
            <w:r w:rsidR="007778CC">
              <w:t xml:space="preserve"> </w:t>
            </w:r>
            <w:r w:rsidRPr="00DD3758">
              <w:t xml:space="preserve">not subsequently used </w:t>
            </w:r>
            <w:r w:rsidR="007778CC">
              <w:t xml:space="preserve">in the </w:t>
            </w:r>
            <w:r w:rsidRPr="00DD3758">
              <w:t xml:space="preserve">Act or only used </w:t>
            </w:r>
            <w:r w:rsidR="007778CC">
              <w:t>on one occasion.</w:t>
            </w:r>
          </w:p>
        </w:tc>
      </w:tr>
      <w:tr w:rsidR="00CA7AFD" w:rsidRPr="00020288" w14:paraId="3D835869" w14:textId="77777777" w:rsidTr="00054268">
        <w:tc>
          <w:tcPr>
            <w:tcW w:w="3776" w:type="dxa"/>
          </w:tcPr>
          <w:p w14:paraId="19FF92F0" w14:textId="0E19B89B" w:rsidR="00CA7AFD" w:rsidRDefault="00CA7AFD" w:rsidP="00054268">
            <w:pPr>
              <w:pStyle w:val="Tabletext"/>
            </w:pPr>
            <w:r>
              <w:t xml:space="preserve">Terms that carry their ordinary </w:t>
            </w:r>
            <w:r w:rsidRPr="00726D17">
              <w:t>meaning</w:t>
            </w:r>
            <w:r w:rsidR="007778CC">
              <w:t>s</w:t>
            </w:r>
            <w:r>
              <w:t xml:space="preserve"> are not defined in the Corporations Act.</w:t>
            </w:r>
          </w:p>
        </w:tc>
        <w:tc>
          <w:tcPr>
            <w:tcW w:w="3874" w:type="dxa"/>
          </w:tcPr>
          <w:p w14:paraId="7CB4C1FF" w14:textId="6F165267" w:rsidR="00CA7AFD" w:rsidRDefault="00CA7AFD" w:rsidP="00054268">
            <w:pPr>
              <w:pStyle w:val="Tabletext"/>
            </w:pPr>
            <w:r>
              <w:t xml:space="preserve">The Corporations Act contains definitions </w:t>
            </w:r>
            <w:r w:rsidR="00FC3323">
              <w:t>for</w:t>
            </w:r>
            <w:r>
              <w:t xml:space="preserve"> terms that carry their ordinary meaning.</w:t>
            </w:r>
          </w:p>
        </w:tc>
      </w:tr>
      <w:tr w:rsidR="00695FAD" w:rsidRPr="00020288" w14:paraId="06778494" w14:textId="77777777" w:rsidTr="00054268">
        <w:tc>
          <w:tcPr>
            <w:tcW w:w="3776" w:type="dxa"/>
          </w:tcPr>
          <w:p w14:paraId="7154056C" w14:textId="539E5654" w:rsidR="00695FAD" w:rsidRPr="00020288" w:rsidRDefault="00695FAD" w:rsidP="00054268">
            <w:pPr>
              <w:pStyle w:val="Tabletext"/>
            </w:pPr>
            <w:r>
              <w:t>Headings for definition provisions are consistent</w:t>
            </w:r>
            <w:r w:rsidR="00602582">
              <w:t xml:space="preserve"> and draw attention to the use of defined terms</w:t>
            </w:r>
            <w:r w:rsidRPr="00D65B9C" w:rsidDel="00602582">
              <w:t>.</w:t>
            </w:r>
          </w:p>
        </w:tc>
        <w:tc>
          <w:tcPr>
            <w:tcW w:w="3874" w:type="dxa"/>
          </w:tcPr>
          <w:p w14:paraId="3F60FA85" w14:textId="77777777" w:rsidR="00695FAD" w:rsidRPr="00020288" w:rsidRDefault="00695FAD" w:rsidP="00054268">
            <w:pPr>
              <w:pStyle w:val="Tabletext"/>
            </w:pPr>
            <w:r>
              <w:t>Definitions provisions do not have clear or consistent headings.</w:t>
            </w:r>
          </w:p>
        </w:tc>
      </w:tr>
      <w:tr w:rsidR="00695FAD" w:rsidRPr="00020288" w14:paraId="2C6C2331" w14:textId="77777777" w:rsidTr="00054268">
        <w:tc>
          <w:tcPr>
            <w:tcW w:w="3776" w:type="dxa"/>
          </w:tcPr>
          <w:p w14:paraId="11015BA1" w14:textId="77B0D005" w:rsidR="00695FAD" w:rsidRDefault="007778CC" w:rsidP="00054268">
            <w:pPr>
              <w:pStyle w:val="Tabletext"/>
            </w:pPr>
            <w:r>
              <w:t>The definitions of</w:t>
            </w:r>
            <w:r w:rsidR="00E05897" w:rsidRPr="00726D17">
              <w:t xml:space="preserve"> </w:t>
            </w:r>
            <w:r w:rsidR="00D37745" w:rsidRPr="00726D17">
              <w:t>‘triggering event’</w:t>
            </w:r>
            <w:r w:rsidR="00F30E6C" w:rsidRPr="00726D17">
              <w:t>,</w:t>
            </w:r>
            <w:r w:rsidR="008258DB" w:rsidRPr="00726D17">
              <w:t xml:space="preserve"> ‘relevant </w:t>
            </w:r>
            <w:r w:rsidR="0007777A" w:rsidRPr="00726D17">
              <w:t>day’</w:t>
            </w:r>
            <w:r w:rsidR="00A800A2">
              <w:t xml:space="preserve">, ‘authorised ASIC officer’ and </w:t>
            </w:r>
            <w:r w:rsidR="0007777A" w:rsidRPr="00726D17">
              <w:t>‘crossing</w:t>
            </w:r>
            <w:r w:rsidR="00F30E6C" w:rsidRPr="00726D17">
              <w:t xml:space="preserve"> </w:t>
            </w:r>
            <w:r w:rsidR="00A800A2">
              <w:t>[</w:t>
            </w:r>
            <w:r w:rsidR="00F30E6C" w:rsidRPr="00726D17">
              <w:t>of section 1020B products</w:t>
            </w:r>
            <w:r w:rsidR="00A800A2">
              <w:t>]’</w:t>
            </w:r>
            <w:r w:rsidR="00E05897" w:rsidRPr="00726D17">
              <w:t xml:space="preserve"> </w:t>
            </w:r>
            <w:r>
              <w:t xml:space="preserve">do not contain substantive </w:t>
            </w:r>
            <w:r w:rsidR="00A800A2">
              <w:t>obligations or content</w:t>
            </w:r>
            <w:r w:rsidR="00695FAD" w:rsidRPr="00726D17">
              <w:t xml:space="preserve">. </w:t>
            </w:r>
          </w:p>
        </w:tc>
        <w:tc>
          <w:tcPr>
            <w:tcW w:w="3874" w:type="dxa"/>
          </w:tcPr>
          <w:p w14:paraId="7C24D77F" w14:textId="2B61E190" w:rsidR="00695FAD" w:rsidRDefault="00A800A2" w:rsidP="00054268">
            <w:pPr>
              <w:pStyle w:val="Tabletext"/>
            </w:pPr>
            <w:r>
              <w:t>The definitions of</w:t>
            </w:r>
            <w:r w:rsidRPr="00726D17">
              <w:t xml:space="preserve"> ‘triggering event’, ‘relevant day’</w:t>
            </w:r>
            <w:r>
              <w:t xml:space="preserve">, ‘authorised ASIC officer’ and </w:t>
            </w:r>
            <w:r w:rsidRPr="00726D17">
              <w:t xml:space="preserve">‘crossing </w:t>
            </w:r>
            <w:r>
              <w:t>[</w:t>
            </w:r>
            <w:r w:rsidRPr="00726D17">
              <w:t>of section 1020B products</w:t>
            </w:r>
            <w:r>
              <w:t>]’</w:t>
            </w:r>
            <w:r w:rsidRPr="00726D17">
              <w:t xml:space="preserve"> </w:t>
            </w:r>
            <w:r>
              <w:t>contain substantive obligations or content</w:t>
            </w:r>
            <w:r w:rsidRPr="00726D17">
              <w:t>.</w:t>
            </w:r>
          </w:p>
        </w:tc>
      </w:tr>
    </w:tbl>
    <w:p w14:paraId="4B8ED29C" w14:textId="77777777" w:rsidR="00695FAD" w:rsidRPr="00020288" w:rsidRDefault="00695FAD" w:rsidP="00695FAD">
      <w:pPr>
        <w:pStyle w:val="Heading2"/>
        <w:numPr>
          <w:ilvl w:val="1"/>
          <w:numId w:val="2"/>
        </w:numPr>
        <w:tabs>
          <w:tab w:val="num" w:pos="567"/>
        </w:tabs>
        <w:ind w:left="567" w:hanging="567"/>
      </w:pPr>
      <w:bookmarkStart w:id="52" w:name="_Toc119482437"/>
      <w:r w:rsidRPr="00020288">
        <w:t>Detailed explanation of new law</w:t>
      </w:r>
      <w:bookmarkEnd w:id="52"/>
    </w:p>
    <w:p w14:paraId="41329346" w14:textId="217F42F1" w:rsidR="00695FAD" w:rsidRDefault="00695FAD" w:rsidP="00152805">
      <w:pPr>
        <w:pStyle w:val="Normalparatextwithnumbers"/>
        <w:numPr>
          <w:ilvl w:val="1"/>
          <w:numId w:val="3"/>
        </w:numPr>
      </w:pPr>
      <w:r w:rsidRPr="00726D17">
        <w:t xml:space="preserve">Schedule 1 to the Bill </w:t>
      </w:r>
      <w:r w:rsidR="00C62973">
        <w:t>improves the</w:t>
      </w:r>
      <w:r w:rsidRPr="00726D17">
        <w:t xml:space="preserve"> </w:t>
      </w:r>
      <w:r w:rsidR="00C62973">
        <w:t>navigability and readability of the corporations and financial services law</w:t>
      </w:r>
      <w:r w:rsidRPr="00726D17">
        <w:t xml:space="preserve"> by:</w:t>
      </w:r>
    </w:p>
    <w:p w14:paraId="4C48ADC9" w14:textId="77777777" w:rsidR="00152805" w:rsidRDefault="00152805" w:rsidP="00152805">
      <w:pPr>
        <w:pStyle w:val="Dotpoint1"/>
      </w:pPr>
      <w:r w:rsidRPr="00152805">
        <w:lastRenderedPageBreak/>
        <w:t>Implementing two further recommendations from the ALRC’s Interim Report A to:</w:t>
      </w:r>
    </w:p>
    <w:p w14:paraId="1B3FCB31" w14:textId="752126FA" w:rsidR="00152805" w:rsidRDefault="00152805" w:rsidP="00470BCF">
      <w:pPr>
        <w:pStyle w:val="Dotpoint2"/>
      </w:pPr>
      <w:r w:rsidRPr="00726D17">
        <w:rPr>
          <w:noProof/>
        </w:rPr>
        <w:t>unfreeze</w:t>
      </w:r>
      <w:r>
        <w:rPr>
          <w:noProof/>
        </w:rPr>
        <w:t xml:space="preserve"> the AIA so that the current version of the AIA applies to the Corporations Act and ASIC Act (r</w:t>
      </w:r>
      <w:r w:rsidRPr="00726D17">
        <w:rPr>
          <w:noProof/>
        </w:rPr>
        <w:t>ecommendation</w:t>
      </w:r>
      <w:r w:rsidRPr="00C34820">
        <w:rPr>
          <w:noProof/>
        </w:rPr>
        <w:t xml:space="preserve"> </w:t>
      </w:r>
      <w:r>
        <w:rPr>
          <w:noProof/>
        </w:rPr>
        <w:t>5); and</w:t>
      </w:r>
    </w:p>
    <w:p w14:paraId="7962E21A" w14:textId="07B6B929" w:rsidR="00695FAD" w:rsidRDefault="00695FAD" w:rsidP="00470BCF">
      <w:pPr>
        <w:pStyle w:val="Dotpoint2"/>
      </w:pPr>
      <w:r>
        <w:t xml:space="preserve">create a </w:t>
      </w:r>
      <w:r w:rsidRPr="00F2508D">
        <w:t>single glossary of defined terms</w:t>
      </w:r>
      <w:r>
        <w:t xml:space="preserve"> in section 9 of the Corporations Act (</w:t>
      </w:r>
      <w:r w:rsidR="007222C7">
        <w:t>r</w:t>
      </w:r>
      <w:r w:rsidRPr="00726D17">
        <w:t>ecommendation</w:t>
      </w:r>
      <w:r>
        <w:t xml:space="preserve"> 7).</w:t>
      </w:r>
    </w:p>
    <w:p w14:paraId="6188EE56" w14:textId="77777777" w:rsidR="00695FAD" w:rsidRPr="00470BCF" w:rsidRDefault="00695FAD" w:rsidP="00152805">
      <w:pPr>
        <w:pStyle w:val="Dotpoint1"/>
      </w:pPr>
      <w:r w:rsidRPr="00470BCF">
        <w:t>Partially implementing three recommendations from the ALRC’s Interim Report B to:</w:t>
      </w:r>
    </w:p>
    <w:p w14:paraId="5D2C52D9" w14:textId="59142F55" w:rsidR="00695FAD" w:rsidRDefault="00695FAD" w:rsidP="00470BCF">
      <w:pPr>
        <w:pStyle w:val="Dotpoint2"/>
        <w:rPr>
          <w:noProof/>
        </w:rPr>
      </w:pPr>
      <w:bookmarkStart w:id="53" w:name="_Hlk118375474"/>
      <w:r>
        <w:rPr>
          <w:noProof/>
        </w:rPr>
        <w:t>repeal definitions</w:t>
      </w:r>
      <w:r w:rsidR="00613BA7">
        <w:rPr>
          <w:noProof/>
        </w:rPr>
        <w:t xml:space="preserve"> that are no longer used</w:t>
      </w:r>
      <w:r>
        <w:rPr>
          <w:noProof/>
        </w:rPr>
        <w:t xml:space="preserve">, cross-references to repealed provisions </w:t>
      </w:r>
      <w:r w:rsidR="00613BA7">
        <w:rPr>
          <w:noProof/>
        </w:rPr>
        <w:t xml:space="preserve">and other redundant provisions </w:t>
      </w:r>
      <w:r>
        <w:rPr>
          <w:noProof/>
        </w:rPr>
        <w:t>(</w:t>
      </w:r>
      <w:r w:rsidR="007222C7">
        <w:rPr>
          <w:noProof/>
        </w:rPr>
        <w:t>r</w:t>
      </w:r>
      <w:r w:rsidRPr="00726D17">
        <w:rPr>
          <w:noProof/>
        </w:rPr>
        <w:t>ecommendation</w:t>
      </w:r>
      <w:r>
        <w:rPr>
          <w:noProof/>
        </w:rPr>
        <w:t xml:space="preserve"> 14);</w:t>
      </w:r>
    </w:p>
    <w:p w14:paraId="08734778" w14:textId="6E240693" w:rsidR="00695FAD" w:rsidRPr="00434FE1" w:rsidRDefault="00695FAD" w:rsidP="00470BCF">
      <w:pPr>
        <w:pStyle w:val="Dotpoint2"/>
        <w:rPr>
          <w:noProof/>
        </w:rPr>
      </w:pPr>
      <w:r>
        <w:rPr>
          <w:noProof/>
        </w:rPr>
        <w:t>amend the law to address unclear or incorrect provisions (</w:t>
      </w:r>
      <w:r w:rsidR="007222C7">
        <w:rPr>
          <w:noProof/>
        </w:rPr>
        <w:t>r</w:t>
      </w:r>
      <w:r w:rsidRPr="00726D17">
        <w:rPr>
          <w:noProof/>
        </w:rPr>
        <w:t>ecommendation</w:t>
      </w:r>
      <w:r>
        <w:rPr>
          <w:noProof/>
        </w:rPr>
        <w:t xml:space="preserve"> 16); and</w:t>
      </w:r>
    </w:p>
    <w:p w14:paraId="49898B01" w14:textId="4216E907" w:rsidR="00695FAD" w:rsidRDefault="00695FAD" w:rsidP="00470BCF">
      <w:pPr>
        <w:pStyle w:val="Dotpoint2"/>
        <w:rPr>
          <w:noProof/>
        </w:rPr>
      </w:pPr>
      <w:r>
        <w:rPr>
          <w:noProof/>
        </w:rPr>
        <w:t>simplify unnecessarily complex provisions in the law, with a particular focus on terms defined as having more than one meaning, definitions containing substantive obligations and definitions that contain the phrase ‘in relation to’ (</w:t>
      </w:r>
      <w:r w:rsidR="007222C7">
        <w:rPr>
          <w:noProof/>
        </w:rPr>
        <w:t>r</w:t>
      </w:r>
      <w:r w:rsidRPr="00726D17">
        <w:rPr>
          <w:noProof/>
        </w:rPr>
        <w:t>ecommendation</w:t>
      </w:r>
      <w:r w:rsidR="007222C7">
        <w:rPr>
          <w:noProof/>
        </w:rPr>
        <w:t> </w:t>
      </w:r>
      <w:r w:rsidRPr="00434FE1">
        <w:rPr>
          <w:noProof/>
        </w:rPr>
        <w:t>17</w:t>
      </w:r>
      <w:r>
        <w:rPr>
          <w:noProof/>
        </w:rPr>
        <w:t xml:space="preserve">). </w:t>
      </w:r>
    </w:p>
    <w:p w14:paraId="4CC49834" w14:textId="1094256C" w:rsidR="00695FAD" w:rsidRPr="006569D1" w:rsidRDefault="00695FAD" w:rsidP="00695FAD">
      <w:pPr>
        <w:pStyle w:val="Heading3"/>
        <w:rPr>
          <w:i/>
          <w:iCs/>
        </w:rPr>
      </w:pPr>
      <w:bookmarkStart w:id="54" w:name="_Toc119482438"/>
      <w:bookmarkEnd w:id="53"/>
      <w:r w:rsidRPr="00726D17">
        <w:t>Unfreezing</w:t>
      </w:r>
      <w:r>
        <w:t xml:space="preserve"> the AIA</w:t>
      </w:r>
      <w:bookmarkEnd w:id="54"/>
    </w:p>
    <w:p w14:paraId="2D0FE2BA" w14:textId="7671E596" w:rsidR="00695FAD" w:rsidRDefault="00695FAD" w:rsidP="00695FAD">
      <w:pPr>
        <w:pStyle w:val="Normalparatextwithnumbers"/>
        <w:numPr>
          <w:ilvl w:val="1"/>
          <w:numId w:val="3"/>
        </w:numPr>
      </w:pPr>
      <w:r>
        <w:t>Section 5A of the ASIC Act and section 5C of the Corporations Act apply the version of the AIA in force on 1</w:t>
      </w:r>
      <w:r w:rsidR="00DC3D30">
        <w:t> </w:t>
      </w:r>
      <w:r>
        <w:t>January 2005 to those Acts</w:t>
      </w:r>
      <w:r w:rsidR="00CE5DA2">
        <w:t>, that is, they freeze the AIA</w:t>
      </w:r>
      <w:r>
        <w:t xml:space="preserve">. </w:t>
      </w:r>
      <w:r w:rsidR="00CE5DA2">
        <w:t xml:space="preserve">This means that </w:t>
      </w:r>
      <w:r>
        <w:t xml:space="preserve">amendments </w:t>
      </w:r>
      <w:r w:rsidR="00AD4113">
        <w:t>to</w:t>
      </w:r>
      <w:r>
        <w:t xml:space="preserve"> the AIA made after </w:t>
      </w:r>
      <w:r w:rsidR="00CE5DA2">
        <w:t xml:space="preserve">1 January 2005 </w:t>
      </w:r>
      <w:r>
        <w:t>date do not apply.</w:t>
      </w:r>
    </w:p>
    <w:p w14:paraId="20B46C74" w14:textId="2FDEEE3D" w:rsidR="00DC3D30" w:rsidRDefault="00695FAD" w:rsidP="00695FAD">
      <w:pPr>
        <w:pStyle w:val="Normalparatextwithnumbers"/>
        <w:numPr>
          <w:ilvl w:val="1"/>
          <w:numId w:val="3"/>
        </w:numPr>
      </w:pPr>
      <w:r>
        <w:t xml:space="preserve">Freezing the AIA has created practical complications for Corporations Act and ASIC Act readers, who must locate the </w:t>
      </w:r>
      <w:r w:rsidR="00357508">
        <w:t xml:space="preserve">historic </w:t>
      </w:r>
      <w:r>
        <w:t xml:space="preserve">version of the AIA. </w:t>
      </w:r>
    </w:p>
    <w:p w14:paraId="6AEBF2F9" w14:textId="1A2BBEA4" w:rsidR="00C66F51" w:rsidRDefault="00C66F51" w:rsidP="00C66F51">
      <w:pPr>
        <w:pStyle w:val="Normalparatextwithnumbers"/>
        <w:numPr>
          <w:ilvl w:val="1"/>
          <w:numId w:val="3"/>
        </w:numPr>
      </w:pPr>
      <w:r>
        <w:t>Additionally, whenever the AIA is amended, those amendments must be replicated in the Corporations Act and ASIC Act, if the amendments are intended to apply to those Acts. For example, the Corporations Act now includes a definition of ‘document’ to replicate the technology neutral definition inserted into the AIA after 2005.</w:t>
      </w:r>
    </w:p>
    <w:p w14:paraId="5579B942" w14:textId="385C68BD" w:rsidR="00695FAD" w:rsidRDefault="00695FAD" w:rsidP="00695FAD">
      <w:pPr>
        <w:pStyle w:val="Normalparatextwithnumbers"/>
        <w:numPr>
          <w:ilvl w:val="1"/>
          <w:numId w:val="3"/>
        </w:numPr>
      </w:pPr>
      <w:r>
        <w:t>Freezing the AIA has also created uncertainty about which version of the AIA applies to delegated legislation made under the Corporations Act</w:t>
      </w:r>
      <w:r w:rsidR="00DC3D30">
        <w:t>.</w:t>
      </w:r>
      <w:r>
        <w:t xml:space="preserve"> </w:t>
      </w:r>
      <w:r w:rsidR="00DC3D30">
        <w:t>Th</w:t>
      </w:r>
      <w:r w:rsidR="000414F5">
        <w:t>is is because the AIA is frozen only for the purposes of ‘this Act’ and the definition of ‘this Act’ does not include ASIC instruments. However, the definition applies subject to any contrary intention</w:t>
      </w:r>
      <w:r w:rsidR="00C66F51">
        <w:t>.</w:t>
      </w:r>
      <w:r w:rsidR="000414F5">
        <w:t xml:space="preserve"> ‘</w:t>
      </w:r>
      <w:r w:rsidR="00C66F51">
        <w:t>T</w:t>
      </w:r>
      <w:r w:rsidR="000414F5">
        <w:t xml:space="preserve">his Act’ is frequently used in a </w:t>
      </w:r>
      <w:r w:rsidR="000414F5">
        <w:lastRenderedPageBreak/>
        <w:t>manner that differs to the definition, making it unclear whether there is a contrary intention.</w:t>
      </w:r>
    </w:p>
    <w:p w14:paraId="55E8B379" w14:textId="633CB8AD" w:rsidR="00695FAD" w:rsidRDefault="00695FAD" w:rsidP="00695FAD">
      <w:pPr>
        <w:pStyle w:val="Normalparatextwithnumbers"/>
        <w:numPr>
          <w:ilvl w:val="1"/>
          <w:numId w:val="3"/>
        </w:numPr>
      </w:pPr>
      <w:r w:rsidRPr="00726D17">
        <w:t>Schedule 1</w:t>
      </w:r>
      <w:r>
        <w:t xml:space="preserve"> implements the ALRC’s recommendation 5 to </w:t>
      </w:r>
      <w:r w:rsidR="006364F6">
        <w:t xml:space="preserve">unfreeze </w:t>
      </w:r>
      <w:r>
        <w:t xml:space="preserve">the AIA </w:t>
      </w:r>
      <w:r w:rsidR="006364F6">
        <w:t>so that the version of the AIA that is</w:t>
      </w:r>
      <w:r>
        <w:t xml:space="preserve"> in force at the relevant point in time applies to both Acts. This: </w:t>
      </w:r>
    </w:p>
    <w:p w14:paraId="5D338AA4" w14:textId="77777777" w:rsidR="00695FAD" w:rsidRDefault="00695FAD" w:rsidP="00F307F0">
      <w:pPr>
        <w:pStyle w:val="Dotpoint1"/>
      </w:pPr>
      <w:bookmarkStart w:id="55" w:name="_Hlk118478066"/>
      <w:r>
        <w:t>restores the original intent of the AIA as an Act of general application across all Commonwealth laws;</w:t>
      </w:r>
    </w:p>
    <w:p w14:paraId="1D5A92DE" w14:textId="77777777" w:rsidR="00695FAD" w:rsidRDefault="00695FAD" w:rsidP="00F307F0">
      <w:pPr>
        <w:pStyle w:val="Dotpoint1"/>
      </w:pPr>
      <w:r>
        <w:t xml:space="preserve">reduces complexity and improves navigability of the corporations and financial services law; and </w:t>
      </w:r>
    </w:p>
    <w:bookmarkEnd w:id="55"/>
    <w:p w14:paraId="36C10798" w14:textId="77777777" w:rsidR="00695FAD" w:rsidRDefault="00695FAD" w:rsidP="00F307F0">
      <w:pPr>
        <w:pStyle w:val="Dotpoint1"/>
      </w:pPr>
      <w:r>
        <w:t xml:space="preserve">removes the duplication of provisions across the Commonwealth statute book. </w:t>
      </w:r>
    </w:p>
    <w:p w14:paraId="6A464220" w14:textId="57F93C2E" w:rsidR="00B35098" w:rsidRDefault="00695FAD" w:rsidP="00615B8D">
      <w:pPr>
        <w:pStyle w:val="Referenceafterdotpoint"/>
      </w:pPr>
      <w:r w:rsidRPr="00F2508D">
        <w:t>[</w:t>
      </w:r>
      <w:r w:rsidRPr="00F2508D">
        <w:rPr>
          <w:rStyle w:val="References"/>
          <w:b/>
          <w:bCs w:val="0"/>
          <w:i/>
          <w:iCs w:val="0"/>
        </w:rPr>
        <w:t>Schedule 1, item 1, section 5A of the ASIC Act</w:t>
      </w:r>
      <w:r w:rsidR="006364F6">
        <w:rPr>
          <w:rStyle w:val="References"/>
          <w:b/>
          <w:bCs w:val="0"/>
          <w:i/>
          <w:iCs w:val="0"/>
        </w:rPr>
        <w:t xml:space="preserve">; item 13, </w:t>
      </w:r>
      <w:r w:rsidRPr="00F2508D">
        <w:rPr>
          <w:rStyle w:val="References"/>
          <w:b/>
          <w:bCs w:val="0"/>
          <w:i/>
          <w:iCs w:val="0"/>
        </w:rPr>
        <w:t>section 5C of the Corporations Act</w:t>
      </w:r>
      <w:r>
        <w:t xml:space="preserve">] </w:t>
      </w:r>
    </w:p>
    <w:p w14:paraId="639DEAB7" w14:textId="235D3816" w:rsidR="00C816CE" w:rsidRDefault="007B4CD0" w:rsidP="00695FAD">
      <w:pPr>
        <w:pStyle w:val="Normalparatextwithnumbers"/>
        <w:numPr>
          <w:ilvl w:val="1"/>
          <w:numId w:val="3"/>
        </w:numPr>
      </w:pPr>
      <w:r>
        <w:t>U</w:t>
      </w:r>
      <w:r w:rsidR="00C816CE">
        <w:t>nfreezing the AIA does not change existing policy settings.</w:t>
      </w:r>
    </w:p>
    <w:p w14:paraId="157BBC2E" w14:textId="77777777" w:rsidR="00F0323B" w:rsidRDefault="00AE511A" w:rsidP="00F0323B">
      <w:pPr>
        <w:pStyle w:val="Normalparatextwithnumbers"/>
        <w:rPr>
          <w:noProof/>
        </w:rPr>
      </w:pPr>
      <w:r>
        <w:t xml:space="preserve">The most significant change to the AIA since 1 January 2005 relates to the calculation of time. </w:t>
      </w:r>
    </w:p>
    <w:p w14:paraId="03593E7F" w14:textId="6B02C197" w:rsidR="00F0323B" w:rsidRDefault="00C816CE" w:rsidP="00F0323B">
      <w:pPr>
        <w:pStyle w:val="Dotpoint1"/>
      </w:pPr>
      <w:r w:rsidDel="00AE511A">
        <w:rPr>
          <w:noProof/>
        </w:rPr>
        <w:t xml:space="preserve">The </w:t>
      </w:r>
      <w:r w:rsidRPr="00726D17" w:rsidDel="00AE511A">
        <w:rPr>
          <w:noProof/>
        </w:rPr>
        <w:t>frozen</w:t>
      </w:r>
      <w:r w:rsidDel="00AE511A">
        <w:rPr>
          <w:noProof/>
        </w:rPr>
        <w:t xml:space="preserve"> AIA </w:t>
      </w:r>
      <w:r w:rsidR="00AE511A">
        <w:rPr>
          <w:noProof/>
        </w:rPr>
        <w:t xml:space="preserve">calculates a </w:t>
      </w:r>
      <w:r w:rsidRPr="006A4C5E">
        <w:t>period of time</w:t>
      </w:r>
      <w:r>
        <w:t xml:space="preserve"> </w:t>
      </w:r>
      <w:r w:rsidRPr="006A4C5E">
        <w:t xml:space="preserve">exclusive of </w:t>
      </w:r>
      <w:r>
        <w:t>the first day of that period</w:t>
      </w:r>
      <w:r w:rsidR="00AE511A">
        <w:t xml:space="preserve"> whereas the unfrozen version includes the first day.</w:t>
      </w:r>
      <w:r w:rsidR="00F0323B">
        <w:t xml:space="preserve"> </w:t>
      </w:r>
    </w:p>
    <w:p w14:paraId="0D43469E" w14:textId="1631B585" w:rsidR="00C816CE" w:rsidRDefault="00F0323B" w:rsidP="00F307F0">
      <w:pPr>
        <w:pStyle w:val="Dotpoint1"/>
      </w:pPr>
      <w:r>
        <w:t xml:space="preserve">Further, the frozen </w:t>
      </w:r>
      <w:r w:rsidRPr="00726D17">
        <w:t>AIA</w:t>
      </w:r>
      <w:r>
        <w:t xml:space="preserve"> states that if the last </w:t>
      </w:r>
      <w:r w:rsidR="006364F6">
        <w:t>d</w:t>
      </w:r>
      <w:r>
        <w:t>ay for doing a thing falls on a Saturday, Sunday, ‘public holiday or bank holiday’, it may be done on the next</w:t>
      </w:r>
      <w:r w:rsidR="00AE511A">
        <w:t xml:space="preserve"> </w:t>
      </w:r>
      <w:r>
        <w:t>day. The unfrozen AIA refers generally to ‘holidays’</w:t>
      </w:r>
      <w:r w:rsidR="006E1F68">
        <w:t xml:space="preserve"> which includes a day on which the place where the thing is to be done is closed.</w:t>
      </w:r>
    </w:p>
    <w:p w14:paraId="2BA6BEBD" w14:textId="27657E14" w:rsidR="00C816CE" w:rsidRDefault="00C816CE" w:rsidP="00C816CE">
      <w:pPr>
        <w:pStyle w:val="Normalparatextwithnumbers"/>
        <w:numPr>
          <w:ilvl w:val="1"/>
          <w:numId w:val="3"/>
        </w:numPr>
        <w:rPr>
          <w:noProof/>
        </w:rPr>
      </w:pPr>
      <w:r>
        <w:rPr>
          <w:noProof/>
        </w:rPr>
        <w:t xml:space="preserve">The </w:t>
      </w:r>
      <w:r w:rsidR="0083684C">
        <w:rPr>
          <w:noProof/>
        </w:rPr>
        <w:t>corporations law</w:t>
      </w:r>
      <w:r w:rsidR="006E1F68" w:rsidRPr="00726D17">
        <w:rPr>
          <w:noProof/>
        </w:rPr>
        <w:t xml:space="preserve"> </w:t>
      </w:r>
      <w:r w:rsidR="006E1F68">
        <w:rPr>
          <w:noProof/>
        </w:rPr>
        <w:t>also</w:t>
      </w:r>
      <w:r>
        <w:rPr>
          <w:noProof/>
        </w:rPr>
        <w:t xml:space="preserve"> contains</w:t>
      </w:r>
      <w:r w:rsidDel="006E1F68">
        <w:rPr>
          <w:noProof/>
        </w:rPr>
        <w:t xml:space="preserve"> </w:t>
      </w:r>
      <w:r w:rsidR="006E1F68">
        <w:rPr>
          <w:noProof/>
        </w:rPr>
        <w:t xml:space="preserve">bespoke </w:t>
      </w:r>
      <w:r>
        <w:rPr>
          <w:noProof/>
        </w:rPr>
        <w:t>rule</w:t>
      </w:r>
      <w:r w:rsidR="006E1F68">
        <w:rPr>
          <w:noProof/>
        </w:rPr>
        <w:t>s</w:t>
      </w:r>
      <w:r>
        <w:rPr>
          <w:noProof/>
        </w:rPr>
        <w:t xml:space="preserve"> for calculating time</w:t>
      </w:r>
      <w:r w:rsidR="006E1F68">
        <w:rPr>
          <w:noProof/>
        </w:rPr>
        <w:t>. When</w:t>
      </w:r>
      <w:r w:rsidDel="006E1F68">
        <w:rPr>
          <w:noProof/>
        </w:rPr>
        <w:t xml:space="preserve"> </w:t>
      </w:r>
      <w:r>
        <w:rPr>
          <w:noProof/>
        </w:rPr>
        <w:t>calculating how many days a particular day is before or after another</w:t>
      </w:r>
      <w:r w:rsidR="006364F6">
        <w:rPr>
          <w:noProof/>
        </w:rPr>
        <w:t xml:space="preserve"> day</w:t>
      </w:r>
      <w:r>
        <w:rPr>
          <w:noProof/>
        </w:rPr>
        <w:t>, the first day is to be counted but not the other</w:t>
      </w:r>
      <w:r w:rsidR="006364F6">
        <w:rPr>
          <w:noProof/>
        </w:rPr>
        <w:t xml:space="preserve"> day</w:t>
      </w:r>
      <w:r>
        <w:rPr>
          <w:noProof/>
        </w:rPr>
        <w:t>.</w:t>
      </w:r>
      <w:r w:rsidR="006E1F68">
        <w:rPr>
          <w:noProof/>
        </w:rPr>
        <w:t xml:space="preserve"> </w:t>
      </w:r>
      <w:r w:rsidR="0083684C">
        <w:rPr>
          <w:noProof/>
        </w:rPr>
        <w:t>Further, the</w:t>
      </w:r>
      <w:r w:rsidR="006E1F68">
        <w:rPr>
          <w:noProof/>
        </w:rPr>
        <w:t xml:space="preserve"> definition of ‘</w:t>
      </w:r>
      <w:r w:rsidR="00FB2744">
        <w:rPr>
          <w:noProof/>
        </w:rPr>
        <w:t>business day</w:t>
      </w:r>
      <w:r w:rsidR="006E1F68">
        <w:rPr>
          <w:noProof/>
        </w:rPr>
        <w:t>’ includes ‘bank holidays’.</w:t>
      </w:r>
      <w:r w:rsidR="00F04F20">
        <w:rPr>
          <w:noProof/>
        </w:rPr>
        <w:t xml:space="preserve"> </w:t>
      </w:r>
      <w:r w:rsidR="0083684C">
        <w:rPr>
          <w:noProof/>
        </w:rPr>
        <w:t>These bespoke rules are in the Corporations Act but they also apply to the ASIC Act due to section 5 of the ASIC Act.</w:t>
      </w:r>
    </w:p>
    <w:p w14:paraId="36F0278F" w14:textId="45974095" w:rsidR="00C816CE" w:rsidRPr="00007FB5" w:rsidRDefault="00C816CE" w:rsidP="00C816CE">
      <w:pPr>
        <w:pStyle w:val="Normalparatextwithnumbers"/>
        <w:numPr>
          <w:ilvl w:val="1"/>
          <w:numId w:val="3"/>
        </w:numPr>
        <w:rPr>
          <w:rStyle w:val="References"/>
          <w:b w:val="0"/>
          <w:bCs w:val="0"/>
          <w:i w:val="0"/>
          <w:iCs w:val="0"/>
          <w:noProof/>
        </w:rPr>
      </w:pPr>
      <w:r>
        <w:rPr>
          <w:noProof/>
        </w:rPr>
        <w:t>The</w:t>
      </w:r>
      <w:r w:rsidDel="006E1F68">
        <w:rPr>
          <w:noProof/>
        </w:rPr>
        <w:t xml:space="preserve"> </w:t>
      </w:r>
      <w:r w:rsidR="006E1F68">
        <w:rPr>
          <w:noProof/>
        </w:rPr>
        <w:t xml:space="preserve">Bill amends the bespoke rules for calculating time </w:t>
      </w:r>
      <w:r w:rsidR="00515164">
        <w:rPr>
          <w:noProof/>
        </w:rPr>
        <w:t>in the Corporations Act</w:t>
      </w:r>
      <w:r w:rsidR="006E1F68">
        <w:rPr>
          <w:noProof/>
        </w:rPr>
        <w:t xml:space="preserve"> to </w:t>
      </w:r>
      <w:r>
        <w:rPr>
          <w:noProof/>
        </w:rPr>
        <w:t>ensure that the rules in the frozen AIA</w:t>
      </w:r>
      <w:r w:rsidR="006E1F68">
        <w:rPr>
          <w:noProof/>
        </w:rPr>
        <w:t xml:space="preserve"> (as modified by the Corporations Act)</w:t>
      </w:r>
      <w:r>
        <w:rPr>
          <w:noProof/>
        </w:rPr>
        <w:t xml:space="preserve"> continue to apply.</w:t>
      </w:r>
      <w:r w:rsidDel="006E1F68">
        <w:rPr>
          <w:noProof/>
        </w:rPr>
        <w:t xml:space="preserve"> </w:t>
      </w:r>
      <w:r>
        <w:rPr>
          <w:noProof/>
        </w:rPr>
        <w:t>The</w:t>
      </w:r>
      <w:r w:rsidR="006E1F68">
        <w:rPr>
          <w:noProof/>
        </w:rPr>
        <w:t xml:space="preserve"> Bill also</w:t>
      </w:r>
      <w:r>
        <w:rPr>
          <w:noProof/>
        </w:rPr>
        <w:t xml:space="preserve"> clarif</w:t>
      </w:r>
      <w:r w:rsidR="006E1F68">
        <w:rPr>
          <w:noProof/>
        </w:rPr>
        <w:t>ies that</w:t>
      </w:r>
      <w:r>
        <w:rPr>
          <w:noProof/>
        </w:rPr>
        <w:t xml:space="preserve"> this approach appl</w:t>
      </w:r>
      <w:r w:rsidR="006E1F68">
        <w:rPr>
          <w:noProof/>
        </w:rPr>
        <w:t>ies</w:t>
      </w:r>
      <w:r>
        <w:rPr>
          <w:noProof/>
        </w:rPr>
        <w:t xml:space="preserve"> to</w:t>
      </w:r>
      <w:r w:rsidDel="007B4CD0">
        <w:rPr>
          <w:noProof/>
        </w:rPr>
        <w:t xml:space="preserve"> </w:t>
      </w:r>
      <w:r>
        <w:rPr>
          <w:noProof/>
        </w:rPr>
        <w:t>instruments made under the Corporations Act</w:t>
      </w:r>
      <w:r w:rsidR="006364F6">
        <w:rPr>
          <w:noProof/>
        </w:rPr>
        <w:t>.</w:t>
      </w:r>
      <w:r>
        <w:rPr>
          <w:noProof/>
        </w:rPr>
        <w:br/>
      </w:r>
      <w:r w:rsidRPr="00AD0DB4">
        <w:rPr>
          <w:rStyle w:val="References"/>
        </w:rPr>
        <w:t xml:space="preserve">[Schedule </w:t>
      </w:r>
      <w:r>
        <w:rPr>
          <w:rStyle w:val="References"/>
        </w:rPr>
        <w:t>1, item 15, section 105 of the Corporations Act</w:t>
      </w:r>
      <w:r w:rsidRPr="00AD0DB4">
        <w:rPr>
          <w:rStyle w:val="References"/>
        </w:rPr>
        <w:t xml:space="preserve">] </w:t>
      </w:r>
    </w:p>
    <w:p w14:paraId="3C9AD748" w14:textId="038A2011" w:rsidR="00F04F20" w:rsidRDefault="00F04F20" w:rsidP="007B4CD0">
      <w:pPr>
        <w:pStyle w:val="Normalparatextwithnumbers"/>
        <w:numPr>
          <w:ilvl w:val="1"/>
          <w:numId w:val="3"/>
        </w:numPr>
        <w:rPr>
          <w:noProof/>
        </w:rPr>
      </w:pPr>
      <w:r>
        <w:rPr>
          <w:noProof/>
        </w:rPr>
        <w:t>The bespoke rules in the Corporations Act relating to reckoning time also apply to the ASIC Act due to subsection 5(3) of the ASIC Act.</w:t>
      </w:r>
    </w:p>
    <w:p w14:paraId="439C1422" w14:textId="49F6769F" w:rsidR="007B4CD0" w:rsidRDefault="00D02FC8" w:rsidP="007B4CD0">
      <w:pPr>
        <w:pStyle w:val="Normalparatextwithnumbers"/>
        <w:numPr>
          <w:ilvl w:val="1"/>
          <w:numId w:val="3"/>
        </w:numPr>
        <w:rPr>
          <w:noProof/>
        </w:rPr>
      </w:pPr>
      <w:r>
        <w:rPr>
          <w:noProof/>
        </w:rPr>
        <w:lastRenderedPageBreak/>
        <w:t>O</w:t>
      </w:r>
      <w:r w:rsidR="007B4CD0">
        <w:rPr>
          <w:noProof/>
        </w:rPr>
        <w:t xml:space="preserve">ther differences between the </w:t>
      </w:r>
      <w:r w:rsidR="007B4CD0" w:rsidRPr="00726D17">
        <w:rPr>
          <w:noProof/>
        </w:rPr>
        <w:t>frozen</w:t>
      </w:r>
      <w:r w:rsidR="007B4CD0">
        <w:rPr>
          <w:noProof/>
        </w:rPr>
        <w:t xml:space="preserve"> and </w:t>
      </w:r>
      <w:r w:rsidR="007B4CD0" w:rsidRPr="00726D17">
        <w:rPr>
          <w:noProof/>
        </w:rPr>
        <w:t>unfrozen</w:t>
      </w:r>
      <w:r w:rsidR="007B4CD0">
        <w:rPr>
          <w:noProof/>
        </w:rPr>
        <w:t xml:space="preserve"> AIA are minor and technical</w:t>
      </w:r>
      <w:r w:rsidR="007B4CD0" w:rsidRPr="00726D17">
        <w:rPr>
          <w:noProof/>
        </w:rPr>
        <w:t>.</w:t>
      </w:r>
      <w:r w:rsidR="007B4CD0" w:rsidDel="00D02FC8">
        <w:rPr>
          <w:noProof/>
        </w:rPr>
        <w:t xml:space="preserve"> </w:t>
      </w:r>
      <w:r w:rsidR="007B4CD0">
        <w:rPr>
          <w:noProof/>
        </w:rPr>
        <w:t xml:space="preserve">These are </w:t>
      </w:r>
      <w:r w:rsidR="00B91B6F">
        <w:rPr>
          <w:noProof/>
        </w:rPr>
        <w:t xml:space="preserve">outlined </w:t>
      </w:r>
      <w:r w:rsidR="007B4CD0">
        <w:rPr>
          <w:noProof/>
        </w:rPr>
        <w:t xml:space="preserve">in  </w:t>
      </w:r>
      <w:r w:rsidR="005103A2">
        <w:rPr>
          <w:noProof/>
        </w:rPr>
        <w:t>Table 1.2</w:t>
      </w:r>
      <w:r w:rsidR="007B4CD0">
        <w:rPr>
          <w:noProof/>
        </w:rPr>
        <w:t>.</w:t>
      </w:r>
    </w:p>
    <w:p w14:paraId="55BD2388" w14:textId="6DEE4C14" w:rsidR="007B4CD0" w:rsidRDefault="007B4CD0" w:rsidP="007B4CD0">
      <w:pPr>
        <w:pStyle w:val="TableHeading"/>
        <w:numPr>
          <w:ilvl w:val="4"/>
          <w:numId w:val="23"/>
        </w:numPr>
      </w:pPr>
      <w:r>
        <w:t xml:space="preserve">Comparison of </w:t>
      </w:r>
      <w:r w:rsidRPr="00726D17">
        <w:t>frozen</w:t>
      </w:r>
      <w:r>
        <w:t xml:space="preserve"> and </w:t>
      </w:r>
      <w:r w:rsidRPr="00726D17">
        <w:t>unfrozen</w:t>
      </w:r>
      <w:r>
        <w:t xml:space="preserve"> AIA</w:t>
      </w:r>
    </w:p>
    <w:tbl>
      <w:tblPr>
        <w:tblStyle w:val="Treasurytable"/>
        <w:tblW w:w="0" w:type="auto"/>
        <w:tblLook w:val="01E0" w:firstRow="1" w:lastRow="1" w:firstColumn="1" w:lastColumn="1" w:noHBand="0" w:noVBand="0"/>
      </w:tblPr>
      <w:tblGrid>
        <w:gridCol w:w="1568"/>
        <w:gridCol w:w="3066"/>
        <w:gridCol w:w="3067"/>
      </w:tblGrid>
      <w:tr w:rsidR="007B4CD0" w:rsidRPr="00A61FE9" w14:paraId="44C9C8E6" w14:textId="77777777" w:rsidTr="00661366">
        <w:trPr>
          <w:cnfStyle w:val="100000000000" w:firstRow="1" w:lastRow="0" w:firstColumn="0" w:lastColumn="0" w:oddVBand="0" w:evenVBand="0" w:oddHBand="0" w:evenHBand="0" w:firstRowFirstColumn="0" w:firstRowLastColumn="0" w:lastRowFirstColumn="0" w:lastRowLastColumn="0"/>
        </w:trPr>
        <w:tc>
          <w:tcPr>
            <w:tcW w:w="1568" w:type="dxa"/>
          </w:tcPr>
          <w:p w14:paraId="540907AD" w14:textId="0AE58BD8" w:rsidR="007B4CD0" w:rsidRPr="004D2E46" w:rsidRDefault="0083684C" w:rsidP="00661366">
            <w:pPr>
              <w:pStyle w:val="Tableheaderrowtext"/>
              <w:numPr>
                <w:ilvl w:val="3"/>
                <w:numId w:val="2"/>
              </w:numPr>
              <w:ind w:left="1701" w:hanging="1701"/>
              <w:rPr>
                <w:rFonts w:ascii="Times New Roman" w:hAnsi="Times New Roman" w:cs="Times New Roman"/>
                <w:sz w:val="20"/>
                <w:szCs w:val="20"/>
              </w:rPr>
            </w:pPr>
            <w:r>
              <w:rPr>
                <w:rFonts w:ascii="Times New Roman" w:hAnsi="Times New Roman" w:cs="Times New Roman"/>
                <w:sz w:val="20"/>
                <w:szCs w:val="20"/>
              </w:rPr>
              <w:t>Issue</w:t>
            </w:r>
          </w:p>
        </w:tc>
        <w:tc>
          <w:tcPr>
            <w:tcW w:w="3066" w:type="dxa"/>
          </w:tcPr>
          <w:p w14:paraId="79784791" w14:textId="6EAB0BC8" w:rsidR="007B4CD0" w:rsidRPr="004D2E46" w:rsidRDefault="0083684C" w:rsidP="00661366">
            <w:pPr>
              <w:pStyle w:val="Tableheaderrowtext"/>
              <w:numPr>
                <w:ilvl w:val="0"/>
                <w:numId w:val="0"/>
              </w:numPr>
              <w:rPr>
                <w:rFonts w:ascii="Times New Roman" w:hAnsi="Times New Roman" w:cs="Times New Roman"/>
                <w:sz w:val="20"/>
                <w:szCs w:val="20"/>
              </w:rPr>
            </w:pPr>
            <w:r>
              <w:rPr>
                <w:rFonts w:ascii="Times New Roman" w:hAnsi="Times New Roman" w:cs="Times New Roman"/>
                <w:sz w:val="20"/>
                <w:szCs w:val="20"/>
              </w:rPr>
              <w:t>F</w:t>
            </w:r>
            <w:r w:rsidR="007B4CD0" w:rsidRPr="00726D17">
              <w:rPr>
                <w:rFonts w:ascii="Times New Roman" w:hAnsi="Times New Roman" w:cs="Times New Roman"/>
                <w:sz w:val="20"/>
                <w:szCs w:val="20"/>
              </w:rPr>
              <w:t>rozen AIA</w:t>
            </w:r>
          </w:p>
        </w:tc>
        <w:tc>
          <w:tcPr>
            <w:tcW w:w="3067" w:type="dxa"/>
          </w:tcPr>
          <w:p w14:paraId="165E9012" w14:textId="427A217E" w:rsidR="007B4CD0" w:rsidRPr="004D2E46" w:rsidRDefault="0083684C" w:rsidP="00661366">
            <w:pPr>
              <w:pStyle w:val="Tableheaderrowtext"/>
              <w:numPr>
                <w:ilvl w:val="3"/>
                <w:numId w:val="2"/>
              </w:numPr>
              <w:ind w:left="1701" w:hanging="1701"/>
              <w:rPr>
                <w:rFonts w:ascii="Times New Roman" w:hAnsi="Times New Roman" w:cs="Times New Roman"/>
                <w:sz w:val="20"/>
                <w:szCs w:val="20"/>
              </w:rPr>
            </w:pPr>
            <w:r>
              <w:rPr>
                <w:rFonts w:ascii="Times New Roman" w:hAnsi="Times New Roman" w:cs="Times New Roman"/>
                <w:sz w:val="20"/>
                <w:szCs w:val="20"/>
              </w:rPr>
              <w:t>U</w:t>
            </w:r>
            <w:r w:rsidR="007B4CD0" w:rsidRPr="00726D17">
              <w:rPr>
                <w:rFonts w:ascii="Times New Roman" w:hAnsi="Times New Roman" w:cs="Times New Roman"/>
                <w:sz w:val="20"/>
                <w:szCs w:val="20"/>
              </w:rPr>
              <w:t>nfrozen AIA</w:t>
            </w:r>
          </w:p>
        </w:tc>
      </w:tr>
      <w:tr w:rsidR="002A1C41" w14:paraId="6A632197" w14:textId="77777777" w:rsidTr="00661366">
        <w:tblPrEx>
          <w:tblLook w:val="04A0" w:firstRow="1" w:lastRow="0" w:firstColumn="1" w:lastColumn="0" w:noHBand="0" w:noVBand="1"/>
        </w:tblPrEx>
        <w:tc>
          <w:tcPr>
            <w:tcW w:w="1568" w:type="dxa"/>
          </w:tcPr>
          <w:p w14:paraId="5E2DB787" w14:textId="6F873333" w:rsidR="002A1C41" w:rsidRPr="004D2E46" w:rsidRDefault="002A1C41" w:rsidP="002A1C41">
            <w:pPr>
              <w:pStyle w:val="Tabletext0"/>
              <w:rPr>
                <w:lang w:eastAsia="en-US"/>
              </w:rPr>
            </w:pPr>
            <w:r w:rsidRPr="000A03CB">
              <w:t>Effect of delegations</w:t>
            </w:r>
          </w:p>
        </w:tc>
        <w:tc>
          <w:tcPr>
            <w:tcW w:w="3066" w:type="dxa"/>
          </w:tcPr>
          <w:p w14:paraId="1AE6A025" w14:textId="259E2D0E" w:rsidR="002A1C41" w:rsidRPr="004D2E46" w:rsidRDefault="002A1C41" w:rsidP="002A1C41">
            <w:pPr>
              <w:pStyle w:val="Tabletext0"/>
              <w:rPr>
                <w:lang w:eastAsia="en-US"/>
              </w:rPr>
            </w:pPr>
            <w:r w:rsidRPr="000A03CB">
              <w:t xml:space="preserve">Delegations are only valid in relation to functions and powers existing at the time of delegation. </w:t>
            </w:r>
            <w:r>
              <w:t>D</w:t>
            </w:r>
            <w:r w:rsidRPr="000A03CB">
              <w:t>elegations do not extend to powers that come into effect after the delegation is made.</w:t>
            </w:r>
          </w:p>
        </w:tc>
        <w:tc>
          <w:tcPr>
            <w:tcW w:w="3067" w:type="dxa"/>
          </w:tcPr>
          <w:p w14:paraId="1C9A66B6" w14:textId="6F8F64F5" w:rsidR="002A1C41" w:rsidRPr="004D2E46" w:rsidRDefault="002A1C41" w:rsidP="002A1C41">
            <w:pPr>
              <w:pStyle w:val="Tabletext0"/>
              <w:rPr>
                <w:lang w:eastAsia="en-US"/>
              </w:rPr>
            </w:pPr>
            <w:r w:rsidRPr="000A03CB">
              <w:t xml:space="preserve">A delegation is taken to include additional functions, duties or powers which are provided following an amendment to the Act under which the delegation has been made. </w:t>
            </w:r>
          </w:p>
        </w:tc>
      </w:tr>
      <w:tr w:rsidR="007B4CD0" w14:paraId="1A1184F4" w14:textId="77777777" w:rsidTr="00661366">
        <w:tblPrEx>
          <w:tblLook w:val="04A0" w:firstRow="1" w:lastRow="0" w:firstColumn="1" w:lastColumn="0" w:noHBand="0" w:noVBand="1"/>
        </w:tblPrEx>
        <w:tc>
          <w:tcPr>
            <w:tcW w:w="1568" w:type="dxa"/>
          </w:tcPr>
          <w:p w14:paraId="0C2CE88A" w14:textId="77777777" w:rsidR="007B4CD0" w:rsidRPr="004D2E46" w:rsidRDefault="007B4CD0" w:rsidP="00661366">
            <w:pPr>
              <w:pStyle w:val="Tabletext0"/>
              <w:rPr>
                <w:lang w:eastAsia="en-US"/>
              </w:rPr>
            </w:pPr>
            <w:r w:rsidRPr="004D2E46">
              <w:rPr>
                <w:lang w:eastAsia="en-US"/>
              </w:rPr>
              <w:t xml:space="preserve">Commencement </w:t>
            </w:r>
          </w:p>
        </w:tc>
        <w:tc>
          <w:tcPr>
            <w:tcW w:w="3066" w:type="dxa"/>
          </w:tcPr>
          <w:p w14:paraId="31E1A676" w14:textId="6BBC0DCD" w:rsidR="007B4CD0" w:rsidRPr="004D2E46" w:rsidRDefault="007B4CD0" w:rsidP="00661366">
            <w:pPr>
              <w:pStyle w:val="Tabletext0"/>
              <w:rPr>
                <w:lang w:eastAsia="en-US"/>
              </w:rPr>
            </w:pPr>
            <w:r w:rsidRPr="004D2E46">
              <w:rPr>
                <w:lang w:eastAsia="en-US"/>
              </w:rPr>
              <w:t xml:space="preserve">Acts and </w:t>
            </w:r>
            <w:r w:rsidRPr="004D2E46">
              <w:rPr>
                <w:b/>
                <w:lang w:eastAsia="en-US"/>
              </w:rPr>
              <w:t xml:space="preserve">instruments </w:t>
            </w:r>
            <w:r w:rsidR="00D02FC8">
              <w:rPr>
                <w:lang w:eastAsia="en-US"/>
              </w:rPr>
              <w:t xml:space="preserve">come into operation </w:t>
            </w:r>
            <w:r w:rsidRPr="004D2E46">
              <w:rPr>
                <w:lang w:eastAsia="en-US"/>
              </w:rPr>
              <w:t xml:space="preserve">immediately on the </w:t>
            </w:r>
            <w:r w:rsidRPr="004D2E46">
              <w:rPr>
                <w:b/>
                <w:lang w:eastAsia="en-US"/>
              </w:rPr>
              <w:t>previous day’s expiration.</w:t>
            </w:r>
          </w:p>
        </w:tc>
        <w:tc>
          <w:tcPr>
            <w:tcW w:w="3067" w:type="dxa"/>
          </w:tcPr>
          <w:p w14:paraId="38BBDCC7" w14:textId="47B27082" w:rsidR="007B4CD0" w:rsidRPr="004D2E46" w:rsidRDefault="007B4CD0" w:rsidP="00661366">
            <w:pPr>
              <w:pStyle w:val="Tabletext0"/>
              <w:rPr>
                <w:lang w:eastAsia="en-US"/>
              </w:rPr>
            </w:pPr>
            <w:r w:rsidRPr="004D2E46">
              <w:rPr>
                <w:lang w:eastAsia="en-US"/>
              </w:rPr>
              <w:t xml:space="preserve">Acts come into operation at the </w:t>
            </w:r>
            <w:r w:rsidRPr="004D2E46">
              <w:rPr>
                <w:b/>
                <w:lang w:eastAsia="en-US"/>
              </w:rPr>
              <w:t>start of that day.</w:t>
            </w:r>
          </w:p>
        </w:tc>
      </w:tr>
      <w:tr w:rsidR="007B4CD0" w14:paraId="214FD1FF" w14:textId="77777777" w:rsidTr="00661366">
        <w:tblPrEx>
          <w:tblLook w:val="04A0" w:firstRow="1" w:lastRow="0" w:firstColumn="1" w:lastColumn="0" w:noHBand="0" w:noVBand="1"/>
        </w:tblPrEx>
        <w:tc>
          <w:tcPr>
            <w:tcW w:w="1568" w:type="dxa"/>
          </w:tcPr>
          <w:p w14:paraId="2D264322" w14:textId="77777777" w:rsidR="007B4CD0" w:rsidRPr="004D2E46" w:rsidRDefault="007B4CD0" w:rsidP="00661366">
            <w:pPr>
              <w:pStyle w:val="Tabletext0"/>
              <w:rPr>
                <w:lang w:eastAsia="en-US"/>
              </w:rPr>
            </w:pPr>
            <w:r w:rsidRPr="004D2E46">
              <w:rPr>
                <w:lang w:eastAsia="en-US"/>
              </w:rPr>
              <w:t>Amended or re-enacted laws</w:t>
            </w:r>
          </w:p>
        </w:tc>
        <w:tc>
          <w:tcPr>
            <w:tcW w:w="3066" w:type="dxa"/>
          </w:tcPr>
          <w:p w14:paraId="2FEA3590" w14:textId="43596C5B" w:rsidR="007B4CD0" w:rsidRPr="004D2E46" w:rsidRDefault="007B4CD0" w:rsidP="00661366">
            <w:pPr>
              <w:pStyle w:val="Tabletext0"/>
              <w:rPr>
                <w:lang w:eastAsia="en-US"/>
              </w:rPr>
            </w:pPr>
            <w:r w:rsidRPr="004D2E46">
              <w:rPr>
                <w:lang w:eastAsia="en-US"/>
              </w:rPr>
              <w:t xml:space="preserve">Where an Act refers to another Act’s short title as originally enacted, it is taken </w:t>
            </w:r>
            <w:r w:rsidR="005F07A1">
              <w:rPr>
                <w:lang w:eastAsia="en-US"/>
              </w:rPr>
              <w:t>to refer</w:t>
            </w:r>
            <w:r w:rsidRPr="004D2E46">
              <w:rPr>
                <w:lang w:eastAsia="en-US"/>
              </w:rPr>
              <w:t xml:space="preserve"> to the second Act as enacted and amended from time to time. </w:t>
            </w:r>
          </w:p>
        </w:tc>
        <w:tc>
          <w:tcPr>
            <w:tcW w:w="3067" w:type="dxa"/>
          </w:tcPr>
          <w:p w14:paraId="4715905B" w14:textId="1A383DA0" w:rsidR="007B4CD0" w:rsidRPr="004D2E46" w:rsidRDefault="007B4CD0" w:rsidP="00661366">
            <w:pPr>
              <w:pStyle w:val="Tabletext0"/>
              <w:rPr>
                <w:lang w:eastAsia="en-US"/>
              </w:rPr>
            </w:pPr>
            <w:r w:rsidRPr="004D2E46">
              <w:rPr>
                <w:lang w:eastAsia="en-US"/>
              </w:rPr>
              <w:t>Where an Act refers to another Act’s short title as originally enacted, it is</w:t>
            </w:r>
            <w:r>
              <w:rPr>
                <w:lang w:eastAsia="en-US"/>
              </w:rPr>
              <w:t xml:space="preserve"> also</w:t>
            </w:r>
            <w:r w:rsidRPr="004D2E46">
              <w:rPr>
                <w:lang w:eastAsia="en-US"/>
              </w:rPr>
              <w:t xml:space="preserve"> taken </w:t>
            </w:r>
            <w:r w:rsidR="005F07A1">
              <w:rPr>
                <w:lang w:eastAsia="en-US"/>
              </w:rPr>
              <w:t>to refer</w:t>
            </w:r>
            <w:r w:rsidRPr="004D2E46">
              <w:rPr>
                <w:lang w:eastAsia="en-US"/>
              </w:rPr>
              <w:t xml:space="preserve"> to </w:t>
            </w:r>
            <w:r w:rsidRPr="004D2E46">
              <w:rPr>
                <w:b/>
                <w:lang w:eastAsia="en-US"/>
              </w:rPr>
              <w:t>any provisions in the second Act that have been repealed and re-enacted</w:t>
            </w:r>
            <w:r w:rsidRPr="004D2E46">
              <w:rPr>
                <w:lang w:eastAsia="en-US"/>
              </w:rPr>
              <w:t>.</w:t>
            </w:r>
          </w:p>
        </w:tc>
      </w:tr>
      <w:tr w:rsidR="007B4CD0" w14:paraId="50645590" w14:textId="77777777" w:rsidTr="00661366">
        <w:tblPrEx>
          <w:tblLook w:val="04A0" w:firstRow="1" w:lastRow="0" w:firstColumn="1" w:lastColumn="0" w:noHBand="0" w:noVBand="1"/>
        </w:tblPrEx>
        <w:tc>
          <w:tcPr>
            <w:tcW w:w="1568" w:type="dxa"/>
          </w:tcPr>
          <w:p w14:paraId="0E37DC70" w14:textId="77777777" w:rsidR="007B4CD0" w:rsidRPr="004D2E46" w:rsidRDefault="007B4CD0" w:rsidP="00661366">
            <w:pPr>
              <w:pStyle w:val="Tabletext0"/>
              <w:rPr>
                <w:lang w:eastAsia="en-US"/>
              </w:rPr>
            </w:pPr>
            <w:r w:rsidRPr="004D2E46">
              <w:rPr>
                <w:lang w:eastAsia="en-US"/>
              </w:rPr>
              <w:t>Headings and examples</w:t>
            </w:r>
          </w:p>
        </w:tc>
        <w:tc>
          <w:tcPr>
            <w:tcW w:w="3066" w:type="dxa"/>
          </w:tcPr>
          <w:p w14:paraId="10105C07" w14:textId="0FE412C8" w:rsidR="007B4CD0" w:rsidRPr="004D2E46" w:rsidRDefault="007B4CD0" w:rsidP="00661366">
            <w:pPr>
              <w:pStyle w:val="Tabletext0"/>
              <w:rPr>
                <w:lang w:eastAsia="en-US"/>
              </w:rPr>
            </w:pPr>
            <w:r w:rsidRPr="004D2E46">
              <w:rPr>
                <w:lang w:eastAsia="en-US"/>
              </w:rPr>
              <w:t xml:space="preserve">Headings </w:t>
            </w:r>
            <w:r w:rsidRPr="004D2E46">
              <w:rPr>
                <w:b/>
                <w:lang w:eastAsia="en-US"/>
              </w:rPr>
              <w:t>are not</w:t>
            </w:r>
            <w:r w:rsidRPr="004D2E46">
              <w:rPr>
                <w:lang w:eastAsia="en-US"/>
              </w:rPr>
              <w:t xml:space="preserve"> part of the Act</w:t>
            </w:r>
            <w:r w:rsidR="00D02FC8">
              <w:rPr>
                <w:lang w:eastAsia="en-US"/>
              </w:rPr>
              <w:t>. A</w:t>
            </w:r>
            <w:r w:rsidRPr="004D2E46" w:rsidDel="00D02FC8">
              <w:rPr>
                <w:lang w:eastAsia="en-US"/>
              </w:rPr>
              <w:t xml:space="preserve"> </w:t>
            </w:r>
            <w:r w:rsidRPr="004D2E46">
              <w:rPr>
                <w:lang w:eastAsia="en-US"/>
              </w:rPr>
              <w:t>provision prevails over an example in the event of any inconsistency.</w:t>
            </w:r>
          </w:p>
        </w:tc>
        <w:tc>
          <w:tcPr>
            <w:tcW w:w="3067" w:type="dxa"/>
          </w:tcPr>
          <w:p w14:paraId="5EA739E1" w14:textId="5E6EFEB1" w:rsidR="007B4CD0" w:rsidRPr="004D2E46" w:rsidRDefault="007B4CD0" w:rsidP="00661366">
            <w:pPr>
              <w:pStyle w:val="Tabletext0"/>
              <w:rPr>
                <w:lang w:eastAsia="en-US"/>
              </w:rPr>
            </w:pPr>
            <w:r w:rsidRPr="004D2E46">
              <w:rPr>
                <w:lang w:eastAsia="en-US"/>
              </w:rPr>
              <w:t xml:space="preserve">Headings </w:t>
            </w:r>
            <w:r w:rsidRPr="004D2E46">
              <w:rPr>
                <w:b/>
                <w:lang w:eastAsia="en-US"/>
              </w:rPr>
              <w:t>are</w:t>
            </w:r>
            <w:r w:rsidRPr="004D2E46">
              <w:rPr>
                <w:lang w:eastAsia="en-US"/>
              </w:rPr>
              <w:t xml:space="preserve"> part of the Act</w:t>
            </w:r>
            <w:r w:rsidR="00D02FC8">
              <w:rPr>
                <w:lang w:eastAsia="en-US"/>
              </w:rPr>
              <w:t>.</w:t>
            </w:r>
            <w:r w:rsidRPr="004D2E46">
              <w:rPr>
                <w:lang w:eastAsia="en-US"/>
              </w:rPr>
              <w:t xml:space="preserve"> </w:t>
            </w:r>
            <w:r w:rsidR="00D02FC8">
              <w:rPr>
                <w:lang w:eastAsia="en-US"/>
              </w:rPr>
              <w:t>E</w:t>
            </w:r>
            <w:r w:rsidRPr="004D2E46">
              <w:rPr>
                <w:lang w:eastAsia="en-US"/>
              </w:rPr>
              <w:t xml:space="preserve">xamples </w:t>
            </w:r>
            <w:r w:rsidRPr="004D2E46">
              <w:rPr>
                <w:b/>
                <w:lang w:eastAsia="en-US"/>
              </w:rPr>
              <w:t>may extend</w:t>
            </w:r>
            <w:r w:rsidRPr="004D2E46">
              <w:rPr>
                <w:lang w:eastAsia="en-US"/>
              </w:rPr>
              <w:t xml:space="preserve"> a provision’s operation.</w:t>
            </w:r>
          </w:p>
        </w:tc>
      </w:tr>
      <w:tr w:rsidR="007B4CD0" w14:paraId="0A824163" w14:textId="77777777" w:rsidTr="00661366">
        <w:tblPrEx>
          <w:tblLook w:val="04A0" w:firstRow="1" w:lastRow="0" w:firstColumn="1" w:lastColumn="0" w:noHBand="0" w:noVBand="1"/>
        </w:tblPrEx>
        <w:tc>
          <w:tcPr>
            <w:tcW w:w="1568" w:type="dxa"/>
          </w:tcPr>
          <w:p w14:paraId="34335393" w14:textId="77777777" w:rsidR="007B4CD0" w:rsidRPr="004D2E46" w:rsidRDefault="007B4CD0" w:rsidP="00661366">
            <w:pPr>
              <w:pStyle w:val="Tabletext0"/>
              <w:rPr>
                <w:lang w:eastAsia="en-US"/>
              </w:rPr>
            </w:pPr>
            <w:r w:rsidRPr="004D2E46">
              <w:rPr>
                <w:lang w:eastAsia="en-US"/>
              </w:rPr>
              <w:t xml:space="preserve">Alphabetical insertion </w:t>
            </w:r>
          </w:p>
          <w:p w14:paraId="3019F536" w14:textId="77777777" w:rsidR="007B4CD0" w:rsidRPr="004D2E46" w:rsidRDefault="007B4CD0" w:rsidP="00661366">
            <w:pPr>
              <w:pStyle w:val="Tabletext0"/>
              <w:rPr>
                <w:lang w:eastAsia="en-US"/>
              </w:rPr>
            </w:pPr>
          </w:p>
        </w:tc>
        <w:tc>
          <w:tcPr>
            <w:tcW w:w="3066" w:type="dxa"/>
          </w:tcPr>
          <w:p w14:paraId="6EE0E50B" w14:textId="4478236E" w:rsidR="007B4CD0" w:rsidRPr="004D2E46" w:rsidRDefault="007B4CD0" w:rsidP="00661366">
            <w:pPr>
              <w:pStyle w:val="Tabletext0"/>
              <w:rPr>
                <w:lang w:eastAsia="en-US"/>
              </w:rPr>
            </w:pPr>
            <w:r w:rsidRPr="004D2E46">
              <w:rPr>
                <w:lang w:eastAsia="en-US"/>
              </w:rPr>
              <w:t xml:space="preserve">Definitions are to </w:t>
            </w:r>
            <w:proofErr w:type="gramStart"/>
            <w:r w:rsidRPr="004D2E46">
              <w:rPr>
                <w:lang w:eastAsia="en-US"/>
              </w:rPr>
              <w:t>inserted</w:t>
            </w:r>
            <w:proofErr w:type="gramEnd"/>
            <w:r w:rsidRPr="004D2E46">
              <w:rPr>
                <w:lang w:eastAsia="en-US"/>
              </w:rPr>
              <w:t xml:space="preserve"> in appropriate alphabetical position.</w:t>
            </w:r>
          </w:p>
        </w:tc>
        <w:tc>
          <w:tcPr>
            <w:tcW w:w="3067" w:type="dxa"/>
          </w:tcPr>
          <w:p w14:paraId="44BFBB53" w14:textId="77777777" w:rsidR="007B4CD0" w:rsidRPr="004D2E46" w:rsidRDefault="007B4CD0" w:rsidP="00661366">
            <w:pPr>
              <w:pStyle w:val="Tabletext0"/>
              <w:rPr>
                <w:lang w:eastAsia="en-US"/>
              </w:rPr>
            </w:pPr>
            <w:r w:rsidRPr="004D2E46">
              <w:rPr>
                <w:lang w:eastAsia="en-US"/>
              </w:rPr>
              <w:t>New items inserted into existing lists or tables are inserted in the appropriate alphabetical position.</w:t>
            </w:r>
          </w:p>
        </w:tc>
      </w:tr>
      <w:tr w:rsidR="007B4CD0" w14:paraId="6EB14164" w14:textId="77777777" w:rsidTr="00661366">
        <w:tblPrEx>
          <w:tblLook w:val="04A0" w:firstRow="1" w:lastRow="0" w:firstColumn="1" w:lastColumn="0" w:noHBand="0" w:noVBand="1"/>
        </w:tblPrEx>
        <w:tc>
          <w:tcPr>
            <w:tcW w:w="1568" w:type="dxa"/>
          </w:tcPr>
          <w:p w14:paraId="42132B76" w14:textId="77777777" w:rsidR="007B4CD0" w:rsidRPr="004D2E46" w:rsidRDefault="007B4CD0" w:rsidP="00661366">
            <w:pPr>
              <w:pStyle w:val="Tabletext0"/>
              <w:rPr>
                <w:lang w:eastAsia="en-US"/>
              </w:rPr>
            </w:pPr>
            <w:r w:rsidRPr="004D2E46">
              <w:rPr>
                <w:lang w:eastAsia="en-US"/>
              </w:rPr>
              <w:t xml:space="preserve">Purposive construction </w:t>
            </w:r>
          </w:p>
        </w:tc>
        <w:tc>
          <w:tcPr>
            <w:tcW w:w="3066" w:type="dxa"/>
          </w:tcPr>
          <w:p w14:paraId="7477260E" w14:textId="206EF69E" w:rsidR="007B4CD0" w:rsidRPr="004D2E46" w:rsidRDefault="007B4CD0" w:rsidP="00661366">
            <w:pPr>
              <w:pStyle w:val="Tabletext0"/>
              <w:rPr>
                <w:lang w:eastAsia="en-US"/>
              </w:rPr>
            </w:pPr>
            <w:r w:rsidRPr="004D2E46">
              <w:rPr>
                <w:lang w:eastAsia="en-US"/>
              </w:rPr>
              <w:t xml:space="preserve">Prefer </w:t>
            </w:r>
            <w:r w:rsidR="00D02FC8">
              <w:rPr>
                <w:lang w:eastAsia="en-US"/>
              </w:rPr>
              <w:t>a</w:t>
            </w:r>
            <w:r w:rsidR="00D02FC8" w:rsidRPr="004D2E46">
              <w:rPr>
                <w:lang w:eastAsia="en-US"/>
              </w:rPr>
              <w:t xml:space="preserve"> </w:t>
            </w:r>
            <w:r w:rsidRPr="004D2E46">
              <w:rPr>
                <w:lang w:eastAsia="en-US"/>
              </w:rPr>
              <w:t xml:space="preserve">construction that </w:t>
            </w:r>
            <w:r w:rsidRPr="00F307F0">
              <w:rPr>
                <w:b/>
                <w:bCs/>
                <w:lang w:eastAsia="en-US"/>
              </w:rPr>
              <w:t>promote</w:t>
            </w:r>
            <w:r w:rsidR="00D02FC8">
              <w:rPr>
                <w:b/>
                <w:bCs/>
                <w:lang w:eastAsia="en-US"/>
              </w:rPr>
              <w:t>s</w:t>
            </w:r>
            <w:r w:rsidRPr="004D2E46">
              <w:rPr>
                <w:lang w:eastAsia="en-US"/>
              </w:rPr>
              <w:t xml:space="preserve"> </w:t>
            </w:r>
            <w:r w:rsidRPr="004D2E46" w:rsidDel="00D02FC8">
              <w:rPr>
                <w:lang w:eastAsia="en-US"/>
              </w:rPr>
              <w:t xml:space="preserve">the </w:t>
            </w:r>
            <w:r w:rsidR="00D02FC8">
              <w:rPr>
                <w:lang w:eastAsia="en-US"/>
              </w:rPr>
              <w:t>Act’s</w:t>
            </w:r>
            <w:r w:rsidR="00D02FC8" w:rsidRPr="004D2E46">
              <w:rPr>
                <w:lang w:eastAsia="en-US"/>
              </w:rPr>
              <w:t xml:space="preserve"> </w:t>
            </w:r>
            <w:r w:rsidRPr="004D2E46">
              <w:rPr>
                <w:lang w:eastAsia="en-US"/>
              </w:rPr>
              <w:t xml:space="preserve">purpose. </w:t>
            </w:r>
          </w:p>
        </w:tc>
        <w:tc>
          <w:tcPr>
            <w:tcW w:w="3067" w:type="dxa"/>
          </w:tcPr>
          <w:p w14:paraId="19FBDF46" w14:textId="37A54E91" w:rsidR="007B4CD0" w:rsidRPr="004D2E46" w:rsidRDefault="007B4CD0" w:rsidP="00661366">
            <w:pPr>
              <w:pStyle w:val="Tabletext0"/>
              <w:rPr>
                <w:lang w:eastAsia="en-US"/>
              </w:rPr>
            </w:pPr>
            <w:r w:rsidRPr="004D2E46">
              <w:rPr>
                <w:lang w:eastAsia="en-US"/>
              </w:rPr>
              <w:t xml:space="preserve">Prefer </w:t>
            </w:r>
            <w:r w:rsidR="00D02FC8">
              <w:rPr>
                <w:lang w:eastAsia="en-US"/>
              </w:rPr>
              <w:t>a</w:t>
            </w:r>
            <w:r w:rsidR="00D02FC8" w:rsidRPr="004D2E46">
              <w:rPr>
                <w:lang w:eastAsia="en-US"/>
              </w:rPr>
              <w:t xml:space="preserve"> </w:t>
            </w:r>
            <w:r w:rsidRPr="004D2E46">
              <w:rPr>
                <w:lang w:eastAsia="en-US"/>
              </w:rPr>
              <w:t>construction that ‘</w:t>
            </w:r>
            <w:r w:rsidRPr="00F307F0">
              <w:rPr>
                <w:b/>
                <w:bCs/>
                <w:lang w:eastAsia="en-US"/>
              </w:rPr>
              <w:t>best</w:t>
            </w:r>
            <w:r w:rsidRPr="004D2E46">
              <w:rPr>
                <w:lang w:eastAsia="en-US"/>
              </w:rPr>
              <w:t xml:space="preserve"> </w:t>
            </w:r>
            <w:r w:rsidRPr="00F307F0">
              <w:rPr>
                <w:b/>
                <w:bCs/>
                <w:lang w:eastAsia="en-US"/>
              </w:rPr>
              <w:t>achieves’</w:t>
            </w:r>
            <w:r w:rsidRPr="004D2E46">
              <w:rPr>
                <w:lang w:eastAsia="en-US"/>
              </w:rPr>
              <w:t xml:space="preserve"> the Act’s purpose.</w:t>
            </w:r>
          </w:p>
        </w:tc>
      </w:tr>
      <w:tr w:rsidR="007B4CD0" w14:paraId="17B70E5B" w14:textId="77777777" w:rsidTr="00661366">
        <w:tblPrEx>
          <w:tblLook w:val="04A0" w:firstRow="1" w:lastRow="0" w:firstColumn="1" w:lastColumn="0" w:noHBand="0" w:noVBand="1"/>
        </w:tblPrEx>
        <w:tc>
          <w:tcPr>
            <w:tcW w:w="1568" w:type="dxa"/>
          </w:tcPr>
          <w:p w14:paraId="212685AD" w14:textId="5E3C1616" w:rsidR="007B4CD0" w:rsidRPr="004D2E46" w:rsidRDefault="007B4CD0" w:rsidP="00661366">
            <w:pPr>
              <w:pStyle w:val="Tabletext0"/>
              <w:rPr>
                <w:lang w:eastAsia="en-US"/>
              </w:rPr>
            </w:pPr>
            <w:r w:rsidRPr="00726D17">
              <w:rPr>
                <w:lang w:eastAsia="en-US"/>
              </w:rPr>
              <w:t>Reference</w:t>
            </w:r>
            <w:r w:rsidR="005F07A1">
              <w:rPr>
                <w:lang w:eastAsia="en-US"/>
              </w:rPr>
              <w:t>s</w:t>
            </w:r>
            <w:r w:rsidRPr="004D2E46">
              <w:rPr>
                <w:lang w:eastAsia="en-US"/>
              </w:rPr>
              <w:t xml:space="preserve"> to Minister</w:t>
            </w:r>
          </w:p>
        </w:tc>
        <w:tc>
          <w:tcPr>
            <w:tcW w:w="3066" w:type="dxa"/>
          </w:tcPr>
          <w:p w14:paraId="5DE30A7F" w14:textId="77777777" w:rsidR="007B4CD0" w:rsidRPr="004D2E46" w:rsidRDefault="007B4CD0" w:rsidP="00661366">
            <w:pPr>
              <w:pStyle w:val="Tabletext0"/>
              <w:rPr>
                <w:lang w:eastAsia="en-US"/>
              </w:rPr>
            </w:pPr>
            <w:r w:rsidRPr="004D2E46">
              <w:rPr>
                <w:lang w:eastAsia="en-US"/>
              </w:rPr>
              <w:t>N/A</w:t>
            </w:r>
          </w:p>
          <w:p w14:paraId="6A16A35E" w14:textId="77777777" w:rsidR="007B4CD0" w:rsidRPr="004D2E46" w:rsidRDefault="007B4CD0" w:rsidP="00661366">
            <w:pPr>
              <w:pStyle w:val="Tabletext0"/>
              <w:rPr>
                <w:lang w:eastAsia="en-US"/>
              </w:rPr>
            </w:pPr>
          </w:p>
        </w:tc>
        <w:tc>
          <w:tcPr>
            <w:tcW w:w="3067" w:type="dxa"/>
          </w:tcPr>
          <w:p w14:paraId="0186494F" w14:textId="1ED4FD5D" w:rsidR="007B4CD0" w:rsidRPr="004D2E46" w:rsidRDefault="007B4CD0" w:rsidP="00661366">
            <w:pPr>
              <w:pStyle w:val="Tabletext0"/>
              <w:rPr>
                <w:lang w:eastAsia="en-US"/>
              </w:rPr>
            </w:pPr>
            <w:r w:rsidRPr="004D2E46">
              <w:rPr>
                <w:lang w:eastAsia="en-US"/>
              </w:rPr>
              <w:t xml:space="preserve">Allows for </w:t>
            </w:r>
            <w:r w:rsidRPr="004D2E46">
              <w:rPr>
                <w:b/>
                <w:lang w:eastAsia="en-US"/>
              </w:rPr>
              <w:t>retrospective</w:t>
            </w:r>
            <w:r w:rsidRPr="004D2E46">
              <w:rPr>
                <w:lang w:eastAsia="en-US"/>
              </w:rPr>
              <w:t xml:space="preserve"> orders substituting a reference to a Minister </w:t>
            </w:r>
            <w:r w:rsidR="005F07A1">
              <w:rPr>
                <w:lang w:eastAsia="en-US"/>
              </w:rPr>
              <w:t>with</w:t>
            </w:r>
            <w:r w:rsidR="00D02FC8" w:rsidRPr="004D2E46">
              <w:rPr>
                <w:lang w:eastAsia="en-US"/>
              </w:rPr>
              <w:t xml:space="preserve"> </w:t>
            </w:r>
            <w:r w:rsidRPr="004D2E46">
              <w:rPr>
                <w:lang w:eastAsia="en-US"/>
              </w:rPr>
              <w:t xml:space="preserve">a reference to a different Minister. </w:t>
            </w:r>
          </w:p>
        </w:tc>
      </w:tr>
      <w:tr w:rsidR="007B4CD0" w14:paraId="235E7E35" w14:textId="77777777" w:rsidTr="00661366">
        <w:tblPrEx>
          <w:tblLook w:val="04A0" w:firstRow="1" w:lastRow="0" w:firstColumn="1" w:lastColumn="0" w:noHBand="0" w:noVBand="1"/>
        </w:tblPrEx>
        <w:tc>
          <w:tcPr>
            <w:tcW w:w="1568" w:type="dxa"/>
          </w:tcPr>
          <w:p w14:paraId="654A0FDF" w14:textId="77777777" w:rsidR="007B4CD0" w:rsidRPr="004D2E46" w:rsidRDefault="007B4CD0" w:rsidP="00661366">
            <w:pPr>
              <w:pStyle w:val="Tabletext0"/>
              <w:rPr>
                <w:lang w:eastAsia="en-US"/>
              </w:rPr>
            </w:pPr>
            <w:r w:rsidRPr="004D2E46">
              <w:rPr>
                <w:b/>
                <w:i/>
                <w:lang w:eastAsia="en-US"/>
              </w:rPr>
              <w:t>Calendar month</w:t>
            </w:r>
          </w:p>
        </w:tc>
        <w:tc>
          <w:tcPr>
            <w:tcW w:w="3066" w:type="dxa"/>
          </w:tcPr>
          <w:p w14:paraId="654FCCFB" w14:textId="6F5D78FB" w:rsidR="007B4CD0" w:rsidRPr="004D2E46" w:rsidRDefault="007B4CD0" w:rsidP="00661366">
            <w:pPr>
              <w:pStyle w:val="Tabletext0"/>
              <w:rPr>
                <w:lang w:eastAsia="en-US"/>
              </w:rPr>
            </w:pPr>
            <w:r w:rsidRPr="004D2E46">
              <w:rPr>
                <w:lang w:eastAsia="en-US"/>
              </w:rPr>
              <w:t>‘Month’ means the period between the day of one month and the corresponding date of the next month.</w:t>
            </w:r>
          </w:p>
        </w:tc>
        <w:tc>
          <w:tcPr>
            <w:tcW w:w="3067" w:type="dxa"/>
          </w:tcPr>
          <w:p w14:paraId="41779366" w14:textId="77777777" w:rsidR="007B4CD0" w:rsidRPr="004D2E46" w:rsidRDefault="007B4CD0" w:rsidP="00661366">
            <w:pPr>
              <w:pStyle w:val="Tabletext0"/>
              <w:rPr>
                <w:lang w:eastAsia="en-US"/>
              </w:rPr>
            </w:pPr>
            <w:r w:rsidRPr="004D2E46">
              <w:rPr>
                <w:lang w:eastAsia="en-US"/>
              </w:rPr>
              <w:t xml:space="preserve">‘Calendar month’ means one of the 12 months of the year. ‘Month’ means the period between the day of one month and the corresponding date of the next month. </w:t>
            </w:r>
          </w:p>
        </w:tc>
      </w:tr>
      <w:tr w:rsidR="007B4CD0" w14:paraId="12B8C7B8" w14:textId="77777777" w:rsidTr="00661366">
        <w:tblPrEx>
          <w:tblLook w:val="04A0" w:firstRow="1" w:lastRow="0" w:firstColumn="1" w:lastColumn="0" w:noHBand="0" w:noVBand="1"/>
        </w:tblPrEx>
        <w:tc>
          <w:tcPr>
            <w:tcW w:w="1568" w:type="dxa"/>
          </w:tcPr>
          <w:p w14:paraId="7B1C7C09" w14:textId="77777777" w:rsidR="007B4CD0" w:rsidRPr="004D2E46" w:rsidRDefault="007B4CD0" w:rsidP="00661366">
            <w:pPr>
              <w:pStyle w:val="Tabletext0"/>
              <w:rPr>
                <w:b/>
                <w:i/>
                <w:lang w:eastAsia="en-US"/>
              </w:rPr>
            </w:pPr>
            <w:r w:rsidRPr="004D2E46">
              <w:rPr>
                <w:lang w:eastAsia="en-US"/>
              </w:rPr>
              <w:lastRenderedPageBreak/>
              <w:t xml:space="preserve">Meaning of </w:t>
            </w:r>
            <w:r w:rsidRPr="004D2E46">
              <w:rPr>
                <w:b/>
                <w:i/>
                <w:lang w:eastAsia="en-US"/>
              </w:rPr>
              <w:t>document</w:t>
            </w:r>
          </w:p>
          <w:p w14:paraId="0ECF5BBC" w14:textId="77777777" w:rsidR="007B4CD0" w:rsidRPr="004D2E46" w:rsidRDefault="007B4CD0" w:rsidP="00661366">
            <w:pPr>
              <w:pStyle w:val="Tabletext0"/>
              <w:rPr>
                <w:lang w:eastAsia="en-US"/>
              </w:rPr>
            </w:pPr>
          </w:p>
        </w:tc>
        <w:tc>
          <w:tcPr>
            <w:tcW w:w="3066" w:type="dxa"/>
          </w:tcPr>
          <w:p w14:paraId="43FEF584" w14:textId="77777777" w:rsidR="007B4CD0" w:rsidRPr="004D2E46" w:rsidRDefault="007B4CD0" w:rsidP="00661366">
            <w:pPr>
              <w:pStyle w:val="Tabletext0"/>
              <w:rPr>
                <w:lang w:eastAsia="en-US"/>
              </w:rPr>
            </w:pPr>
            <w:r w:rsidRPr="004D2E46">
              <w:rPr>
                <w:lang w:eastAsia="en-US"/>
              </w:rPr>
              <w:t>N/A</w:t>
            </w:r>
          </w:p>
        </w:tc>
        <w:tc>
          <w:tcPr>
            <w:tcW w:w="3067" w:type="dxa"/>
          </w:tcPr>
          <w:p w14:paraId="37C16E7F" w14:textId="5FC12108" w:rsidR="007B4CD0" w:rsidRPr="004D2E46" w:rsidRDefault="007B4CD0" w:rsidP="00661366">
            <w:pPr>
              <w:pStyle w:val="Tabletext0"/>
              <w:rPr>
                <w:lang w:eastAsia="en-US"/>
              </w:rPr>
            </w:pPr>
            <w:r w:rsidRPr="004D2E46">
              <w:rPr>
                <w:lang w:eastAsia="en-US"/>
              </w:rPr>
              <w:t>The definition of ‘document’ explicitly includes a map, plan, drawing or photograph.</w:t>
            </w:r>
          </w:p>
        </w:tc>
      </w:tr>
      <w:tr w:rsidR="007B4CD0" w14:paraId="375FBC0B" w14:textId="77777777" w:rsidTr="00661366">
        <w:tblPrEx>
          <w:tblLook w:val="04A0" w:firstRow="1" w:lastRow="0" w:firstColumn="1" w:lastColumn="0" w:noHBand="0" w:noVBand="1"/>
        </w:tblPrEx>
        <w:tc>
          <w:tcPr>
            <w:tcW w:w="1568" w:type="dxa"/>
          </w:tcPr>
          <w:p w14:paraId="55D29F8E" w14:textId="77777777" w:rsidR="007B4CD0" w:rsidRPr="004D2E46" w:rsidRDefault="007B4CD0" w:rsidP="00661366">
            <w:pPr>
              <w:pStyle w:val="Tabletext0"/>
              <w:rPr>
                <w:lang w:eastAsia="en-US"/>
              </w:rPr>
            </w:pPr>
            <w:r w:rsidRPr="004D2E46">
              <w:rPr>
                <w:lang w:eastAsia="en-US"/>
              </w:rPr>
              <w:t>Other definitions</w:t>
            </w:r>
          </w:p>
        </w:tc>
        <w:tc>
          <w:tcPr>
            <w:tcW w:w="3066" w:type="dxa"/>
          </w:tcPr>
          <w:p w14:paraId="0C3FEFE4" w14:textId="77777777" w:rsidR="007B4CD0" w:rsidRPr="004D2E46" w:rsidRDefault="007B4CD0" w:rsidP="00661366">
            <w:pPr>
              <w:pStyle w:val="Tabletext0"/>
              <w:rPr>
                <w:b/>
                <w:lang w:eastAsia="en-US"/>
              </w:rPr>
            </w:pPr>
            <w:r w:rsidRPr="004D2E46">
              <w:rPr>
                <w:b/>
                <w:i/>
                <w:lang w:eastAsia="en-US"/>
              </w:rPr>
              <w:t xml:space="preserve">Court of summary jurisdiction </w:t>
            </w:r>
            <w:r w:rsidRPr="004D2E46">
              <w:rPr>
                <w:lang w:eastAsia="en-US"/>
              </w:rPr>
              <w:t>includes a reference to Commonwealth magistrates</w:t>
            </w:r>
          </w:p>
          <w:p w14:paraId="0BE2C77C" w14:textId="667B4796" w:rsidR="007B4CD0" w:rsidRPr="004D2E46" w:rsidRDefault="007B4CD0" w:rsidP="00661366">
            <w:pPr>
              <w:pStyle w:val="Tabletext0"/>
              <w:rPr>
                <w:b/>
                <w:i/>
                <w:lang w:eastAsia="en-US"/>
              </w:rPr>
            </w:pPr>
            <w:r w:rsidRPr="004D2E46">
              <w:rPr>
                <w:b/>
                <w:i/>
                <w:lang w:eastAsia="en-US"/>
              </w:rPr>
              <w:t>Gazette</w:t>
            </w:r>
            <w:r w:rsidRPr="004D2E46">
              <w:rPr>
                <w:lang w:eastAsia="en-US"/>
              </w:rPr>
              <w:t xml:space="preserve"> includes a reference to a previous name of </w:t>
            </w:r>
            <w:r w:rsidR="00BA7062">
              <w:rPr>
                <w:lang w:eastAsia="en-US"/>
              </w:rPr>
              <w:t xml:space="preserve">the </w:t>
            </w:r>
            <w:r w:rsidRPr="004D2E46">
              <w:rPr>
                <w:lang w:eastAsia="en-US"/>
              </w:rPr>
              <w:t>Gazette.</w:t>
            </w:r>
          </w:p>
          <w:p w14:paraId="160BA8BB" w14:textId="77777777" w:rsidR="007B4CD0" w:rsidRPr="004D2E46" w:rsidRDefault="007B4CD0" w:rsidP="00661366">
            <w:pPr>
              <w:pStyle w:val="Tabletext0"/>
              <w:rPr>
                <w:lang w:eastAsia="en-US"/>
              </w:rPr>
            </w:pPr>
            <w:r w:rsidRPr="004D2E46">
              <w:rPr>
                <w:b/>
                <w:i/>
                <w:lang w:eastAsia="en-US"/>
              </w:rPr>
              <w:t xml:space="preserve">Minister or Minister of State </w:t>
            </w:r>
            <w:r w:rsidRPr="004D2E46">
              <w:rPr>
                <w:lang w:eastAsia="en-US"/>
              </w:rPr>
              <w:t>means one of the King’s Ministers of State for the Commonwealth.</w:t>
            </w:r>
          </w:p>
          <w:p w14:paraId="5854C8C0" w14:textId="77777777" w:rsidR="007B4CD0" w:rsidRPr="004D2E46" w:rsidRDefault="007B4CD0" w:rsidP="00661366">
            <w:pPr>
              <w:pStyle w:val="Tabletext0"/>
              <w:rPr>
                <w:lang w:eastAsia="en-US"/>
              </w:rPr>
            </w:pPr>
            <w:r w:rsidRPr="004D2E46">
              <w:rPr>
                <w:b/>
                <w:i/>
                <w:lang w:eastAsia="en-US"/>
              </w:rPr>
              <w:t>Territory, Territory of the Commonwealth, Territory under the authority of the Commonwealth or Territory of Australia</w:t>
            </w:r>
            <w:r w:rsidRPr="004D2E46">
              <w:rPr>
                <w:lang w:eastAsia="en-US"/>
              </w:rPr>
              <w:t xml:space="preserve"> includes ‘a Territory administered by the Commonwealth under a Trusteeship Agreement’</w:t>
            </w:r>
          </w:p>
        </w:tc>
        <w:tc>
          <w:tcPr>
            <w:tcW w:w="3067" w:type="dxa"/>
          </w:tcPr>
          <w:p w14:paraId="47A65E24" w14:textId="77777777" w:rsidR="007B4CD0" w:rsidRPr="004D2E46" w:rsidRDefault="007B4CD0" w:rsidP="00661366">
            <w:pPr>
              <w:pStyle w:val="Tabletext0"/>
              <w:rPr>
                <w:lang w:eastAsia="en-US"/>
              </w:rPr>
            </w:pPr>
            <w:r w:rsidRPr="004D2E46">
              <w:rPr>
                <w:b/>
                <w:i/>
                <w:lang w:eastAsia="en-US"/>
              </w:rPr>
              <w:t>Court of summary jurisdiction</w:t>
            </w:r>
            <w:r w:rsidRPr="004D2E46">
              <w:rPr>
                <w:lang w:eastAsia="en-US"/>
              </w:rPr>
              <w:t xml:space="preserve"> means any justice of the peace, or magistrate of a State or Territory</w:t>
            </w:r>
          </w:p>
          <w:p w14:paraId="54767699" w14:textId="77777777" w:rsidR="007B4CD0" w:rsidRPr="004D2E46" w:rsidRDefault="007B4CD0" w:rsidP="00661366">
            <w:pPr>
              <w:pStyle w:val="Tabletext0"/>
              <w:rPr>
                <w:b/>
                <w:i/>
                <w:lang w:eastAsia="en-US"/>
              </w:rPr>
            </w:pPr>
            <w:r w:rsidRPr="004D2E46">
              <w:rPr>
                <w:b/>
                <w:i/>
                <w:lang w:eastAsia="en-US"/>
              </w:rPr>
              <w:t>Gazette</w:t>
            </w:r>
            <w:r w:rsidRPr="004D2E46">
              <w:rPr>
                <w:i/>
                <w:lang w:eastAsia="en-US"/>
              </w:rPr>
              <w:t xml:space="preserve"> </w:t>
            </w:r>
            <w:r w:rsidRPr="004D2E46">
              <w:rPr>
                <w:lang w:eastAsia="en-US"/>
              </w:rPr>
              <w:t xml:space="preserve">means the </w:t>
            </w:r>
            <w:r w:rsidRPr="004D2E46">
              <w:rPr>
                <w:i/>
                <w:lang w:eastAsia="en-US"/>
              </w:rPr>
              <w:t>Commonwealth of Australia Gazette.</w:t>
            </w:r>
          </w:p>
          <w:p w14:paraId="5FB0BE85" w14:textId="77777777" w:rsidR="007B4CD0" w:rsidRPr="004D2E46" w:rsidRDefault="007B4CD0" w:rsidP="00661366">
            <w:pPr>
              <w:pStyle w:val="Tabletext0"/>
              <w:rPr>
                <w:lang w:eastAsia="en-US"/>
              </w:rPr>
            </w:pPr>
            <w:r w:rsidRPr="004D2E46">
              <w:rPr>
                <w:b/>
                <w:i/>
                <w:lang w:eastAsia="en-US"/>
              </w:rPr>
              <w:t>Minister</w:t>
            </w:r>
            <w:r w:rsidRPr="004D2E46">
              <w:rPr>
                <w:lang w:eastAsia="en-US"/>
              </w:rPr>
              <w:t xml:space="preserve"> or </w:t>
            </w:r>
            <w:r w:rsidRPr="004D2E46">
              <w:rPr>
                <w:b/>
                <w:i/>
                <w:lang w:eastAsia="en-US"/>
              </w:rPr>
              <w:t xml:space="preserve">Minister of State </w:t>
            </w:r>
            <w:r w:rsidRPr="004D2E46">
              <w:rPr>
                <w:lang w:eastAsia="en-US"/>
              </w:rPr>
              <w:t>means one of the Ministers of State for the Commonwealth</w:t>
            </w:r>
          </w:p>
          <w:p w14:paraId="1A89E696" w14:textId="7E938E99" w:rsidR="007B4CD0" w:rsidRPr="004D2E46" w:rsidRDefault="007B4CD0" w:rsidP="00661366">
            <w:pPr>
              <w:pStyle w:val="Tabletext0"/>
              <w:rPr>
                <w:lang w:eastAsia="en-US"/>
              </w:rPr>
            </w:pPr>
            <w:r w:rsidRPr="004D2E46">
              <w:rPr>
                <w:b/>
                <w:i/>
                <w:lang w:eastAsia="en-US"/>
              </w:rPr>
              <w:t>Territory, Territory of the Commonwealth, Territory under the authority of the Commonwealth or Territory of Australia</w:t>
            </w:r>
            <w:r w:rsidRPr="004D2E46">
              <w:rPr>
                <w:b/>
                <w:lang w:eastAsia="en-US"/>
              </w:rPr>
              <w:t xml:space="preserve"> </w:t>
            </w:r>
            <w:r w:rsidRPr="004D2E46">
              <w:rPr>
                <w:lang w:eastAsia="en-US"/>
              </w:rPr>
              <w:t>means a territory referred to</w:t>
            </w:r>
            <w:r w:rsidR="00FA5B42">
              <w:rPr>
                <w:lang w:eastAsia="en-US"/>
              </w:rPr>
              <w:t xml:space="preserve"> in</w:t>
            </w:r>
            <w:r w:rsidRPr="004D2E46">
              <w:rPr>
                <w:lang w:eastAsia="en-US"/>
              </w:rPr>
              <w:t xml:space="preserve"> the Constitution</w:t>
            </w:r>
          </w:p>
        </w:tc>
      </w:tr>
      <w:tr w:rsidR="007B4CD0" w14:paraId="1BC42348" w14:textId="77777777" w:rsidTr="00661366">
        <w:tblPrEx>
          <w:tblLook w:val="04A0" w:firstRow="1" w:lastRow="0" w:firstColumn="1" w:lastColumn="0" w:noHBand="0" w:noVBand="1"/>
        </w:tblPrEx>
        <w:tc>
          <w:tcPr>
            <w:tcW w:w="1568" w:type="dxa"/>
          </w:tcPr>
          <w:p w14:paraId="6EBDCAA2" w14:textId="77777777" w:rsidR="007B4CD0" w:rsidRPr="004D2E46" w:rsidRDefault="007B4CD0" w:rsidP="00661366">
            <w:pPr>
              <w:pStyle w:val="Tabletext0"/>
              <w:rPr>
                <w:lang w:eastAsia="en-US"/>
              </w:rPr>
            </w:pPr>
            <w:r w:rsidRPr="004D2E46">
              <w:rPr>
                <w:lang w:eastAsia="en-US"/>
              </w:rPr>
              <w:t>New definitions</w:t>
            </w:r>
          </w:p>
        </w:tc>
        <w:tc>
          <w:tcPr>
            <w:tcW w:w="3066" w:type="dxa"/>
          </w:tcPr>
          <w:p w14:paraId="0213A47D" w14:textId="77777777" w:rsidR="007B4CD0" w:rsidRPr="004D2E46" w:rsidRDefault="007B4CD0" w:rsidP="00661366">
            <w:pPr>
              <w:pStyle w:val="Tabletext0"/>
              <w:rPr>
                <w:lang w:eastAsia="en-US"/>
              </w:rPr>
            </w:pPr>
            <w:r w:rsidRPr="004D2E46">
              <w:rPr>
                <w:lang w:eastAsia="en-US"/>
              </w:rPr>
              <w:t>N/A</w:t>
            </w:r>
          </w:p>
        </w:tc>
        <w:tc>
          <w:tcPr>
            <w:tcW w:w="3067" w:type="dxa"/>
          </w:tcPr>
          <w:p w14:paraId="4699F7CC" w14:textId="77777777" w:rsidR="007B4CD0" w:rsidRPr="004D2E46" w:rsidRDefault="007B4CD0" w:rsidP="00661366">
            <w:pPr>
              <w:pStyle w:val="Tabletext0"/>
              <w:rPr>
                <w:b/>
                <w:i/>
                <w:lang w:eastAsia="en-US"/>
              </w:rPr>
            </w:pPr>
            <w:r w:rsidRPr="004D2E46">
              <w:rPr>
                <w:b/>
                <w:i/>
                <w:lang w:eastAsia="en-US"/>
              </w:rPr>
              <w:t>Administrative Arrangements Order, Australian citizen, contiguous zone, continental shelf, exclusive economic zone, legislative instrument, notifiable instrument</w:t>
            </w:r>
            <w:r w:rsidRPr="004D2E46">
              <w:rPr>
                <w:lang w:eastAsia="en-US"/>
              </w:rPr>
              <w:t xml:space="preserve">, </w:t>
            </w:r>
            <w:r w:rsidRPr="004D2E46">
              <w:rPr>
                <w:b/>
                <w:i/>
                <w:lang w:eastAsia="en-US"/>
              </w:rPr>
              <w:t>penalty unit, Standards Australia, territorial sea</w:t>
            </w:r>
          </w:p>
        </w:tc>
      </w:tr>
      <w:tr w:rsidR="007B4CD0" w14:paraId="06BED542" w14:textId="77777777" w:rsidTr="00661366">
        <w:tblPrEx>
          <w:tblLook w:val="04A0" w:firstRow="1" w:lastRow="0" w:firstColumn="1" w:lastColumn="0" w:noHBand="0" w:noVBand="1"/>
        </w:tblPrEx>
        <w:tc>
          <w:tcPr>
            <w:tcW w:w="1568" w:type="dxa"/>
          </w:tcPr>
          <w:p w14:paraId="4E8A474A" w14:textId="67DDB820" w:rsidR="007B4CD0" w:rsidRPr="004D2E46" w:rsidRDefault="00BA7062" w:rsidP="00661366">
            <w:pPr>
              <w:pStyle w:val="Tabletext0"/>
              <w:rPr>
                <w:lang w:eastAsia="en-US"/>
              </w:rPr>
            </w:pPr>
            <w:r>
              <w:rPr>
                <w:lang w:eastAsia="en-US"/>
              </w:rPr>
              <w:t>Powers and functions</w:t>
            </w:r>
          </w:p>
        </w:tc>
        <w:tc>
          <w:tcPr>
            <w:tcW w:w="3066" w:type="dxa"/>
          </w:tcPr>
          <w:p w14:paraId="29DDBC53" w14:textId="3FED9897" w:rsidR="007B4CD0" w:rsidRPr="004D2E46" w:rsidRDefault="00BA7062" w:rsidP="00661366">
            <w:pPr>
              <w:pStyle w:val="Tabletext0"/>
              <w:rPr>
                <w:lang w:eastAsia="en-US"/>
              </w:rPr>
            </w:pPr>
            <w:r>
              <w:rPr>
                <w:lang w:eastAsia="en-US"/>
              </w:rPr>
              <w:t>Part 7 refers to powers and functions.</w:t>
            </w:r>
          </w:p>
        </w:tc>
        <w:tc>
          <w:tcPr>
            <w:tcW w:w="3067" w:type="dxa"/>
          </w:tcPr>
          <w:p w14:paraId="3A8E78D8" w14:textId="1903A117" w:rsidR="007B4CD0" w:rsidRPr="004D2E46" w:rsidRDefault="007B4CD0" w:rsidP="00661366">
            <w:pPr>
              <w:pStyle w:val="Tabletext0"/>
              <w:rPr>
                <w:lang w:eastAsia="en-US"/>
              </w:rPr>
            </w:pPr>
            <w:r w:rsidRPr="004D2E46">
              <w:rPr>
                <w:lang w:eastAsia="en-US"/>
              </w:rPr>
              <w:t xml:space="preserve">Part 7 refers to powers, </w:t>
            </w:r>
            <w:proofErr w:type="gramStart"/>
            <w:r w:rsidRPr="004D2E46">
              <w:rPr>
                <w:lang w:eastAsia="en-US"/>
              </w:rPr>
              <w:t>functions</w:t>
            </w:r>
            <w:proofErr w:type="gramEnd"/>
            <w:r w:rsidRPr="004D2E46">
              <w:rPr>
                <w:lang w:eastAsia="en-US"/>
              </w:rPr>
              <w:t xml:space="preserve"> and </w:t>
            </w:r>
            <w:r w:rsidRPr="004D2E46">
              <w:rPr>
                <w:b/>
                <w:lang w:eastAsia="en-US"/>
              </w:rPr>
              <w:t>duties.</w:t>
            </w:r>
          </w:p>
        </w:tc>
      </w:tr>
      <w:tr w:rsidR="007B4CD0" w14:paraId="36C3AE8C" w14:textId="77777777" w:rsidTr="00661366">
        <w:tblPrEx>
          <w:tblLook w:val="04A0" w:firstRow="1" w:lastRow="0" w:firstColumn="1" w:lastColumn="0" w:noHBand="0" w:noVBand="1"/>
        </w:tblPrEx>
        <w:tc>
          <w:tcPr>
            <w:tcW w:w="1568" w:type="dxa"/>
          </w:tcPr>
          <w:p w14:paraId="6207EFD5" w14:textId="77777777" w:rsidR="007B4CD0" w:rsidRPr="004D2E46" w:rsidRDefault="007B4CD0" w:rsidP="00661366">
            <w:pPr>
              <w:pStyle w:val="Tabletext0"/>
              <w:rPr>
                <w:lang w:eastAsia="en-US"/>
              </w:rPr>
            </w:pPr>
            <w:r w:rsidRPr="004D2E46">
              <w:rPr>
                <w:lang w:eastAsia="en-US"/>
              </w:rPr>
              <w:t>Power to make</w:t>
            </w:r>
          </w:p>
        </w:tc>
        <w:tc>
          <w:tcPr>
            <w:tcW w:w="3066" w:type="dxa"/>
          </w:tcPr>
          <w:p w14:paraId="6588BAAF" w14:textId="77777777" w:rsidR="007B4CD0" w:rsidRPr="004D2E46" w:rsidRDefault="007B4CD0" w:rsidP="00661366">
            <w:pPr>
              <w:pStyle w:val="Tabletext0"/>
              <w:rPr>
                <w:lang w:eastAsia="en-US"/>
              </w:rPr>
            </w:pPr>
            <w:r w:rsidRPr="004D2E46">
              <w:rPr>
                <w:lang w:eastAsia="en-US"/>
              </w:rPr>
              <w:t>Power to make includes repealing in a like manner and subject to like conditions.</w:t>
            </w:r>
          </w:p>
        </w:tc>
        <w:tc>
          <w:tcPr>
            <w:tcW w:w="3067" w:type="dxa"/>
          </w:tcPr>
          <w:p w14:paraId="496EB287" w14:textId="5F889814" w:rsidR="007B4CD0" w:rsidRPr="004D2E46" w:rsidRDefault="007B4CD0" w:rsidP="00661366">
            <w:pPr>
              <w:pStyle w:val="Tabletext0"/>
              <w:rPr>
                <w:lang w:eastAsia="en-US"/>
              </w:rPr>
            </w:pPr>
            <w:r w:rsidRPr="00726D17">
              <w:rPr>
                <w:lang w:eastAsia="en-US"/>
              </w:rPr>
              <w:t>A</w:t>
            </w:r>
            <w:r w:rsidR="00BA7062">
              <w:rPr>
                <w:lang w:eastAsia="en-US"/>
              </w:rPr>
              <w:t>lso a</w:t>
            </w:r>
            <w:r w:rsidRPr="00726D17">
              <w:rPr>
                <w:lang w:eastAsia="en-US"/>
              </w:rPr>
              <w:t>llows</w:t>
            </w:r>
            <w:r w:rsidRPr="004D2E46">
              <w:rPr>
                <w:lang w:eastAsia="en-US"/>
              </w:rPr>
              <w:t xml:space="preserve"> for repeal when ongoing conditions ceases to be satisfied.</w:t>
            </w:r>
          </w:p>
        </w:tc>
      </w:tr>
      <w:tr w:rsidR="007B4CD0" w14:paraId="7038ACC3" w14:textId="77777777" w:rsidTr="00661366">
        <w:tblPrEx>
          <w:tblLook w:val="04A0" w:firstRow="1" w:lastRow="0" w:firstColumn="1" w:lastColumn="0" w:noHBand="0" w:noVBand="1"/>
        </w:tblPrEx>
        <w:tc>
          <w:tcPr>
            <w:tcW w:w="1568" w:type="dxa"/>
          </w:tcPr>
          <w:p w14:paraId="0C0C11F8" w14:textId="77777777" w:rsidR="007B4CD0" w:rsidRPr="004D2E46" w:rsidRDefault="007B4CD0" w:rsidP="00661366">
            <w:pPr>
              <w:pStyle w:val="Tabletext0"/>
              <w:rPr>
                <w:lang w:eastAsia="en-US"/>
              </w:rPr>
            </w:pPr>
            <w:r w:rsidRPr="004D2E46">
              <w:rPr>
                <w:lang w:eastAsia="en-US"/>
              </w:rPr>
              <w:t>Acts done by persons acting under appointment</w:t>
            </w:r>
          </w:p>
        </w:tc>
        <w:tc>
          <w:tcPr>
            <w:tcW w:w="3066" w:type="dxa"/>
          </w:tcPr>
          <w:p w14:paraId="461A1A28" w14:textId="77777777" w:rsidR="007B4CD0" w:rsidRPr="004D2E46" w:rsidRDefault="007B4CD0" w:rsidP="00661366">
            <w:pPr>
              <w:pStyle w:val="Tabletext0"/>
              <w:rPr>
                <w:lang w:eastAsia="en-US"/>
              </w:rPr>
            </w:pPr>
            <w:r w:rsidRPr="004D2E46">
              <w:rPr>
                <w:lang w:eastAsia="en-US"/>
              </w:rPr>
              <w:t>N/A</w:t>
            </w:r>
          </w:p>
        </w:tc>
        <w:tc>
          <w:tcPr>
            <w:tcW w:w="3067" w:type="dxa"/>
          </w:tcPr>
          <w:p w14:paraId="726A39CF" w14:textId="77777777" w:rsidR="007B4CD0" w:rsidRPr="004D2E46" w:rsidRDefault="007B4CD0" w:rsidP="00661366">
            <w:pPr>
              <w:pStyle w:val="Tabletext0"/>
              <w:rPr>
                <w:lang w:eastAsia="en-US"/>
              </w:rPr>
            </w:pPr>
            <w:r w:rsidRPr="004D2E46">
              <w:rPr>
                <w:lang w:eastAsia="en-US"/>
              </w:rPr>
              <w:t>Acts done by a person purporting to act under an appointment are not invalid merely because the person was not properly appointed.</w:t>
            </w:r>
          </w:p>
        </w:tc>
      </w:tr>
      <w:tr w:rsidR="007B4CD0" w14:paraId="753D8AB9" w14:textId="77777777" w:rsidTr="00661366">
        <w:tblPrEx>
          <w:tblLook w:val="04A0" w:firstRow="1" w:lastRow="0" w:firstColumn="1" w:lastColumn="0" w:noHBand="0" w:noVBand="1"/>
        </w:tblPrEx>
        <w:tc>
          <w:tcPr>
            <w:tcW w:w="1568" w:type="dxa"/>
          </w:tcPr>
          <w:p w14:paraId="4948AAB4" w14:textId="77777777" w:rsidR="007B4CD0" w:rsidRPr="004D2E46" w:rsidRDefault="007B4CD0" w:rsidP="00661366">
            <w:pPr>
              <w:pStyle w:val="Tabletext0"/>
              <w:rPr>
                <w:lang w:eastAsia="en-US"/>
              </w:rPr>
            </w:pPr>
            <w:r w:rsidRPr="004D2E46">
              <w:rPr>
                <w:lang w:eastAsia="en-US"/>
              </w:rPr>
              <w:t>Acting in offices or positions</w:t>
            </w:r>
          </w:p>
        </w:tc>
        <w:tc>
          <w:tcPr>
            <w:tcW w:w="3066" w:type="dxa"/>
          </w:tcPr>
          <w:p w14:paraId="03C98A98" w14:textId="77777777" w:rsidR="007B4CD0" w:rsidRPr="004D2E46" w:rsidRDefault="007B4CD0" w:rsidP="00661366">
            <w:pPr>
              <w:pStyle w:val="Tabletext0"/>
              <w:rPr>
                <w:lang w:eastAsia="en-US"/>
              </w:rPr>
            </w:pPr>
            <w:r w:rsidRPr="004D2E46">
              <w:rPr>
                <w:lang w:eastAsia="en-US"/>
              </w:rPr>
              <w:t>Where an Act confers a power to appoint a person to act in a particular office, this includes the power to appoint a person to act in that position.</w:t>
            </w:r>
          </w:p>
        </w:tc>
        <w:tc>
          <w:tcPr>
            <w:tcW w:w="3067" w:type="dxa"/>
          </w:tcPr>
          <w:p w14:paraId="65D69C78" w14:textId="77777777" w:rsidR="007B4CD0" w:rsidRPr="004D2E46" w:rsidRDefault="007B4CD0" w:rsidP="00661366">
            <w:pPr>
              <w:pStyle w:val="Tabletext0"/>
              <w:rPr>
                <w:lang w:eastAsia="en-US"/>
              </w:rPr>
            </w:pPr>
            <w:r w:rsidRPr="004D2E46">
              <w:rPr>
                <w:lang w:eastAsia="en-US"/>
              </w:rPr>
              <w:t>Where an Act provides for a person to act in an office, the Act or any other Act applies in relation to the person as if the person were the holder of the office.</w:t>
            </w:r>
          </w:p>
        </w:tc>
      </w:tr>
      <w:tr w:rsidR="007B4CD0" w14:paraId="7673C901" w14:textId="77777777" w:rsidTr="00661366">
        <w:tblPrEx>
          <w:tblLook w:val="04A0" w:firstRow="1" w:lastRow="0" w:firstColumn="1" w:lastColumn="0" w:noHBand="0" w:noVBand="1"/>
        </w:tblPrEx>
        <w:tc>
          <w:tcPr>
            <w:tcW w:w="1568" w:type="dxa"/>
          </w:tcPr>
          <w:p w14:paraId="54FFC0F5" w14:textId="77777777" w:rsidR="007B4CD0" w:rsidRPr="004D2E46" w:rsidRDefault="007B4CD0" w:rsidP="00661366">
            <w:pPr>
              <w:pStyle w:val="Tabletext0"/>
              <w:rPr>
                <w:lang w:eastAsia="en-US"/>
              </w:rPr>
            </w:pPr>
            <w:r w:rsidRPr="004D2E46">
              <w:rPr>
                <w:lang w:eastAsia="en-US"/>
              </w:rPr>
              <w:lastRenderedPageBreak/>
              <w:t>Meetings</w:t>
            </w:r>
          </w:p>
        </w:tc>
        <w:tc>
          <w:tcPr>
            <w:tcW w:w="3066" w:type="dxa"/>
          </w:tcPr>
          <w:p w14:paraId="729A6A9E" w14:textId="77777777" w:rsidR="007B4CD0" w:rsidRPr="004D2E46" w:rsidRDefault="007B4CD0" w:rsidP="00661366">
            <w:pPr>
              <w:pStyle w:val="Tabletext0"/>
              <w:rPr>
                <w:lang w:eastAsia="en-US"/>
              </w:rPr>
            </w:pPr>
            <w:r w:rsidRPr="004D2E46">
              <w:rPr>
                <w:lang w:eastAsia="en-US"/>
              </w:rPr>
              <w:t>Members may participate in meetings by telephone or any other means of communication.</w:t>
            </w:r>
          </w:p>
        </w:tc>
        <w:tc>
          <w:tcPr>
            <w:tcW w:w="3067" w:type="dxa"/>
          </w:tcPr>
          <w:p w14:paraId="28F913A7" w14:textId="77777777" w:rsidR="007B4CD0" w:rsidRPr="004D2E46" w:rsidRDefault="007B4CD0" w:rsidP="00661366">
            <w:pPr>
              <w:pStyle w:val="Tabletext0"/>
              <w:rPr>
                <w:lang w:eastAsia="en-US"/>
              </w:rPr>
            </w:pPr>
            <w:r w:rsidRPr="004D2E46">
              <w:rPr>
                <w:lang w:eastAsia="en-US"/>
              </w:rPr>
              <w:t xml:space="preserve">In meetings, members participating by phone or other means of communication </w:t>
            </w:r>
            <w:r w:rsidRPr="004D2E46">
              <w:rPr>
                <w:b/>
                <w:lang w:eastAsia="en-US"/>
              </w:rPr>
              <w:t>will form part of any quorum</w:t>
            </w:r>
            <w:r w:rsidRPr="004D2E46">
              <w:rPr>
                <w:lang w:eastAsia="en-US"/>
              </w:rPr>
              <w:t>.</w:t>
            </w:r>
          </w:p>
        </w:tc>
      </w:tr>
      <w:tr w:rsidR="007B4CD0" w14:paraId="2C7D24FE" w14:textId="77777777" w:rsidTr="00661366">
        <w:tblPrEx>
          <w:tblLook w:val="04A0" w:firstRow="1" w:lastRow="0" w:firstColumn="1" w:lastColumn="0" w:noHBand="0" w:noVBand="1"/>
        </w:tblPrEx>
        <w:tc>
          <w:tcPr>
            <w:tcW w:w="1568" w:type="dxa"/>
          </w:tcPr>
          <w:p w14:paraId="52F31550" w14:textId="77777777" w:rsidR="007B4CD0" w:rsidRPr="004D2E46" w:rsidRDefault="007B4CD0" w:rsidP="00661366">
            <w:pPr>
              <w:pStyle w:val="Tabletext0"/>
              <w:rPr>
                <w:lang w:eastAsia="en-US"/>
              </w:rPr>
            </w:pPr>
            <w:r w:rsidRPr="004D2E46">
              <w:rPr>
                <w:lang w:eastAsia="en-US"/>
              </w:rPr>
              <w:t>References to and citation of Acts</w:t>
            </w:r>
          </w:p>
        </w:tc>
        <w:tc>
          <w:tcPr>
            <w:tcW w:w="3066" w:type="dxa"/>
          </w:tcPr>
          <w:p w14:paraId="528571E8" w14:textId="3B47A6BA" w:rsidR="007B4CD0" w:rsidRPr="004D2E46" w:rsidRDefault="007B4CD0" w:rsidP="00661366">
            <w:pPr>
              <w:pStyle w:val="Tabletext0"/>
              <w:rPr>
                <w:lang w:eastAsia="en-US"/>
              </w:rPr>
            </w:pPr>
            <w:r w:rsidRPr="004D2E46">
              <w:rPr>
                <w:lang w:eastAsia="en-US"/>
              </w:rPr>
              <w:t xml:space="preserve">Details how to refer to an Act of the Commonwealth, United </w:t>
            </w:r>
            <w:proofErr w:type="gramStart"/>
            <w:r w:rsidRPr="004D2E46">
              <w:rPr>
                <w:lang w:eastAsia="en-US"/>
              </w:rPr>
              <w:t>Kingdom</w:t>
            </w:r>
            <w:proofErr w:type="gramEnd"/>
            <w:r w:rsidRPr="004D2E46">
              <w:rPr>
                <w:lang w:eastAsia="en-US"/>
              </w:rPr>
              <w:t xml:space="preserve"> or a State. </w:t>
            </w:r>
          </w:p>
        </w:tc>
        <w:tc>
          <w:tcPr>
            <w:tcW w:w="3067" w:type="dxa"/>
          </w:tcPr>
          <w:p w14:paraId="646FB4EF" w14:textId="77777777" w:rsidR="007B4CD0" w:rsidRPr="004D2E46" w:rsidRDefault="007B4CD0" w:rsidP="00661366">
            <w:pPr>
              <w:pStyle w:val="Tabletext0"/>
              <w:rPr>
                <w:lang w:eastAsia="en-US"/>
              </w:rPr>
            </w:pPr>
            <w:r w:rsidRPr="004D2E46">
              <w:rPr>
                <w:lang w:eastAsia="en-US"/>
              </w:rPr>
              <w:t xml:space="preserve">Details how to refer to an Act of the Commonwealth, United Kingdom, or a State or </w:t>
            </w:r>
            <w:r w:rsidRPr="004D2E46">
              <w:rPr>
                <w:b/>
                <w:lang w:eastAsia="en-US"/>
              </w:rPr>
              <w:t>Territory</w:t>
            </w:r>
            <w:r w:rsidRPr="004D2E46">
              <w:rPr>
                <w:lang w:eastAsia="en-US"/>
              </w:rPr>
              <w:t>.</w:t>
            </w:r>
          </w:p>
        </w:tc>
      </w:tr>
      <w:tr w:rsidR="007B4CD0" w14:paraId="4C7D4282" w14:textId="77777777" w:rsidTr="00661366">
        <w:tblPrEx>
          <w:tblLook w:val="04A0" w:firstRow="1" w:lastRow="0" w:firstColumn="1" w:lastColumn="0" w:noHBand="0" w:noVBand="1"/>
        </w:tblPrEx>
        <w:tc>
          <w:tcPr>
            <w:tcW w:w="1568" w:type="dxa"/>
          </w:tcPr>
          <w:p w14:paraId="5800FAE4" w14:textId="77777777" w:rsidR="007B4CD0" w:rsidRPr="004D2E46" w:rsidRDefault="007B4CD0" w:rsidP="00661366">
            <w:pPr>
              <w:pStyle w:val="Tabletext0"/>
              <w:rPr>
                <w:lang w:eastAsia="en-US"/>
              </w:rPr>
            </w:pPr>
            <w:r w:rsidRPr="004D2E46">
              <w:rPr>
                <w:lang w:eastAsia="en-US"/>
              </w:rPr>
              <w:t>Construction of instruments</w:t>
            </w:r>
          </w:p>
        </w:tc>
        <w:tc>
          <w:tcPr>
            <w:tcW w:w="3066" w:type="dxa"/>
          </w:tcPr>
          <w:p w14:paraId="38A5D5C5" w14:textId="27C52BD7" w:rsidR="007B4CD0" w:rsidRPr="004D2E46" w:rsidRDefault="007B4CD0" w:rsidP="00661366">
            <w:pPr>
              <w:pStyle w:val="Tabletext0"/>
              <w:rPr>
                <w:lang w:eastAsia="en-US"/>
              </w:rPr>
            </w:pPr>
            <w:r w:rsidRPr="004D2E46">
              <w:rPr>
                <w:lang w:eastAsia="en-US"/>
              </w:rPr>
              <w:t xml:space="preserve">Expressions in non-legislative instruments have the same meaning as the enabling legislation. </w:t>
            </w:r>
          </w:p>
          <w:p w14:paraId="4D06B158" w14:textId="77777777" w:rsidR="007B4CD0" w:rsidRPr="004D2E46" w:rsidRDefault="007B4CD0" w:rsidP="00661366">
            <w:pPr>
              <w:pStyle w:val="Tabletext0"/>
              <w:rPr>
                <w:lang w:eastAsia="en-US"/>
              </w:rPr>
            </w:pPr>
            <w:r w:rsidRPr="004D2E46">
              <w:rPr>
                <w:lang w:eastAsia="en-US"/>
              </w:rPr>
              <w:t>Non-legislative instruments can be disallowable, if provided for in the enabling provision.</w:t>
            </w:r>
          </w:p>
        </w:tc>
        <w:tc>
          <w:tcPr>
            <w:tcW w:w="3067" w:type="dxa"/>
          </w:tcPr>
          <w:p w14:paraId="14CE6173" w14:textId="77777777" w:rsidR="007B4CD0" w:rsidRPr="004D2E46" w:rsidRDefault="007B4CD0" w:rsidP="00661366">
            <w:pPr>
              <w:pStyle w:val="Tabletext0"/>
              <w:rPr>
                <w:lang w:eastAsia="en-US"/>
              </w:rPr>
            </w:pPr>
            <w:r w:rsidRPr="004D2E46">
              <w:rPr>
                <w:lang w:eastAsia="en-US"/>
              </w:rPr>
              <w:t xml:space="preserve">Expression in instruments that are non-legislative, </w:t>
            </w:r>
            <w:r w:rsidRPr="004D2E46">
              <w:rPr>
                <w:b/>
                <w:lang w:eastAsia="en-US"/>
              </w:rPr>
              <w:t>and not notifiable instruments</w:t>
            </w:r>
            <w:r w:rsidRPr="004D2E46">
              <w:rPr>
                <w:lang w:eastAsia="en-US"/>
              </w:rPr>
              <w:t xml:space="preserve">, have the same meaning as in the enabling legislation as </w:t>
            </w:r>
            <w:r w:rsidRPr="004D2E46">
              <w:rPr>
                <w:b/>
                <w:lang w:eastAsia="en-US"/>
              </w:rPr>
              <w:t>in force from time to time</w:t>
            </w:r>
            <w:r w:rsidRPr="004D2E46">
              <w:rPr>
                <w:lang w:eastAsia="en-US"/>
              </w:rPr>
              <w:t xml:space="preserve">. </w:t>
            </w:r>
          </w:p>
        </w:tc>
      </w:tr>
      <w:tr w:rsidR="00CE5DA2" w14:paraId="5CDEF057" w14:textId="77777777" w:rsidTr="00661366">
        <w:tblPrEx>
          <w:tblLook w:val="04A0" w:firstRow="1" w:lastRow="0" w:firstColumn="1" w:lastColumn="0" w:noHBand="0" w:noVBand="1"/>
        </w:tblPrEx>
        <w:tc>
          <w:tcPr>
            <w:tcW w:w="1568" w:type="dxa"/>
          </w:tcPr>
          <w:p w14:paraId="7EE38FE2" w14:textId="4EBBBA78" w:rsidR="00CE5DA2" w:rsidRPr="004D2E46" w:rsidRDefault="00CE5DA2" w:rsidP="00661366">
            <w:pPr>
              <w:pStyle w:val="Tabletext0"/>
              <w:rPr>
                <w:lang w:eastAsia="en-US"/>
              </w:rPr>
            </w:pPr>
            <w:r w:rsidRPr="00CE5DA2">
              <w:rPr>
                <w:lang w:eastAsia="en-US"/>
              </w:rPr>
              <w:t xml:space="preserve">Oaths </w:t>
            </w:r>
          </w:p>
        </w:tc>
        <w:tc>
          <w:tcPr>
            <w:tcW w:w="3066" w:type="dxa"/>
          </w:tcPr>
          <w:p w14:paraId="7B13CF0E" w14:textId="46E4C442" w:rsidR="00CE5DA2" w:rsidRPr="004D2E46" w:rsidRDefault="00CE5DA2" w:rsidP="00661366">
            <w:pPr>
              <w:pStyle w:val="Tabletext0"/>
              <w:rPr>
                <w:lang w:eastAsia="en-US"/>
              </w:rPr>
            </w:pPr>
            <w:r w:rsidRPr="00CE5DA2">
              <w:rPr>
                <w:lang w:eastAsia="en-US"/>
              </w:rPr>
              <w:t>Various persons may administer an oath.</w:t>
            </w:r>
          </w:p>
        </w:tc>
        <w:tc>
          <w:tcPr>
            <w:tcW w:w="3067" w:type="dxa"/>
          </w:tcPr>
          <w:p w14:paraId="41FB32F6" w14:textId="12ED67E3" w:rsidR="00CE5DA2" w:rsidRPr="004D2E46" w:rsidRDefault="00CE5DA2" w:rsidP="00661366">
            <w:pPr>
              <w:pStyle w:val="Tabletext0"/>
              <w:rPr>
                <w:lang w:eastAsia="en-US"/>
              </w:rPr>
            </w:pPr>
            <w:r w:rsidRPr="00CE5DA2">
              <w:rPr>
                <w:lang w:eastAsia="en-US"/>
              </w:rPr>
              <w:t>Various persons may administer an oath or affirmation.</w:t>
            </w:r>
          </w:p>
        </w:tc>
      </w:tr>
    </w:tbl>
    <w:p w14:paraId="1541E2E4" w14:textId="4CA69C63" w:rsidR="00C816CE" w:rsidRDefault="00C816CE" w:rsidP="00B9333A">
      <w:pPr>
        <w:pStyle w:val="Normalparatextwithnumbers"/>
        <w:numPr>
          <w:ilvl w:val="0"/>
          <w:numId w:val="0"/>
        </w:numPr>
        <w:ind w:left="709"/>
      </w:pPr>
    </w:p>
    <w:p w14:paraId="62BE2506" w14:textId="68BB5535" w:rsidR="00695FAD" w:rsidRDefault="00695FAD" w:rsidP="00695FAD">
      <w:pPr>
        <w:pStyle w:val="Normalparatextwithnumbers"/>
        <w:numPr>
          <w:ilvl w:val="1"/>
          <w:numId w:val="3"/>
        </w:numPr>
      </w:pPr>
      <w:r>
        <w:t>The amendments repeal the definition of ‘modifications’ in the Corporations Act and ASIC Act and the definitions of ‘affidavit’, ‘document’ and ‘territorial sea’ in the Corporations Act. As the AIA already contains these definitions, their inclusion in the Corporations Act and</w:t>
      </w:r>
      <w:r w:rsidDel="00506493">
        <w:t xml:space="preserve"> </w:t>
      </w:r>
      <w:r>
        <w:t xml:space="preserve">the ASIC Act is unnecessary. The amendments also substitute the terms ‘Judge’ and ‘Judges’ in the Corporations Act with ‘judge’ and ‘judges’ so the AIA definitions apply to the terms. </w:t>
      </w:r>
      <w:r>
        <w:br/>
      </w:r>
      <w:r w:rsidRPr="00AD0DB4">
        <w:rPr>
          <w:rStyle w:val="References"/>
        </w:rPr>
        <w:t xml:space="preserve">[Schedule </w:t>
      </w:r>
      <w:r>
        <w:rPr>
          <w:rStyle w:val="References"/>
        </w:rPr>
        <w:t>1</w:t>
      </w:r>
      <w:r w:rsidRPr="00AD0DB4">
        <w:rPr>
          <w:rStyle w:val="References"/>
        </w:rPr>
        <w:t xml:space="preserve">, </w:t>
      </w:r>
      <w:r>
        <w:rPr>
          <w:rStyle w:val="References"/>
        </w:rPr>
        <w:t>item 2, subsection 12GNA(4)</w:t>
      </w:r>
      <w:r w:rsidR="00BF0A8B">
        <w:rPr>
          <w:rStyle w:val="References"/>
        </w:rPr>
        <w:t xml:space="preserve"> (definition of modifications)</w:t>
      </w:r>
      <w:r>
        <w:rPr>
          <w:rStyle w:val="References"/>
        </w:rPr>
        <w:t xml:space="preserve"> of the ASIC Act ; </w:t>
      </w:r>
      <w:bookmarkStart w:id="56" w:name="_Hlk119051536"/>
      <w:r>
        <w:rPr>
          <w:rStyle w:val="References"/>
        </w:rPr>
        <w:t xml:space="preserve">items </w:t>
      </w:r>
      <w:r w:rsidR="000563C9">
        <w:rPr>
          <w:rStyle w:val="References"/>
        </w:rPr>
        <w:t xml:space="preserve">14, </w:t>
      </w:r>
      <w:r>
        <w:rPr>
          <w:rStyle w:val="References"/>
        </w:rPr>
        <w:t>16</w:t>
      </w:r>
      <w:r w:rsidR="000563C9">
        <w:rPr>
          <w:rStyle w:val="References"/>
        </w:rPr>
        <w:t>, 19</w:t>
      </w:r>
      <w:r>
        <w:rPr>
          <w:rStyle w:val="References"/>
        </w:rPr>
        <w:t xml:space="preserve"> and 20, </w:t>
      </w:r>
      <w:r w:rsidR="009341D2">
        <w:rPr>
          <w:rStyle w:val="References"/>
        </w:rPr>
        <w:t xml:space="preserve">section 9 and </w:t>
      </w:r>
      <w:r>
        <w:rPr>
          <w:rStyle w:val="References"/>
        </w:rPr>
        <w:t xml:space="preserve">subsections 581(1), </w:t>
      </w:r>
      <w:r w:rsidR="009341D2">
        <w:rPr>
          <w:rStyle w:val="References"/>
        </w:rPr>
        <w:t>1044B(4)</w:t>
      </w:r>
      <w:r w:rsidR="00BF0A8B">
        <w:rPr>
          <w:rStyle w:val="References"/>
        </w:rPr>
        <w:t xml:space="preserve"> (definition of modifications)</w:t>
      </w:r>
      <w:r w:rsidR="009341D2">
        <w:rPr>
          <w:rStyle w:val="References"/>
        </w:rPr>
        <w:t xml:space="preserve">, </w:t>
      </w:r>
      <w:r>
        <w:rPr>
          <w:rStyle w:val="References"/>
        </w:rPr>
        <w:t>1057A(2) and 1057A(3) of the Corporations Act</w:t>
      </w:r>
      <w:r w:rsidRPr="00AD0DB4">
        <w:rPr>
          <w:rStyle w:val="References"/>
        </w:rPr>
        <w:t xml:space="preserve">] </w:t>
      </w:r>
      <w:r>
        <w:t xml:space="preserve"> </w:t>
      </w:r>
    </w:p>
    <w:bookmarkEnd w:id="56"/>
    <w:p w14:paraId="38821CB7" w14:textId="27D97DF8" w:rsidR="00293CED" w:rsidRDefault="00293CED" w:rsidP="00293CED">
      <w:pPr>
        <w:pStyle w:val="Normalparatextwithnumbers"/>
        <w:numPr>
          <w:ilvl w:val="1"/>
          <w:numId w:val="3"/>
        </w:numPr>
        <w:spacing w:before="0" w:after="0"/>
      </w:pPr>
      <w:r>
        <w:rPr>
          <w:noProof/>
        </w:rPr>
        <w:t>Similarly, the Bill repeals sections in the Corporations Act and ASIC Act that relate to acting positions</w:t>
      </w:r>
      <w:r w:rsidR="001619C3">
        <w:rPr>
          <w:noProof/>
        </w:rPr>
        <w:t>. These sections replicate the content in the unfrozen AIA</w:t>
      </w:r>
      <w:r>
        <w:rPr>
          <w:noProof/>
        </w:rPr>
        <w:t xml:space="preserve">. </w:t>
      </w:r>
      <w:r w:rsidR="001619C3">
        <w:rPr>
          <w:noProof/>
        </w:rPr>
        <w:t>The Bill</w:t>
      </w:r>
      <w:r>
        <w:rPr>
          <w:noProof/>
        </w:rPr>
        <w:t xml:space="preserve"> inserts a note directing readers to the relevant provision in the AIA. </w:t>
      </w:r>
    </w:p>
    <w:p w14:paraId="7294637B" w14:textId="77777777" w:rsidR="00293CED" w:rsidRPr="000D7FDD" w:rsidRDefault="00293CED" w:rsidP="00293CED">
      <w:pPr>
        <w:pStyle w:val="Normalparatextwithnumbers"/>
        <w:numPr>
          <w:ilvl w:val="0"/>
          <w:numId w:val="0"/>
        </w:numPr>
        <w:spacing w:before="0"/>
        <w:ind w:left="709"/>
      </w:pPr>
      <w:r w:rsidRPr="004C03F2">
        <w:rPr>
          <w:b/>
          <w:bCs/>
          <w:i/>
          <w:iCs/>
        </w:rPr>
        <w:t>[</w:t>
      </w:r>
      <w:r w:rsidRPr="004C03F2">
        <w:rPr>
          <w:b/>
          <w:i/>
        </w:rPr>
        <w:t>Schedule 1, items 5, 6, 7, 8, 10 and 11, subsections 208(4), 208A(1), 208A(2), 236D(4) and 236H(4) and sections 116, 117, 118, 182 and 245 of the ASIC Act]</w:t>
      </w:r>
      <w:r w:rsidRPr="004D2E46">
        <w:rPr>
          <w:b/>
          <w:i/>
        </w:rPr>
        <w:t xml:space="preserve"> </w:t>
      </w:r>
    </w:p>
    <w:p w14:paraId="028660AD" w14:textId="11AADD41" w:rsidR="00695FAD" w:rsidRPr="00AD4113" w:rsidRDefault="000563C9" w:rsidP="00F27FFD">
      <w:pPr>
        <w:pStyle w:val="Normalparatextwithnumbers"/>
        <w:numPr>
          <w:ilvl w:val="1"/>
          <w:numId w:val="3"/>
        </w:numPr>
      </w:pPr>
      <w:r>
        <w:t>The Corporations Act and ASIC Act are internally inconsistent in their treatment of oaths and affirmations. New</w:t>
      </w:r>
      <w:r w:rsidR="00E75B56">
        <w:t>er</w:t>
      </w:r>
      <w:r>
        <w:t xml:space="preserve"> provisions refer to both ‘oaths and affirmations’ whereas older provisions do not. This reflects a change in drafting conventions, rather than a deliberate policy distinction. </w:t>
      </w:r>
      <w:r w:rsidR="00E75B56">
        <w:t>T</w:t>
      </w:r>
      <w:r w:rsidR="00695FAD">
        <w:t xml:space="preserve">o bring relevant provisions of the </w:t>
      </w:r>
      <w:r w:rsidR="00E75B56">
        <w:t xml:space="preserve">Corporations Act and ASIC </w:t>
      </w:r>
      <w:r w:rsidR="00695FAD">
        <w:t xml:space="preserve">Act in line with modern </w:t>
      </w:r>
      <w:r w:rsidR="00695FAD">
        <w:lastRenderedPageBreak/>
        <w:t xml:space="preserve">drafting practices </w:t>
      </w:r>
      <w:r w:rsidR="00E75B56">
        <w:t>and ensure consistency with the unfrozen AIA</w:t>
      </w:r>
      <w:r w:rsidR="00695FAD">
        <w:t>, the Bill inserts references to ‘affirmation’ into relevant provisions</w:t>
      </w:r>
      <w:r w:rsidR="00695FAD" w:rsidDel="002B7878">
        <w:t>.</w:t>
      </w:r>
      <w:r w:rsidR="00695FAD">
        <w:t xml:space="preserve"> </w:t>
      </w:r>
      <w:r w:rsidR="00695FAD" w:rsidRPr="00AD4113">
        <w:rPr>
          <w:b/>
          <w:i/>
        </w:rPr>
        <w:t xml:space="preserve">[Schedule 1, items </w:t>
      </w:r>
      <w:r w:rsidR="00695FAD" w:rsidRPr="00D76C23">
        <w:rPr>
          <w:b/>
          <w:i/>
        </w:rPr>
        <w:t xml:space="preserve">3, 4, </w:t>
      </w:r>
      <w:r w:rsidR="002A1C41" w:rsidRPr="00D76C23">
        <w:rPr>
          <w:b/>
          <w:i/>
        </w:rPr>
        <w:t xml:space="preserve">and </w:t>
      </w:r>
      <w:r w:rsidR="00695FAD" w:rsidRPr="00D76C23">
        <w:rPr>
          <w:b/>
          <w:i/>
        </w:rPr>
        <w:t>9, paragraph 19(2)(b) and subsections 58(5) and 218(5) of the ASIC Act</w:t>
      </w:r>
      <w:r w:rsidR="002A1C41" w:rsidRPr="00D76C23">
        <w:rPr>
          <w:b/>
          <w:i/>
        </w:rPr>
        <w:t>; item 17,</w:t>
      </w:r>
      <w:r w:rsidR="00695FAD" w:rsidRPr="00D76C23">
        <w:rPr>
          <w:b/>
          <w:i/>
        </w:rPr>
        <w:t xml:space="preserve"> paragraph 596D(1)(b) of the Corporations Act]</w:t>
      </w:r>
      <w:r w:rsidR="00695FAD" w:rsidRPr="00AD4113">
        <w:rPr>
          <w:b/>
          <w:i/>
        </w:rPr>
        <w:t xml:space="preserve"> </w:t>
      </w:r>
    </w:p>
    <w:p w14:paraId="76DB6DCD" w14:textId="52D91C4E" w:rsidR="00C816CE" w:rsidRPr="00DD3758" w:rsidRDefault="00695FAD" w:rsidP="00470BCF">
      <w:pPr>
        <w:pStyle w:val="Normalparatextwithnumbers"/>
        <w:numPr>
          <w:ilvl w:val="1"/>
          <w:numId w:val="3"/>
        </w:numPr>
      </w:pPr>
      <w:r>
        <w:rPr>
          <w:rStyle w:val="References"/>
          <w:b w:val="0"/>
          <w:bCs w:val="0"/>
          <w:i w:val="0"/>
          <w:iCs w:val="0"/>
        </w:rPr>
        <w:t>The amendments update outdated references to the AIA in the Corporations Act.</w:t>
      </w:r>
      <w:r>
        <w:rPr>
          <w:rStyle w:val="References"/>
          <w:b w:val="0"/>
          <w:bCs w:val="0"/>
          <w:i w:val="0"/>
          <w:iCs w:val="0"/>
        </w:rPr>
        <w:br/>
      </w:r>
      <w:r w:rsidRPr="00AD0DB4">
        <w:rPr>
          <w:rStyle w:val="References"/>
        </w:rPr>
        <w:t xml:space="preserve">[Schedule </w:t>
      </w:r>
      <w:r>
        <w:rPr>
          <w:rStyle w:val="References"/>
        </w:rPr>
        <w:t>1, items 12 and 18, subsection 3(2) and section 1020AE (note 2) of the Corporations Act</w:t>
      </w:r>
      <w:r w:rsidRPr="00AD0DB4">
        <w:rPr>
          <w:rStyle w:val="References"/>
        </w:rPr>
        <w:t xml:space="preserve">] </w:t>
      </w:r>
    </w:p>
    <w:p w14:paraId="282795CF" w14:textId="6A961D5F" w:rsidR="00695FAD" w:rsidRPr="00C41BDA" w:rsidRDefault="00695FAD" w:rsidP="00695FAD">
      <w:pPr>
        <w:pStyle w:val="Heading3"/>
      </w:pPr>
      <w:bookmarkStart w:id="57" w:name="_Toc119482439"/>
      <w:r>
        <w:t>Single Glossary</w:t>
      </w:r>
      <w:bookmarkEnd w:id="57"/>
    </w:p>
    <w:p w14:paraId="11AAFE18" w14:textId="47453F40" w:rsidR="00695FAD" w:rsidRDefault="00695FAD" w:rsidP="00695FAD">
      <w:pPr>
        <w:pStyle w:val="Normalparatextwithnumbers"/>
        <w:numPr>
          <w:ilvl w:val="1"/>
          <w:numId w:val="3"/>
        </w:numPr>
      </w:pPr>
      <w:r>
        <w:t xml:space="preserve">The Bill implements recommendation 7 from the ALRC’s Interim Report A to create a single glossary of defined terms in the Corporations Act. </w:t>
      </w:r>
    </w:p>
    <w:p w14:paraId="67E294AA" w14:textId="6306628E" w:rsidR="00695FAD" w:rsidRDefault="00695FAD" w:rsidP="00695FAD">
      <w:pPr>
        <w:pStyle w:val="Normalparatextwithnumbers"/>
        <w:numPr>
          <w:ilvl w:val="1"/>
          <w:numId w:val="3"/>
        </w:numPr>
      </w:pPr>
      <w:bookmarkStart w:id="58" w:name="_Hlk118447521"/>
      <w:r>
        <w:t>The</w:t>
      </w:r>
      <w:r w:rsidRPr="00920C8C">
        <w:t xml:space="preserve"> </w:t>
      </w:r>
      <w:proofErr w:type="gramStart"/>
      <w:r w:rsidRPr="00920C8C">
        <w:t>Corporations</w:t>
      </w:r>
      <w:proofErr w:type="gramEnd"/>
      <w:r w:rsidRPr="00920C8C">
        <w:t xml:space="preserve"> Act </w:t>
      </w:r>
      <w:r w:rsidR="0086566F">
        <w:t>does not have</w:t>
      </w:r>
      <w:r w:rsidRPr="00726D17">
        <w:t xml:space="preserve"> a</w:t>
      </w:r>
      <w:r w:rsidR="0086566F">
        <w:t xml:space="preserve"> single</w:t>
      </w:r>
      <w:r w:rsidRPr="00726D17">
        <w:t xml:space="preserve"> </w:t>
      </w:r>
      <w:r>
        <w:t xml:space="preserve">comprehensive dictionary </w:t>
      </w:r>
      <w:r w:rsidR="0086566F">
        <w:t>and the main dictionary in s</w:t>
      </w:r>
      <w:r w:rsidR="0086566F" w:rsidRPr="00726D17">
        <w:t>ection 9 includes some, but not all</w:t>
      </w:r>
      <w:r w:rsidR="0086566F">
        <w:t>,</w:t>
      </w:r>
      <w:r w:rsidR="0086566F" w:rsidRPr="00726D17">
        <w:t xml:space="preserve"> defined terms</w:t>
      </w:r>
      <w:r w:rsidR="0086566F">
        <w:t>. Other dictionar</w:t>
      </w:r>
      <w:r w:rsidR="009A5E07">
        <w:t>ies are</w:t>
      </w:r>
      <w:r w:rsidR="0086566F">
        <w:t xml:space="preserve"> scattered throughout the </w:t>
      </w:r>
      <w:r w:rsidR="00F97845">
        <w:t>different Chapters, Parts, Divisions and Subdivisions</w:t>
      </w:r>
      <w:r w:rsidR="004B6B3B" w:rsidRPr="00726D17">
        <w:t xml:space="preserve">. </w:t>
      </w:r>
      <w:r w:rsidR="0086566F">
        <w:t xml:space="preserve">Further, </w:t>
      </w:r>
      <w:r w:rsidR="009A5E07">
        <w:t>section 9</w:t>
      </w:r>
      <w:r w:rsidR="0086566F">
        <w:t xml:space="preserve"> sometimes </w:t>
      </w:r>
      <w:r w:rsidR="004B6B3B" w:rsidRPr="00726D17">
        <w:t>refer</w:t>
      </w:r>
      <w:r w:rsidR="009A5E07">
        <w:t>s</w:t>
      </w:r>
      <w:r w:rsidR="004B6B3B">
        <w:t xml:space="preserve"> readers to a Chapter or Part where a substantial definition is located, but not the specific provision. </w:t>
      </w:r>
      <w:r w:rsidR="00AF2E27" w:rsidRPr="00726D17">
        <w:t>Th</w:t>
      </w:r>
      <w:r w:rsidR="004B6B3B" w:rsidRPr="00726D17">
        <w:t>is</w:t>
      </w:r>
      <w:r w:rsidR="00AF2E27" w:rsidRPr="00726D17">
        <w:t xml:space="preserve"> </w:t>
      </w:r>
      <w:r w:rsidR="009A5E07">
        <w:t>makes it harder for</w:t>
      </w:r>
      <w:r w:rsidR="004B6B3B" w:rsidRPr="00726D17">
        <w:t xml:space="preserve"> readers</w:t>
      </w:r>
      <w:r w:rsidRPr="00726D17">
        <w:t xml:space="preserve"> to</w:t>
      </w:r>
      <w:r w:rsidR="009A5E07">
        <w:t xml:space="preserve"> find the meaning of defined terms</w:t>
      </w:r>
      <w:r w:rsidRPr="00726D17">
        <w:t xml:space="preserve">. </w:t>
      </w:r>
    </w:p>
    <w:bookmarkEnd w:id="58"/>
    <w:p w14:paraId="7A6E3591" w14:textId="3B50DADB" w:rsidR="00695FAD" w:rsidRDefault="00695FAD" w:rsidP="00695FAD">
      <w:pPr>
        <w:pStyle w:val="Normalparatextwithnumbers"/>
        <w:numPr>
          <w:ilvl w:val="1"/>
          <w:numId w:val="3"/>
        </w:numPr>
      </w:pPr>
      <w:r>
        <w:t>Implementing the</w:t>
      </w:r>
      <w:r w:rsidR="009376B8">
        <w:t xml:space="preserve"> ALRC’s </w:t>
      </w:r>
      <w:r>
        <w:t xml:space="preserve">recommendation </w:t>
      </w:r>
      <w:r w:rsidR="009376B8">
        <w:t xml:space="preserve">to create a single glossary </w:t>
      </w:r>
      <w:r>
        <w:t>improves the Corporations Act</w:t>
      </w:r>
      <w:r w:rsidR="009376B8">
        <w:t>’s navigability</w:t>
      </w:r>
      <w:r>
        <w:t xml:space="preserve"> by listing all defined terms in section 9, either in the form of a real definition or as a ‘signpost’ (</w:t>
      </w:r>
      <w:proofErr w:type="gramStart"/>
      <w:r>
        <w:t>i.e.</w:t>
      </w:r>
      <w:proofErr w:type="gramEnd"/>
      <w:r>
        <w:t xml:space="preserve"> a cross-reference) to the </w:t>
      </w:r>
      <w:r w:rsidR="009376B8">
        <w:t>precise provision that c</w:t>
      </w:r>
      <w:r>
        <w:t>ontain</w:t>
      </w:r>
      <w:r w:rsidR="009376B8">
        <w:t>s</w:t>
      </w:r>
      <w:r>
        <w:t xml:space="preserve"> the real definition.  </w:t>
      </w:r>
    </w:p>
    <w:p w14:paraId="7109E685" w14:textId="753726F2" w:rsidR="00695FAD" w:rsidRDefault="00695FAD" w:rsidP="00695FAD">
      <w:pPr>
        <w:pStyle w:val="Normalparatextwithnumbers"/>
        <w:numPr>
          <w:ilvl w:val="1"/>
          <w:numId w:val="3"/>
        </w:numPr>
      </w:pPr>
      <w:r>
        <w:t xml:space="preserve">The Bill applies </w:t>
      </w:r>
      <w:r w:rsidR="00D87B86" w:rsidRPr="00726D17">
        <w:t>six</w:t>
      </w:r>
      <w:r>
        <w:t xml:space="preserve"> key principles </w:t>
      </w:r>
      <w:r w:rsidR="004D7661">
        <w:t>t</w:t>
      </w:r>
      <w:r w:rsidR="002B3155">
        <w:t xml:space="preserve">o </w:t>
      </w:r>
      <w:r w:rsidR="004D7661">
        <w:t>ensure a consistent approach</w:t>
      </w:r>
      <w:r>
        <w:t xml:space="preserve"> </w:t>
      </w:r>
      <w:r w:rsidR="00864458">
        <w:t>to implementing</w:t>
      </w:r>
      <w:r>
        <w:t xml:space="preserve"> the recommendation</w:t>
      </w:r>
      <w:r w:rsidR="00586458">
        <w:t xml:space="preserve"> to create a single glossary</w:t>
      </w:r>
      <w:r w:rsidR="00864458">
        <w:t>.</w:t>
      </w:r>
      <w:r>
        <w:t xml:space="preserve"> </w:t>
      </w:r>
    </w:p>
    <w:p w14:paraId="2797359B" w14:textId="166F05EA" w:rsidR="00913690" w:rsidRDefault="00697715" w:rsidP="00695FAD">
      <w:pPr>
        <w:pStyle w:val="Normalparatextwithnumbers"/>
        <w:numPr>
          <w:ilvl w:val="1"/>
          <w:numId w:val="3"/>
        </w:numPr>
      </w:pPr>
      <w:r w:rsidRPr="00575B9B">
        <w:t xml:space="preserve">A discussion of the key principles is below. </w:t>
      </w:r>
      <w:r w:rsidR="00913690" w:rsidRPr="00726D17">
        <w:t xml:space="preserve">Attachment </w:t>
      </w:r>
      <w:r w:rsidR="000E09FA">
        <w:t>A</w:t>
      </w:r>
      <w:r w:rsidR="00913690">
        <w:t xml:space="preserve"> </w:t>
      </w:r>
      <w:r>
        <w:t xml:space="preserve">lists </w:t>
      </w:r>
      <w:r w:rsidR="00913690">
        <w:t xml:space="preserve">the defined terms </w:t>
      </w:r>
      <w:r>
        <w:t>that apply each principle, along with the corresponding section references in the Bill</w:t>
      </w:r>
      <w:r w:rsidR="0042280F">
        <w:t>.</w:t>
      </w:r>
      <w:r w:rsidR="00913690">
        <w:t xml:space="preserve"> </w:t>
      </w:r>
    </w:p>
    <w:p w14:paraId="2F6C3399" w14:textId="73221168" w:rsidR="00FE3E8E" w:rsidRDefault="00FE3E8E" w:rsidP="00FE3E8E">
      <w:pPr>
        <w:pStyle w:val="Heading5"/>
        <w:numPr>
          <w:ilvl w:val="4"/>
          <w:numId w:val="2"/>
        </w:numPr>
      </w:pPr>
      <w:bookmarkStart w:id="59" w:name="_Hlk116292102"/>
      <w:r>
        <w:t xml:space="preserve">Principle </w:t>
      </w:r>
      <w:r w:rsidR="00DA3039">
        <w:t>1</w:t>
      </w:r>
      <w:r>
        <w:t xml:space="preserve"> – Terms that ca</w:t>
      </w:r>
      <w:r w:rsidR="00255383">
        <w:t xml:space="preserve">n be understood according to </w:t>
      </w:r>
      <w:r>
        <w:t>their ordinary meaning should not be defined</w:t>
      </w:r>
    </w:p>
    <w:p w14:paraId="083BDEBD" w14:textId="791A6174" w:rsidR="00235DF2" w:rsidRDefault="00FE3E8E" w:rsidP="00FE3E8E">
      <w:pPr>
        <w:pStyle w:val="Normalparatextwithnumbers"/>
      </w:pPr>
      <w:r>
        <w:t xml:space="preserve">The Bill deletes definitions that </w:t>
      </w:r>
      <w:r w:rsidR="00810905">
        <w:t>replicate</w:t>
      </w:r>
      <w:r>
        <w:t xml:space="preserve"> </w:t>
      </w:r>
      <w:r w:rsidR="00810905">
        <w:t xml:space="preserve">the </w:t>
      </w:r>
      <w:r>
        <w:t>ordinary meaning</w:t>
      </w:r>
      <w:r w:rsidR="00810905">
        <w:t xml:space="preserve"> of the defined term</w:t>
      </w:r>
      <w:r>
        <w:t>.</w:t>
      </w:r>
      <w:r w:rsidR="00FA12E0">
        <w:t xml:space="preserve"> </w:t>
      </w:r>
      <w:r w:rsidR="00810905">
        <w:t xml:space="preserve">There is a common law rule of interpretation that terms that are not defined carry their ordinary meaning. </w:t>
      </w:r>
      <w:proofErr w:type="gramStart"/>
      <w:r w:rsidR="00FA12E0">
        <w:t>Th</w:t>
      </w:r>
      <w:r w:rsidR="00697715">
        <w:t>e</w:t>
      </w:r>
      <w:r w:rsidR="00810905">
        <w:t>refore</w:t>
      </w:r>
      <w:proofErr w:type="gramEnd"/>
      <w:r w:rsidR="00810905">
        <w:t xml:space="preserve"> </w:t>
      </w:r>
      <w:r w:rsidR="00697715">
        <w:t xml:space="preserve">definitions </w:t>
      </w:r>
      <w:r w:rsidR="00810905">
        <w:t xml:space="preserve">that replicate the ordinary meaning </w:t>
      </w:r>
      <w:r w:rsidR="00697715">
        <w:t>are redundant and unnecessarily add to the length and complexity of the law</w:t>
      </w:r>
      <w:r w:rsidR="00192ECA">
        <w:t xml:space="preserve">. </w:t>
      </w:r>
    </w:p>
    <w:p w14:paraId="15A3DDF9" w14:textId="3B886CC5" w:rsidR="00810905" w:rsidRDefault="00235DF2" w:rsidP="00FE3E8E">
      <w:pPr>
        <w:pStyle w:val="Normalparatextwithnumbers"/>
        <w:numPr>
          <w:ilvl w:val="1"/>
          <w:numId w:val="45"/>
        </w:numPr>
      </w:pPr>
      <w:r>
        <w:t xml:space="preserve">Deleting </w:t>
      </w:r>
      <w:r w:rsidR="00810905">
        <w:t>redundant</w:t>
      </w:r>
      <w:r>
        <w:t xml:space="preserve"> definitions </w:t>
      </w:r>
      <w:r w:rsidR="00192ECA">
        <w:t xml:space="preserve">also </w:t>
      </w:r>
      <w:r w:rsidR="00DF24FA">
        <w:t>improves navigability as</w:t>
      </w:r>
      <w:r w:rsidR="00192ECA">
        <w:t xml:space="preserve"> it </w:t>
      </w:r>
      <w:r>
        <w:t>removes the need for</w:t>
      </w:r>
      <w:r w:rsidR="00192ECA">
        <w:t xml:space="preserve"> readers to </w:t>
      </w:r>
      <w:r>
        <w:t xml:space="preserve">regularly </w:t>
      </w:r>
      <w:r w:rsidR="00DF24FA">
        <w:t xml:space="preserve">refer back to the single glossary </w:t>
      </w:r>
      <w:r w:rsidR="00192ECA">
        <w:t xml:space="preserve">in section 9 </w:t>
      </w:r>
      <w:r w:rsidR="00DF24FA">
        <w:t xml:space="preserve">to determine </w:t>
      </w:r>
      <w:r w:rsidR="00192ECA">
        <w:t>the meaning of a term</w:t>
      </w:r>
      <w:r w:rsidR="00DF24FA">
        <w:t xml:space="preserve">. </w:t>
      </w:r>
    </w:p>
    <w:p w14:paraId="65043A7D" w14:textId="7609D2E9" w:rsidR="00FE3E8E" w:rsidRDefault="00810905" w:rsidP="00FE3E8E">
      <w:pPr>
        <w:pStyle w:val="Normalparatextwithnumbers"/>
      </w:pPr>
      <w:r>
        <w:lastRenderedPageBreak/>
        <w:t>This principle also partially implements the ALRC’s recommendation </w:t>
      </w:r>
      <w:r w:rsidR="0008190E">
        <w:t>1</w:t>
      </w:r>
      <w:r>
        <w:t>4 in Interim Report B to repeal redundant provisions.</w:t>
      </w:r>
      <w:r w:rsidR="00002E57">
        <w:t xml:space="preserve"> </w:t>
      </w:r>
      <w:r w:rsidR="00FE3E8E">
        <w:t xml:space="preserve"> </w:t>
      </w:r>
    </w:p>
    <w:p w14:paraId="23DD7D6B" w14:textId="35D9CD6A" w:rsidR="00695FAD" w:rsidRDefault="00695FAD" w:rsidP="00695FAD">
      <w:pPr>
        <w:pStyle w:val="Heading5"/>
        <w:numPr>
          <w:ilvl w:val="4"/>
          <w:numId w:val="2"/>
        </w:numPr>
      </w:pPr>
      <w:r>
        <w:t xml:space="preserve">Principle </w:t>
      </w:r>
      <w:r w:rsidR="00DA3039">
        <w:t>2</w:t>
      </w:r>
      <w:r>
        <w:t xml:space="preserve"> – Terms used infrequently should not be defined</w:t>
      </w:r>
    </w:p>
    <w:p w14:paraId="03214A84" w14:textId="7CD8E657" w:rsidR="00695FAD" w:rsidRDefault="00695FAD" w:rsidP="00695FAD">
      <w:pPr>
        <w:pStyle w:val="Normalparatextwithnumbers"/>
      </w:pPr>
      <w:r>
        <w:t xml:space="preserve">The Bill deletes definitions for terms that are only used once or a small number of times throughout the Corporations Act and incorporates </w:t>
      </w:r>
      <w:r w:rsidR="006E759C">
        <w:t xml:space="preserve">the </w:t>
      </w:r>
      <w:r>
        <w:t>substance</w:t>
      </w:r>
      <w:r w:rsidR="006E759C">
        <w:t xml:space="preserve"> of the definition</w:t>
      </w:r>
      <w:r>
        <w:t xml:space="preserve"> into </w:t>
      </w:r>
      <w:r w:rsidR="006E759C">
        <w:t xml:space="preserve">the </w:t>
      </w:r>
      <w:r>
        <w:t xml:space="preserve">relevant section(s). This is consistent with the ALRC’s Interim Report A finding that terms should only be defined if it enhances readability or significantly reduces the need to repeat text. </w:t>
      </w:r>
    </w:p>
    <w:p w14:paraId="2F3458DC" w14:textId="73F30DAF" w:rsidR="00695FAD" w:rsidRDefault="007F5B38" w:rsidP="00695FAD">
      <w:pPr>
        <w:pStyle w:val="Normalparatextwithnumbers"/>
      </w:pPr>
      <w:r>
        <w:t xml:space="preserve">However, the Bill does not delete the definitions for a </w:t>
      </w:r>
      <w:r w:rsidR="00695FAD">
        <w:t xml:space="preserve">small number of infrequently used </w:t>
      </w:r>
      <w:r>
        <w:t>terms</w:t>
      </w:r>
      <w:r w:rsidR="007C7412">
        <w:t xml:space="preserve"> where the definition is particularly long and complex</w:t>
      </w:r>
      <w:r w:rsidR="00695FAD">
        <w:t xml:space="preserve">. This is </w:t>
      </w:r>
      <w:r w:rsidR="007C7412">
        <w:t xml:space="preserve">because incorporating long and complex definitions into the only provisions in which they are used would significantly add to the length and complexity of the law. </w:t>
      </w:r>
    </w:p>
    <w:p w14:paraId="40B0DCD4" w14:textId="11FCC02E" w:rsidR="00695FAD" w:rsidRDefault="00695FAD" w:rsidP="00695FAD">
      <w:pPr>
        <w:pStyle w:val="Heading5"/>
        <w:numPr>
          <w:ilvl w:val="4"/>
          <w:numId w:val="2"/>
        </w:numPr>
      </w:pPr>
      <w:bookmarkStart w:id="60" w:name="_Hlk116292145"/>
      <w:bookmarkEnd w:id="59"/>
      <w:r>
        <w:t xml:space="preserve">Principle 3 – </w:t>
      </w:r>
      <w:r w:rsidR="006E759C">
        <w:t>D</w:t>
      </w:r>
      <w:r>
        <w:t xml:space="preserve">efined terms </w:t>
      </w:r>
      <w:r w:rsidR="006E759C">
        <w:t>should be</w:t>
      </w:r>
      <w:r>
        <w:t xml:space="preserve"> listed in section 9 </w:t>
      </w:r>
    </w:p>
    <w:p w14:paraId="6D37CC2B" w14:textId="77777777" w:rsidR="009A5E07" w:rsidRDefault="005C7FD7" w:rsidP="00F72940">
      <w:pPr>
        <w:pStyle w:val="Normalparatextwithnumbers"/>
        <w:numPr>
          <w:ilvl w:val="1"/>
          <w:numId w:val="3"/>
        </w:numPr>
      </w:pPr>
      <w:r>
        <w:t xml:space="preserve">The Bill </w:t>
      </w:r>
      <w:r w:rsidR="00FF11F6">
        <w:t xml:space="preserve">creates a single glossary in </w:t>
      </w:r>
      <w:r w:rsidR="00695FAD">
        <w:t xml:space="preserve">section 9 </w:t>
      </w:r>
      <w:r w:rsidR="00FF11F6">
        <w:t>that</w:t>
      </w:r>
      <w:r w:rsidR="00695FAD">
        <w:t xml:space="preserve"> contains a </w:t>
      </w:r>
      <w:r w:rsidR="006E759C">
        <w:t xml:space="preserve">complete </w:t>
      </w:r>
      <w:r w:rsidR="00695FAD">
        <w:t xml:space="preserve">list of all </w:t>
      </w:r>
      <w:r w:rsidR="00FF11F6">
        <w:t xml:space="preserve">defined </w:t>
      </w:r>
      <w:r w:rsidR="00695FAD">
        <w:t xml:space="preserve">terms </w:t>
      </w:r>
      <w:r w:rsidR="00FF11F6">
        <w:t xml:space="preserve">used </w:t>
      </w:r>
      <w:r w:rsidR="00695FAD">
        <w:t xml:space="preserve">in the </w:t>
      </w:r>
      <w:r w:rsidR="00EF09DA">
        <w:t xml:space="preserve">main body of the </w:t>
      </w:r>
      <w:r w:rsidR="00695FAD">
        <w:t>Corporations Act</w:t>
      </w:r>
      <w:r w:rsidR="00246197">
        <w:t xml:space="preserve">. </w:t>
      </w:r>
    </w:p>
    <w:p w14:paraId="4E876D76" w14:textId="1AC75C97" w:rsidR="00863BFF" w:rsidRDefault="00254F34" w:rsidP="00F72940">
      <w:pPr>
        <w:pStyle w:val="Normalparatextwithnumbers"/>
        <w:numPr>
          <w:ilvl w:val="1"/>
          <w:numId w:val="3"/>
        </w:numPr>
      </w:pPr>
      <w:r>
        <w:t xml:space="preserve">Consistent with the ALRC’s recommendation, terms </w:t>
      </w:r>
      <w:r w:rsidR="00863BFF">
        <w:t>only used in transitional provisions</w:t>
      </w:r>
      <w:r w:rsidR="003D4D66">
        <w:t xml:space="preserve"> (</w:t>
      </w:r>
      <w:proofErr w:type="gramStart"/>
      <w:r w:rsidR="003D4D66">
        <w:t>i.e.</w:t>
      </w:r>
      <w:proofErr w:type="gramEnd"/>
      <w:r w:rsidR="003D4D66">
        <w:t xml:space="preserve"> Chapter 10)</w:t>
      </w:r>
      <w:r>
        <w:t xml:space="preserve"> are not included in section 9. Transitional provisions only apply to a small part of the regulated community for a restricted period of time. Including terms used in the transitional provisions in section 9 would increase the length of section 9 and detract from its utility for other users of the law. It would also necessitate further amendments to section</w:t>
      </w:r>
      <w:r w:rsidR="006A0562">
        <w:t> </w:t>
      </w:r>
      <w:r>
        <w:t>9 when the transitional provisions become redundant and are repealed.</w:t>
      </w:r>
    </w:p>
    <w:p w14:paraId="2A0E1F92" w14:textId="77777777" w:rsidR="009A5E07" w:rsidRDefault="00254F34" w:rsidP="006A0562">
      <w:pPr>
        <w:pStyle w:val="Normalparatextwithnumbers"/>
        <w:numPr>
          <w:ilvl w:val="1"/>
          <w:numId w:val="3"/>
        </w:numPr>
      </w:pPr>
      <w:r>
        <w:t>Similarly, terms used only in a Schedule to the Corporations Act are not included in section 9. The ALRC found that including these terms in section 9 would have negligible benefit in terms of enhancing</w:t>
      </w:r>
      <w:r w:rsidR="007426FC" w:rsidRPr="007426FC">
        <w:t xml:space="preserve"> </w:t>
      </w:r>
      <w:r w:rsidR="007426FC">
        <w:t>navigability</w:t>
      </w:r>
      <w:r w:rsidR="007426FC" w:rsidRPr="007426FC">
        <w:t xml:space="preserve"> </w:t>
      </w:r>
      <w:r w:rsidR="007426FC">
        <w:t>and it would be a significant undertaking.</w:t>
      </w:r>
      <w:r w:rsidR="00472DB7">
        <w:t xml:space="preserve"> </w:t>
      </w:r>
    </w:p>
    <w:p w14:paraId="458B2BF7" w14:textId="716BDE58" w:rsidR="006A0562" w:rsidRDefault="007426FC" w:rsidP="006A0562">
      <w:pPr>
        <w:pStyle w:val="Normalparatextwithnumbers"/>
        <w:numPr>
          <w:ilvl w:val="1"/>
          <w:numId w:val="3"/>
        </w:numPr>
      </w:pPr>
      <w:r>
        <w:t xml:space="preserve">Terms </w:t>
      </w:r>
      <w:r w:rsidR="00863BFF">
        <w:t xml:space="preserve">defined for the purposes of a single section in the Corporations Act </w:t>
      </w:r>
      <w:r w:rsidR="00667667" w:rsidRPr="00726D17">
        <w:t>(just in-time definitions)</w:t>
      </w:r>
      <w:r w:rsidR="00667667">
        <w:t xml:space="preserve"> </w:t>
      </w:r>
      <w:r w:rsidR="00863BFF" w:rsidRPr="00726D17">
        <w:t>a</w:t>
      </w:r>
      <w:r w:rsidRPr="00726D17">
        <w:t xml:space="preserve">re </w:t>
      </w:r>
      <w:r w:rsidR="009A5E07">
        <w:t>also excluded from</w:t>
      </w:r>
      <w:r>
        <w:t xml:space="preserve"> section 9</w:t>
      </w:r>
      <w:r w:rsidR="00863BFF">
        <w:t xml:space="preserve">. </w:t>
      </w:r>
      <w:r>
        <w:t>It is more reader-friendly for these definitions to be located in or near the section that uses the term</w:t>
      </w:r>
      <w:r w:rsidRPr="00726D17">
        <w:t>.</w:t>
      </w:r>
      <w:r>
        <w:t xml:space="preserve"> This eliminates the need for the reader to refer back to section 9, improving navigability.</w:t>
      </w:r>
      <w:r w:rsidR="006A0562" w:rsidRPr="006A0562">
        <w:t xml:space="preserve"> </w:t>
      </w:r>
    </w:p>
    <w:p w14:paraId="612A255E" w14:textId="1CDCE8C2" w:rsidR="00C742C5" w:rsidRPr="00C742C5" w:rsidRDefault="00C742C5" w:rsidP="00797A8A">
      <w:pPr>
        <w:pStyle w:val="Heading6"/>
      </w:pPr>
      <w:r>
        <w:t xml:space="preserve">Full definition versus </w:t>
      </w:r>
      <w:proofErr w:type="gramStart"/>
      <w:r>
        <w:t>sign-posting</w:t>
      </w:r>
      <w:proofErr w:type="gramEnd"/>
    </w:p>
    <w:p w14:paraId="2F8A171F" w14:textId="77777777" w:rsidR="00667667" w:rsidRPr="00726D17" w:rsidRDefault="00667667" w:rsidP="00667667">
      <w:pPr>
        <w:pStyle w:val="Normalparatextwithnumbers"/>
      </w:pPr>
      <w:r w:rsidRPr="00726D17">
        <w:t>Defined terms are listed in section 9 either in full or as a cross-reference (a ‘sign-post’) to the provisions where the full definition can be found.</w:t>
      </w:r>
    </w:p>
    <w:p w14:paraId="1EDBE1B5" w14:textId="53E0FEB0" w:rsidR="00C742C5" w:rsidRDefault="00C742C5" w:rsidP="00C742C5">
      <w:pPr>
        <w:pStyle w:val="Normalparatextwithnumbers"/>
      </w:pPr>
      <w:r>
        <w:lastRenderedPageBreak/>
        <w:t xml:space="preserve">A defined term </w:t>
      </w:r>
      <w:r w:rsidR="00797A8A">
        <w:t>is</w:t>
      </w:r>
      <w:r>
        <w:t xml:space="preserve"> signposted in section 9 with a </w:t>
      </w:r>
      <w:r>
        <w:rPr>
          <w:noProof/>
        </w:rPr>
        <w:t>cross-reference to the relevant section containing the definition (rather than listed, along with its actual definition in section 9) if:</w:t>
      </w:r>
    </w:p>
    <w:p w14:paraId="75EC7A07" w14:textId="341AEE2A" w:rsidR="00C742C5" w:rsidRDefault="00C742C5" w:rsidP="00C742C5">
      <w:pPr>
        <w:pStyle w:val="Dotpoint1"/>
      </w:pPr>
      <w:r>
        <w:rPr>
          <w:noProof/>
        </w:rPr>
        <w:t>the definition is particularly long or elaborate in its structure</w:t>
      </w:r>
      <w:r w:rsidR="00DE360D">
        <w:rPr>
          <w:noProof/>
        </w:rPr>
        <w:t>, as including these in section 9 would increase the length and compexity of the single glossary</w:t>
      </w:r>
      <w:r w:rsidR="009357EB">
        <w:rPr>
          <w:noProof/>
        </w:rPr>
        <w:t>;</w:t>
      </w:r>
    </w:p>
    <w:p w14:paraId="2564A597" w14:textId="63747E64" w:rsidR="009357EB" w:rsidRDefault="00C742C5" w:rsidP="009357EB">
      <w:pPr>
        <w:pStyle w:val="Dotpoint1"/>
      </w:pPr>
      <w:r>
        <w:rPr>
          <w:noProof/>
        </w:rPr>
        <w:t xml:space="preserve">defining </w:t>
      </w:r>
      <w:r>
        <w:t>the word in another part of the Act better supports the narrative flow and makes it easier to understand the operative provisions</w:t>
      </w:r>
      <w:r w:rsidR="009357EB">
        <w:t>; or</w:t>
      </w:r>
      <w:r w:rsidR="009357EB" w:rsidRPr="009357EB">
        <w:t xml:space="preserve"> </w:t>
      </w:r>
    </w:p>
    <w:p w14:paraId="6503963D" w14:textId="4FCBA375" w:rsidR="009357EB" w:rsidRDefault="009357EB" w:rsidP="009357EB">
      <w:pPr>
        <w:pStyle w:val="Dotpoint1"/>
      </w:pPr>
      <w:r>
        <w:t>the definition is only used for the purposes of a particular Chapter, Part, Division or Subdivision</w:t>
      </w:r>
      <w:r w:rsidR="003625BF">
        <w:t>, as it is more reader-friendly to locate the definition close to the use of the term</w:t>
      </w:r>
      <w:r w:rsidR="00B60C9D">
        <w:t>.</w:t>
      </w:r>
    </w:p>
    <w:p w14:paraId="1214146B" w14:textId="53A7C3E9" w:rsidR="00C742C5" w:rsidRDefault="00C742C5" w:rsidP="00C742C5">
      <w:pPr>
        <w:pStyle w:val="Normalparatextwithnumbers"/>
      </w:pPr>
      <w:r>
        <w:rPr>
          <w:noProof/>
        </w:rPr>
        <w:t>Where a signpost is included in section 9, the signpost refer</w:t>
      </w:r>
      <w:r w:rsidR="00797A8A">
        <w:rPr>
          <w:noProof/>
        </w:rPr>
        <w:t>s</w:t>
      </w:r>
      <w:r>
        <w:rPr>
          <w:noProof/>
        </w:rPr>
        <w:t xml:space="preserve"> to the </w:t>
      </w:r>
      <w:r w:rsidR="00667667" w:rsidRPr="00726D17">
        <w:rPr>
          <w:noProof/>
        </w:rPr>
        <w:t>precise</w:t>
      </w:r>
      <w:r>
        <w:rPr>
          <w:noProof/>
        </w:rPr>
        <w:t xml:space="preserve"> provision that contains the defined term (rather than </w:t>
      </w:r>
      <w:r w:rsidR="00667667">
        <w:rPr>
          <w:noProof/>
        </w:rPr>
        <w:t>cross-referencing an entire</w:t>
      </w:r>
      <w:r>
        <w:rPr>
          <w:noProof/>
        </w:rPr>
        <w:t xml:space="preserve"> Chapter or a provision which itself contains another cross-reference</w:t>
      </w:r>
      <w:r w:rsidRPr="00726D17">
        <w:rPr>
          <w:noProof/>
        </w:rPr>
        <w:t>).</w:t>
      </w:r>
      <w:r w:rsidR="003625BF">
        <w:rPr>
          <w:noProof/>
        </w:rPr>
        <w:t xml:space="preserve"> This enhances navigability by allowing the reader to quickly locate the definition.</w:t>
      </w:r>
    </w:p>
    <w:p w14:paraId="0FB41D6B" w14:textId="2F3847FD" w:rsidR="00695FAD" w:rsidRDefault="00B60C9D" w:rsidP="007A7591">
      <w:pPr>
        <w:pStyle w:val="Heading6"/>
      </w:pPr>
      <w:r>
        <w:t>D</w:t>
      </w:r>
      <w:r w:rsidR="00695FAD">
        <w:t>efined terms listed</w:t>
      </w:r>
      <w:r w:rsidR="00695FAD" w:rsidRPr="00202F4E">
        <w:t xml:space="preserve"> </w:t>
      </w:r>
      <w:r w:rsidR="00695FAD">
        <w:t>in dictionar</w:t>
      </w:r>
      <w:r w:rsidR="00E07229">
        <w:t>ies</w:t>
      </w:r>
      <w:r w:rsidR="00695FAD">
        <w:t xml:space="preserve"> </w:t>
      </w:r>
      <w:r>
        <w:t>other than</w:t>
      </w:r>
      <w:r w:rsidR="00695FAD">
        <w:t xml:space="preserve"> section 9</w:t>
      </w:r>
    </w:p>
    <w:p w14:paraId="1FA29A12" w14:textId="49C5E91C" w:rsidR="00B60C9D" w:rsidRDefault="00B60C9D" w:rsidP="00695FAD">
      <w:pPr>
        <w:pStyle w:val="Normalparatextwithnumbers"/>
      </w:pPr>
      <w:r>
        <w:t xml:space="preserve">The Corporations Act </w:t>
      </w:r>
      <w:r w:rsidR="009D5C73">
        <w:t xml:space="preserve">currently </w:t>
      </w:r>
      <w:r>
        <w:t>includes dictionaries scattered throughout different Chapters, Parts, Divisions and Sub-divisions.</w:t>
      </w:r>
      <w:r w:rsidR="009D5C73">
        <w:t xml:space="preserve"> For simplicity, these </w:t>
      </w:r>
      <w:r w:rsidR="00667667">
        <w:t>other</w:t>
      </w:r>
      <w:r w:rsidR="009D5C73">
        <w:t xml:space="preserve"> dictionaries are referred to as Chapter-specific dictionaries</w:t>
      </w:r>
      <w:r w:rsidR="00EB6DC9">
        <w:t xml:space="preserve"> in this explanatory memorandum</w:t>
      </w:r>
      <w:r w:rsidR="009D5C73">
        <w:t>.</w:t>
      </w:r>
      <w:r>
        <w:t xml:space="preserve"> </w:t>
      </w:r>
    </w:p>
    <w:p w14:paraId="312EACC1" w14:textId="6A99CD69" w:rsidR="009D5C73" w:rsidRDefault="009D5C73" w:rsidP="00695FAD">
      <w:pPr>
        <w:pStyle w:val="Normalparatextwithnumbers"/>
      </w:pPr>
      <w:r>
        <w:t>Chapter-specific dictionaries hinder navigability as it is not intuitive which dictionary contains each definition and readers may need to refer to multiple dictionaries</w:t>
      </w:r>
      <w:r w:rsidR="003625BF">
        <w:t xml:space="preserve"> to find the definition</w:t>
      </w:r>
      <w:r>
        <w:t xml:space="preserve">. Chapter-specific dictionaries also increase the risk of one word carrying multiple definitions in different parts of the Act. </w:t>
      </w:r>
    </w:p>
    <w:p w14:paraId="7484FE26" w14:textId="77777777" w:rsidR="00A311A0" w:rsidRDefault="009D5C73" w:rsidP="00695FAD">
      <w:pPr>
        <w:pStyle w:val="Normalparatextwithnumbers"/>
      </w:pPr>
      <w:r>
        <w:t>Where possible within existing policy settings, the Bill gives terms in Chapter-specific dictionaries Act-wide application and lists them in section 9. This has been done where the term</w:t>
      </w:r>
      <w:r w:rsidR="00A311A0">
        <w:t>:</w:t>
      </w:r>
    </w:p>
    <w:p w14:paraId="38C28527" w14:textId="77777777" w:rsidR="00A311A0" w:rsidRDefault="009D5C73" w:rsidP="00A311A0">
      <w:pPr>
        <w:pStyle w:val="Dotpoint1"/>
      </w:pPr>
      <w:r>
        <w:t xml:space="preserve">is used outside the Chapter with the </w:t>
      </w:r>
      <w:r w:rsidRPr="00FB4C56">
        <w:rPr>
          <w:u w:val="single"/>
        </w:rPr>
        <w:t>same</w:t>
      </w:r>
      <w:r>
        <w:t xml:space="preserve"> meaning </w:t>
      </w:r>
      <w:r w:rsidR="00A311A0">
        <w:t xml:space="preserve">as in the Chapter; </w:t>
      </w:r>
      <w:r>
        <w:t xml:space="preserve">or </w:t>
      </w:r>
    </w:p>
    <w:p w14:paraId="031E5C2B" w14:textId="02897B95" w:rsidR="009D5C73" w:rsidRDefault="009D5C73" w:rsidP="00FB4C56">
      <w:pPr>
        <w:pStyle w:val="Dotpoint1"/>
      </w:pPr>
      <w:r>
        <w:t xml:space="preserve">is not currently used outside the Chapter. </w:t>
      </w:r>
    </w:p>
    <w:p w14:paraId="0FEB8D4E" w14:textId="51001B51" w:rsidR="00E32902" w:rsidRDefault="00E32902" w:rsidP="00FB4C56">
      <w:pPr>
        <w:pStyle w:val="Normalparatextwithnumbers"/>
      </w:pPr>
      <w:r>
        <w:t xml:space="preserve">Clarifying the scope of such defined terms to make clear they apply for the purposes of the whole Act reduces the risk that in the future the defined term may take on different meanings. This future-proofs the Corporations Act and eliminates a potential future source of complexity. </w:t>
      </w:r>
    </w:p>
    <w:p w14:paraId="7B69951F" w14:textId="10CEBB55" w:rsidR="00A311A0" w:rsidRDefault="00A311A0" w:rsidP="00695FAD">
      <w:pPr>
        <w:pStyle w:val="Normalparatextwithnumbers"/>
      </w:pPr>
      <w:r>
        <w:t>If a term is</w:t>
      </w:r>
      <w:r w:rsidR="009D5C73">
        <w:t xml:space="preserve"> </w:t>
      </w:r>
      <w:r>
        <w:t xml:space="preserve">used </w:t>
      </w:r>
      <w:r w:rsidR="009D5C73">
        <w:t xml:space="preserve">outside the Chapter with a </w:t>
      </w:r>
      <w:r w:rsidR="009D5C73" w:rsidRPr="00FB4C56">
        <w:rPr>
          <w:u w:val="single"/>
        </w:rPr>
        <w:t>different</w:t>
      </w:r>
      <w:r w:rsidR="009D5C73">
        <w:t xml:space="preserve"> meaning</w:t>
      </w:r>
      <w:r>
        <w:t>, the term is listed in section 9</w:t>
      </w:r>
      <w:r w:rsidR="001379D4">
        <w:t>,</w:t>
      </w:r>
      <w:r>
        <w:t xml:space="preserve"> but </w:t>
      </w:r>
      <w:r w:rsidR="00E32902">
        <w:t>section 9</w:t>
      </w:r>
      <w:r>
        <w:t xml:space="preserve"> makes it clear that the definition only applies for the </w:t>
      </w:r>
      <w:r>
        <w:lastRenderedPageBreak/>
        <w:t xml:space="preserve">purposes of </w:t>
      </w:r>
      <w:r w:rsidR="00E32902">
        <w:t>a</w:t>
      </w:r>
      <w:r>
        <w:t xml:space="preserve"> particular Chapter. This ensures that readers can quickly locate the definition by referring to the </w:t>
      </w:r>
      <w:r w:rsidR="001379D4">
        <w:t xml:space="preserve">single </w:t>
      </w:r>
      <w:r>
        <w:t xml:space="preserve">glossary, while also preserving the existing policy </w:t>
      </w:r>
      <w:r w:rsidRPr="00726D17">
        <w:t>setting</w:t>
      </w:r>
      <w:r w:rsidR="00667667">
        <w:t>s</w:t>
      </w:r>
      <w:r>
        <w:t>.</w:t>
      </w:r>
    </w:p>
    <w:p w14:paraId="629BD499" w14:textId="77777777" w:rsidR="00C8437F" w:rsidRDefault="00A311A0" w:rsidP="00695FAD">
      <w:pPr>
        <w:pStyle w:val="Normalparatextwithnumbers"/>
      </w:pPr>
      <w:r>
        <w:t xml:space="preserve">Terms are listed </w:t>
      </w:r>
      <w:r w:rsidRPr="00A56044">
        <w:rPr>
          <w:u w:val="single"/>
        </w:rPr>
        <w:t>in full</w:t>
      </w:r>
      <w:r>
        <w:t xml:space="preserve"> in section 9 unless they are</w:t>
      </w:r>
      <w:r w:rsidR="00C8437F">
        <w:t>:</w:t>
      </w:r>
    </w:p>
    <w:p w14:paraId="76FDACEB" w14:textId="30AC4399" w:rsidR="00C8437F" w:rsidRDefault="00A311A0" w:rsidP="00C8437F">
      <w:pPr>
        <w:pStyle w:val="Dotpoint1"/>
      </w:pPr>
      <w:r>
        <w:t xml:space="preserve">used only for the purposes of a particular </w:t>
      </w:r>
      <w:r w:rsidR="00A56044">
        <w:t>c</w:t>
      </w:r>
      <w:r w:rsidRPr="00726D17">
        <w:t>hapter</w:t>
      </w:r>
      <w:r w:rsidR="00C8437F">
        <w:t>;</w:t>
      </w:r>
    </w:p>
    <w:p w14:paraId="5EF8E00C" w14:textId="007BAF1C" w:rsidR="00C8437F" w:rsidRDefault="00C8437F" w:rsidP="00C8437F">
      <w:pPr>
        <w:pStyle w:val="Dotpoint1"/>
      </w:pPr>
      <w:r w:rsidRPr="00726D17">
        <w:t xml:space="preserve">used outside </w:t>
      </w:r>
      <w:r w:rsidR="00A56044">
        <w:t>the</w:t>
      </w:r>
      <w:r w:rsidRPr="00726D17">
        <w:t xml:space="preserve"> chapter with </w:t>
      </w:r>
      <w:r w:rsidR="00A56044">
        <w:t xml:space="preserve">a different </w:t>
      </w:r>
      <w:r w:rsidRPr="00726D17">
        <w:t>meaning;</w:t>
      </w:r>
      <w:r w:rsidR="00A311A0" w:rsidRPr="00726D17">
        <w:t xml:space="preserve"> or </w:t>
      </w:r>
    </w:p>
    <w:p w14:paraId="1FA1F4DA" w14:textId="7205AE33" w:rsidR="009D5C73" w:rsidRDefault="00A311A0" w:rsidP="00C8437F">
      <w:pPr>
        <w:pStyle w:val="Dotpoint1"/>
      </w:pPr>
      <w:r>
        <w:t>the definition is particularly long or elaborate in structure (refer to the discussion under the heading ‘Full definition versus sign-posting’ above).</w:t>
      </w:r>
    </w:p>
    <w:p w14:paraId="045298A7" w14:textId="7AC0F75D" w:rsidR="00A56044" w:rsidRDefault="00A56044" w:rsidP="00695FAD">
      <w:pPr>
        <w:pStyle w:val="Normalparatextwithnumbers"/>
      </w:pPr>
      <w:r>
        <w:t>In the above three</w:t>
      </w:r>
      <w:r w:rsidR="00A13071">
        <w:t xml:space="preserve"> scenarios, section 9 includes a cross-reference to the section that contains the definition.</w:t>
      </w:r>
    </w:p>
    <w:p w14:paraId="4E1435A6" w14:textId="70583E15" w:rsidR="003625BF" w:rsidRDefault="0027536E" w:rsidP="00695FAD">
      <w:pPr>
        <w:pStyle w:val="Normalparatextwithnumbers"/>
      </w:pPr>
      <w:r>
        <w:t>The Bill also deletes any terms or signposts from the Chapter-specific dictionary that are redundant, either because</w:t>
      </w:r>
      <w:r w:rsidR="003625BF">
        <w:t>:</w:t>
      </w:r>
    </w:p>
    <w:p w14:paraId="6E3D4565" w14:textId="77777777" w:rsidR="003625BF" w:rsidRDefault="0027536E" w:rsidP="003625BF">
      <w:pPr>
        <w:pStyle w:val="Dotpoint1"/>
      </w:pPr>
      <w:r>
        <w:t xml:space="preserve"> the term has been moved into section 9 with its full definition</w:t>
      </w:r>
      <w:r w:rsidR="003625BF">
        <w:t>;</w:t>
      </w:r>
      <w:r>
        <w:t xml:space="preserve"> or </w:t>
      </w:r>
    </w:p>
    <w:p w14:paraId="38FA3613" w14:textId="12B52B28" w:rsidR="0027536E" w:rsidRDefault="0027536E" w:rsidP="005636E4">
      <w:pPr>
        <w:pStyle w:val="Dotpoint1"/>
      </w:pPr>
      <w:r>
        <w:t>the Chapter-specific dictionary only included a signpost to another section</w:t>
      </w:r>
      <w:r w:rsidR="003625BF">
        <w:t xml:space="preserve"> and the signpost now appears in section 9</w:t>
      </w:r>
      <w:r>
        <w:t xml:space="preserve">. </w:t>
      </w:r>
    </w:p>
    <w:p w14:paraId="5BAA9669" w14:textId="39D69DAC" w:rsidR="00635982" w:rsidRPr="005636E4" w:rsidRDefault="00635982" w:rsidP="00635982">
      <w:pPr>
        <w:pStyle w:val="Normalparatextwithnumbers"/>
      </w:pPr>
      <w:r w:rsidRPr="0069275D">
        <w:rPr>
          <w:rStyle w:val="References"/>
          <w:b w:val="0"/>
          <w:bCs w:val="0"/>
          <w:i w:val="0"/>
          <w:iCs w:val="0"/>
          <w:noProof/>
        </w:rPr>
        <w:t xml:space="preserve">The Bill </w:t>
      </w:r>
      <w:r>
        <w:rPr>
          <w:rStyle w:val="References"/>
          <w:b w:val="0"/>
          <w:bCs w:val="0"/>
          <w:i w:val="0"/>
          <w:iCs w:val="0"/>
          <w:noProof/>
        </w:rPr>
        <w:t>makes consequential amendments to the Corporations Act and ASIC Act to accurately reflect the new location of relevant definitions that have been moved to</w:t>
      </w:r>
      <w:r w:rsidRPr="00982D26">
        <w:rPr>
          <w:rStyle w:val="References"/>
          <w:b w:val="0"/>
          <w:bCs w:val="0"/>
          <w:i w:val="0"/>
          <w:iCs w:val="0"/>
          <w:noProof/>
        </w:rPr>
        <w:t xml:space="preserve"> sit within the</w:t>
      </w:r>
      <w:r>
        <w:rPr>
          <w:rStyle w:val="References"/>
          <w:noProof/>
        </w:rPr>
        <w:t xml:space="preserve"> </w:t>
      </w:r>
      <w:r>
        <w:rPr>
          <w:rStyle w:val="References"/>
          <w:b w:val="0"/>
          <w:bCs w:val="0"/>
          <w:i w:val="0"/>
          <w:iCs w:val="0"/>
          <w:noProof/>
        </w:rPr>
        <w:t>section 9 single glossary, or which have been given Act-wide application.</w:t>
      </w:r>
    </w:p>
    <w:p w14:paraId="17A02B58" w14:textId="15A53336" w:rsidR="007958B3" w:rsidRDefault="007849D6" w:rsidP="00695FAD">
      <w:pPr>
        <w:pStyle w:val="Normalparatextwithnumbers"/>
      </w:pPr>
      <w:r>
        <w:t>Table 1.2</w:t>
      </w:r>
      <w:r w:rsidR="00A311A0">
        <w:t xml:space="preserve"> summarise</w:t>
      </w:r>
      <w:r w:rsidR="005636E4">
        <w:t>s</w:t>
      </w:r>
      <w:r w:rsidR="00A311A0">
        <w:t xml:space="preserve"> how the principles apply to terms in Chapter</w:t>
      </w:r>
      <w:r>
        <w:t>-</w:t>
      </w:r>
      <w:r w:rsidR="00A311A0">
        <w:t>specific dictionaries</w:t>
      </w:r>
      <w:r w:rsidR="00C114D1">
        <w:t xml:space="preserve">. </w:t>
      </w:r>
    </w:p>
    <w:p w14:paraId="1A66CCCD" w14:textId="6EB08D11" w:rsidR="0035346A" w:rsidRDefault="00A311A0" w:rsidP="000F2EC5">
      <w:pPr>
        <w:pStyle w:val="TableHeading"/>
      </w:pPr>
      <w:r>
        <w:t>: Approach for terms in Chapter-specific dictionaries</w:t>
      </w:r>
    </w:p>
    <w:tbl>
      <w:tblPr>
        <w:tblStyle w:val="TableGrid"/>
        <w:tblW w:w="4967" w:type="pct"/>
        <w:tblLayout w:type="fixed"/>
        <w:tblLook w:val="04A0" w:firstRow="1" w:lastRow="0" w:firstColumn="1" w:lastColumn="0" w:noHBand="0" w:noVBand="1"/>
      </w:tblPr>
      <w:tblGrid>
        <w:gridCol w:w="564"/>
        <w:gridCol w:w="1559"/>
        <w:gridCol w:w="1276"/>
        <w:gridCol w:w="1984"/>
        <w:gridCol w:w="2267"/>
      </w:tblGrid>
      <w:tr w:rsidR="00280EBC" w14:paraId="343741A5" w14:textId="77777777" w:rsidTr="005636E4">
        <w:tc>
          <w:tcPr>
            <w:tcW w:w="368" w:type="pct"/>
          </w:tcPr>
          <w:p w14:paraId="5764A9C3" w14:textId="77777777" w:rsidR="00787BC9" w:rsidRDefault="00787BC9">
            <w:pPr>
              <w:pStyle w:val="Tableheaderrowtext"/>
              <w:numPr>
                <w:ilvl w:val="3"/>
                <w:numId w:val="2"/>
              </w:numPr>
            </w:pPr>
          </w:p>
        </w:tc>
        <w:tc>
          <w:tcPr>
            <w:tcW w:w="1019" w:type="pct"/>
          </w:tcPr>
          <w:p w14:paraId="4BD18BFD" w14:textId="29C3A9B8" w:rsidR="00787BC9" w:rsidRDefault="00787BC9" w:rsidP="005636E4">
            <w:pPr>
              <w:pStyle w:val="Tableheaderrowtext"/>
            </w:pPr>
            <w:r>
              <w:t xml:space="preserve">When </w:t>
            </w:r>
            <w:r w:rsidR="00EC32FE">
              <w:t>sub-</w:t>
            </w:r>
            <w:r>
              <w:t xml:space="preserve">principle applies </w:t>
            </w:r>
          </w:p>
        </w:tc>
        <w:tc>
          <w:tcPr>
            <w:tcW w:w="834" w:type="pct"/>
          </w:tcPr>
          <w:p w14:paraId="40F433D7" w14:textId="029F9346" w:rsidR="00787BC9" w:rsidRDefault="00C251EC" w:rsidP="005636E4">
            <w:pPr>
              <w:pStyle w:val="Tableheaderrowtext"/>
            </w:pPr>
            <w:r>
              <w:t>Does</w:t>
            </w:r>
            <w:r w:rsidR="00A311A0">
              <w:t xml:space="preserve"> the term </w:t>
            </w:r>
            <w:r>
              <w:t>apply</w:t>
            </w:r>
            <w:r w:rsidR="00A311A0">
              <w:t xml:space="preserve"> Act-wide?</w:t>
            </w:r>
          </w:p>
        </w:tc>
        <w:tc>
          <w:tcPr>
            <w:tcW w:w="1297" w:type="pct"/>
          </w:tcPr>
          <w:p w14:paraId="73758B28" w14:textId="28051D56" w:rsidR="00787BC9" w:rsidRDefault="00C251EC" w:rsidP="005636E4">
            <w:pPr>
              <w:pStyle w:val="Tableheaderrowtext"/>
            </w:pPr>
            <w:r>
              <w:t>What should be in section 9?</w:t>
            </w:r>
          </w:p>
        </w:tc>
        <w:tc>
          <w:tcPr>
            <w:tcW w:w="1482" w:type="pct"/>
          </w:tcPr>
          <w:p w14:paraId="1F45C598" w14:textId="3619A732" w:rsidR="00787BC9" w:rsidRDefault="00C251EC" w:rsidP="000F2EC5">
            <w:pPr>
              <w:pStyle w:val="Tableheaderrowtext"/>
            </w:pPr>
            <w:r>
              <w:t>What should be in the Chapter-specific dictionary?</w:t>
            </w:r>
          </w:p>
        </w:tc>
      </w:tr>
      <w:tr w:rsidR="00280EBC" w14:paraId="4EB16A2F" w14:textId="77777777" w:rsidTr="005636E4">
        <w:tc>
          <w:tcPr>
            <w:tcW w:w="368" w:type="pct"/>
          </w:tcPr>
          <w:p w14:paraId="63063126" w14:textId="49541EA8" w:rsidR="00787BC9" w:rsidRPr="008C2FF5" w:rsidRDefault="00EC5B19">
            <w:pPr>
              <w:pStyle w:val="Tabletext"/>
              <w:rPr>
                <w:b/>
                <w:bCs/>
              </w:rPr>
            </w:pPr>
            <w:r w:rsidRPr="00726D17">
              <w:rPr>
                <w:b/>
                <w:bCs/>
              </w:rPr>
              <w:t>3</w:t>
            </w:r>
            <w:r w:rsidR="0027536E">
              <w:rPr>
                <w:b/>
                <w:bCs/>
              </w:rPr>
              <w:t>.1</w:t>
            </w:r>
          </w:p>
        </w:tc>
        <w:tc>
          <w:tcPr>
            <w:tcW w:w="1019" w:type="pct"/>
          </w:tcPr>
          <w:p w14:paraId="14147207" w14:textId="48A4303D" w:rsidR="00787BC9" w:rsidRDefault="00A311A0" w:rsidP="000F2EC5">
            <w:pPr>
              <w:pStyle w:val="Tabledotpoint1"/>
              <w:numPr>
                <w:ilvl w:val="0"/>
                <w:numId w:val="0"/>
              </w:numPr>
            </w:pPr>
            <w:r>
              <w:t>T</w:t>
            </w:r>
            <w:r w:rsidR="00787BC9" w:rsidRPr="00AA3ED6">
              <w:t xml:space="preserve">erm is </w:t>
            </w:r>
            <w:r>
              <w:rPr>
                <w:u w:val="single"/>
              </w:rPr>
              <w:t>not</w:t>
            </w:r>
            <w:r w:rsidRPr="00AA3ED6">
              <w:t xml:space="preserve"> </w:t>
            </w:r>
            <w:r w:rsidR="00787BC9" w:rsidRPr="00AA3ED6">
              <w:t xml:space="preserve">used outside </w:t>
            </w:r>
            <w:r>
              <w:t>the</w:t>
            </w:r>
            <w:r w:rsidRPr="00AA3ED6">
              <w:t xml:space="preserve"> </w:t>
            </w:r>
            <w:r>
              <w:t>Chapter</w:t>
            </w:r>
          </w:p>
        </w:tc>
        <w:tc>
          <w:tcPr>
            <w:tcW w:w="834" w:type="pct"/>
          </w:tcPr>
          <w:p w14:paraId="5972A8C2" w14:textId="74E52DD7" w:rsidR="00787BC9" w:rsidRPr="00AA3ED6" w:rsidRDefault="00A311A0" w:rsidP="000F2EC5">
            <w:pPr>
              <w:ind w:left="0"/>
            </w:pPr>
            <w:r>
              <w:t>Yes</w:t>
            </w:r>
          </w:p>
          <w:p w14:paraId="6F6738B4" w14:textId="77777777" w:rsidR="00787BC9" w:rsidRPr="00AA3ED6" w:rsidRDefault="00787BC9"/>
        </w:tc>
        <w:tc>
          <w:tcPr>
            <w:tcW w:w="1297" w:type="pct"/>
          </w:tcPr>
          <w:p w14:paraId="65F73A23" w14:textId="08B5AA4D" w:rsidR="00787BC9" w:rsidRPr="00AA3ED6" w:rsidRDefault="0027536E" w:rsidP="000F2EC5">
            <w:pPr>
              <w:pStyle w:val="Tabledotpoint1"/>
              <w:numPr>
                <w:ilvl w:val="0"/>
                <w:numId w:val="0"/>
              </w:numPr>
            </w:pPr>
            <w:r>
              <w:t xml:space="preserve">Signpost to the </w:t>
            </w:r>
            <w:r w:rsidR="00787BC9" w:rsidRPr="00AA3ED6">
              <w:t xml:space="preserve">section containing the </w:t>
            </w:r>
            <w:r>
              <w:t>definition (either the Chapter-specific dictionary or another section</w:t>
            </w:r>
            <w:r w:rsidRPr="00726D17">
              <w:t>)</w:t>
            </w:r>
            <w:r w:rsidR="00A13071">
              <w:t>.</w:t>
            </w:r>
          </w:p>
        </w:tc>
        <w:tc>
          <w:tcPr>
            <w:tcW w:w="1482" w:type="pct"/>
          </w:tcPr>
          <w:p w14:paraId="66ED2FAF" w14:textId="6F167664" w:rsidR="00C251EC" w:rsidRDefault="00C251EC" w:rsidP="000F2EC5">
            <w:pPr>
              <w:pStyle w:val="Tabledotpoint1"/>
              <w:numPr>
                <w:ilvl w:val="0"/>
                <w:numId w:val="0"/>
              </w:numPr>
              <w:rPr>
                <w:lang w:eastAsia="en-US"/>
              </w:rPr>
            </w:pPr>
            <w:r>
              <w:rPr>
                <w:lang w:eastAsia="en-US"/>
              </w:rPr>
              <w:t>I</w:t>
            </w:r>
            <w:r w:rsidR="00787BC9" w:rsidRPr="00AA3ED6">
              <w:rPr>
                <w:lang w:eastAsia="en-US"/>
              </w:rPr>
              <w:t>f</w:t>
            </w:r>
            <w:r w:rsidR="00D1676A">
              <w:rPr>
                <w:lang w:eastAsia="en-US"/>
              </w:rPr>
              <w:t xml:space="preserve"> the dictionary contains </w:t>
            </w:r>
            <w:r w:rsidR="00787BC9" w:rsidRPr="00AA3ED6">
              <w:rPr>
                <w:lang w:eastAsia="en-US"/>
              </w:rPr>
              <w:t>a signpost</w:t>
            </w:r>
            <w:r>
              <w:rPr>
                <w:lang w:eastAsia="en-US"/>
              </w:rPr>
              <w:t>, delete it.</w:t>
            </w:r>
          </w:p>
          <w:p w14:paraId="6574A60D" w14:textId="380548C9" w:rsidR="00787BC9" w:rsidRDefault="00C251EC" w:rsidP="000F2EC5">
            <w:pPr>
              <w:pStyle w:val="Tabledotpoint1"/>
              <w:numPr>
                <w:ilvl w:val="0"/>
                <w:numId w:val="0"/>
              </w:numPr>
            </w:pPr>
            <w:r>
              <w:rPr>
                <w:lang w:eastAsia="en-US"/>
              </w:rPr>
              <w:t>If the dictionary contains the full definition, retain it.</w:t>
            </w:r>
          </w:p>
        </w:tc>
      </w:tr>
      <w:tr w:rsidR="00280EBC" w14:paraId="679AF9AF" w14:textId="77777777" w:rsidTr="005636E4">
        <w:tc>
          <w:tcPr>
            <w:tcW w:w="368" w:type="pct"/>
          </w:tcPr>
          <w:p w14:paraId="00971D30" w14:textId="3B28E634" w:rsidR="00F13F7A" w:rsidRPr="008C2FF5" w:rsidRDefault="00EC5B19">
            <w:pPr>
              <w:pStyle w:val="Tabletext"/>
              <w:rPr>
                <w:b/>
                <w:bCs/>
              </w:rPr>
            </w:pPr>
            <w:r w:rsidRPr="00726D17">
              <w:rPr>
                <w:b/>
                <w:bCs/>
              </w:rPr>
              <w:t>3</w:t>
            </w:r>
            <w:r w:rsidR="00C251EC">
              <w:rPr>
                <w:b/>
                <w:bCs/>
              </w:rPr>
              <w:t>.2</w:t>
            </w:r>
          </w:p>
        </w:tc>
        <w:tc>
          <w:tcPr>
            <w:tcW w:w="1019" w:type="pct"/>
          </w:tcPr>
          <w:p w14:paraId="0C0361B5" w14:textId="0B7A8610" w:rsidR="00F13F7A" w:rsidRPr="00F76D70" w:rsidRDefault="00A311A0" w:rsidP="000F2EC5">
            <w:pPr>
              <w:pStyle w:val="Tabledotpoint1"/>
              <w:numPr>
                <w:ilvl w:val="0"/>
                <w:numId w:val="0"/>
              </w:numPr>
            </w:pPr>
            <w:r>
              <w:t xml:space="preserve">Term </w:t>
            </w:r>
            <w:r>
              <w:rPr>
                <w:u w:val="single"/>
              </w:rPr>
              <w:t>is</w:t>
            </w:r>
            <w:r w:rsidR="00F13F7A" w:rsidRPr="00AA3ED6">
              <w:t xml:space="preserve"> used outside the </w:t>
            </w:r>
            <w:r w:rsidR="00F13F7A" w:rsidRPr="00AA3ED6">
              <w:lastRenderedPageBreak/>
              <w:t>Chapter</w:t>
            </w:r>
            <w:r>
              <w:t xml:space="preserve"> with a </w:t>
            </w:r>
            <w:r>
              <w:rPr>
                <w:u w:val="single"/>
              </w:rPr>
              <w:t>different meaning</w:t>
            </w:r>
          </w:p>
          <w:p w14:paraId="78C80B35" w14:textId="2B4C0D4D" w:rsidR="00F13F7A" w:rsidRPr="00AA3ED6" w:rsidRDefault="00F13F7A" w:rsidP="000F2EC5">
            <w:pPr>
              <w:pStyle w:val="Tabledotpoint1"/>
              <w:numPr>
                <w:ilvl w:val="0"/>
                <w:numId w:val="0"/>
              </w:numPr>
            </w:pPr>
          </w:p>
        </w:tc>
        <w:tc>
          <w:tcPr>
            <w:tcW w:w="834" w:type="pct"/>
          </w:tcPr>
          <w:p w14:paraId="2D62E1C6" w14:textId="0EA5032E" w:rsidR="00F13F7A" w:rsidRPr="00AA3ED6" w:rsidRDefault="00A311A0" w:rsidP="000F2EC5">
            <w:pPr>
              <w:pStyle w:val="Tabledotpoint1"/>
              <w:numPr>
                <w:ilvl w:val="0"/>
                <w:numId w:val="0"/>
              </w:numPr>
            </w:pPr>
            <w:r>
              <w:lastRenderedPageBreak/>
              <w:t>No</w:t>
            </w:r>
          </w:p>
        </w:tc>
        <w:tc>
          <w:tcPr>
            <w:tcW w:w="1297" w:type="pct"/>
          </w:tcPr>
          <w:p w14:paraId="3C696A6D" w14:textId="30C75DC1" w:rsidR="00C251EC" w:rsidRDefault="00C251EC" w:rsidP="000F2EC5">
            <w:pPr>
              <w:pStyle w:val="Tabledotpoint1"/>
              <w:numPr>
                <w:ilvl w:val="0"/>
                <w:numId w:val="0"/>
              </w:numPr>
            </w:pPr>
            <w:r>
              <w:t>S</w:t>
            </w:r>
            <w:r w:rsidR="00F13F7A" w:rsidRPr="00AA3ED6">
              <w:t xml:space="preserve">ignpost </w:t>
            </w:r>
            <w:r w:rsidR="006B68B2">
              <w:t xml:space="preserve">to the section containing the </w:t>
            </w:r>
            <w:r>
              <w:lastRenderedPageBreak/>
              <w:t>definition (either the Chapter-specific dictionary or another section).</w:t>
            </w:r>
          </w:p>
          <w:p w14:paraId="457C2399" w14:textId="6F0A4FAB" w:rsidR="00F13F7A" w:rsidRPr="00AA3ED6" w:rsidRDefault="00C251EC" w:rsidP="000F2EC5">
            <w:pPr>
              <w:pStyle w:val="Tabledotpoint1"/>
              <w:numPr>
                <w:ilvl w:val="0"/>
                <w:numId w:val="0"/>
              </w:numPr>
            </w:pPr>
            <w:r>
              <w:t>Note</w:t>
            </w:r>
            <w:r w:rsidR="006B68B2">
              <w:t xml:space="preserve"> the term’s </w:t>
            </w:r>
            <w:r w:rsidR="00F13F7A" w:rsidRPr="00AA3ED6">
              <w:t>limited application</w:t>
            </w:r>
            <w:r w:rsidR="006B68B2">
              <w:t>.</w:t>
            </w:r>
          </w:p>
        </w:tc>
        <w:tc>
          <w:tcPr>
            <w:tcW w:w="1482" w:type="pct"/>
          </w:tcPr>
          <w:p w14:paraId="5D13C6F7" w14:textId="77777777" w:rsidR="00E32902" w:rsidRDefault="00E32902" w:rsidP="00E32902">
            <w:pPr>
              <w:pStyle w:val="Tabledotpoint1"/>
              <w:numPr>
                <w:ilvl w:val="0"/>
                <w:numId w:val="0"/>
              </w:numPr>
              <w:rPr>
                <w:lang w:eastAsia="en-US"/>
              </w:rPr>
            </w:pPr>
            <w:r>
              <w:rPr>
                <w:lang w:eastAsia="en-US"/>
              </w:rPr>
              <w:lastRenderedPageBreak/>
              <w:t>I</w:t>
            </w:r>
            <w:r w:rsidRPr="00AA3ED6">
              <w:rPr>
                <w:lang w:eastAsia="en-US"/>
              </w:rPr>
              <w:t>f</w:t>
            </w:r>
            <w:r>
              <w:rPr>
                <w:lang w:eastAsia="en-US"/>
              </w:rPr>
              <w:t xml:space="preserve"> the dictionary contains </w:t>
            </w:r>
            <w:r w:rsidRPr="00AA3ED6">
              <w:rPr>
                <w:lang w:eastAsia="en-US"/>
              </w:rPr>
              <w:t>a signpost</w:t>
            </w:r>
            <w:r>
              <w:rPr>
                <w:lang w:eastAsia="en-US"/>
              </w:rPr>
              <w:t>, delete it.</w:t>
            </w:r>
          </w:p>
          <w:p w14:paraId="10CEE299" w14:textId="69D5276A" w:rsidR="00F13F7A" w:rsidRPr="00F76D70" w:rsidRDefault="00E32902" w:rsidP="000F2EC5">
            <w:pPr>
              <w:pStyle w:val="Tabledotpoint1"/>
              <w:numPr>
                <w:ilvl w:val="0"/>
                <w:numId w:val="0"/>
              </w:numPr>
            </w:pPr>
            <w:r>
              <w:rPr>
                <w:lang w:eastAsia="en-US"/>
              </w:rPr>
              <w:lastRenderedPageBreak/>
              <w:t>If the dictionary contains the full definition, retain it.</w:t>
            </w:r>
          </w:p>
        </w:tc>
      </w:tr>
      <w:tr w:rsidR="00280EBC" w14:paraId="3E243787" w14:textId="77777777" w:rsidTr="005636E4">
        <w:tc>
          <w:tcPr>
            <w:tcW w:w="368" w:type="pct"/>
          </w:tcPr>
          <w:p w14:paraId="193F5809" w14:textId="2B142432" w:rsidR="00787BC9" w:rsidRPr="008C2FF5" w:rsidRDefault="00EC5B19">
            <w:pPr>
              <w:pStyle w:val="Tabletext"/>
              <w:rPr>
                <w:b/>
                <w:bCs/>
              </w:rPr>
            </w:pPr>
            <w:r w:rsidRPr="00726D17">
              <w:rPr>
                <w:b/>
                <w:bCs/>
              </w:rPr>
              <w:lastRenderedPageBreak/>
              <w:t>3</w:t>
            </w:r>
            <w:r w:rsidR="00E32902">
              <w:rPr>
                <w:b/>
                <w:bCs/>
              </w:rPr>
              <w:t>.3</w:t>
            </w:r>
          </w:p>
        </w:tc>
        <w:tc>
          <w:tcPr>
            <w:tcW w:w="1019" w:type="pct"/>
          </w:tcPr>
          <w:p w14:paraId="3327B84E" w14:textId="5AE74AEE" w:rsidR="00787BC9" w:rsidRPr="00AA3ED6" w:rsidRDefault="00A311A0" w:rsidP="000F2EC5">
            <w:pPr>
              <w:pStyle w:val="Tabledotpoint1"/>
              <w:numPr>
                <w:ilvl w:val="0"/>
                <w:numId w:val="0"/>
              </w:numPr>
            </w:pPr>
            <w:r>
              <w:t>T</w:t>
            </w:r>
            <w:r w:rsidR="00787BC9" w:rsidRPr="00AA3ED6">
              <w:t xml:space="preserve">erm </w:t>
            </w:r>
            <w:r>
              <w:rPr>
                <w:u w:val="single"/>
              </w:rPr>
              <w:t>is</w:t>
            </w:r>
            <w:r w:rsidR="00787BC9" w:rsidRPr="00AA3ED6">
              <w:t xml:space="preserve"> used outside the Chapter</w:t>
            </w:r>
            <w:r>
              <w:t xml:space="preserve"> with </w:t>
            </w:r>
            <w:r w:rsidR="00787BC9" w:rsidRPr="00AA3ED6">
              <w:t xml:space="preserve">the </w:t>
            </w:r>
            <w:r>
              <w:rPr>
                <w:u w:val="single"/>
              </w:rPr>
              <w:t>same</w:t>
            </w:r>
            <w:r w:rsidRPr="00AA3ED6">
              <w:t xml:space="preserve"> </w:t>
            </w:r>
            <w:r w:rsidR="00787BC9" w:rsidRPr="00AA3ED6">
              <w:t xml:space="preserve">meaning  </w:t>
            </w:r>
          </w:p>
        </w:tc>
        <w:tc>
          <w:tcPr>
            <w:tcW w:w="834" w:type="pct"/>
          </w:tcPr>
          <w:p w14:paraId="47ED27AA" w14:textId="458E941A" w:rsidR="00787BC9" w:rsidRPr="00AA3ED6" w:rsidRDefault="00E32902" w:rsidP="000F2EC5">
            <w:pPr>
              <w:pStyle w:val="Tabledotpoint1"/>
              <w:numPr>
                <w:ilvl w:val="0"/>
                <w:numId w:val="0"/>
              </w:numPr>
            </w:pPr>
            <w:r>
              <w:t>Yes</w:t>
            </w:r>
          </w:p>
          <w:p w14:paraId="15D65D3C" w14:textId="77777777" w:rsidR="00787BC9" w:rsidRDefault="00787BC9">
            <w:pPr>
              <w:pStyle w:val="Tabletext"/>
            </w:pPr>
          </w:p>
        </w:tc>
        <w:tc>
          <w:tcPr>
            <w:tcW w:w="1297" w:type="pct"/>
          </w:tcPr>
          <w:p w14:paraId="5BC3728E" w14:textId="224381E2" w:rsidR="00787BC9" w:rsidRPr="00AA3ED6" w:rsidRDefault="00662F28" w:rsidP="000F2EC5">
            <w:pPr>
              <w:pStyle w:val="Tabledotpoint1"/>
              <w:numPr>
                <w:ilvl w:val="0"/>
                <w:numId w:val="0"/>
              </w:numPr>
            </w:pPr>
            <w:r>
              <w:t xml:space="preserve">Include the </w:t>
            </w:r>
            <w:r w:rsidR="00C251EC">
              <w:t>full</w:t>
            </w:r>
            <w:r w:rsidR="00C251EC" w:rsidRPr="00AA3ED6">
              <w:t xml:space="preserve"> </w:t>
            </w:r>
            <w:r w:rsidR="00787BC9" w:rsidRPr="00AA3ED6">
              <w:t>definition</w:t>
            </w:r>
            <w:r>
              <w:t xml:space="preserve"> in section 9</w:t>
            </w:r>
            <w:r w:rsidR="00787BC9" w:rsidRPr="00AA3ED6">
              <w:t xml:space="preserve"> </w:t>
            </w:r>
            <w:r w:rsidR="00C251EC">
              <w:t>unless the definition is long and elaborate</w:t>
            </w:r>
            <w:r w:rsidR="00A13071">
              <w:t>.</w:t>
            </w:r>
          </w:p>
        </w:tc>
        <w:tc>
          <w:tcPr>
            <w:tcW w:w="1482" w:type="pct"/>
          </w:tcPr>
          <w:p w14:paraId="62B7BEC5" w14:textId="5A5A3BDB" w:rsidR="00787BC9" w:rsidRPr="0049601E" w:rsidRDefault="00787BC9" w:rsidP="000F2EC5">
            <w:pPr>
              <w:pStyle w:val="Tabledotpoint1"/>
              <w:numPr>
                <w:ilvl w:val="0"/>
                <w:numId w:val="0"/>
              </w:numPr>
            </w:pPr>
            <w:r w:rsidRPr="00AA3ED6">
              <w:t xml:space="preserve">Delete </w:t>
            </w:r>
            <w:r w:rsidR="00662F28">
              <w:t xml:space="preserve">the </w:t>
            </w:r>
            <w:r w:rsidRPr="00AA3ED6">
              <w:t xml:space="preserve">signpost or </w:t>
            </w:r>
            <w:r w:rsidR="000D3380">
              <w:t xml:space="preserve">full </w:t>
            </w:r>
            <w:r w:rsidRPr="00AA3ED6">
              <w:t>definition</w:t>
            </w:r>
            <w:r w:rsidR="000D3380">
              <w:t>.</w:t>
            </w:r>
            <w:r w:rsidRPr="00AA3ED6">
              <w:t xml:space="preserve"> </w:t>
            </w:r>
          </w:p>
        </w:tc>
      </w:tr>
    </w:tbl>
    <w:p w14:paraId="6E881346" w14:textId="1A7B3138" w:rsidR="00563594" w:rsidRPr="00E832EF" w:rsidRDefault="003625BF" w:rsidP="00E832EF">
      <w:pPr>
        <w:pStyle w:val="Heading6"/>
      </w:pPr>
      <w:bookmarkStart w:id="61" w:name="_Hlk115948316"/>
      <w:bookmarkStart w:id="62" w:name="_Hlk115947918"/>
      <w:bookmarkEnd w:id="60"/>
      <w:r>
        <w:t>T</w:t>
      </w:r>
      <w:r w:rsidR="00563594">
        <w:t xml:space="preserve">erms </w:t>
      </w:r>
      <w:r>
        <w:t>remaining</w:t>
      </w:r>
      <w:r w:rsidR="00563594">
        <w:t xml:space="preserve"> in Chapter-specific dictionaries </w:t>
      </w:r>
    </w:p>
    <w:p w14:paraId="71E6EEAE" w14:textId="14AB575D" w:rsidR="003625BF" w:rsidRDefault="00CF2349" w:rsidP="00EF62A4">
      <w:pPr>
        <w:pStyle w:val="Normalparatextwithnumbers"/>
        <w:numPr>
          <w:ilvl w:val="1"/>
          <w:numId w:val="3"/>
        </w:numPr>
      </w:pPr>
      <w:r>
        <w:t xml:space="preserve">The </w:t>
      </w:r>
      <w:r w:rsidR="00F05F9D">
        <w:t xml:space="preserve">Bill </w:t>
      </w:r>
      <w:r>
        <w:t xml:space="preserve">also </w:t>
      </w:r>
      <w:r w:rsidR="00F05F9D">
        <w:t>repeals</w:t>
      </w:r>
      <w:r>
        <w:t xml:space="preserve"> </w:t>
      </w:r>
      <w:r w:rsidR="00B417CA">
        <w:t xml:space="preserve">the </w:t>
      </w:r>
      <w:r>
        <w:t xml:space="preserve">dictionaries </w:t>
      </w:r>
      <w:r w:rsidR="00B417CA">
        <w:t xml:space="preserve">in section </w:t>
      </w:r>
      <w:r w:rsidR="00EB1616">
        <w:t>601WAA</w:t>
      </w:r>
      <w:r w:rsidR="00B417CA">
        <w:t xml:space="preserve"> (dictionary for Division 1 of Part 5D.6), section </w:t>
      </w:r>
      <w:r w:rsidR="00865A09" w:rsidRPr="004161DD">
        <w:t xml:space="preserve">960 (dictionary for Part 7.7A), </w:t>
      </w:r>
      <w:r w:rsidR="00DF2858" w:rsidRPr="004161DD">
        <w:t xml:space="preserve">section 1011B </w:t>
      </w:r>
      <w:r w:rsidR="00DF2858" w:rsidRPr="00D87454">
        <w:t xml:space="preserve">(dictionary for Division 2 of Part 7.9), </w:t>
      </w:r>
      <w:r w:rsidR="00B417CA" w:rsidRPr="00D87454">
        <w:t xml:space="preserve">section </w:t>
      </w:r>
      <w:r w:rsidR="006A7371">
        <w:t>1023B</w:t>
      </w:r>
      <w:r w:rsidR="00B417CA">
        <w:t xml:space="preserve"> (dictionary for part 7.9A</w:t>
      </w:r>
      <w:r w:rsidR="005D4F0A" w:rsidRPr="00726D17">
        <w:t>)</w:t>
      </w:r>
      <w:r w:rsidR="005D4F0A">
        <w:t xml:space="preserve">, </w:t>
      </w:r>
      <w:r w:rsidR="00B417CA" w:rsidRPr="00726D17">
        <w:t xml:space="preserve">section 1276 (dictionary for Division 1 of Part 9.2), </w:t>
      </w:r>
      <w:r w:rsidR="005D4F0A">
        <w:t xml:space="preserve">subsection 1317DAA(1) (dictionary for Part 9.4AA), </w:t>
      </w:r>
      <w:r w:rsidR="00B417CA" w:rsidRPr="00726D17">
        <w:t>section 1363 (dictionary for Part 9.12</w:t>
      </w:r>
      <w:r w:rsidR="00B417CA">
        <w:t xml:space="preserve">) because </w:t>
      </w:r>
      <w:r w:rsidR="00F05F9D">
        <w:t>only one or two defined terms remain</w:t>
      </w:r>
      <w:r w:rsidR="00B417CA">
        <w:t>ed</w:t>
      </w:r>
      <w:r w:rsidR="00F05F9D">
        <w:t xml:space="preserve"> in them after applying </w:t>
      </w:r>
      <w:r w:rsidR="00B417CA">
        <w:t>the above principles</w:t>
      </w:r>
      <w:r w:rsidR="00F05F9D">
        <w:t>. There is little benefit retaining Chapter-specific dictionaries with only one or two definitions as it leads to unnecessary complexity</w:t>
      </w:r>
      <w:r w:rsidR="00F05F9D" w:rsidRPr="007A1787">
        <w:t xml:space="preserve">. </w:t>
      </w:r>
      <w:r w:rsidR="00DF2858" w:rsidRPr="007A1787">
        <w:br/>
      </w:r>
      <w:bookmarkStart w:id="63" w:name="_Hlk119052179"/>
      <w:r w:rsidR="00DF2858" w:rsidRPr="00310824">
        <w:rPr>
          <w:rStyle w:val="References"/>
        </w:rPr>
        <w:t xml:space="preserve">[Schedule </w:t>
      </w:r>
      <w:r w:rsidR="0005444D">
        <w:rPr>
          <w:rStyle w:val="References"/>
        </w:rPr>
        <w:t>2</w:t>
      </w:r>
      <w:r w:rsidR="00DF2858" w:rsidRPr="00310824">
        <w:rPr>
          <w:rStyle w:val="References"/>
        </w:rPr>
        <w:t>, item</w:t>
      </w:r>
      <w:r w:rsidR="00865A09" w:rsidRPr="00310824">
        <w:rPr>
          <w:rStyle w:val="References"/>
        </w:rPr>
        <w:t>s</w:t>
      </w:r>
      <w:r w:rsidR="00604F01" w:rsidRPr="00310824">
        <w:rPr>
          <w:rStyle w:val="References"/>
        </w:rPr>
        <w:t xml:space="preserve"> </w:t>
      </w:r>
      <w:r w:rsidR="00EE03D1">
        <w:rPr>
          <w:rStyle w:val="References"/>
        </w:rPr>
        <w:t>104</w:t>
      </w:r>
      <w:r w:rsidR="00604F01" w:rsidRPr="00310824">
        <w:rPr>
          <w:rStyle w:val="References"/>
        </w:rPr>
        <w:t>,</w:t>
      </w:r>
      <w:r w:rsidR="004161DD" w:rsidRPr="00310824">
        <w:rPr>
          <w:rStyle w:val="References"/>
        </w:rPr>
        <w:t xml:space="preserve"> </w:t>
      </w:r>
      <w:r w:rsidR="00EE03D1">
        <w:rPr>
          <w:rStyle w:val="References"/>
        </w:rPr>
        <w:t>404</w:t>
      </w:r>
      <w:r w:rsidR="00DF2858" w:rsidRPr="00310824">
        <w:rPr>
          <w:rStyle w:val="References"/>
        </w:rPr>
        <w:t>,</w:t>
      </w:r>
      <w:r w:rsidR="004161DD" w:rsidRPr="00310824">
        <w:rPr>
          <w:rStyle w:val="References"/>
        </w:rPr>
        <w:t xml:space="preserve"> </w:t>
      </w:r>
      <w:r w:rsidR="00EE03D1">
        <w:rPr>
          <w:rStyle w:val="References"/>
        </w:rPr>
        <w:t>430</w:t>
      </w:r>
      <w:r w:rsidR="004161DD" w:rsidRPr="00310824">
        <w:rPr>
          <w:rStyle w:val="References"/>
        </w:rPr>
        <w:t>,</w:t>
      </w:r>
      <w:r w:rsidR="00DF2858" w:rsidRPr="00310824">
        <w:rPr>
          <w:rStyle w:val="References"/>
        </w:rPr>
        <w:t xml:space="preserve"> </w:t>
      </w:r>
      <w:r w:rsidR="00EE03D1">
        <w:rPr>
          <w:rStyle w:val="References"/>
        </w:rPr>
        <w:t>466</w:t>
      </w:r>
      <w:r w:rsidR="00D87454" w:rsidRPr="00310824">
        <w:rPr>
          <w:rStyle w:val="References"/>
        </w:rPr>
        <w:t xml:space="preserve">, </w:t>
      </w:r>
      <w:r w:rsidR="00EE03D1">
        <w:rPr>
          <w:rStyle w:val="References"/>
        </w:rPr>
        <w:t>527</w:t>
      </w:r>
      <w:r w:rsidR="00D87454" w:rsidRPr="00310824">
        <w:rPr>
          <w:rStyle w:val="References"/>
        </w:rPr>
        <w:t xml:space="preserve">, </w:t>
      </w:r>
      <w:r w:rsidR="00EE03D1">
        <w:rPr>
          <w:rStyle w:val="References"/>
        </w:rPr>
        <w:t>535</w:t>
      </w:r>
      <w:r w:rsidR="00D87454" w:rsidRPr="00310824">
        <w:rPr>
          <w:rStyle w:val="References"/>
        </w:rPr>
        <w:t xml:space="preserve">, </w:t>
      </w:r>
      <w:r w:rsidR="00EE03D1">
        <w:rPr>
          <w:rStyle w:val="References"/>
        </w:rPr>
        <w:t>538</w:t>
      </w:r>
      <w:r w:rsidR="00053089" w:rsidRPr="00310824">
        <w:rPr>
          <w:rStyle w:val="References"/>
        </w:rPr>
        <w:t xml:space="preserve">, </w:t>
      </w:r>
      <w:r w:rsidR="002B38F3" w:rsidRPr="00206D7B">
        <w:rPr>
          <w:rStyle w:val="References"/>
        </w:rPr>
        <w:t>Division 1 of Part 9.2</w:t>
      </w:r>
      <w:r w:rsidR="002B38F3">
        <w:rPr>
          <w:rStyle w:val="References"/>
        </w:rPr>
        <w:t xml:space="preserve">, </w:t>
      </w:r>
      <w:r w:rsidR="00604F01" w:rsidRPr="00310824">
        <w:rPr>
          <w:rStyle w:val="References"/>
        </w:rPr>
        <w:t>section</w:t>
      </w:r>
      <w:r w:rsidR="002B38F3">
        <w:rPr>
          <w:rStyle w:val="References"/>
        </w:rPr>
        <w:t>s</w:t>
      </w:r>
      <w:r w:rsidR="00604F01" w:rsidRPr="00310824">
        <w:rPr>
          <w:rStyle w:val="References"/>
        </w:rPr>
        <w:t xml:space="preserve"> 601WAA, </w:t>
      </w:r>
      <w:r w:rsidR="004161DD" w:rsidRPr="00310824">
        <w:rPr>
          <w:rStyle w:val="References"/>
        </w:rPr>
        <w:t>960, 1011B, 1023B</w:t>
      </w:r>
      <w:r w:rsidR="0075309C">
        <w:rPr>
          <w:rStyle w:val="References"/>
        </w:rPr>
        <w:t xml:space="preserve"> </w:t>
      </w:r>
      <w:r w:rsidR="002B38F3">
        <w:rPr>
          <w:rStyle w:val="References"/>
        </w:rPr>
        <w:t>and 1363</w:t>
      </w:r>
      <w:r w:rsidR="00D87454" w:rsidRPr="00310824">
        <w:rPr>
          <w:rStyle w:val="References"/>
        </w:rPr>
        <w:t>,</w:t>
      </w:r>
      <w:r w:rsidR="002B38F3">
        <w:rPr>
          <w:rStyle w:val="References"/>
        </w:rPr>
        <w:t xml:space="preserve"> and </w:t>
      </w:r>
      <w:r w:rsidR="00D87454" w:rsidRPr="00310824">
        <w:rPr>
          <w:rStyle w:val="References"/>
        </w:rPr>
        <w:t>subsection 1317DAA(1)</w:t>
      </w:r>
      <w:r w:rsidR="00053089" w:rsidRPr="00310824">
        <w:rPr>
          <w:rStyle w:val="References"/>
        </w:rPr>
        <w:t xml:space="preserve"> </w:t>
      </w:r>
      <w:r w:rsidR="00DF2858" w:rsidRPr="00310824">
        <w:rPr>
          <w:rStyle w:val="References"/>
        </w:rPr>
        <w:t xml:space="preserve">of </w:t>
      </w:r>
      <w:r w:rsidR="00DF2858" w:rsidRPr="007A1787">
        <w:rPr>
          <w:rStyle w:val="References"/>
        </w:rPr>
        <w:t xml:space="preserve">the Corporations </w:t>
      </w:r>
      <w:r w:rsidR="00DF2858" w:rsidRPr="00310824">
        <w:rPr>
          <w:rStyle w:val="References"/>
        </w:rPr>
        <w:t>Act]</w:t>
      </w:r>
      <w:r w:rsidR="00F05F9D" w:rsidRPr="00310824">
        <w:rPr>
          <w:rStyle w:val="References"/>
        </w:rPr>
        <w:t xml:space="preserve"> </w:t>
      </w:r>
      <w:bookmarkEnd w:id="63"/>
    </w:p>
    <w:p w14:paraId="206DCE8B" w14:textId="0306E911" w:rsidR="00B417CA" w:rsidRPr="00115269" w:rsidRDefault="003625BF" w:rsidP="00EF62A4">
      <w:pPr>
        <w:pStyle w:val="Normalparatextwithnumbers"/>
        <w:numPr>
          <w:ilvl w:val="1"/>
          <w:numId w:val="3"/>
        </w:numPr>
        <w:rPr>
          <w:rStyle w:val="References"/>
          <w:b w:val="0"/>
          <w:bCs w:val="0"/>
          <w:i w:val="0"/>
          <w:iCs w:val="0"/>
        </w:rPr>
      </w:pPr>
      <w:bookmarkStart w:id="64" w:name="_Hlk119054160"/>
      <w:r>
        <w:t>The defined terms remaining in the repealed dictionary are moved to section 9 or a stand-alone section according to the principles outlined above.</w:t>
      </w:r>
      <w:r w:rsidR="004D2285">
        <w:br/>
      </w:r>
      <w:r w:rsidR="004D2285" w:rsidRPr="00A63597">
        <w:rPr>
          <w:rStyle w:val="References"/>
        </w:rPr>
        <w:t xml:space="preserve">[Schedule </w:t>
      </w:r>
      <w:r w:rsidR="0005444D">
        <w:rPr>
          <w:rStyle w:val="References"/>
        </w:rPr>
        <w:t>2</w:t>
      </w:r>
      <w:r w:rsidR="004D2285" w:rsidRPr="00A63597">
        <w:rPr>
          <w:rStyle w:val="References"/>
        </w:rPr>
        <w:t>, item</w:t>
      </w:r>
      <w:r w:rsidR="005445E6" w:rsidRPr="00A63597">
        <w:rPr>
          <w:rStyle w:val="References"/>
        </w:rPr>
        <w:t xml:space="preserve">s </w:t>
      </w:r>
      <w:r w:rsidR="00BE44C3">
        <w:rPr>
          <w:rStyle w:val="References"/>
        </w:rPr>
        <w:t>92</w:t>
      </w:r>
      <w:r w:rsidR="004D2285" w:rsidRPr="00A63597">
        <w:rPr>
          <w:rStyle w:val="References"/>
        </w:rPr>
        <w:t>,</w:t>
      </w:r>
      <w:r w:rsidR="005445E6" w:rsidRPr="00A63597">
        <w:rPr>
          <w:rStyle w:val="References"/>
        </w:rPr>
        <w:t xml:space="preserve"> </w:t>
      </w:r>
      <w:r w:rsidR="00BE44C3">
        <w:rPr>
          <w:rStyle w:val="References"/>
        </w:rPr>
        <w:t>218</w:t>
      </w:r>
      <w:r w:rsidR="00CF0EC7" w:rsidRPr="00A63597">
        <w:rPr>
          <w:rStyle w:val="References"/>
        </w:rPr>
        <w:t xml:space="preserve">, </w:t>
      </w:r>
      <w:r w:rsidR="00BE44C3">
        <w:rPr>
          <w:rStyle w:val="References"/>
        </w:rPr>
        <w:t>213</w:t>
      </w:r>
      <w:r w:rsidR="00CF0EC7" w:rsidRPr="00A63597">
        <w:rPr>
          <w:rStyle w:val="References"/>
        </w:rPr>
        <w:t xml:space="preserve">, </w:t>
      </w:r>
      <w:r w:rsidR="00BE44C3">
        <w:rPr>
          <w:rStyle w:val="References"/>
        </w:rPr>
        <w:t>430</w:t>
      </w:r>
      <w:r w:rsidR="002808EF" w:rsidRPr="00A63597">
        <w:rPr>
          <w:rStyle w:val="References"/>
        </w:rPr>
        <w:t xml:space="preserve">, </w:t>
      </w:r>
      <w:r w:rsidR="00B931C8">
        <w:rPr>
          <w:rStyle w:val="References"/>
        </w:rPr>
        <w:t>466</w:t>
      </w:r>
      <w:r w:rsidR="00CF0EC7" w:rsidRPr="00A63597">
        <w:rPr>
          <w:rStyle w:val="References"/>
        </w:rPr>
        <w:t xml:space="preserve">, </w:t>
      </w:r>
      <w:r w:rsidR="00B931C8">
        <w:rPr>
          <w:rStyle w:val="References"/>
        </w:rPr>
        <w:t>533</w:t>
      </w:r>
      <w:r w:rsidR="008D67F8" w:rsidRPr="00A63597">
        <w:rPr>
          <w:rStyle w:val="References"/>
        </w:rPr>
        <w:t>,</w:t>
      </w:r>
      <w:r w:rsidR="002E64D1" w:rsidRPr="00A63597">
        <w:rPr>
          <w:rStyle w:val="References"/>
        </w:rPr>
        <w:t xml:space="preserve"> </w:t>
      </w:r>
      <w:r w:rsidR="00B931C8">
        <w:rPr>
          <w:rStyle w:val="References"/>
        </w:rPr>
        <w:t>534</w:t>
      </w:r>
      <w:r w:rsidR="002E64D1" w:rsidRPr="00A63597">
        <w:rPr>
          <w:rStyle w:val="References"/>
        </w:rPr>
        <w:t>,</w:t>
      </w:r>
      <w:r w:rsidR="008D67F8" w:rsidRPr="00A63597">
        <w:rPr>
          <w:rStyle w:val="References"/>
        </w:rPr>
        <w:t xml:space="preserve"> </w:t>
      </w:r>
      <w:r w:rsidR="00B931C8">
        <w:rPr>
          <w:rStyle w:val="References"/>
        </w:rPr>
        <w:t>535</w:t>
      </w:r>
      <w:r w:rsidR="00597B9F" w:rsidRPr="00A63597">
        <w:rPr>
          <w:rStyle w:val="References"/>
        </w:rPr>
        <w:t xml:space="preserve">, </w:t>
      </w:r>
      <w:r w:rsidR="005445E6" w:rsidRPr="00A63597">
        <w:rPr>
          <w:rStyle w:val="References"/>
        </w:rPr>
        <w:t>section</w:t>
      </w:r>
      <w:r w:rsidR="007F43AB" w:rsidRPr="00A63597">
        <w:rPr>
          <w:rStyle w:val="References"/>
        </w:rPr>
        <w:t>s</w:t>
      </w:r>
      <w:r w:rsidR="005445E6" w:rsidRPr="00A63597">
        <w:rPr>
          <w:rStyle w:val="References"/>
        </w:rPr>
        <w:t xml:space="preserve"> 9</w:t>
      </w:r>
      <w:r w:rsidR="008D67F8" w:rsidRPr="00A63597">
        <w:rPr>
          <w:rStyle w:val="References"/>
        </w:rPr>
        <w:t xml:space="preserve">, </w:t>
      </w:r>
      <w:r w:rsidR="002808EF" w:rsidRPr="00A63597">
        <w:rPr>
          <w:rStyle w:val="References"/>
        </w:rPr>
        <w:t>1011B,</w:t>
      </w:r>
      <w:r w:rsidR="00CF0EC7" w:rsidRPr="00A63597">
        <w:rPr>
          <w:rStyle w:val="References"/>
        </w:rPr>
        <w:t xml:space="preserve"> 1023B,</w:t>
      </w:r>
      <w:r w:rsidR="002E64D1" w:rsidRPr="00A63597" w:rsidDel="007F43AB">
        <w:rPr>
          <w:rStyle w:val="References"/>
        </w:rPr>
        <w:t xml:space="preserve"> </w:t>
      </w:r>
      <w:r w:rsidR="002E64D1" w:rsidRPr="00A63597">
        <w:rPr>
          <w:rStyle w:val="References"/>
        </w:rPr>
        <w:t xml:space="preserve">1317DAA (heading), </w:t>
      </w:r>
      <w:r w:rsidR="008D67F8" w:rsidRPr="00A63597">
        <w:rPr>
          <w:rStyle w:val="References"/>
        </w:rPr>
        <w:t>1317DAA</w:t>
      </w:r>
      <w:r w:rsidR="007F43AB" w:rsidRPr="00A63597">
        <w:rPr>
          <w:rStyle w:val="References"/>
        </w:rPr>
        <w:t>A</w:t>
      </w:r>
      <w:r w:rsidR="00597B9F" w:rsidRPr="00A63597">
        <w:rPr>
          <w:rStyle w:val="References"/>
        </w:rPr>
        <w:t>, subsection 1317DAA(1)</w:t>
      </w:r>
      <w:r w:rsidR="004D2285" w:rsidRPr="00A63597">
        <w:rPr>
          <w:rStyle w:val="References"/>
        </w:rPr>
        <w:t xml:space="preserve"> of the Corporations Act]</w:t>
      </w:r>
      <w:r w:rsidR="004D2285" w:rsidRPr="00EC0F35">
        <w:rPr>
          <w:rStyle w:val="References"/>
        </w:rPr>
        <w:t xml:space="preserve"> </w:t>
      </w:r>
    </w:p>
    <w:bookmarkEnd w:id="61"/>
    <w:bookmarkEnd w:id="62"/>
    <w:bookmarkEnd w:id="64"/>
    <w:p w14:paraId="237D3B8A" w14:textId="307FDDA1" w:rsidR="00695FAD" w:rsidRDefault="00695FAD" w:rsidP="00695FAD">
      <w:pPr>
        <w:pStyle w:val="Heading5"/>
        <w:numPr>
          <w:ilvl w:val="4"/>
          <w:numId w:val="2"/>
        </w:numPr>
      </w:pPr>
      <w:r>
        <w:t xml:space="preserve">Principle </w:t>
      </w:r>
      <w:r w:rsidR="00D87B86">
        <w:t>4</w:t>
      </w:r>
      <w:r>
        <w:t xml:space="preserve"> – </w:t>
      </w:r>
      <w:r w:rsidR="00EF62A4">
        <w:t>Headings for provisions containing defined terms should be c</w:t>
      </w:r>
      <w:r>
        <w:t>onsis</w:t>
      </w:r>
      <w:r w:rsidR="00DE2DA0">
        <w:t>tent</w:t>
      </w:r>
      <w:r>
        <w:t xml:space="preserve"> </w:t>
      </w:r>
      <w:r w:rsidR="00223067">
        <w:t>and intuitive</w:t>
      </w:r>
    </w:p>
    <w:p w14:paraId="1661D87B" w14:textId="2535F9C1" w:rsidR="00695FAD" w:rsidRDefault="00A53ACB" w:rsidP="00695FAD">
      <w:pPr>
        <w:pStyle w:val="Normalparatextwithnumbers"/>
      </w:pPr>
      <w:r>
        <w:t xml:space="preserve">The Bill </w:t>
      </w:r>
      <w:r w:rsidR="00695FAD">
        <w:t>implements recommendation 9 from Interim Report A to use consistent headings for provisions containing definitions.</w:t>
      </w:r>
    </w:p>
    <w:p w14:paraId="23BD4252" w14:textId="21516EB4" w:rsidR="00A53ACB" w:rsidRDefault="00A53ACB" w:rsidP="00695FAD">
      <w:pPr>
        <w:pStyle w:val="Normalparatextwithnumbers"/>
      </w:pPr>
      <w:r>
        <w:t xml:space="preserve">Provisions which contain defined terms are not signposted with clear and consistent headings. </w:t>
      </w:r>
      <w:r w:rsidR="000F0592">
        <w:t>For example, section 9 is headed ‘Dictionary’, sections 9A to 9C are headed ‘Meaning of [defined term]’ and section 46 is headed ‘What is a [defined term]’</w:t>
      </w:r>
      <w:r w:rsidR="003625BF">
        <w:t>.</w:t>
      </w:r>
      <w:r w:rsidR="002B378E">
        <w:t xml:space="preserve"> </w:t>
      </w:r>
      <w:r w:rsidR="003625BF">
        <w:t>S</w:t>
      </w:r>
      <w:r w:rsidR="002B378E">
        <w:t xml:space="preserve">ome provisions </w:t>
      </w:r>
      <w:r w:rsidR="003625BF">
        <w:t xml:space="preserve">with defined terms </w:t>
      </w:r>
      <w:r w:rsidR="002B378E">
        <w:t>do not even have a heading</w:t>
      </w:r>
      <w:r w:rsidR="003625BF">
        <w:t xml:space="preserve"> that indicates that there is a definition</w:t>
      </w:r>
      <w:r w:rsidR="000F0592">
        <w:t>. This</w:t>
      </w:r>
      <w:r w:rsidR="002B378E">
        <w:t xml:space="preserve"> makes it difficult for </w:t>
      </w:r>
      <w:r w:rsidR="002B378E">
        <w:lastRenderedPageBreak/>
        <w:t xml:space="preserve">readers to easily locate defined terms. It also means </w:t>
      </w:r>
      <w:r w:rsidR="000F0592">
        <w:t>digital search tools</w:t>
      </w:r>
      <w:r w:rsidR="002B378E">
        <w:t xml:space="preserve">, which </w:t>
      </w:r>
      <w:r w:rsidR="002E59A1">
        <w:t>can</w:t>
      </w:r>
      <w:r w:rsidR="002B378E">
        <w:t xml:space="preserve"> assist readers </w:t>
      </w:r>
      <w:r w:rsidR="000F0592">
        <w:t xml:space="preserve">to locate </w:t>
      </w:r>
      <w:r w:rsidR="00563E3C">
        <w:t>definitions,</w:t>
      </w:r>
      <w:r w:rsidR="002B378E">
        <w:t xml:space="preserve"> are of limited use</w:t>
      </w:r>
      <w:r w:rsidR="000F0592">
        <w:t>.</w:t>
      </w:r>
    </w:p>
    <w:p w14:paraId="60616F5E" w14:textId="40C77E6C" w:rsidR="00695FAD" w:rsidRDefault="00EF5151" w:rsidP="00575EDC">
      <w:pPr>
        <w:pStyle w:val="Normalparatextwithnumbers"/>
      </w:pPr>
      <w:r>
        <w:t xml:space="preserve">To assist readers to </w:t>
      </w:r>
      <w:r w:rsidR="004A676E">
        <w:t>locate definitions</w:t>
      </w:r>
      <w:r w:rsidR="004A676E" w:rsidRPr="004A676E">
        <w:t xml:space="preserve"> </w:t>
      </w:r>
      <w:r w:rsidR="004A676E">
        <w:t>more readily</w:t>
      </w:r>
      <w:r>
        <w:t>, the</w:t>
      </w:r>
      <w:r w:rsidR="00695FAD">
        <w:t xml:space="preserve"> Bill amends</w:t>
      </w:r>
      <w:r>
        <w:t xml:space="preserve"> </w:t>
      </w:r>
      <w:r w:rsidR="004A676E">
        <w:t>relevant</w:t>
      </w:r>
      <w:r w:rsidR="00695FAD">
        <w:t xml:space="preserve"> headings </w:t>
      </w:r>
      <w:r w:rsidR="004A676E">
        <w:t xml:space="preserve">so that they </w:t>
      </w:r>
      <w:r w:rsidR="000504F0">
        <w:t xml:space="preserve">use the </w:t>
      </w:r>
      <w:r w:rsidR="00695FAD">
        <w:t>phrase ‘Meaning of [defined term]’</w:t>
      </w:r>
      <w:r w:rsidR="009B5155">
        <w:t>.</w:t>
      </w:r>
      <w:r w:rsidR="00FB1241">
        <w:t xml:space="preserve"> </w:t>
      </w:r>
    </w:p>
    <w:p w14:paraId="0C0A68E1" w14:textId="678CF155" w:rsidR="00223067" w:rsidRDefault="00223067" w:rsidP="00575EDC">
      <w:pPr>
        <w:pStyle w:val="Normalparatextwithnumbers"/>
      </w:pPr>
      <w:r>
        <w:t>The Bill also amends headings to ensure they are intuitive.</w:t>
      </w:r>
      <w:r w:rsidR="004A37EA">
        <w:t xml:space="preserve"> Intuitive headings provide readers with a clearer indication of a provision’s contents</w:t>
      </w:r>
      <w:r w:rsidR="00DC6D03">
        <w:t xml:space="preserve">, improving clarity. </w:t>
      </w:r>
    </w:p>
    <w:p w14:paraId="7392F73C" w14:textId="5089B3E1" w:rsidR="00545847" w:rsidRDefault="00545847" w:rsidP="00545847">
      <w:pPr>
        <w:pStyle w:val="Heading5"/>
      </w:pPr>
      <w:r>
        <w:t xml:space="preserve">Principle </w:t>
      </w:r>
      <w:r w:rsidR="00D87B86">
        <w:t>5</w:t>
      </w:r>
      <w:r>
        <w:t xml:space="preserve"> – Labels for defined terms should be intuitive </w:t>
      </w:r>
    </w:p>
    <w:p w14:paraId="1BC5F32C" w14:textId="2274D9A3" w:rsidR="00545847" w:rsidRDefault="00545847" w:rsidP="00545847">
      <w:pPr>
        <w:pStyle w:val="Normalparatextwithnumbers"/>
      </w:pPr>
      <w:r>
        <w:t xml:space="preserve">The Bill </w:t>
      </w:r>
      <w:r w:rsidR="00601A2B">
        <w:t xml:space="preserve">omits references to multiple defined terms used in the Corporations Act </w:t>
      </w:r>
      <w:r w:rsidR="005D53A3">
        <w:t xml:space="preserve">and ASIC Act </w:t>
      </w:r>
      <w:r w:rsidR="00601A2B">
        <w:t xml:space="preserve">and replaces them with more intuitive labels. </w:t>
      </w:r>
    </w:p>
    <w:p w14:paraId="759EE30B" w14:textId="14FC0695" w:rsidR="00545847" w:rsidRPr="00C27F43" w:rsidRDefault="00601A2B" w:rsidP="00C27F43">
      <w:pPr>
        <w:pStyle w:val="Normalparatextwithnumbers"/>
      </w:pPr>
      <w:r>
        <w:t xml:space="preserve">Intuitive labels help readers </w:t>
      </w:r>
      <w:r w:rsidR="006C596B">
        <w:t xml:space="preserve">understand and recall the </w:t>
      </w:r>
      <w:r>
        <w:t>content</w:t>
      </w:r>
      <w:r w:rsidR="006C596B">
        <w:t xml:space="preserve"> of the </w:t>
      </w:r>
      <w:r w:rsidRPr="00726D17">
        <w:t>definition</w:t>
      </w:r>
      <w:r>
        <w:t>, which improves the law’s readability</w:t>
      </w:r>
      <w:r w:rsidRPr="00726D17">
        <w:t xml:space="preserve">. </w:t>
      </w:r>
      <w:r w:rsidR="006C596B">
        <w:t>This is consistent with the ALRC’s finding that labels should be intuitive.</w:t>
      </w:r>
    </w:p>
    <w:p w14:paraId="14FA4251" w14:textId="46BE2A14" w:rsidR="00695FAD" w:rsidRPr="004221A6" w:rsidRDefault="00695FAD" w:rsidP="00C04BC0">
      <w:pPr>
        <w:pStyle w:val="Heading5"/>
      </w:pPr>
      <w:r>
        <w:t xml:space="preserve">Principle </w:t>
      </w:r>
      <w:r w:rsidR="00D87B86">
        <w:t>6</w:t>
      </w:r>
      <w:r>
        <w:t xml:space="preserve"> –</w:t>
      </w:r>
      <w:r w:rsidR="00213525">
        <w:t xml:space="preserve"> </w:t>
      </w:r>
      <w:r w:rsidRPr="00FF22C6">
        <w:t>Bold</w:t>
      </w:r>
      <w:r w:rsidRPr="00730F97">
        <w:rPr>
          <w:i/>
        </w:rPr>
        <w:t xml:space="preserve"> </w:t>
      </w:r>
      <w:r w:rsidRPr="00FF22C6">
        <w:t>italics</w:t>
      </w:r>
      <w:r w:rsidRPr="00730F97">
        <w:rPr>
          <w:i/>
        </w:rPr>
        <w:t xml:space="preserve"> </w:t>
      </w:r>
      <w:r w:rsidR="004A676E">
        <w:rPr>
          <w:iCs/>
        </w:rPr>
        <w:t xml:space="preserve">should </w:t>
      </w:r>
      <w:r>
        <w:rPr>
          <w:iCs/>
        </w:rPr>
        <w:t xml:space="preserve">only </w:t>
      </w:r>
      <w:r w:rsidR="004A676E">
        <w:rPr>
          <w:iCs/>
        </w:rPr>
        <w:t xml:space="preserve">be </w:t>
      </w:r>
      <w:r>
        <w:rPr>
          <w:iCs/>
        </w:rPr>
        <w:t xml:space="preserve">used </w:t>
      </w:r>
      <w:r w:rsidR="006C596B">
        <w:rPr>
          <w:iCs/>
        </w:rPr>
        <w:t>when creating</w:t>
      </w:r>
      <w:r>
        <w:rPr>
          <w:iCs/>
        </w:rPr>
        <w:t xml:space="preserve"> defined terms </w:t>
      </w:r>
    </w:p>
    <w:p w14:paraId="091A553C" w14:textId="08F3BD62" w:rsidR="00EA46EF" w:rsidRDefault="00695FAD" w:rsidP="00695FAD">
      <w:pPr>
        <w:pStyle w:val="Normalparatextwithnumbers"/>
        <w:numPr>
          <w:ilvl w:val="1"/>
          <w:numId w:val="3"/>
        </w:numPr>
        <w:rPr>
          <w:rStyle w:val="References"/>
          <w:b w:val="0"/>
          <w:bCs w:val="0"/>
          <w:i w:val="0"/>
          <w:iCs w:val="0"/>
        </w:rPr>
      </w:pPr>
      <w:r>
        <w:rPr>
          <w:rStyle w:val="References"/>
          <w:b w:val="0"/>
          <w:bCs w:val="0"/>
          <w:i w:val="0"/>
          <w:iCs w:val="0"/>
        </w:rPr>
        <w:t xml:space="preserve">The Corporations Act uses bold italics </w:t>
      </w:r>
      <w:r w:rsidR="00171AF8">
        <w:rPr>
          <w:rStyle w:val="References"/>
          <w:b w:val="0"/>
          <w:bCs w:val="0"/>
          <w:i w:val="0"/>
          <w:iCs w:val="0"/>
        </w:rPr>
        <w:t>inconsistently</w:t>
      </w:r>
      <w:r>
        <w:rPr>
          <w:rStyle w:val="References"/>
          <w:b w:val="0"/>
          <w:bCs w:val="0"/>
          <w:i w:val="0"/>
          <w:iCs w:val="0"/>
        </w:rPr>
        <w:t xml:space="preserve">. The amendments rationalise the use of bold </w:t>
      </w:r>
      <w:proofErr w:type="gramStart"/>
      <w:r>
        <w:rPr>
          <w:rStyle w:val="References"/>
          <w:b w:val="0"/>
          <w:bCs w:val="0"/>
          <w:i w:val="0"/>
          <w:iCs w:val="0"/>
        </w:rPr>
        <w:t>italics</w:t>
      </w:r>
      <w:proofErr w:type="gramEnd"/>
      <w:r>
        <w:rPr>
          <w:rStyle w:val="References"/>
          <w:b w:val="0"/>
          <w:bCs w:val="0"/>
          <w:i w:val="0"/>
          <w:iCs w:val="0"/>
        </w:rPr>
        <w:t xml:space="preserve"> so </w:t>
      </w:r>
      <w:r w:rsidR="00171AF8">
        <w:rPr>
          <w:rStyle w:val="References"/>
          <w:b w:val="0"/>
          <w:bCs w:val="0"/>
          <w:i w:val="0"/>
          <w:iCs w:val="0"/>
        </w:rPr>
        <w:t>it</w:t>
      </w:r>
      <w:r>
        <w:rPr>
          <w:rStyle w:val="References"/>
          <w:b w:val="0"/>
          <w:bCs w:val="0"/>
          <w:i w:val="0"/>
          <w:iCs w:val="0"/>
        </w:rPr>
        <w:t xml:space="preserve"> is only used </w:t>
      </w:r>
      <w:r w:rsidR="006C596B">
        <w:rPr>
          <w:rStyle w:val="References"/>
          <w:b w:val="0"/>
          <w:bCs w:val="0"/>
          <w:i w:val="0"/>
          <w:iCs w:val="0"/>
        </w:rPr>
        <w:t>when a new term is</w:t>
      </w:r>
      <w:r>
        <w:rPr>
          <w:rStyle w:val="References"/>
          <w:b w:val="0"/>
          <w:bCs w:val="0"/>
          <w:i w:val="0"/>
          <w:iCs w:val="0"/>
        </w:rPr>
        <w:t xml:space="preserve"> defined, including </w:t>
      </w:r>
      <w:r w:rsidR="006C596B">
        <w:rPr>
          <w:rStyle w:val="References"/>
          <w:b w:val="0"/>
          <w:bCs w:val="0"/>
          <w:i w:val="0"/>
          <w:iCs w:val="0"/>
        </w:rPr>
        <w:t xml:space="preserve">in </w:t>
      </w:r>
      <w:r>
        <w:rPr>
          <w:rStyle w:val="References"/>
          <w:b w:val="0"/>
          <w:bCs w:val="0"/>
          <w:i w:val="0"/>
          <w:iCs w:val="0"/>
        </w:rPr>
        <w:t xml:space="preserve">just-in-time definitions and </w:t>
      </w:r>
      <w:r w:rsidR="00FF22C6">
        <w:rPr>
          <w:rFonts w:eastAsia="Times New Roman"/>
        </w:rPr>
        <w:t>section specific definition</w:t>
      </w:r>
      <w:r w:rsidR="00543F89">
        <w:rPr>
          <w:rFonts w:eastAsia="Times New Roman"/>
        </w:rPr>
        <w:t>s</w:t>
      </w:r>
      <w:r w:rsidR="00FF22C6">
        <w:rPr>
          <w:rFonts w:eastAsia="Times New Roman"/>
        </w:rPr>
        <w:t xml:space="preserve"> (</w:t>
      </w:r>
      <w:r>
        <w:rPr>
          <w:rStyle w:val="References"/>
          <w:b w:val="0"/>
          <w:bCs w:val="0"/>
          <w:i w:val="0"/>
          <w:iCs w:val="0"/>
        </w:rPr>
        <w:t>internal tags</w:t>
      </w:r>
      <w:r w:rsidR="00FF22C6">
        <w:rPr>
          <w:rStyle w:val="References"/>
          <w:b w:val="0"/>
          <w:bCs w:val="0"/>
          <w:i w:val="0"/>
          <w:iCs w:val="0"/>
        </w:rPr>
        <w:t>)</w:t>
      </w:r>
      <w:r w:rsidR="00EA46EF">
        <w:rPr>
          <w:rStyle w:val="References"/>
          <w:b w:val="0"/>
          <w:bCs w:val="0"/>
          <w:i w:val="0"/>
          <w:iCs w:val="0"/>
        </w:rPr>
        <w:t xml:space="preserve">. </w:t>
      </w:r>
    </w:p>
    <w:p w14:paraId="6C7EA2D5" w14:textId="59701D59" w:rsidR="00ED1D1C" w:rsidRDefault="004365DF" w:rsidP="009134CB">
      <w:pPr>
        <w:pStyle w:val="Normalparatextwithnumbers"/>
        <w:numPr>
          <w:ilvl w:val="1"/>
          <w:numId w:val="3"/>
        </w:numPr>
      </w:pPr>
      <w:r>
        <w:rPr>
          <w:rStyle w:val="References"/>
          <w:b w:val="0"/>
          <w:bCs w:val="0"/>
          <w:i w:val="0"/>
          <w:iCs w:val="0"/>
        </w:rPr>
        <w:t>T</w:t>
      </w:r>
      <w:r w:rsidR="00695FAD">
        <w:rPr>
          <w:rStyle w:val="References"/>
          <w:b w:val="0"/>
          <w:bCs w:val="0"/>
          <w:i w:val="0"/>
          <w:iCs w:val="0"/>
        </w:rPr>
        <w:t>he amendments remove bold italics from</w:t>
      </w:r>
      <w:r>
        <w:rPr>
          <w:rStyle w:val="References"/>
          <w:b w:val="0"/>
          <w:bCs w:val="0"/>
          <w:i w:val="0"/>
          <w:iCs w:val="0"/>
        </w:rPr>
        <w:t xml:space="preserve"> terms </w:t>
      </w:r>
      <w:r w:rsidR="00495B0A">
        <w:rPr>
          <w:rStyle w:val="References"/>
          <w:b w:val="0"/>
          <w:bCs w:val="0"/>
          <w:i w:val="0"/>
          <w:iCs w:val="0"/>
        </w:rPr>
        <w:t xml:space="preserve">that are not used in a defined sense, including in provisions that merely </w:t>
      </w:r>
      <w:r w:rsidR="00ED1D1C">
        <w:t>contain application rules</w:t>
      </w:r>
      <w:r w:rsidR="00495B0A">
        <w:t>.</w:t>
      </w:r>
    </w:p>
    <w:p w14:paraId="37C28ADD" w14:textId="2FC67EB0" w:rsidR="00B419C5" w:rsidRPr="00947ACC" w:rsidRDefault="00F82F37" w:rsidP="00947ACC">
      <w:pPr>
        <w:pStyle w:val="Normalparatextwithnumbers"/>
        <w:numPr>
          <w:ilvl w:val="1"/>
          <w:numId w:val="41"/>
        </w:numPr>
        <w:rPr>
          <w:rStyle w:val="References"/>
          <w:b w:val="0"/>
          <w:bCs w:val="0"/>
          <w:i w:val="0"/>
          <w:iCs w:val="0"/>
        </w:rPr>
      </w:pPr>
      <w:r>
        <w:t xml:space="preserve">By applying bold italics </w:t>
      </w:r>
      <w:r w:rsidR="00ED716A">
        <w:t xml:space="preserve">consistently </w:t>
      </w:r>
      <w:r>
        <w:t xml:space="preserve">throughout the Corporations Act, the </w:t>
      </w:r>
      <w:r w:rsidR="003776AA">
        <w:t xml:space="preserve">Bill </w:t>
      </w:r>
      <w:r w:rsidR="006C596B">
        <w:t>makes it easier for readers to identify provisions that create definition</w:t>
      </w:r>
      <w:r w:rsidR="005103A2">
        <w:t>s</w:t>
      </w:r>
      <w:r>
        <w:t>.</w:t>
      </w:r>
      <w:r w:rsidR="00B419C5" w:rsidRPr="00B2313C">
        <w:rPr>
          <w:rStyle w:val="References"/>
        </w:rPr>
        <w:t xml:space="preserve"> </w:t>
      </w:r>
    </w:p>
    <w:p w14:paraId="186665C0" w14:textId="77777777" w:rsidR="004A4ABC" w:rsidRPr="006569D1" w:rsidRDefault="004A4ABC" w:rsidP="004A4ABC">
      <w:pPr>
        <w:pStyle w:val="Heading3"/>
        <w:rPr>
          <w:i/>
          <w:iCs/>
        </w:rPr>
      </w:pPr>
      <w:bookmarkStart w:id="65" w:name="_Toc119482440"/>
      <w:r>
        <w:t>Other Amendments</w:t>
      </w:r>
      <w:bookmarkEnd w:id="65"/>
    </w:p>
    <w:p w14:paraId="354BBCCB" w14:textId="4985278C" w:rsidR="00947ACC" w:rsidRPr="00DE70E6" w:rsidRDefault="00947ACC" w:rsidP="00DE70E6">
      <w:pPr>
        <w:pStyle w:val="Normalparatextwithnumbers"/>
        <w:numPr>
          <w:ilvl w:val="0"/>
          <w:numId w:val="0"/>
        </w:numPr>
        <w:rPr>
          <w:rFonts w:ascii="Helvetica" w:eastAsiaTheme="majorEastAsia" w:hAnsi="Helvetica" w:cstheme="majorBidi"/>
          <w:b/>
          <w:spacing w:val="-10"/>
          <w:kern w:val="28"/>
          <w:sz w:val="24"/>
          <w:szCs w:val="56"/>
        </w:rPr>
      </w:pPr>
      <w:r w:rsidRPr="00DE70E6">
        <w:rPr>
          <w:rFonts w:ascii="Helvetica" w:eastAsiaTheme="majorEastAsia" w:hAnsi="Helvetica" w:cstheme="majorBidi"/>
          <w:b/>
          <w:spacing w:val="-10"/>
          <w:kern w:val="28"/>
          <w:sz w:val="24"/>
          <w:szCs w:val="56"/>
        </w:rPr>
        <w:t>Interim Report B recommendation</w:t>
      </w:r>
      <w:r w:rsidR="003F13A4" w:rsidRPr="00DE70E6">
        <w:rPr>
          <w:rFonts w:ascii="Helvetica" w:eastAsiaTheme="majorEastAsia" w:hAnsi="Helvetica" w:cstheme="majorBidi"/>
          <w:b/>
          <w:spacing w:val="-10"/>
          <w:kern w:val="28"/>
          <w:sz w:val="24"/>
          <w:szCs w:val="56"/>
        </w:rPr>
        <w:t xml:space="preserve">s </w:t>
      </w:r>
    </w:p>
    <w:p w14:paraId="07A2C8CA" w14:textId="77777777" w:rsidR="00543F89" w:rsidRDefault="00543F89" w:rsidP="00947ACC">
      <w:pPr>
        <w:pStyle w:val="Normalparatextwithnumbers"/>
      </w:pPr>
      <w:r>
        <w:t>The Bill partially implements three recommendations from Interim Report B to:</w:t>
      </w:r>
    </w:p>
    <w:p w14:paraId="3716D7B3" w14:textId="5C419AAE" w:rsidR="00543F89" w:rsidRDefault="00543F89" w:rsidP="00543F89">
      <w:pPr>
        <w:pStyle w:val="Dotpoint1"/>
      </w:pPr>
      <w:r>
        <w:t>repeal unused definitions and other redundant or unnecessary provisions;</w:t>
      </w:r>
    </w:p>
    <w:p w14:paraId="5BD7DC0D" w14:textId="4F0F575A" w:rsidR="00543F89" w:rsidRDefault="00543F89" w:rsidP="00543F89">
      <w:pPr>
        <w:pStyle w:val="Dotpoint1"/>
      </w:pPr>
      <w:r>
        <w:t>address unclear or incorrect provisions; and</w:t>
      </w:r>
    </w:p>
    <w:p w14:paraId="1A96E76C" w14:textId="6B13A2E9" w:rsidR="00543F89" w:rsidRDefault="00543F89" w:rsidP="00DE70E6">
      <w:pPr>
        <w:pStyle w:val="Dotpoint1"/>
      </w:pPr>
      <w:r>
        <w:lastRenderedPageBreak/>
        <w:t xml:space="preserve">simplify unnecessarily complex provisions, including terms defined as having more than one meaning and definitions that contain substantive obligations. </w:t>
      </w:r>
    </w:p>
    <w:p w14:paraId="6FAE00BB" w14:textId="1D2FDA94" w:rsidR="00C77E40" w:rsidRPr="00941CF0" w:rsidRDefault="00947ACC" w:rsidP="00947ACC">
      <w:pPr>
        <w:pStyle w:val="Normalparatextwithnumbers"/>
      </w:pPr>
      <w:r>
        <w:t xml:space="preserve">The Bill repeals </w:t>
      </w:r>
      <w:r w:rsidR="00C065D3">
        <w:t>the definition</w:t>
      </w:r>
      <w:r w:rsidR="007F43AB">
        <w:t>s</w:t>
      </w:r>
      <w:r w:rsidR="00C065D3">
        <w:t xml:space="preserve"> of ‘financial benefit’</w:t>
      </w:r>
      <w:r w:rsidR="007F43AB">
        <w:t xml:space="preserve"> and</w:t>
      </w:r>
      <w:r w:rsidR="00C75FD7">
        <w:t xml:space="preserve"> ‘transitional period’</w:t>
      </w:r>
      <w:r w:rsidR="007F43AB">
        <w:t>. Both terms are redundant. The term ‘financial benefit’ is not used or defined in the Act and the provision that uses the term ‘transition period’ is spent</w:t>
      </w:r>
      <w:r w:rsidR="00C75FD7">
        <w:t>.</w:t>
      </w:r>
      <w:r w:rsidR="00CA6611">
        <w:t xml:space="preserve"> The Bill also repeals section 7 which provides for the location of interpretation provisions. The creation </w:t>
      </w:r>
      <w:r w:rsidR="000E24AD">
        <w:t xml:space="preserve">of the single glossary </w:t>
      </w:r>
      <w:r w:rsidR="00CA6611">
        <w:t>makes this redundant.</w:t>
      </w:r>
      <w:r w:rsidR="001A3A7E">
        <w:br/>
      </w:r>
      <w:bookmarkStart w:id="66" w:name="_Hlk119055282"/>
      <w:r w:rsidR="001A3A7E" w:rsidRPr="00510918">
        <w:rPr>
          <w:rStyle w:val="References"/>
        </w:rPr>
        <w:t xml:space="preserve">[Schedule </w:t>
      </w:r>
      <w:r w:rsidR="0005444D">
        <w:rPr>
          <w:rStyle w:val="References"/>
        </w:rPr>
        <w:t>2</w:t>
      </w:r>
      <w:r w:rsidR="001A3A7E" w:rsidRPr="00510918">
        <w:rPr>
          <w:rStyle w:val="References"/>
        </w:rPr>
        <w:t>, item</w:t>
      </w:r>
      <w:r w:rsidR="00CA6611">
        <w:rPr>
          <w:rStyle w:val="References"/>
        </w:rPr>
        <w:t>s 2,</w:t>
      </w:r>
      <w:r w:rsidR="001A3A7E">
        <w:rPr>
          <w:rStyle w:val="References"/>
        </w:rPr>
        <w:t xml:space="preserve"> </w:t>
      </w:r>
      <w:r w:rsidR="00B931C8">
        <w:rPr>
          <w:rStyle w:val="References"/>
        </w:rPr>
        <w:t>412</w:t>
      </w:r>
      <w:r w:rsidR="001A3A7E" w:rsidRPr="00510918">
        <w:rPr>
          <w:rStyle w:val="References"/>
        </w:rPr>
        <w:t xml:space="preserve">, </w:t>
      </w:r>
      <w:r w:rsidR="00CA6611">
        <w:rPr>
          <w:rStyle w:val="References"/>
        </w:rPr>
        <w:t xml:space="preserve">section 7, </w:t>
      </w:r>
      <w:r w:rsidR="001A3A7E">
        <w:rPr>
          <w:rStyle w:val="References"/>
        </w:rPr>
        <w:t xml:space="preserve">Division 7 of Part 7.7A </w:t>
      </w:r>
      <w:r w:rsidR="001A3A7E" w:rsidRPr="00510918">
        <w:rPr>
          <w:rStyle w:val="References"/>
        </w:rPr>
        <w:t xml:space="preserve">of </w:t>
      </w:r>
      <w:r w:rsidR="001A3A7E">
        <w:rPr>
          <w:rStyle w:val="References"/>
        </w:rPr>
        <w:t>the Corporations Act</w:t>
      </w:r>
      <w:r w:rsidR="001A3A7E" w:rsidRPr="00510918">
        <w:rPr>
          <w:rStyle w:val="References"/>
        </w:rPr>
        <w:t xml:space="preserve">] </w:t>
      </w:r>
      <w:r w:rsidR="007B0BA2">
        <w:t xml:space="preserve"> </w:t>
      </w:r>
      <w:bookmarkEnd w:id="66"/>
    </w:p>
    <w:p w14:paraId="04B013B3" w14:textId="286AB082" w:rsidR="00947ACC" w:rsidRPr="00313F9B" w:rsidRDefault="00947ACC" w:rsidP="00947ACC">
      <w:pPr>
        <w:pStyle w:val="Normalparatextwithnumbers"/>
        <w:numPr>
          <w:ilvl w:val="1"/>
          <w:numId w:val="41"/>
        </w:numPr>
      </w:pPr>
      <w:r>
        <w:t xml:space="preserve">The amendments </w:t>
      </w:r>
      <w:r w:rsidR="00600D6B">
        <w:t xml:space="preserve">also </w:t>
      </w:r>
      <w:r>
        <w:t xml:space="preserve">fix an erroneous reference in the ASIC </w:t>
      </w:r>
      <w:proofErr w:type="gramStart"/>
      <w:r>
        <w:t>Act</w:t>
      </w:r>
      <w:proofErr w:type="gramEnd"/>
      <w:r w:rsidR="0075385E">
        <w:t xml:space="preserve"> </w:t>
      </w:r>
      <w:r>
        <w:t xml:space="preserve">so the correct </w:t>
      </w:r>
      <w:r w:rsidR="0075385E">
        <w:t>provision</w:t>
      </w:r>
      <w:r>
        <w:t xml:space="preserve"> is referenced.    </w:t>
      </w:r>
      <w:r w:rsidR="007C6CB0">
        <w:br/>
      </w:r>
      <w:r w:rsidR="007C6CB0" w:rsidRPr="00510918">
        <w:rPr>
          <w:rStyle w:val="References"/>
        </w:rPr>
        <w:t>[</w:t>
      </w:r>
      <w:r w:rsidR="00A65116" w:rsidRPr="00510918">
        <w:rPr>
          <w:rStyle w:val="References"/>
        </w:rPr>
        <w:t xml:space="preserve">Schedule </w:t>
      </w:r>
      <w:r w:rsidR="0005444D">
        <w:rPr>
          <w:rStyle w:val="References"/>
        </w:rPr>
        <w:t>2</w:t>
      </w:r>
      <w:r w:rsidR="00A65116" w:rsidRPr="00510918">
        <w:rPr>
          <w:rStyle w:val="References"/>
        </w:rPr>
        <w:t>, item</w:t>
      </w:r>
      <w:r w:rsidR="00154A1A" w:rsidRPr="00510918">
        <w:rPr>
          <w:rStyle w:val="References"/>
        </w:rPr>
        <w:t xml:space="preserve"> </w:t>
      </w:r>
      <w:r w:rsidR="00B36BAF">
        <w:rPr>
          <w:rStyle w:val="References"/>
        </w:rPr>
        <w:t>115</w:t>
      </w:r>
      <w:r w:rsidR="00A65116" w:rsidRPr="00510918">
        <w:rPr>
          <w:rStyle w:val="References"/>
        </w:rPr>
        <w:t xml:space="preserve">, </w:t>
      </w:r>
      <w:r w:rsidR="00154A1A" w:rsidRPr="00510918">
        <w:rPr>
          <w:rStyle w:val="References"/>
        </w:rPr>
        <w:t xml:space="preserve">paragraph 43(1)(e) of the ASIC </w:t>
      </w:r>
      <w:r w:rsidR="00A65116" w:rsidRPr="00154A1A">
        <w:rPr>
          <w:rStyle w:val="References"/>
        </w:rPr>
        <w:t>Act</w:t>
      </w:r>
      <w:r w:rsidR="007C6CB0" w:rsidRPr="00510918">
        <w:rPr>
          <w:rStyle w:val="References"/>
        </w:rPr>
        <w:t xml:space="preserve">] </w:t>
      </w:r>
    </w:p>
    <w:p w14:paraId="7E00033B" w14:textId="7FDB9134" w:rsidR="007C6CB0" w:rsidRPr="004161DD" w:rsidRDefault="003F13A4" w:rsidP="004161DD">
      <w:pPr>
        <w:pStyle w:val="Normalparatextwithnumbers"/>
        <w:rPr>
          <w:b/>
          <w:i/>
        </w:rPr>
      </w:pPr>
      <w:r>
        <w:t>In some cases, s</w:t>
      </w:r>
      <w:r w:rsidR="00947ACC">
        <w:t>ection 9 contains identical labels</w:t>
      </w:r>
      <w:r>
        <w:t xml:space="preserve"> for terms that have different meanings</w:t>
      </w:r>
      <w:r w:rsidR="00947ACC">
        <w:t>.</w:t>
      </w:r>
      <w:r w:rsidR="00947ACC" w:rsidDel="003F13A4">
        <w:t xml:space="preserve"> </w:t>
      </w:r>
      <w:r w:rsidR="00947ACC">
        <w:t>The Bill merges the</w:t>
      </w:r>
      <w:r>
        <w:t xml:space="preserve"> different definitions so they both sit underneath the same label, </w:t>
      </w:r>
      <w:r w:rsidR="00947ACC">
        <w:t>but retains the</w:t>
      </w:r>
      <w:r>
        <w:t xml:space="preserve"> </w:t>
      </w:r>
      <w:r w:rsidR="00947ACC">
        <w:t>limited application</w:t>
      </w:r>
      <w:r>
        <w:t xml:space="preserve"> </w:t>
      </w:r>
      <w:r w:rsidR="00013449">
        <w:t>for each to its</w:t>
      </w:r>
      <w:r>
        <w:t xml:space="preserve"> specific context</w:t>
      </w:r>
      <w:r w:rsidR="00947ACC">
        <w:t xml:space="preserve">. </w:t>
      </w:r>
      <w:r>
        <w:t>This reduces complexity for readers who may not know which</w:t>
      </w:r>
      <w:r w:rsidR="00B623E2">
        <w:t xml:space="preserve"> of the two definitions to apply </w:t>
      </w:r>
      <w:r>
        <w:t>when one</w:t>
      </w:r>
      <w:r w:rsidR="00096FEC">
        <w:t xml:space="preserve"> label is used</w:t>
      </w:r>
      <w:r>
        <w:t>.</w:t>
      </w:r>
      <w:r w:rsidR="007C6CB0">
        <w:rPr>
          <w:b/>
          <w:i/>
        </w:rPr>
        <w:br/>
      </w:r>
      <w:r w:rsidR="007C6CB0" w:rsidRPr="00510918">
        <w:rPr>
          <w:rStyle w:val="References"/>
        </w:rPr>
        <w:t>[</w:t>
      </w:r>
      <w:r w:rsidR="00A65116" w:rsidRPr="00510918">
        <w:rPr>
          <w:rStyle w:val="References"/>
        </w:rPr>
        <w:t xml:space="preserve">Schedule </w:t>
      </w:r>
      <w:r w:rsidR="0005444D">
        <w:rPr>
          <w:rStyle w:val="References"/>
        </w:rPr>
        <w:t>2</w:t>
      </w:r>
      <w:r w:rsidR="00A65116" w:rsidRPr="00510918">
        <w:rPr>
          <w:rStyle w:val="References"/>
        </w:rPr>
        <w:t xml:space="preserve">, items </w:t>
      </w:r>
      <w:r w:rsidR="0017176C">
        <w:rPr>
          <w:rStyle w:val="References"/>
        </w:rPr>
        <w:t>57</w:t>
      </w:r>
      <w:r w:rsidR="00AE0179">
        <w:rPr>
          <w:rStyle w:val="References"/>
        </w:rPr>
        <w:t>,</w:t>
      </w:r>
      <w:r w:rsidR="00A65116" w:rsidRPr="00510918">
        <w:rPr>
          <w:rStyle w:val="References"/>
        </w:rPr>
        <w:t xml:space="preserve"> </w:t>
      </w:r>
      <w:r w:rsidR="0017176C">
        <w:rPr>
          <w:rStyle w:val="References"/>
        </w:rPr>
        <w:t>58</w:t>
      </w:r>
      <w:r w:rsidR="00A65116" w:rsidRPr="00510918">
        <w:rPr>
          <w:rStyle w:val="References"/>
        </w:rPr>
        <w:t>,</w:t>
      </w:r>
      <w:r w:rsidR="00AE0179">
        <w:rPr>
          <w:rStyle w:val="References"/>
        </w:rPr>
        <w:t xml:space="preserve"> 1</w:t>
      </w:r>
      <w:r w:rsidR="00D21FB5">
        <w:rPr>
          <w:rStyle w:val="References"/>
        </w:rPr>
        <w:t>16</w:t>
      </w:r>
      <w:r w:rsidR="00AE0179">
        <w:rPr>
          <w:rStyle w:val="References"/>
        </w:rPr>
        <w:t xml:space="preserve"> and 117,</w:t>
      </w:r>
      <w:r w:rsidR="00A65116" w:rsidRPr="00510918">
        <w:rPr>
          <w:rStyle w:val="References"/>
        </w:rPr>
        <w:t xml:space="preserve"> section 9 (definition of eligibility criteria) (first occurring), </w:t>
      </w:r>
      <w:r w:rsidR="00A65116" w:rsidRPr="009F5CE2">
        <w:rPr>
          <w:rStyle w:val="References"/>
        </w:rPr>
        <w:t>section 9 (definition of</w:t>
      </w:r>
      <w:r w:rsidR="00A65116">
        <w:rPr>
          <w:rStyle w:val="References"/>
        </w:rPr>
        <w:t xml:space="preserve"> eligibility criteria) (second occurring)</w:t>
      </w:r>
      <w:r w:rsidR="00D21FB5">
        <w:rPr>
          <w:rStyle w:val="References"/>
        </w:rPr>
        <w:t>, section 9 (paragraph (b) of the definition of enter into), section 64</w:t>
      </w:r>
      <w:r w:rsidR="00A65116" w:rsidRPr="00FC4EE1">
        <w:rPr>
          <w:rStyle w:val="References"/>
        </w:rPr>
        <w:t xml:space="preserve"> of </w:t>
      </w:r>
      <w:r w:rsidR="00A65116">
        <w:rPr>
          <w:rStyle w:val="References"/>
        </w:rPr>
        <w:t>the Corporations Act</w:t>
      </w:r>
      <w:r w:rsidR="007C6CB0">
        <w:rPr>
          <w:rStyle w:val="References"/>
        </w:rPr>
        <w:t>]</w:t>
      </w:r>
      <w:r w:rsidR="007C6CB0" w:rsidRPr="00510918">
        <w:rPr>
          <w:rStyle w:val="References"/>
        </w:rPr>
        <w:t xml:space="preserve"> </w:t>
      </w:r>
    </w:p>
    <w:p w14:paraId="67B7E20C" w14:textId="04DD31B8" w:rsidR="00DD57FD" w:rsidRPr="00BA1AA5" w:rsidRDefault="00DD57FD" w:rsidP="003C3DB9">
      <w:pPr>
        <w:pStyle w:val="Normalparatextwithnumbers"/>
      </w:pPr>
      <w:r>
        <w:t xml:space="preserve">The Bill </w:t>
      </w:r>
      <w:r w:rsidR="003C3DB9">
        <w:t xml:space="preserve">removes substantive obligations from definitions </w:t>
      </w:r>
      <w:r w:rsidR="00CF38D3">
        <w:t>(‘authorised ASIC officer’, ‘crossing [of section 1020B products’, ‘triggering event’ and ‘relevant day’)</w:t>
      </w:r>
      <w:r w:rsidR="003C3DB9">
        <w:t xml:space="preserve"> and locates them in new standalone provisions</w:t>
      </w:r>
      <w:r w:rsidR="0053425A">
        <w:t xml:space="preserve">. </w:t>
      </w:r>
      <w:r w:rsidR="003C3DB9">
        <w:t>This is c</w:t>
      </w:r>
      <w:r w:rsidR="0053425A">
        <w:t>onsistent with</w:t>
      </w:r>
      <w:r w:rsidR="003C3DB9">
        <w:t xml:space="preserve"> the ALRC</w:t>
      </w:r>
      <w:r w:rsidR="003C3DB9">
        <w:rPr>
          <w:bCs/>
          <w:iCs/>
        </w:rPr>
        <w:t xml:space="preserve">’s finding that </w:t>
      </w:r>
      <w:r w:rsidR="0053425A">
        <w:t>defined terms should not contain substantive obligations or powers</w:t>
      </w:r>
      <w:r w:rsidR="003C3DB9">
        <w:t xml:space="preserve"> because it increases complexity</w:t>
      </w:r>
      <w:r w:rsidR="0053425A">
        <w:t>. The Bill</w:t>
      </w:r>
      <w:r w:rsidR="004A3D75">
        <w:t xml:space="preserve"> also</w:t>
      </w:r>
      <w:r w:rsidR="0053425A">
        <w:t xml:space="preserve"> makes consequential amendments </w:t>
      </w:r>
      <w:r w:rsidR="003C3DB9">
        <w:t>following the removal of substantive obligations from definitions sections</w:t>
      </w:r>
      <w:r>
        <w:t>.</w:t>
      </w:r>
      <w:r w:rsidR="00374687">
        <w:br/>
      </w:r>
      <w:r w:rsidR="00374687" w:rsidRPr="00510918">
        <w:rPr>
          <w:rStyle w:val="References"/>
        </w:rPr>
        <w:t xml:space="preserve">[Schedule </w:t>
      </w:r>
      <w:r w:rsidR="0005444D">
        <w:rPr>
          <w:rStyle w:val="References"/>
        </w:rPr>
        <w:t>2</w:t>
      </w:r>
      <w:r w:rsidR="00374687" w:rsidRPr="00510918">
        <w:rPr>
          <w:rStyle w:val="References"/>
        </w:rPr>
        <w:t>, item</w:t>
      </w:r>
      <w:r w:rsidR="005936EB">
        <w:rPr>
          <w:rStyle w:val="References"/>
        </w:rPr>
        <w:t xml:space="preserve">s </w:t>
      </w:r>
      <w:r w:rsidR="0094316A">
        <w:rPr>
          <w:rStyle w:val="References"/>
        </w:rPr>
        <w:t>63</w:t>
      </w:r>
      <w:r w:rsidR="00C23024">
        <w:rPr>
          <w:rStyle w:val="References"/>
        </w:rPr>
        <w:t xml:space="preserve">, </w:t>
      </w:r>
      <w:r w:rsidR="0094316A">
        <w:rPr>
          <w:rStyle w:val="References"/>
        </w:rPr>
        <w:t>74</w:t>
      </w:r>
      <w:r w:rsidR="00C23024">
        <w:rPr>
          <w:rStyle w:val="References"/>
        </w:rPr>
        <w:t xml:space="preserve">, </w:t>
      </w:r>
      <w:r w:rsidR="0094316A">
        <w:rPr>
          <w:rStyle w:val="References"/>
        </w:rPr>
        <w:t>75</w:t>
      </w:r>
      <w:r w:rsidR="00C23024">
        <w:rPr>
          <w:rStyle w:val="References"/>
        </w:rPr>
        <w:t xml:space="preserve">, </w:t>
      </w:r>
      <w:r w:rsidR="0094316A">
        <w:rPr>
          <w:rStyle w:val="References"/>
        </w:rPr>
        <w:t>85</w:t>
      </w:r>
      <w:r w:rsidR="0017054A">
        <w:rPr>
          <w:rStyle w:val="References"/>
        </w:rPr>
        <w:t xml:space="preserve">, </w:t>
      </w:r>
      <w:r w:rsidR="0094316A">
        <w:rPr>
          <w:rStyle w:val="References"/>
        </w:rPr>
        <w:t>86</w:t>
      </w:r>
      <w:r w:rsidR="0017054A">
        <w:rPr>
          <w:rStyle w:val="References"/>
        </w:rPr>
        <w:t xml:space="preserve">, </w:t>
      </w:r>
      <w:r w:rsidR="0094316A">
        <w:rPr>
          <w:rStyle w:val="References"/>
        </w:rPr>
        <w:t>104</w:t>
      </w:r>
      <w:r w:rsidR="00374687" w:rsidRPr="00510918">
        <w:rPr>
          <w:rStyle w:val="References"/>
        </w:rPr>
        <w:t>,</w:t>
      </w:r>
      <w:r w:rsidR="005936EB">
        <w:rPr>
          <w:rStyle w:val="References"/>
        </w:rPr>
        <w:t xml:space="preserve"> </w:t>
      </w:r>
      <w:r w:rsidR="0094316A">
        <w:rPr>
          <w:rStyle w:val="References"/>
        </w:rPr>
        <w:t>107</w:t>
      </w:r>
      <w:r w:rsidR="005936EB">
        <w:rPr>
          <w:rStyle w:val="References"/>
        </w:rPr>
        <w:t xml:space="preserve">, </w:t>
      </w:r>
      <w:r w:rsidR="0094316A">
        <w:rPr>
          <w:rStyle w:val="References"/>
        </w:rPr>
        <w:t>108</w:t>
      </w:r>
      <w:r w:rsidR="005936EB">
        <w:rPr>
          <w:rStyle w:val="References"/>
        </w:rPr>
        <w:t xml:space="preserve">, </w:t>
      </w:r>
      <w:r w:rsidR="0094316A">
        <w:rPr>
          <w:rStyle w:val="References"/>
        </w:rPr>
        <w:t>109</w:t>
      </w:r>
      <w:r w:rsidR="0017054A">
        <w:rPr>
          <w:rStyle w:val="References"/>
        </w:rPr>
        <w:t xml:space="preserve"> and </w:t>
      </w:r>
      <w:r w:rsidR="0094316A">
        <w:rPr>
          <w:rStyle w:val="References"/>
        </w:rPr>
        <w:t>459</w:t>
      </w:r>
      <w:r w:rsidR="0017054A">
        <w:rPr>
          <w:rStyle w:val="References"/>
        </w:rPr>
        <w:t xml:space="preserve">, </w:t>
      </w:r>
      <w:r w:rsidR="00C23024">
        <w:rPr>
          <w:rStyle w:val="References"/>
        </w:rPr>
        <w:t xml:space="preserve">section 9, section 489F, before subsection 500AA, </w:t>
      </w:r>
      <w:r w:rsidR="0017054A">
        <w:rPr>
          <w:rStyle w:val="References"/>
        </w:rPr>
        <w:t>subsection 598(5) (definition of relevant day), At the end of section 590, s</w:t>
      </w:r>
      <w:r w:rsidR="005936EB">
        <w:rPr>
          <w:rStyle w:val="References"/>
        </w:rPr>
        <w:t xml:space="preserve">ection 601WAA, </w:t>
      </w:r>
      <w:r w:rsidR="0017054A">
        <w:rPr>
          <w:rStyle w:val="References"/>
        </w:rPr>
        <w:t>s</w:t>
      </w:r>
      <w:r w:rsidR="005936EB">
        <w:rPr>
          <w:rStyle w:val="References"/>
        </w:rPr>
        <w:t xml:space="preserve">ubsection 601WCA(1), </w:t>
      </w:r>
      <w:r w:rsidR="0017054A">
        <w:rPr>
          <w:rStyle w:val="References"/>
        </w:rPr>
        <w:t>s</w:t>
      </w:r>
      <w:r w:rsidR="005936EB">
        <w:rPr>
          <w:rStyle w:val="References"/>
        </w:rPr>
        <w:t>ubparagraph 601WCB(b)(</w:t>
      </w:r>
      <w:proofErr w:type="spellStart"/>
      <w:r w:rsidR="005936EB">
        <w:rPr>
          <w:rStyle w:val="References"/>
        </w:rPr>
        <w:t>i</w:t>
      </w:r>
      <w:proofErr w:type="spellEnd"/>
      <w:r w:rsidR="005936EB">
        <w:rPr>
          <w:rStyle w:val="References"/>
        </w:rPr>
        <w:t xml:space="preserve">), </w:t>
      </w:r>
      <w:r w:rsidR="0017054A">
        <w:rPr>
          <w:rStyle w:val="References"/>
        </w:rPr>
        <w:t>s</w:t>
      </w:r>
      <w:r w:rsidR="005936EB">
        <w:rPr>
          <w:rStyle w:val="References"/>
        </w:rPr>
        <w:t>ubparagraph 601WCC(1)(b)(</w:t>
      </w:r>
      <w:proofErr w:type="spellStart"/>
      <w:r w:rsidR="005936EB">
        <w:rPr>
          <w:rStyle w:val="References"/>
        </w:rPr>
        <w:t>i</w:t>
      </w:r>
      <w:proofErr w:type="spellEnd"/>
      <w:r w:rsidR="005936EB">
        <w:rPr>
          <w:rStyle w:val="References"/>
        </w:rPr>
        <w:t>)</w:t>
      </w:r>
      <w:r w:rsidR="0017054A">
        <w:rPr>
          <w:rStyle w:val="References"/>
        </w:rPr>
        <w:t>, section 1020A</w:t>
      </w:r>
      <w:r w:rsidR="005936EB">
        <w:rPr>
          <w:rStyle w:val="References"/>
        </w:rPr>
        <w:t xml:space="preserve"> of the Corporations Act</w:t>
      </w:r>
      <w:r w:rsidR="00374687" w:rsidRPr="00510918">
        <w:rPr>
          <w:rStyle w:val="References"/>
        </w:rPr>
        <w:t xml:space="preserve">] </w:t>
      </w:r>
    </w:p>
    <w:p w14:paraId="3A509689" w14:textId="315F2E9B" w:rsidR="00A90D9A" w:rsidRPr="00BA1AA5" w:rsidRDefault="00A90D9A" w:rsidP="005D4C52">
      <w:pPr>
        <w:pStyle w:val="Normalparatextwithnumbers"/>
        <w:numPr>
          <w:ilvl w:val="0"/>
          <w:numId w:val="0"/>
        </w:numPr>
        <w:rPr>
          <w:rFonts w:ascii="Helvetica" w:eastAsiaTheme="majorEastAsia" w:hAnsi="Helvetica" w:cstheme="majorBidi"/>
          <w:b/>
          <w:spacing w:val="-10"/>
          <w:kern w:val="28"/>
          <w:sz w:val="24"/>
          <w:szCs w:val="56"/>
        </w:rPr>
      </w:pPr>
      <w:r w:rsidRPr="00BA1AA5">
        <w:rPr>
          <w:rFonts w:ascii="Helvetica" w:eastAsiaTheme="majorEastAsia" w:hAnsi="Helvetica" w:cstheme="majorBidi"/>
          <w:b/>
          <w:spacing w:val="-10"/>
          <w:kern w:val="28"/>
          <w:sz w:val="24"/>
          <w:szCs w:val="56"/>
        </w:rPr>
        <w:t xml:space="preserve">Miscellaneous amendments to improve </w:t>
      </w:r>
      <w:r w:rsidR="00FC303E" w:rsidRPr="00BA1AA5">
        <w:rPr>
          <w:rFonts w:ascii="Helvetica" w:eastAsiaTheme="majorEastAsia" w:hAnsi="Helvetica" w:cstheme="majorBidi"/>
          <w:b/>
          <w:spacing w:val="-10"/>
          <w:kern w:val="28"/>
          <w:sz w:val="24"/>
          <w:szCs w:val="56"/>
        </w:rPr>
        <w:t xml:space="preserve">clarity, </w:t>
      </w:r>
      <w:proofErr w:type="gramStart"/>
      <w:r w:rsidRPr="00BA1AA5">
        <w:rPr>
          <w:rFonts w:ascii="Helvetica" w:eastAsiaTheme="majorEastAsia" w:hAnsi="Helvetica" w:cstheme="majorBidi"/>
          <w:b/>
          <w:spacing w:val="-10"/>
          <w:kern w:val="28"/>
          <w:sz w:val="24"/>
          <w:szCs w:val="56"/>
        </w:rPr>
        <w:t>consistency</w:t>
      </w:r>
      <w:proofErr w:type="gramEnd"/>
      <w:r w:rsidRPr="00BA1AA5">
        <w:rPr>
          <w:rFonts w:ascii="Helvetica" w:eastAsiaTheme="majorEastAsia" w:hAnsi="Helvetica" w:cstheme="majorBidi"/>
          <w:b/>
          <w:spacing w:val="-10"/>
          <w:kern w:val="28"/>
          <w:sz w:val="24"/>
          <w:szCs w:val="56"/>
        </w:rPr>
        <w:t xml:space="preserve"> </w:t>
      </w:r>
      <w:r w:rsidR="00084D6B" w:rsidRPr="00BA1AA5">
        <w:rPr>
          <w:rFonts w:ascii="Helvetica" w:eastAsiaTheme="majorEastAsia" w:hAnsi="Helvetica" w:cstheme="majorBidi"/>
          <w:b/>
          <w:spacing w:val="-10"/>
          <w:kern w:val="28"/>
          <w:sz w:val="24"/>
          <w:szCs w:val="56"/>
        </w:rPr>
        <w:t xml:space="preserve">and navigability </w:t>
      </w:r>
    </w:p>
    <w:p w14:paraId="1D173AD2" w14:textId="7913204F" w:rsidR="00E84771" w:rsidRPr="00DE70E6" w:rsidRDefault="00E84771" w:rsidP="00DE70E6">
      <w:pPr>
        <w:pStyle w:val="Heading6"/>
      </w:pPr>
      <w:r w:rsidRPr="00DE70E6">
        <w:t xml:space="preserve">Clarity </w:t>
      </w:r>
    </w:p>
    <w:p w14:paraId="21DF805C" w14:textId="1BCA3C4F" w:rsidR="00E84771" w:rsidRPr="004E766F" w:rsidRDefault="00E84771" w:rsidP="00BA1AA5">
      <w:pPr>
        <w:pStyle w:val="Normalparatextwithnumbers"/>
        <w:numPr>
          <w:ilvl w:val="1"/>
          <w:numId w:val="3"/>
        </w:numPr>
        <w:rPr>
          <w:rStyle w:val="References"/>
          <w:b w:val="0"/>
          <w:i w:val="0"/>
        </w:rPr>
      </w:pPr>
      <w:r w:rsidRPr="00F01A32">
        <w:t xml:space="preserve">The Bill </w:t>
      </w:r>
      <w:r w:rsidR="00F01A32">
        <w:t xml:space="preserve">amends expressions that are unclear. In particular, it replaces references to compensation </w:t>
      </w:r>
      <w:r w:rsidR="00E36B12">
        <w:t xml:space="preserve">arrangements </w:t>
      </w:r>
      <w:r w:rsidR="00F01A32">
        <w:t>with ‘arrangements for compensation’</w:t>
      </w:r>
      <w:r w:rsidR="008B30FF">
        <w:t xml:space="preserve"> to avoid us</w:t>
      </w:r>
      <w:r w:rsidR="009C162E">
        <w:t>ing</w:t>
      </w:r>
      <w:r w:rsidR="008B30FF">
        <w:t xml:space="preserve"> shorthand</w:t>
      </w:r>
      <w:r w:rsidR="009C162E">
        <w:t>. It also avoids using</w:t>
      </w:r>
      <w:r w:rsidR="008B30FF">
        <w:t xml:space="preserve"> a defined term </w:t>
      </w:r>
      <w:r w:rsidRPr="00F01A32">
        <w:lastRenderedPageBreak/>
        <w:t>where the term is not intended to be understood in its defined sense.</w:t>
      </w:r>
      <w:r w:rsidR="008B30FF">
        <w:t xml:space="preserve"> </w:t>
      </w:r>
      <w:r w:rsidR="00C550FF">
        <w:br/>
      </w:r>
      <w:r w:rsidR="00C550FF" w:rsidRPr="00C550FF">
        <w:rPr>
          <w:rStyle w:val="References"/>
        </w:rPr>
        <w:t>[</w:t>
      </w:r>
      <w:r w:rsidR="00C550FF" w:rsidRPr="00542902">
        <w:rPr>
          <w:b/>
          <w:bCs/>
          <w:i/>
          <w:iCs/>
        </w:rPr>
        <w:t>Schedule</w:t>
      </w:r>
      <w:r w:rsidR="00C550FF" w:rsidRPr="003A0A45">
        <w:rPr>
          <w:b/>
          <w:bCs/>
          <w:i/>
          <w:iCs/>
        </w:rPr>
        <w:t xml:space="preserve"> </w:t>
      </w:r>
      <w:r w:rsidR="0005444D">
        <w:rPr>
          <w:b/>
          <w:bCs/>
          <w:i/>
          <w:iCs/>
        </w:rPr>
        <w:t>2</w:t>
      </w:r>
      <w:r w:rsidR="00C550FF" w:rsidRPr="003A0A45">
        <w:rPr>
          <w:b/>
          <w:bCs/>
          <w:i/>
          <w:iCs/>
        </w:rPr>
        <w:t>, item</w:t>
      </w:r>
      <w:r w:rsidR="00C550FF">
        <w:rPr>
          <w:b/>
          <w:bCs/>
          <w:i/>
          <w:iCs/>
        </w:rPr>
        <w:t xml:space="preserve">s, </w:t>
      </w:r>
      <w:r w:rsidR="009A3723">
        <w:rPr>
          <w:b/>
          <w:bCs/>
          <w:i/>
          <w:iCs/>
        </w:rPr>
        <w:t>374</w:t>
      </w:r>
      <w:r w:rsidR="00E56A97">
        <w:rPr>
          <w:b/>
          <w:bCs/>
          <w:i/>
          <w:iCs/>
        </w:rPr>
        <w:t xml:space="preserve">, </w:t>
      </w:r>
      <w:r w:rsidR="009A3723">
        <w:rPr>
          <w:b/>
          <w:bCs/>
          <w:i/>
          <w:iCs/>
        </w:rPr>
        <w:t>397</w:t>
      </w:r>
      <w:r w:rsidR="00C550FF">
        <w:rPr>
          <w:b/>
          <w:bCs/>
          <w:i/>
          <w:iCs/>
        </w:rPr>
        <w:t xml:space="preserve"> and </w:t>
      </w:r>
      <w:r w:rsidR="009A3723">
        <w:rPr>
          <w:b/>
          <w:bCs/>
          <w:i/>
          <w:iCs/>
        </w:rPr>
        <w:t>398</w:t>
      </w:r>
      <w:r w:rsidR="00C550FF" w:rsidRPr="003A0A45">
        <w:rPr>
          <w:b/>
          <w:bCs/>
          <w:i/>
          <w:iCs/>
        </w:rPr>
        <w:t xml:space="preserve">, </w:t>
      </w:r>
      <w:r w:rsidR="00C550FF">
        <w:rPr>
          <w:b/>
          <w:bCs/>
          <w:i/>
          <w:iCs/>
        </w:rPr>
        <w:t>section 912B</w:t>
      </w:r>
      <w:r w:rsidR="00F25C37">
        <w:rPr>
          <w:b/>
          <w:bCs/>
          <w:i/>
          <w:iCs/>
        </w:rPr>
        <w:t xml:space="preserve"> (heading)</w:t>
      </w:r>
      <w:r w:rsidR="00C550FF">
        <w:rPr>
          <w:b/>
          <w:bCs/>
          <w:i/>
          <w:iCs/>
        </w:rPr>
        <w:t xml:space="preserve"> and </w:t>
      </w:r>
      <w:r w:rsidR="00C550FF" w:rsidRPr="003A0A45">
        <w:rPr>
          <w:b/>
          <w:bCs/>
          <w:i/>
          <w:iCs/>
        </w:rPr>
        <w:t>subsection</w:t>
      </w:r>
      <w:r w:rsidR="00E36B12">
        <w:rPr>
          <w:b/>
          <w:bCs/>
          <w:i/>
          <w:iCs/>
        </w:rPr>
        <w:t>s</w:t>
      </w:r>
      <w:r w:rsidR="00C550FF" w:rsidRPr="003A0A45">
        <w:rPr>
          <w:b/>
          <w:bCs/>
          <w:i/>
          <w:iCs/>
        </w:rPr>
        <w:t xml:space="preserve"> </w:t>
      </w:r>
      <w:r w:rsidR="00E36B12">
        <w:rPr>
          <w:b/>
          <w:bCs/>
          <w:i/>
          <w:iCs/>
        </w:rPr>
        <w:t>923C(10)</w:t>
      </w:r>
      <w:r w:rsidR="00F25C37">
        <w:rPr>
          <w:b/>
          <w:bCs/>
          <w:i/>
          <w:iCs/>
        </w:rPr>
        <w:t xml:space="preserve"> and</w:t>
      </w:r>
      <w:r w:rsidR="00E36B12">
        <w:rPr>
          <w:b/>
          <w:bCs/>
          <w:i/>
          <w:iCs/>
        </w:rPr>
        <w:t xml:space="preserve"> 923C(10) (note)</w:t>
      </w:r>
      <w:r w:rsidR="00C550FF">
        <w:rPr>
          <w:b/>
          <w:bCs/>
          <w:i/>
          <w:iCs/>
        </w:rPr>
        <w:t xml:space="preserve"> of the Corporations Act</w:t>
      </w:r>
      <w:r w:rsidR="00C550FF" w:rsidRPr="00C550FF">
        <w:rPr>
          <w:rStyle w:val="References"/>
        </w:rPr>
        <w:t xml:space="preserve">] </w:t>
      </w:r>
    </w:p>
    <w:p w14:paraId="57ABD30C" w14:textId="0B0D9068" w:rsidR="00490E33" w:rsidRPr="00F01A32" w:rsidRDefault="006D7B22" w:rsidP="00BA1AA5">
      <w:pPr>
        <w:pStyle w:val="Normalparatextwithnumbers"/>
        <w:numPr>
          <w:ilvl w:val="1"/>
          <w:numId w:val="3"/>
        </w:numPr>
        <w:rPr>
          <w:rStyle w:val="References"/>
          <w:b w:val="0"/>
          <w:i w:val="0"/>
        </w:rPr>
      </w:pPr>
      <w:r>
        <w:rPr>
          <w:rStyle w:val="References"/>
          <w:b w:val="0"/>
          <w:bCs w:val="0"/>
          <w:i w:val="0"/>
          <w:iCs w:val="0"/>
        </w:rPr>
        <w:t>T</w:t>
      </w:r>
      <w:r w:rsidR="00490E33">
        <w:rPr>
          <w:rStyle w:val="References"/>
          <w:b w:val="0"/>
          <w:bCs w:val="0"/>
          <w:i w:val="0"/>
          <w:iCs w:val="0"/>
        </w:rPr>
        <w:t>he Bill makes minor amendments to remove unnecessary words</w:t>
      </w:r>
      <w:r>
        <w:rPr>
          <w:rStyle w:val="References"/>
          <w:b w:val="0"/>
          <w:bCs w:val="0"/>
          <w:i w:val="0"/>
          <w:iCs w:val="0"/>
        </w:rPr>
        <w:t xml:space="preserve">, where doing so </w:t>
      </w:r>
      <w:r w:rsidR="00490E33">
        <w:rPr>
          <w:rStyle w:val="References"/>
          <w:b w:val="0"/>
          <w:bCs w:val="0"/>
          <w:i w:val="0"/>
          <w:iCs w:val="0"/>
        </w:rPr>
        <w:t>improves clarity</w:t>
      </w:r>
      <w:r>
        <w:rPr>
          <w:rStyle w:val="References"/>
          <w:b w:val="0"/>
          <w:bCs w:val="0"/>
          <w:i w:val="0"/>
          <w:iCs w:val="0"/>
        </w:rPr>
        <w:t xml:space="preserve">. However, it also adds additional words in some limited circumstances to explain </w:t>
      </w:r>
      <w:r w:rsidR="004A62B0">
        <w:rPr>
          <w:rStyle w:val="References"/>
          <w:b w:val="0"/>
          <w:bCs w:val="0"/>
          <w:i w:val="0"/>
          <w:iCs w:val="0"/>
        </w:rPr>
        <w:t>certain concepts</w:t>
      </w:r>
      <w:r w:rsidR="002626AD" w:rsidRPr="002626AD">
        <w:rPr>
          <w:rStyle w:val="References"/>
          <w:b w:val="0"/>
          <w:bCs w:val="0"/>
          <w:i w:val="0"/>
          <w:iCs w:val="0"/>
        </w:rPr>
        <w:t xml:space="preserve"> </w:t>
      </w:r>
      <w:r w:rsidR="002626AD">
        <w:rPr>
          <w:rStyle w:val="References"/>
          <w:b w:val="0"/>
          <w:bCs w:val="0"/>
          <w:i w:val="0"/>
          <w:iCs w:val="0"/>
        </w:rPr>
        <w:t>more clearly</w:t>
      </w:r>
      <w:r w:rsidR="004A62B0">
        <w:rPr>
          <w:rStyle w:val="References"/>
          <w:b w:val="0"/>
          <w:bCs w:val="0"/>
          <w:i w:val="0"/>
          <w:iCs w:val="0"/>
        </w:rPr>
        <w:t xml:space="preserve">. </w:t>
      </w:r>
      <w:r w:rsidR="002626AD">
        <w:rPr>
          <w:rStyle w:val="References"/>
          <w:b w:val="0"/>
          <w:bCs w:val="0"/>
          <w:i w:val="0"/>
          <w:iCs w:val="0"/>
        </w:rPr>
        <w:t>In particular</w:t>
      </w:r>
      <w:r w:rsidR="004A62B0">
        <w:rPr>
          <w:rStyle w:val="References"/>
          <w:b w:val="0"/>
          <w:bCs w:val="0"/>
          <w:i w:val="0"/>
          <w:iCs w:val="0"/>
        </w:rPr>
        <w:t>, the phrase ‘under any law of the Commonwealth or a State or Territory’ is inserted in relation to the availability of infringement notices to make clear that both Commonwealth and State or Territory legislation can impose infringements notices.</w:t>
      </w:r>
      <w:r w:rsidR="00490E33">
        <w:rPr>
          <w:rStyle w:val="References"/>
          <w:b w:val="0"/>
          <w:bCs w:val="0"/>
          <w:i w:val="0"/>
          <w:iCs w:val="0"/>
        </w:rPr>
        <w:br/>
      </w:r>
      <w:bookmarkStart w:id="67" w:name="_Hlk119056383"/>
      <w:r w:rsidR="00490E33" w:rsidRPr="00510918">
        <w:rPr>
          <w:rStyle w:val="References"/>
        </w:rPr>
        <w:t xml:space="preserve">[Schedule </w:t>
      </w:r>
      <w:r w:rsidR="0005444D">
        <w:rPr>
          <w:rStyle w:val="References"/>
        </w:rPr>
        <w:t>2</w:t>
      </w:r>
      <w:r w:rsidR="00490E33">
        <w:rPr>
          <w:rStyle w:val="References"/>
        </w:rPr>
        <w:t>, item</w:t>
      </w:r>
      <w:r>
        <w:rPr>
          <w:rStyle w:val="References"/>
        </w:rPr>
        <w:t>s</w:t>
      </w:r>
      <w:r w:rsidR="00DC256B">
        <w:rPr>
          <w:rStyle w:val="References"/>
        </w:rPr>
        <w:t xml:space="preserve"> 36,</w:t>
      </w:r>
      <w:r>
        <w:rPr>
          <w:rStyle w:val="References"/>
        </w:rPr>
        <w:t xml:space="preserve"> </w:t>
      </w:r>
      <w:r w:rsidR="00A81494">
        <w:rPr>
          <w:rStyle w:val="References"/>
        </w:rPr>
        <w:t>444</w:t>
      </w:r>
      <w:r w:rsidR="007C6CB0">
        <w:rPr>
          <w:rStyle w:val="References"/>
        </w:rPr>
        <w:t xml:space="preserve">, </w:t>
      </w:r>
      <w:r w:rsidR="00A81494">
        <w:rPr>
          <w:rStyle w:val="References"/>
        </w:rPr>
        <w:t>528</w:t>
      </w:r>
      <w:r>
        <w:rPr>
          <w:rStyle w:val="References"/>
        </w:rPr>
        <w:t xml:space="preserve"> and</w:t>
      </w:r>
      <w:r w:rsidR="00490E33">
        <w:rPr>
          <w:rStyle w:val="References"/>
        </w:rPr>
        <w:t xml:space="preserve"> </w:t>
      </w:r>
      <w:r w:rsidR="00A81494">
        <w:rPr>
          <w:rStyle w:val="References"/>
        </w:rPr>
        <w:t>536</w:t>
      </w:r>
      <w:r w:rsidR="00490E33">
        <w:rPr>
          <w:rStyle w:val="References"/>
        </w:rPr>
        <w:t xml:space="preserve">, </w:t>
      </w:r>
      <w:r w:rsidR="00DC256B">
        <w:rPr>
          <w:rStyle w:val="References"/>
        </w:rPr>
        <w:t xml:space="preserve">section 9, </w:t>
      </w:r>
      <w:r>
        <w:rPr>
          <w:rStyle w:val="References"/>
        </w:rPr>
        <w:t xml:space="preserve">subsection 1017BB(6) (definition of small APRA fund), </w:t>
      </w:r>
      <w:r w:rsidR="007C6CB0">
        <w:rPr>
          <w:rStyle w:val="References"/>
        </w:rPr>
        <w:t xml:space="preserve">paragraphs 1311E(3)(a) and (b), </w:t>
      </w:r>
      <w:r w:rsidR="00490E33">
        <w:rPr>
          <w:rStyle w:val="References"/>
        </w:rPr>
        <w:t>subsection 1317DAG(3)(heading)</w:t>
      </w:r>
      <w:r>
        <w:rPr>
          <w:rStyle w:val="References"/>
        </w:rPr>
        <w:t xml:space="preserve"> of the Corporations Act</w:t>
      </w:r>
      <w:r w:rsidR="00490E33" w:rsidRPr="00510918">
        <w:rPr>
          <w:rStyle w:val="References"/>
        </w:rPr>
        <w:t xml:space="preserve">] </w:t>
      </w:r>
    </w:p>
    <w:bookmarkEnd w:id="67"/>
    <w:p w14:paraId="631F6F45" w14:textId="2E996178" w:rsidR="0083313C" w:rsidRPr="00D7561A" w:rsidRDefault="0083313C" w:rsidP="00DE70E6">
      <w:pPr>
        <w:pStyle w:val="Heading6"/>
        <w:rPr>
          <w:rFonts w:ascii="Times New Roman" w:eastAsiaTheme="minorHAnsi" w:hAnsi="Times New Roman" w:cstheme="minorBidi"/>
          <w:b/>
        </w:rPr>
      </w:pPr>
      <w:r w:rsidRPr="00DE70E6">
        <w:t xml:space="preserve">Consistency </w:t>
      </w:r>
    </w:p>
    <w:p w14:paraId="2236C989" w14:textId="51841776" w:rsidR="00A90D9A" w:rsidRPr="00DE70E6" w:rsidRDefault="00A90D9A" w:rsidP="00A90D9A">
      <w:pPr>
        <w:pStyle w:val="Normalparatextwithnumbers"/>
        <w:rPr>
          <w:rStyle w:val="References"/>
          <w:b w:val="0"/>
          <w:i w:val="0"/>
        </w:rPr>
      </w:pPr>
      <w:r w:rsidRPr="00A70B2C">
        <w:rPr>
          <w:rStyle w:val="References"/>
          <w:b w:val="0"/>
          <w:bCs w:val="0"/>
          <w:i w:val="0"/>
          <w:iCs w:val="0"/>
        </w:rPr>
        <w:t xml:space="preserve">The </w:t>
      </w:r>
      <w:r>
        <w:rPr>
          <w:rStyle w:val="References"/>
          <w:b w:val="0"/>
          <w:bCs w:val="0"/>
          <w:i w:val="0"/>
          <w:iCs w:val="0"/>
        </w:rPr>
        <w:t>Bill</w:t>
      </w:r>
      <w:r w:rsidRPr="00A70B2C">
        <w:rPr>
          <w:rStyle w:val="References"/>
          <w:b w:val="0"/>
          <w:bCs w:val="0"/>
          <w:i w:val="0"/>
          <w:iCs w:val="0"/>
        </w:rPr>
        <w:t xml:space="preserve"> </w:t>
      </w:r>
      <w:r w:rsidR="00B623E2">
        <w:rPr>
          <w:rStyle w:val="References"/>
          <w:b w:val="0"/>
          <w:bCs w:val="0"/>
          <w:i w:val="0"/>
          <w:iCs w:val="0"/>
        </w:rPr>
        <w:t xml:space="preserve">updates </w:t>
      </w:r>
      <w:r w:rsidRPr="00A70B2C">
        <w:rPr>
          <w:rStyle w:val="References"/>
          <w:b w:val="0"/>
          <w:bCs w:val="0"/>
          <w:i w:val="0"/>
          <w:iCs w:val="0"/>
        </w:rPr>
        <w:t>definition</w:t>
      </w:r>
      <w:r w:rsidR="00B623E2">
        <w:rPr>
          <w:rStyle w:val="References"/>
          <w:b w:val="0"/>
          <w:bCs w:val="0"/>
          <w:i w:val="0"/>
          <w:iCs w:val="0"/>
        </w:rPr>
        <w:t>s that rely on defined terms located in other Acts</w:t>
      </w:r>
      <w:r w:rsidR="00361EA6">
        <w:rPr>
          <w:rStyle w:val="References"/>
          <w:b w:val="0"/>
          <w:bCs w:val="0"/>
          <w:i w:val="0"/>
          <w:iCs w:val="0"/>
        </w:rPr>
        <w:t>,</w:t>
      </w:r>
      <w:r w:rsidR="00B623E2">
        <w:rPr>
          <w:rStyle w:val="References"/>
          <w:b w:val="0"/>
          <w:bCs w:val="0"/>
          <w:i w:val="0"/>
          <w:iCs w:val="0"/>
        </w:rPr>
        <w:t xml:space="preserve"> so they use </w:t>
      </w:r>
      <w:r w:rsidR="009F17E2">
        <w:rPr>
          <w:rStyle w:val="References"/>
          <w:b w:val="0"/>
          <w:bCs w:val="0"/>
          <w:i w:val="0"/>
          <w:iCs w:val="0"/>
        </w:rPr>
        <w:t xml:space="preserve">consistent </w:t>
      </w:r>
      <w:r w:rsidR="00B623E2">
        <w:rPr>
          <w:rStyle w:val="References"/>
          <w:b w:val="0"/>
          <w:bCs w:val="0"/>
          <w:i w:val="0"/>
          <w:iCs w:val="0"/>
        </w:rPr>
        <w:t>label</w:t>
      </w:r>
      <w:r w:rsidR="009F17E2">
        <w:rPr>
          <w:rStyle w:val="References"/>
          <w:b w:val="0"/>
          <w:bCs w:val="0"/>
          <w:i w:val="0"/>
          <w:iCs w:val="0"/>
        </w:rPr>
        <w:t>s</w:t>
      </w:r>
      <w:r w:rsidR="00B623E2">
        <w:rPr>
          <w:rStyle w:val="References"/>
          <w:b w:val="0"/>
          <w:bCs w:val="0"/>
          <w:i w:val="0"/>
          <w:iCs w:val="0"/>
        </w:rPr>
        <w:t xml:space="preserve">. </w:t>
      </w:r>
      <w:r w:rsidR="00923434">
        <w:rPr>
          <w:rStyle w:val="References"/>
          <w:b w:val="0"/>
          <w:bCs w:val="0"/>
          <w:i w:val="0"/>
          <w:iCs w:val="0"/>
        </w:rPr>
        <w:t>It</w:t>
      </w:r>
      <w:r w:rsidR="00B623E2">
        <w:rPr>
          <w:rStyle w:val="References"/>
          <w:b w:val="0"/>
          <w:bCs w:val="0"/>
          <w:i w:val="0"/>
          <w:iCs w:val="0"/>
        </w:rPr>
        <w:t xml:space="preserve"> repeals the definition </w:t>
      </w:r>
      <w:r w:rsidRPr="00A70B2C">
        <w:rPr>
          <w:rStyle w:val="References"/>
          <w:b w:val="0"/>
          <w:bCs w:val="0"/>
          <w:i w:val="0"/>
          <w:iCs w:val="0"/>
        </w:rPr>
        <w:t>of ‘BAS agent’</w:t>
      </w:r>
      <w:r w:rsidR="00B623E2">
        <w:rPr>
          <w:rStyle w:val="References"/>
          <w:b w:val="0"/>
          <w:bCs w:val="0"/>
          <w:i w:val="0"/>
          <w:iCs w:val="0"/>
        </w:rPr>
        <w:t xml:space="preserve"> in the Corporations Act</w:t>
      </w:r>
      <w:r w:rsidRPr="00A70B2C">
        <w:rPr>
          <w:rStyle w:val="References"/>
          <w:b w:val="0"/>
          <w:bCs w:val="0"/>
          <w:i w:val="0"/>
          <w:iCs w:val="0"/>
        </w:rPr>
        <w:t xml:space="preserve"> and replace</w:t>
      </w:r>
      <w:r>
        <w:rPr>
          <w:rStyle w:val="References"/>
          <w:b w:val="0"/>
          <w:bCs w:val="0"/>
          <w:i w:val="0"/>
          <w:iCs w:val="0"/>
        </w:rPr>
        <w:t>s</w:t>
      </w:r>
      <w:r w:rsidRPr="00A70B2C">
        <w:rPr>
          <w:rStyle w:val="References"/>
          <w:b w:val="0"/>
          <w:bCs w:val="0"/>
          <w:i w:val="0"/>
          <w:iCs w:val="0"/>
        </w:rPr>
        <w:t xml:space="preserve"> it with a</w:t>
      </w:r>
      <w:r w:rsidRPr="00A70B2C" w:rsidDel="00745C89">
        <w:rPr>
          <w:rStyle w:val="References"/>
          <w:b w:val="0"/>
          <w:bCs w:val="0"/>
          <w:i w:val="0"/>
          <w:iCs w:val="0"/>
        </w:rPr>
        <w:t xml:space="preserve"> </w:t>
      </w:r>
      <w:r w:rsidRPr="00A70B2C">
        <w:rPr>
          <w:rStyle w:val="References"/>
          <w:b w:val="0"/>
          <w:bCs w:val="0"/>
          <w:i w:val="0"/>
          <w:iCs w:val="0"/>
        </w:rPr>
        <w:t>composite definition of ‘registered tax agent or BAS agent’</w:t>
      </w:r>
      <w:r w:rsidR="00B623E2">
        <w:rPr>
          <w:rStyle w:val="References"/>
          <w:b w:val="0"/>
          <w:bCs w:val="0"/>
          <w:i w:val="0"/>
          <w:iCs w:val="0"/>
        </w:rPr>
        <w:t xml:space="preserve"> to reflect </w:t>
      </w:r>
      <w:r w:rsidRPr="00A70B2C">
        <w:rPr>
          <w:rStyle w:val="References"/>
          <w:b w:val="0"/>
          <w:bCs w:val="0"/>
          <w:i w:val="0"/>
          <w:iCs w:val="0"/>
        </w:rPr>
        <w:t>the definition</w:t>
      </w:r>
      <w:r>
        <w:rPr>
          <w:rStyle w:val="References"/>
          <w:b w:val="0"/>
          <w:bCs w:val="0"/>
          <w:i w:val="0"/>
          <w:iCs w:val="0"/>
        </w:rPr>
        <w:t xml:space="preserve"> </w:t>
      </w:r>
      <w:r w:rsidRPr="00A70B2C">
        <w:rPr>
          <w:rStyle w:val="References"/>
          <w:b w:val="0"/>
          <w:bCs w:val="0"/>
          <w:i w:val="0"/>
          <w:iCs w:val="0"/>
        </w:rPr>
        <w:t>provided</w:t>
      </w:r>
      <w:r w:rsidR="00B623E2">
        <w:rPr>
          <w:rStyle w:val="References"/>
          <w:b w:val="0"/>
          <w:bCs w:val="0"/>
          <w:i w:val="0"/>
          <w:iCs w:val="0"/>
        </w:rPr>
        <w:t xml:space="preserve"> for</w:t>
      </w:r>
      <w:r w:rsidRPr="00A70B2C">
        <w:rPr>
          <w:rStyle w:val="References"/>
          <w:b w:val="0"/>
          <w:bCs w:val="0"/>
          <w:i w:val="0"/>
          <w:iCs w:val="0"/>
        </w:rPr>
        <w:t xml:space="preserve"> in the </w:t>
      </w:r>
      <w:r w:rsidRPr="00A70B2C">
        <w:rPr>
          <w:rStyle w:val="References"/>
          <w:b w:val="0"/>
          <w:bCs w:val="0"/>
        </w:rPr>
        <w:t>Tax Agent Services Act 2009</w:t>
      </w:r>
      <w:r w:rsidRPr="00A70B2C">
        <w:rPr>
          <w:rStyle w:val="References"/>
          <w:b w:val="0"/>
          <w:bCs w:val="0"/>
          <w:i w:val="0"/>
          <w:iCs w:val="0"/>
        </w:rPr>
        <w:t>.</w:t>
      </w:r>
      <w:r w:rsidR="00CB522D">
        <w:rPr>
          <w:rStyle w:val="References"/>
          <w:b w:val="0"/>
          <w:bCs w:val="0"/>
          <w:i w:val="0"/>
          <w:iCs w:val="0"/>
        </w:rPr>
        <w:t xml:space="preserve"> </w:t>
      </w:r>
      <w:r w:rsidR="00D3560A">
        <w:rPr>
          <w:rStyle w:val="References"/>
          <w:b w:val="0"/>
          <w:bCs w:val="0"/>
          <w:i w:val="0"/>
          <w:iCs w:val="0"/>
        </w:rPr>
        <w:br/>
      </w:r>
      <w:r w:rsidR="00D3560A" w:rsidRPr="00D3560A">
        <w:rPr>
          <w:rStyle w:val="References"/>
        </w:rPr>
        <w:t>[</w:t>
      </w:r>
      <w:r w:rsidR="00D3560A" w:rsidRPr="00542902">
        <w:rPr>
          <w:b/>
          <w:bCs/>
          <w:i/>
          <w:iCs/>
        </w:rPr>
        <w:t>Schedule</w:t>
      </w:r>
      <w:r w:rsidR="00D3560A" w:rsidRPr="003A0A45">
        <w:rPr>
          <w:b/>
          <w:bCs/>
          <w:i/>
          <w:iCs/>
        </w:rPr>
        <w:t xml:space="preserve"> </w:t>
      </w:r>
      <w:r w:rsidR="0005444D">
        <w:rPr>
          <w:b/>
          <w:bCs/>
          <w:i/>
          <w:iCs/>
        </w:rPr>
        <w:t>2</w:t>
      </w:r>
      <w:r w:rsidR="00D3560A" w:rsidRPr="003A0A45">
        <w:rPr>
          <w:b/>
          <w:bCs/>
          <w:i/>
          <w:iCs/>
        </w:rPr>
        <w:t xml:space="preserve">, item </w:t>
      </w:r>
      <w:r w:rsidR="00A81494">
        <w:rPr>
          <w:b/>
          <w:bCs/>
          <w:i/>
          <w:iCs/>
        </w:rPr>
        <w:t>218</w:t>
      </w:r>
      <w:r w:rsidR="00D3560A">
        <w:rPr>
          <w:b/>
          <w:bCs/>
          <w:i/>
          <w:iCs/>
        </w:rPr>
        <w:t>, section 9 of the Corporations Act</w:t>
      </w:r>
      <w:r w:rsidR="00D3560A" w:rsidRPr="00D3560A">
        <w:rPr>
          <w:rStyle w:val="References"/>
        </w:rPr>
        <w:t xml:space="preserve">] </w:t>
      </w:r>
    </w:p>
    <w:p w14:paraId="55C79A5A" w14:textId="7403D346" w:rsidR="00BD19D9" w:rsidRPr="00045493" w:rsidRDefault="00BD19D9" w:rsidP="00BD19D9">
      <w:pPr>
        <w:pStyle w:val="Normalparatextwithnumbers"/>
        <w:rPr>
          <w:rStyle w:val="References"/>
          <w:b w:val="0"/>
          <w:bCs w:val="0"/>
          <w:i w:val="0"/>
          <w:iCs w:val="0"/>
        </w:rPr>
      </w:pPr>
      <w:r>
        <w:t xml:space="preserve">The Bill also </w:t>
      </w:r>
      <w:r w:rsidR="009F17E2">
        <w:t xml:space="preserve">removes the phrase ‘as defined in’ from some signposts and replaces </w:t>
      </w:r>
      <w:r w:rsidR="00C40EF7">
        <w:t xml:space="preserve">it </w:t>
      </w:r>
      <w:r w:rsidR="009F17E2">
        <w:t>with the phrase ‘see’. Th</w:t>
      </w:r>
      <w:r w:rsidR="00277DF5">
        <w:t>i</w:t>
      </w:r>
      <w:r w:rsidR="009F17E2">
        <w:t xml:space="preserve">s </w:t>
      </w:r>
      <w:r w:rsidR="00C40EF7">
        <w:t>makes the language in the Corporations Act more</w:t>
      </w:r>
      <w:r w:rsidR="002E2AD0">
        <w:t xml:space="preserve"> consistent </w:t>
      </w:r>
      <w:r w:rsidR="00C40EF7">
        <w:t>and uses</w:t>
      </w:r>
      <w:r w:rsidR="00084D6B">
        <w:t xml:space="preserve"> more direct language</w:t>
      </w:r>
      <w:r w:rsidR="00B7064C">
        <w:t>.</w:t>
      </w:r>
      <w:r w:rsidR="00084D6B">
        <w:t xml:space="preserve"> </w:t>
      </w:r>
      <w:r w:rsidRPr="00BD19D9">
        <w:rPr>
          <w:rStyle w:val="References"/>
        </w:rPr>
        <w:t xml:space="preserve"> </w:t>
      </w:r>
      <w:r w:rsidR="00277DF5">
        <w:rPr>
          <w:rStyle w:val="References"/>
        </w:rPr>
        <w:br/>
      </w:r>
      <w:r w:rsidR="00277DF5" w:rsidRPr="00277DF5">
        <w:rPr>
          <w:rStyle w:val="References"/>
        </w:rPr>
        <w:t>[</w:t>
      </w:r>
      <w:r w:rsidR="00277DF5">
        <w:rPr>
          <w:rStyle w:val="References"/>
        </w:rPr>
        <w:t xml:space="preserve">Schedule </w:t>
      </w:r>
      <w:r w:rsidR="0005444D">
        <w:rPr>
          <w:rStyle w:val="References"/>
        </w:rPr>
        <w:t>2</w:t>
      </w:r>
      <w:r w:rsidR="00277DF5">
        <w:rPr>
          <w:rStyle w:val="References"/>
        </w:rPr>
        <w:t xml:space="preserve">, item </w:t>
      </w:r>
      <w:r w:rsidR="00D75BFF">
        <w:rPr>
          <w:rStyle w:val="References"/>
        </w:rPr>
        <w:t>99</w:t>
      </w:r>
      <w:r w:rsidR="00277DF5">
        <w:rPr>
          <w:rStyle w:val="References"/>
        </w:rPr>
        <w:t>, paragraph 601RAB(2A)(e) of the Corporations Act</w:t>
      </w:r>
      <w:r w:rsidR="00277DF5" w:rsidRPr="00277DF5">
        <w:rPr>
          <w:rStyle w:val="References"/>
        </w:rPr>
        <w:t>]</w:t>
      </w:r>
    </w:p>
    <w:p w14:paraId="71B658F1" w14:textId="096F1867" w:rsidR="00390891" w:rsidRDefault="00390891" w:rsidP="00BD19D9">
      <w:pPr>
        <w:pStyle w:val="Normalparatextwithnumbers"/>
      </w:pPr>
      <w:r>
        <w:rPr>
          <w:rStyle w:val="References"/>
          <w:b w:val="0"/>
          <w:bCs w:val="0"/>
          <w:i w:val="0"/>
          <w:iCs w:val="0"/>
        </w:rPr>
        <w:t xml:space="preserve">The Bill defines ‘public sector superannuation scheme’ as </w:t>
      </w:r>
      <w:r w:rsidR="00495AD2">
        <w:rPr>
          <w:rStyle w:val="References"/>
          <w:b w:val="0"/>
          <w:bCs w:val="0"/>
          <w:i w:val="0"/>
          <w:iCs w:val="0"/>
        </w:rPr>
        <w:t xml:space="preserve">having the same meaning as in the </w:t>
      </w:r>
      <w:r w:rsidR="00495AD2" w:rsidRPr="00045493">
        <w:rPr>
          <w:rStyle w:val="References"/>
          <w:b w:val="0"/>
          <w:bCs w:val="0"/>
        </w:rPr>
        <w:t>S</w:t>
      </w:r>
      <w:r w:rsidR="008E0A89" w:rsidRPr="00045493">
        <w:rPr>
          <w:rStyle w:val="References"/>
          <w:b w:val="0"/>
          <w:bCs w:val="0"/>
        </w:rPr>
        <w:t xml:space="preserve">uperannuation </w:t>
      </w:r>
      <w:r w:rsidR="00495AD2" w:rsidRPr="00045493">
        <w:rPr>
          <w:rStyle w:val="References"/>
          <w:b w:val="0"/>
          <w:bCs w:val="0"/>
        </w:rPr>
        <w:t>I</w:t>
      </w:r>
      <w:r w:rsidR="008E0A89" w:rsidRPr="00045493">
        <w:rPr>
          <w:rStyle w:val="References"/>
          <w:b w:val="0"/>
          <w:bCs w:val="0"/>
        </w:rPr>
        <w:t xml:space="preserve">ndustry </w:t>
      </w:r>
      <w:r w:rsidR="00495AD2" w:rsidRPr="00045493">
        <w:rPr>
          <w:rStyle w:val="References"/>
          <w:b w:val="0"/>
          <w:bCs w:val="0"/>
        </w:rPr>
        <w:t>S</w:t>
      </w:r>
      <w:r w:rsidR="008E0A89" w:rsidRPr="00045493">
        <w:rPr>
          <w:rStyle w:val="References"/>
          <w:b w:val="0"/>
          <w:bCs w:val="0"/>
        </w:rPr>
        <w:t>upervision</w:t>
      </w:r>
      <w:r w:rsidR="00495AD2" w:rsidRPr="00045493">
        <w:rPr>
          <w:rStyle w:val="References"/>
          <w:b w:val="0"/>
          <w:bCs w:val="0"/>
        </w:rPr>
        <w:t xml:space="preserve"> Act</w:t>
      </w:r>
      <w:r w:rsidR="000E6F4C" w:rsidRPr="00045493">
        <w:rPr>
          <w:rStyle w:val="References"/>
          <w:b w:val="0"/>
          <w:bCs w:val="0"/>
        </w:rPr>
        <w:t xml:space="preserve"> 1993</w:t>
      </w:r>
      <w:r w:rsidR="00495AD2">
        <w:rPr>
          <w:rStyle w:val="References"/>
          <w:b w:val="0"/>
          <w:bCs w:val="0"/>
          <w:i w:val="0"/>
          <w:iCs w:val="0"/>
        </w:rPr>
        <w:t>. This is consistent with the treatment of similar terms that are also defined in the SIS Act.</w:t>
      </w:r>
      <w:r w:rsidR="00495AD2">
        <w:rPr>
          <w:rStyle w:val="References"/>
          <w:b w:val="0"/>
          <w:bCs w:val="0"/>
          <w:i w:val="0"/>
          <w:iCs w:val="0"/>
        </w:rPr>
        <w:br/>
      </w:r>
      <w:r w:rsidR="00495AD2" w:rsidRPr="00045493">
        <w:rPr>
          <w:rStyle w:val="References"/>
        </w:rPr>
        <w:t xml:space="preserve">[Schedule </w:t>
      </w:r>
      <w:r w:rsidR="00495AD2">
        <w:rPr>
          <w:rStyle w:val="References"/>
        </w:rPr>
        <w:t>2</w:t>
      </w:r>
      <w:r w:rsidR="00495AD2" w:rsidRPr="00045493">
        <w:rPr>
          <w:rStyle w:val="References"/>
        </w:rPr>
        <w:t>, item</w:t>
      </w:r>
      <w:r w:rsidR="00495AD2">
        <w:rPr>
          <w:rStyle w:val="References"/>
        </w:rPr>
        <w:t>s 201</w:t>
      </w:r>
      <w:r w:rsidR="00495AD2" w:rsidRPr="00045493">
        <w:rPr>
          <w:rStyle w:val="References"/>
        </w:rPr>
        <w:t>,</w:t>
      </w:r>
      <w:r w:rsidR="00476008">
        <w:rPr>
          <w:rStyle w:val="References"/>
        </w:rPr>
        <w:t xml:space="preserve"> 214</w:t>
      </w:r>
      <w:r w:rsidR="00E900B9">
        <w:rPr>
          <w:rStyle w:val="References"/>
        </w:rPr>
        <w:t>,</w:t>
      </w:r>
      <w:r w:rsidR="00476008">
        <w:rPr>
          <w:rStyle w:val="References"/>
        </w:rPr>
        <w:t xml:space="preserve"> 215</w:t>
      </w:r>
      <w:r w:rsidR="00E900B9">
        <w:rPr>
          <w:rStyle w:val="References"/>
        </w:rPr>
        <w:t xml:space="preserve"> 218</w:t>
      </w:r>
      <w:r w:rsidR="004E324D">
        <w:rPr>
          <w:rStyle w:val="References"/>
        </w:rPr>
        <w:t xml:space="preserve"> and</w:t>
      </w:r>
      <w:r w:rsidR="00FC2773">
        <w:rPr>
          <w:rStyle w:val="References"/>
        </w:rPr>
        <w:t xml:space="preserve"> 261,</w:t>
      </w:r>
      <w:r w:rsidR="00495AD2" w:rsidRPr="00045493">
        <w:rPr>
          <w:rStyle w:val="References"/>
        </w:rPr>
        <w:t xml:space="preserve"> </w:t>
      </w:r>
      <w:r w:rsidR="00495AD2">
        <w:rPr>
          <w:rStyle w:val="References"/>
        </w:rPr>
        <w:t>section 9 (paragraph (h) of the definition of managed investment scheme</w:t>
      </w:r>
      <w:r w:rsidR="00476008">
        <w:rPr>
          <w:rStyle w:val="References"/>
        </w:rPr>
        <w:t>), s</w:t>
      </w:r>
      <w:r w:rsidR="00476008" w:rsidRPr="00045493">
        <w:rPr>
          <w:rStyle w:val="References"/>
        </w:rPr>
        <w:t xml:space="preserve">ection 9 (paragraph (b) of the definition of professional investor), </w:t>
      </w:r>
      <w:r w:rsidR="00E900B9">
        <w:rPr>
          <w:rStyle w:val="References"/>
        </w:rPr>
        <w:t>s</w:t>
      </w:r>
      <w:r w:rsidR="00476008" w:rsidRPr="00045493">
        <w:rPr>
          <w:rStyle w:val="References"/>
        </w:rPr>
        <w:t>ection 9 (paragraph (d) of the definition of professional investor)</w:t>
      </w:r>
      <w:r w:rsidR="00E900B9">
        <w:rPr>
          <w:rStyle w:val="References"/>
        </w:rPr>
        <w:t>, section 9</w:t>
      </w:r>
      <w:r w:rsidR="00FC2773">
        <w:rPr>
          <w:rStyle w:val="References"/>
        </w:rPr>
        <w:t>, subparagraph 761G(6)(c)(</w:t>
      </w:r>
      <w:proofErr w:type="spellStart"/>
      <w:r w:rsidR="00FC2773">
        <w:rPr>
          <w:rStyle w:val="References"/>
        </w:rPr>
        <w:t>i</w:t>
      </w:r>
      <w:proofErr w:type="spellEnd"/>
      <w:r w:rsidR="00FC2773">
        <w:rPr>
          <w:rStyle w:val="References"/>
        </w:rPr>
        <w:t>)</w:t>
      </w:r>
      <w:r w:rsidR="00495AD2" w:rsidRPr="00045493">
        <w:rPr>
          <w:rStyle w:val="References"/>
        </w:rPr>
        <w:t xml:space="preserve"> of </w:t>
      </w:r>
      <w:r w:rsidR="00495AD2">
        <w:rPr>
          <w:rStyle w:val="References"/>
        </w:rPr>
        <w:t>the Corporations Act</w:t>
      </w:r>
      <w:r w:rsidR="00495AD2" w:rsidRPr="00045493">
        <w:rPr>
          <w:rStyle w:val="References"/>
        </w:rPr>
        <w:t xml:space="preserve">] </w:t>
      </w:r>
    </w:p>
    <w:p w14:paraId="151A2BA0" w14:textId="309CAAB8" w:rsidR="00283389" w:rsidRPr="00BD19D9" w:rsidRDefault="00283389" w:rsidP="00BD19D9">
      <w:pPr>
        <w:pStyle w:val="Heading6"/>
        <w:rPr>
          <w:b/>
        </w:rPr>
      </w:pPr>
      <w:r>
        <w:t>Navigability</w:t>
      </w:r>
    </w:p>
    <w:p w14:paraId="75B0F923" w14:textId="5A06CC6B" w:rsidR="007A6C1E" w:rsidRDefault="007A6C1E" w:rsidP="007A6C1E">
      <w:pPr>
        <w:pStyle w:val="Normalparatextwithnumbers"/>
      </w:pPr>
      <w:r>
        <w:t>The Bill improves the use of simplified outlines in the Corporations Act. Simplified outlines assist readers to navigate the law</w:t>
      </w:r>
      <w:r w:rsidR="00BF0E64">
        <w:t xml:space="preserve"> </w:t>
      </w:r>
      <w:r w:rsidR="00BD19D9">
        <w:t>and understand the substantive provisions (but are not intended to be comprehensive). Simplified outlines also need to b</w:t>
      </w:r>
      <w:r w:rsidR="00BF0E64">
        <w:t xml:space="preserve">e clearly identifiable. </w:t>
      </w:r>
      <w:r w:rsidR="00C40EF7">
        <w:t>T</w:t>
      </w:r>
      <w:r w:rsidR="00BF0E64">
        <w:t>he Bill</w:t>
      </w:r>
      <w:r>
        <w:t xml:space="preserve"> inserts a new outline for Part 1.2 and updates the formatting of the outline for Part 2D so that it is in a </w:t>
      </w:r>
      <w:r>
        <w:lastRenderedPageBreak/>
        <w:t>box as per modern drafting conventions.</w:t>
      </w:r>
      <w:r w:rsidR="00BF0E64">
        <w:rPr>
          <w:rStyle w:val="References"/>
        </w:rPr>
        <w:t xml:space="preserve"> </w:t>
      </w:r>
      <w:r w:rsidR="002E53B6">
        <w:rPr>
          <w:rStyle w:val="References"/>
        </w:rPr>
        <w:br/>
      </w:r>
      <w:r w:rsidR="002E53B6" w:rsidRPr="002E53B6">
        <w:rPr>
          <w:rStyle w:val="References"/>
        </w:rPr>
        <w:t>[</w:t>
      </w:r>
      <w:r w:rsidR="002E53B6">
        <w:rPr>
          <w:rStyle w:val="References"/>
        </w:rPr>
        <w:t xml:space="preserve">Schedule </w:t>
      </w:r>
      <w:r w:rsidR="0005444D">
        <w:rPr>
          <w:rStyle w:val="References"/>
        </w:rPr>
        <w:t>2</w:t>
      </w:r>
      <w:r w:rsidR="002E53B6">
        <w:rPr>
          <w:rStyle w:val="References"/>
        </w:rPr>
        <w:t xml:space="preserve">, items 1 and </w:t>
      </w:r>
      <w:r w:rsidR="00F25C37">
        <w:rPr>
          <w:rStyle w:val="References"/>
        </w:rPr>
        <w:t>44</w:t>
      </w:r>
      <w:r w:rsidR="002E53B6">
        <w:rPr>
          <w:rStyle w:val="References"/>
        </w:rPr>
        <w:t>, sections 6A and 179 of the Corporations Act</w:t>
      </w:r>
      <w:r w:rsidR="002E53B6" w:rsidRPr="002E53B6">
        <w:rPr>
          <w:rStyle w:val="References"/>
        </w:rPr>
        <w:t xml:space="preserve">] </w:t>
      </w:r>
    </w:p>
    <w:p w14:paraId="7B6F91B4" w14:textId="4CDF94C4" w:rsidR="000B74B5" w:rsidRPr="00726D17" w:rsidRDefault="00FC303E" w:rsidP="000B74B5">
      <w:pPr>
        <w:pStyle w:val="Normalparatextwithnumbers"/>
        <w:rPr>
          <w:rStyle w:val="References"/>
          <w:b w:val="0"/>
          <w:i w:val="0"/>
        </w:rPr>
      </w:pPr>
      <w:r w:rsidRPr="00FC303E">
        <w:rPr>
          <w:rStyle w:val="References"/>
          <w:b w:val="0"/>
          <w:bCs w:val="0"/>
          <w:i w:val="0"/>
          <w:iCs w:val="0"/>
        </w:rPr>
        <w:t xml:space="preserve">The </w:t>
      </w:r>
      <w:r w:rsidR="00E75D98">
        <w:rPr>
          <w:rStyle w:val="References"/>
          <w:b w:val="0"/>
          <w:bCs w:val="0"/>
          <w:i w:val="0"/>
          <w:iCs w:val="0"/>
        </w:rPr>
        <w:t xml:space="preserve">Bill also </w:t>
      </w:r>
      <w:r w:rsidR="00C40EF7">
        <w:rPr>
          <w:rStyle w:val="References"/>
          <w:b w:val="0"/>
          <w:bCs w:val="0"/>
          <w:i w:val="0"/>
          <w:iCs w:val="0"/>
        </w:rPr>
        <w:t>makes it easier for readers to ascertain when a form needs to be lodged in a prescribed form</w:t>
      </w:r>
      <w:r w:rsidR="000B74B5">
        <w:rPr>
          <w:rStyle w:val="References"/>
          <w:b w:val="0"/>
          <w:bCs w:val="0"/>
          <w:i w:val="0"/>
          <w:iCs w:val="0"/>
        </w:rPr>
        <w:t>.</w:t>
      </w:r>
      <w:r w:rsidR="00E75D98">
        <w:rPr>
          <w:rStyle w:val="References"/>
          <w:b w:val="0"/>
          <w:bCs w:val="0"/>
          <w:i w:val="0"/>
          <w:iCs w:val="0"/>
        </w:rPr>
        <w:t xml:space="preserve"> Lodge </w:t>
      </w:r>
      <w:r w:rsidR="00C40EF7">
        <w:rPr>
          <w:rStyle w:val="References"/>
          <w:b w:val="0"/>
          <w:bCs w:val="0"/>
          <w:i w:val="0"/>
          <w:iCs w:val="0"/>
        </w:rPr>
        <w:t xml:space="preserve">is </w:t>
      </w:r>
      <w:r w:rsidR="00E75D98">
        <w:rPr>
          <w:rStyle w:val="References"/>
          <w:b w:val="0"/>
          <w:bCs w:val="0"/>
          <w:i w:val="0"/>
          <w:iCs w:val="0"/>
        </w:rPr>
        <w:t>defined</w:t>
      </w:r>
      <w:r w:rsidR="000B74B5">
        <w:rPr>
          <w:rStyle w:val="References"/>
          <w:b w:val="0"/>
          <w:bCs w:val="0"/>
          <w:i w:val="0"/>
          <w:iCs w:val="0"/>
        </w:rPr>
        <w:t xml:space="preserve"> for the purposes of Chapter 7 to mean ‘lodge with ASIC in a prescribed form’. However, readers </w:t>
      </w:r>
      <w:r w:rsidR="002626AD">
        <w:rPr>
          <w:rStyle w:val="References"/>
          <w:b w:val="0"/>
          <w:bCs w:val="0"/>
          <w:i w:val="0"/>
          <w:iCs w:val="0"/>
        </w:rPr>
        <w:t xml:space="preserve">are often </w:t>
      </w:r>
      <w:r w:rsidR="00C40EF7">
        <w:rPr>
          <w:rStyle w:val="References"/>
          <w:b w:val="0"/>
          <w:bCs w:val="0"/>
          <w:i w:val="0"/>
          <w:iCs w:val="0"/>
        </w:rPr>
        <w:t>un</w:t>
      </w:r>
      <w:r w:rsidR="000B74B5">
        <w:rPr>
          <w:rStyle w:val="References"/>
          <w:b w:val="0"/>
          <w:bCs w:val="0"/>
          <w:i w:val="0"/>
          <w:iCs w:val="0"/>
        </w:rPr>
        <w:t xml:space="preserve">aware that the term </w:t>
      </w:r>
      <w:r w:rsidR="002626AD">
        <w:rPr>
          <w:rStyle w:val="References"/>
          <w:b w:val="0"/>
          <w:bCs w:val="0"/>
          <w:i w:val="0"/>
          <w:iCs w:val="0"/>
        </w:rPr>
        <w:t xml:space="preserve">is </w:t>
      </w:r>
      <w:r w:rsidR="000B74B5">
        <w:rPr>
          <w:rStyle w:val="References"/>
          <w:b w:val="0"/>
          <w:bCs w:val="0"/>
          <w:i w:val="0"/>
          <w:iCs w:val="0"/>
        </w:rPr>
        <w:t>defined. To avoid this confusion, the Bill repeals the definition of ‘lodge’ from the Chapter 7 dictionary and instead uses the phrases ‘in a prescribed form’ wherever required.</w:t>
      </w:r>
      <w:r w:rsidRPr="00FC303E">
        <w:rPr>
          <w:rStyle w:val="References"/>
          <w:b w:val="0"/>
          <w:bCs w:val="0"/>
          <w:i w:val="0"/>
          <w:iCs w:val="0"/>
        </w:rPr>
        <w:t xml:space="preserve"> </w:t>
      </w:r>
      <w:r w:rsidR="001D16DA">
        <w:rPr>
          <w:rStyle w:val="References"/>
          <w:b w:val="0"/>
          <w:bCs w:val="0"/>
          <w:i w:val="0"/>
          <w:iCs w:val="0"/>
        </w:rPr>
        <w:br/>
      </w:r>
      <w:bookmarkStart w:id="68" w:name="_Hlk119057104"/>
      <w:r w:rsidR="001D16DA" w:rsidRPr="003565FB">
        <w:rPr>
          <w:rStyle w:val="References"/>
        </w:rPr>
        <w:t xml:space="preserve">[Schedule </w:t>
      </w:r>
      <w:r w:rsidR="00AA04AE" w:rsidRPr="003565FB">
        <w:rPr>
          <w:rStyle w:val="References"/>
        </w:rPr>
        <w:t>2</w:t>
      </w:r>
      <w:r w:rsidR="001D16DA" w:rsidRPr="003565FB">
        <w:rPr>
          <w:rStyle w:val="References"/>
        </w:rPr>
        <w:t xml:space="preserve">, items </w:t>
      </w:r>
      <w:r w:rsidR="00F25C37" w:rsidRPr="003565FB">
        <w:rPr>
          <w:rStyle w:val="References"/>
        </w:rPr>
        <w:t>243</w:t>
      </w:r>
      <w:r w:rsidR="001D16DA" w:rsidRPr="003565FB">
        <w:rPr>
          <w:rStyle w:val="References"/>
        </w:rPr>
        <w:t xml:space="preserve">, </w:t>
      </w:r>
      <w:r w:rsidR="005C753D">
        <w:rPr>
          <w:rStyle w:val="References"/>
        </w:rPr>
        <w:t>299</w:t>
      </w:r>
      <w:r w:rsidR="006D235C">
        <w:rPr>
          <w:rStyle w:val="References"/>
        </w:rPr>
        <w:t>, 300,</w:t>
      </w:r>
      <w:r w:rsidR="005C753D">
        <w:rPr>
          <w:rStyle w:val="References"/>
        </w:rPr>
        <w:t xml:space="preserve"> </w:t>
      </w:r>
      <w:r w:rsidR="00000EA5" w:rsidRPr="003565FB">
        <w:rPr>
          <w:rStyle w:val="References"/>
        </w:rPr>
        <w:t>302,</w:t>
      </w:r>
      <w:r w:rsidR="00405475" w:rsidRPr="003565FB">
        <w:rPr>
          <w:rStyle w:val="References"/>
        </w:rPr>
        <w:t xml:space="preserve"> </w:t>
      </w:r>
      <w:r w:rsidR="00000EA5" w:rsidRPr="003565FB">
        <w:rPr>
          <w:rStyle w:val="References"/>
        </w:rPr>
        <w:t>303</w:t>
      </w:r>
      <w:r w:rsidR="007832ED">
        <w:rPr>
          <w:rStyle w:val="References"/>
        </w:rPr>
        <w:t xml:space="preserve">, </w:t>
      </w:r>
      <w:r w:rsidR="00405475" w:rsidRPr="003565FB">
        <w:rPr>
          <w:rStyle w:val="References"/>
        </w:rPr>
        <w:t xml:space="preserve">308, </w:t>
      </w:r>
      <w:r w:rsidR="007832ED">
        <w:rPr>
          <w:rStyle w:val="References"/>
        </w:rPr>
        <w:t xml:space="preserve">309, </w:t>
      </w:r>
      <w:r w:rsidR="00405475" w:rsidRPr="003565FB">
        <w:rPr>
          <w:rStyle w:val="References"/>
        </w:rPr>
        <w:t>311,</w:t>
      </w:r>
      <w:r w:rsidR="001D16DA" w:rsidRPr="003565FB">
        <w:rPr>
          <w:rStyle w:val="References"/>
        </w:rPr>
        <w:t xml:space="preserve"> </w:t>
      </w:r>
      <w:r w:rsidR="00DB7026" w:rsidRPr="003565FB">
        <w:rPr>
          <w:rStyle w:val="References"/>
        </w:rPr>
        <w:t xml:space="preserve">312, </w:t>
      </w:r>
      <w:r w:rsidR="000B1DDC" w:rsidRPr="003565FB">
        <w:rPr>
          <w:rStyle w:val="References"/>
        </w:rPr>
        <w:t>316</w:t>
      </w:r>
      <w:r w:rsidR="001D16DA" w:rsidRPr="003565FB">
        <w:rPr>
          <w:rStyle w:val="References"/>
        </w:rPr>
        <w:t xml:space="preserve">, </w:t>
      </w:r>
      <w:r w:rsidR="00D77583">
        <w:rPr>
          <w:rStyle w:val="References"/>
        </w:rPr>
        <w:t xml:space="preserve">324, </w:t>
      </w:r>
      <w:r w:rsidR="000B1DDC" w:rsidRPr="003565FB">
        <w:rPr>
          <w:rStyle w:val="References"/>
        </w:rPr>
        <w:t>327</w:t>
      </w:r>
      <w:r w:rsidR="001D16DA" w:rsidRPr="003565FB">
        <w:rPr>
          <w:rStyle w:val="References"/>
        </w:rPr>
        <w:t xml:space="preserve">, </w:t>
      </w:r>
      <w:r w:rsidR="008F5CAC">
        <w:rPr>
          <w:rStyle w:val="References"/>
        </w:rPr>
        <w:t xml:space="preserve">328, </w:t>
      </w:r>
      <w:r w:rsidR="000B1DDC" w:rsidRPr="003565FB">
        <w:rPr>
          <w:rStyle w:val="References"/>
        </w:rPr>
        <w:t>388</w:t>
      </w:r>
      <w:r w:rsidR="001D16DA" w:rsidRPr="003565FB">
        <w:rPr>
          <w:rStyle w:val="References"/>
        </w:rPr>
        <w:t xml:space="preserve">, </w:t>
      </w:r>
      <w:r w:rsidR="00921AA5">
        <w:rPr>
          <w:rStyle w:val="References"/>
        </w:rPr>
        <w:t xml:space="preserve">361, </w:t>
      </w:r>
      <w:r w:rsidR="000B1DDC" w:rsidRPr="003565FB">
        <w:rPr>
          <w:rStyle w:val="References"/>
        </w:rPr>
        <w:t>362</w:t>
      </w:r>
      <w:r w:rsidR="001D16DA" w:rsidRPr="003565FB">
        <w:rPr>
          <w:rStyle w:val="References"/>
        </w:rPr>
        <w:t xml:space="preserve">, </w:t>
      </w:r>
      <w:r w:rsidR="000B1DDC" w:rsidRPr="003565FB">
        <w:rPr>
          <w:rStyle w:val="References"/>
        </w:rPr>
        <w:t>377</w:t>
      </w:r>
      <w:r w:rsidR="001D16DA" w:rsidRPr="003565FB">
        <w:rPr>
          <w:rStyle w:val="References"/>
        </w:rPr>
        <w:t xml:space="preserve">, </w:t>
      </w:r>
      <w:r w:rsidR="00D2746D" w:rsidRPr="003565FB">
        <w:rPr>
          <w:rStyle w:val="References"/>
        </w:rPr>
        <w:t xml:space="preserve">380 to 386, </w:t>
      </w:r>
      <w:r w:rsidR="000B1DDC" w:rsidRPr="003565FB">
        <w:rPr>
          <w:rStyle w:val="References"/>
        </w:rPr>
        <w:t>389</w:t>
      </w:r>
      <w:r w:rsidR="001D16DA" w:rsidRPr="003565FB">
        <w:rPr>
          <w:rStyle w:val="References"/>
        </w:rPr>
        <w:t xml:space="preserve">, </w:t>
      </w:r>
      <w:bookmarkStart w:id="69" w:name="_Hlk119058286"/>
      <w:r w:rsidR="000B1DDC" w:rsidRPr="003565FB">
        <w:rPr>
          <w:rStyle w:val="References"/>
        </w:rPr>
        <w:t>392</w:t>
      </w:r>
      <w:r w:rsidR="001D16DA" w:rsidRPr="003565FB">
        <w:rPr>
          <w:rStyle w:val="References"/>
        </w:rPr>
        <w:t xml:space="preserve">, </w:t>
      </w:r>
      <w:r w:rsidR="00D22AA6" w:rsidRPr="003565FB">
        <w:rPr>
          <w:rStyle w:val="References"/>
        </w:rPr>
        <w:t>419-420</w:t>
      </w:r>
      <w:r w:rsidR="001D16DA" w:rsidRPr="003565FB">
        <w:rPr>
          <w:rStyle w:val="References"/>
        </w:rPr>
        <w:t xml:space="preserve"> </w:t>
      </w:r>
      <w:bookmarkEnd w:id="69"/>
      <w:r w:rsidR="001D16DA" w:rsidRPr="003565FB">
        <w:rPr>
          <w:rStyle w:val="References"/>
        </w:rPr>
        <w:t xml:space="preserve">and </w:t>
      </w:r>
      <w:r w:rsidR="000B1DDC" w:rsidRPr="003565FB">
        <w:rPr>
          <w:rStyle w:val="References"/>
        </w:rPr>
        <w:t>437</w:t>
      </w:r>
      <w:r w:rsidR="001D16DA" w:rsidRPr="003565FB">
        <w:rPr>
          <w:rStyle w:val="References"/>
        </w:rPr>
        <w:t xml:space="preserve">, section </w:t>
      </w:r>
      <w:r w:rsidR="00497931" w:rsidRPr="003565FB">
        <w:rPr>
          <w:rStyle w:val="References"/>
        </w:rPr>
        <w:t xml:space="preserve">761A to 761B, </w:t>
      </w:r>
      <w:r w:rsidR="001D16DA" w:rsidRPr="003565FB">
        <w:rPr>
          <w:rStyle w:val="References"/>
        </w:rPr>
        <w:t>793D</w:t>
      </w:r>
      <w:r w:rsidR="00A63806" w:rsidRPr="003565FB">
        <w:rPr>
          <w:rStyle w:val="References"/>
        </w:rPr>
        <w:t>(1) and (3)</w:t>
      </w:r>
      <w:r w:rsidR="001D16DA" w:rsidRPr="003565FB">
        <w:rPr>
          <w:rStyle w:val="References"/>
        </w:rPr>
        <w:t xml:space="preserve">, </w:t>
      </w:r>
      <w:r w:rsidR="00A43369" w:rsidRPr="003565FB">
        <w:rPr>
          <w:rStyle w:val="References"/>
        </w:rPr>
        <w:t xml:space="preserve">913A, </w:t>
      </w:r>
      <w:r w:rsidR="001D16DA" w:rsidRPr="003565FB">
        <w:rPr>
          <w:rStyle w:val="References"/>
        </w:rPr>
        <w:t>913B</w:t>
      </w:r>
      <w:r w:rsidR="00EF06F5" w:rsidRPr="003565FB">
        <w:rPr>
          <w:rStyle w:val="References"/>
        </w:rPr>
        <w:t>(3)</w:t>
      </w:r>
      <w:r w:rsidR="001D16DA" w:rsidRPr="003565FB">
        <w:rPr>
          <w:rStyle w:val="References"/>
        </w:rPr>
        <w:t xml:space="preserve"> to </w:t>
      </w:r>
      <w:r w:rsidR="00EF06F5" w:rsidRPr="003565FB">
        <w:rPr>
          <w:rStyle w:val="References"/>
        </w:rPr>
        <w:t>(4B)</w:t>
      </w:r>
      <w:r w:rsidR="001D16DA" w:rsidRPr="003565FB">
        <w:rPr>
          <w:rStyle w:val="References"/>
        </w:rPr>
        <w:t>,</w:t>
      </w:r>
      <w:r w:rsidR="00162163" w:rsidRPr="003565FB">
        <w:rPr>
          <w:rStyle w:val="References"/>
        </w:rPr>
        <w:t xml:space="preserve"> </w:t>
      </w:r>
      <w:r w:rsidR="001D16DA" w:rsidRPr="003565FB">
        <w:rPr>
          <w:rStyle w:val="References"/>
        </w:rPr>
        <w:t>subsections</w:t>
      </w:r>
      <w:r w:rsidR="00497931" w:rsidRPr="003565FB">
        <w:rPr>
          <w:rStyle w:val="References"/>
        </w:rPr>
        <w:t xml:space="preserve"> </w:t>
      </w:r>
      <w:r w:rsidR="005C753D">
        <w:rPr>
          <w:rStyle w:val="References"/>
        </w:rPr>
        <w:t xml:space="preserve">793D(1) and (3), </w:t>
      </w:r>
      <w:r w:rsidR="006D235C">
        <w:rPr>
          <w:rStyle w:val="References"/>
        </w:rPr>
        <w:t xml:space="preserve">795A(1), </w:t>
      </w:r>
      <w:r w:rsidR="001D16DA" w:rsidRPr="003565FB">
        <w:rPr>
          <w:rStyle w:val="References"/>
        </w:rPr>
        <w:t>797A(1), 822D(1) and (3),</w:t>
      </w:r>
      <w:r w:rsidR="007832ED">
        <w:rPr>
          <w:rStyle w:val="References"/>
        </w:rPr>
        <w:t xml:space="preserve"> 824A(1),</w:t>
      </w:r>
      <w:r w:rsidR="001D16DA" w:rsidRPr="003565FB">
        <w:rPr>
          <w:rStyle w:val="References"/>
        </w:rPr>
        <w:t xml:space="preserve"> 826A(1), 851D(4), 884B(2), 890G(1) and 908BD</w:t>
      </w:r>
      <w:r w:rsidR="00921AA5">
        <w:rPr>
          <w:rStyle w:val="References"/>
        </w:rPr>
        <w:t xml:space="preserve">(1) and </w:t>
      </w:r>
      <w:r w:rsidR="001D16DA" w:rsidRPr="003565FB">
        <w:rPr>
          <w:rStyle w:val="References"/>
        </w:rPr>
        <w:t>(2),</w:t>
      </w:r>
      <w:r w:rsidR="00162163" w:rsidRPr="003565FB">
        <w:rPr>
          <w:rStyle w:val="References"/>
        </w:rPr>
        <w:t xml:space="preserve"> 913B(3) and (4B), 914B(3) and (6), 915A(1),</w:t>
      </w:r>
      <w:r w:rsidR="00A43369" w:rsidRPr="003565FB">
        <w:rPr>
          <w:rStyle w:val="References"/>
        </w:rPr>
        <w:t xml:space="preserve"> 915C(5),</w:t>
      </w:r>
      <w:r w:rsidR="001D16DA" w:rsidRPr="003565FB">
        <w:rPr>
          <w:rStyle w:val="References"/>
        </w:rPr>
        <w:t xml:space="preserve"> 916F(1), 989B(2), 990K(1) and </w:t>
      </w:r>
      <w:r w:rsidR="009901FE" w:rsidRPr="003565FB">
        <w:rPr>
          <w:rStyle w:val="References"/>
        </w:rPr>
        <w:t>1015B</w:t>
      </w:r>
      <w:r w:rsidR="001D16DA" w:rsidRPr="003565FB">
        <w:rPr>
          <w:rStyle w:val="References"/>
        </w:rPr>
        <w:t>(1), paragraphs 796A(2(b)), 825A(2)(b),</w:t>
      </w:r>
      <w:r w:rsidR="00D77583">
        <w:rPr>
          <w:rStyle w:val="References"/>
        </w:rPr>
        <w:t xml:space="preserve"> 882B(2)(b),</w:t>
      </w:r>
      <w:r w:rsidR="001D16DA" w:rsidRPr="003565FB">
        <w:rPr>
          <w:rStyle w:val="References"/>
        </w:rPr>
        <w:t xml:space="preserve"> </w:t>
      </w:r>
      <w:r w:rsidR="008F5CAC">
        <w:rPr>
          <w:rStyle w:val="References"/>
        </w:rPr>
        <w:t xml:space="preserve">884C(2)(b), </w:t>
      </w:r>
      <w:r w:rsidR="001D16DA" w:rsidRPr="003565FB">
        <w:rPr>
          <w:rStyle w:val="References"/>
        </w:rPr>
        <w:t>912DAC(1)(a)</w:t>
      </w:r>
      <w:r w:rsidR="00162163" w:rsidRPr="003565FB">
        <w:rPr>
          <w:rStyle w:val="References"/>
        </w:rPr>
        <w:t>, 914A(2)(b),</w:t>
      </w:r>
      <w:r w:rsidR="001D16DA" w:rsidRPr="003565FB">
        <w:rPr>
          <w:rStyle w:val="References"/>
        </w:rPr>
        <w:t xml:space="preserve"> </w:t>
      </w:r>
      <w:r w:rsidR="00162163" w:rsidRPr="003565FB">
        <w:rPr>
          <w:rStyle w:val="References"/>
        </w:rPr>
        <w:t xml:space="preserve">915B(1)(e), 915B(2)(d), 915B(3)(e), 915B(4)(d), 916F(1) </w:t>
      </w:r>
      <w:r w:rsidR="001D16DA" w:rsidRPr="003565FB">
        <w:rPr>
          <w:rStyle w:val="References"/>
        </w:rPr>
        <w:t>and 920D(2)(b)</w:t>
      </w:r>
      <w:r w:rsidR="003E2B85" w:rsidRPr="003565FB">
        <w:rPr>
          <w:rStyle w:val="References"/>
        </w:rPr>
        <w:t xml:space="preserve"> of the Corporations Act</w:t>
      </w:r>
      <w:r w:rsidR="001D16DA" w:rsidRPr="003565FB">
        <w:rPr>
          <w:rStyle w:val="References"/>
        </w:rPr>
        <w:t xml:space="preserve">] </w:t>
      </w:r>
      <w:bookmarkEnd w:id="68"/>
    </w:p>
    <w:p w14:paraId="4011C110" w14:textId="4B523B61" w:rsidR="003E2B85" w:rsidRPr="003E2B85" w:rsidRDefault="003E2B85" w:rsidP="000B74B5">
      <w:pPr>
        <w:pStyle w:val="Normalparatextwithnumbers"/>
        <w:rPr>
          <w:rStyle w:val="References"/>
          <w:b w:val="0"/>
          <w:bCs w:val="0"/>
          <w:i w:val="0"/>
          <w:iCs w:val="0"/>
        </w:rPr>
      </w:pPr>
      <w:r>
        <w:t xml:space="preserve">Further, the Bill amends vague language, such as ‘in such cases as are prescribed’ and replaces it with ‘in such cases as are specified in the </w:t>
      </w:r>
      <w:proofErr w:type="gramStart"/>
      <w:r>
        <w:t>regulations’</w:t>
      </w:r>
      <w:proofErr w:type="gramEnd"/>
      <w:r>
        <w:t xml:space="preserve">. </w:t>
      </w:r>
      <w:r w:rsidR="00D25D25">
        <w:t xml:space="preserve">The Bill also inserts references to the regulations in relation to publishing. These changes </w:t>
      </w:r>
      <w:r>
        <w:t>make clear to readers that they need to look to the regulations, which improves clarity and navigability.</w:t>
      </w:r>
      <w:r>
        <w:br/>
      </w:r>
      <w:r w:rsidRPr="00726D17">
        <w:rPr>
          <w:rStyle w:val="References"/>
        </w:rPr>
        <w:t>[</w:t>
      </w:r>
      <w:r>
        <w:rPr>
          <w:rStyle w:val="References"/>
        </w:rPr>
        <w:t xml:space="preserve">Schedule </w:t>
      </w:r>
      <w:r w:rsidR="00AA04AE">
        <w:rPr>
          <w:rStyle w:val="References"/>
        </w:rPr>
        <w:t>2</w:t>
      </w:r>
      <w:r>
        <w:rPr>
          <w:rStyle w:val="References"/>
        </w:rPr>
        <w:t>, item</w:t>
      </w:r>
      <w:r w:rsidR="00D25D25">
        <w:rPr>
          <w:rStyle w:val="References"/>
        </w:rPr>
        <w:t>s 106, 111,</w:t>
      </w:r>
      <w:r>
        <w:rPr>
          <w:rStyle w:val="References"/>
        </w:rPr>
        <w:t xml:space="preserve"> </w:t>
      </w:r>
      <w:r w:rsidR="00CC3C62">
        <w:rPr>
          <w:rStyle w:val="References"/>
        </w:rPr>
        <w:t>539</w:t>
      </w:r>
      <w:r>
        <w:rPr>
          <w:rStyle w:val="References"/>
        </w:rPr>
        <w:t>, section</w:t>
      </w:r>
      <w:r w:rsidR="00D25D25">
        <w:rPr>
          <w:rStyle w:val="References"/>
        </w:rPr>
        <w:t xml:space="preserve"> </w:t>
      </w:r>
      <w:r>
        <w:rPr>
          <w:rStyle w:val="References"/>
        </w:rPr>
        <w:t>1367</w:t>
      </w:r>
      <w:r w:rsidR="00D25D25">
        <w:rPr>
          <w:rStyle w:val="References"/>
        </w:rPr>
        <w:t>,</w:t>
      </w:r>
      <w:r>
        <w:rPr>
          <w:rStyle w:val="References"/>
        </w:rPr>
        <w:t xml:space="preserve"> </w:t>
      </w:r>
      <w:r w:rsidR="00D25D25">
        <w:rPr>
          <w:rStyle w:val="References"/>
        </w:rPr>
        <w:t xml:space="preserve">subsection 601WGA(3), paragraph 601WBH(b) </w:t>
      </w:r>
      <w:r>
        <w:rPr>
          <w:rStyle w:val="References"/>
        </w:rPr>
        <w:t>of the Corporations Act</w:t>
      </w:r>
      <w:r w:rsidRPr="00726D17">
        <w:rPr>
          <w:rStyle w:val="References"/>
        </w:rPr>
        <w:t xml:space="preserve">] </w:t>
      </w:r>
    </w:p>
    <w:p w14:paraId="0701A400" w14:textId="5296CE33" w:rsidR="004414CD" w:rsidRDefault="004414CD">
      <w:pPr>
        <w:pStyle w:val="Normalparatextwithnumbers"/>
        <w:numPr>
          <w:ilvl w:val="0"/>
          <w:numId w:val="0"/>
        </w:numPr>
        <w:rPr>
          <w:rFonts w:ascii="Helvetica" w:eastAsiaTheme="majorEastAsia" w:hAnsi="Helvetica" w:cstheme="majorBidi"/>
          <w:sz w:val="28"/>
        </w:rPr>
      </w:pPr>
      <w:r w:rsidRPr="00BA1AA5">
        <w:rPr>
          <w:rFonts w:ascii="Helvetica" w:eastAsiaTheme="majorEastAsia" w:hAnsi="Helvetica" w:cstheme="majorBidi"/>
          <w:b/>
          <w:spacing w:val="-10"/>
          <w:kern w:val="28"/>
          <w:sz w:val="24"/>
          <w:szCs w:val="56"/>
        </w:rPr>
        <w:t>Substantive amendments to other Acts</w:t>
      </w:r>
      <w:r>
        <w:rPr>
          <w:rFonts w:ascii="Helvetica" w:eastAsiaTheme="majorEastAsia" w:hAnsi="Helvetica" w:cstheme="majorBidi"/>
          <w:sz w:val="28"/>
        </w:rPr>
        <w:t xml:space="preserve"> </w:t>
      </w:r>
      <w:bookmarkStart w:id="70" w:name="bkSelection"/>
      <w:bookmarkEnd w:id="70"/>
    </w:p>
    <w:p w14:paraId="36B0D1F8" w14:textId="5DC61303" w:rsidR="004414CD" w:rsidRPr="00E4296D" w:rsidRDefault="004414CD" w:rsidP="004414CD">
      <w:pPr>
        <w:pStyle w:val="Normalparatextwithnumbers"/>
        <w:numPr>
          <w:ilvl w:val="1"/>
          <w:numId w:val="3"/>
        </w:numPr>
      </w:pPr>
      <w:r>
        <w:t xml:space="preserve">The </w:t>
      </w:r>
      <w:r w:rsidR="00680009">
        <w:t>Bill repeals</w:t>
      </w:r>
      <w:r>
        <w:t xml:space="preserve"> the definition of ‘corporations’ law’ </w:t>
      </w:r>
      <w:r w:rsidR="00680009">
        <w:t xml:space="preserve">in the SIS Act </w:t>
      </w:r>
      <w:r>
        <w:t xml:space="preserve">as </w:t>
      </w:r>
      <w:r w:rsidR="00982D26">
        <w:t xml:space="preserve">the term </w:t>
      </w:r>
      <w:r w:rsidR="00302DD8">
        <w:t>is not</w:t>
      </w:r>
      <w:r>
        <w:t xml:space="preserve"> used </w:t>
      </w:r>
      <w:r w:rsidR="00302DD8">
        <w:t xml:space="preserve">in </w:t>
      </w:r>
      <w:r w:rsidR="00982D26">
        <w:t>that Act</w:t>
      </w:r>
      <w:r>
        <w:t xml:space="preserve">. </w:t>
      </w:r>
      <w:r>
        <w:br/>
      </w:r>
      <w:r w:rsidRPr="00510918">
        <w:rPr>
          <w:rStyle w:val="References"/>
        </w:rPr>
        <w:t xml:space="preserve">[Schedule </w:t>
      </w:r>
      <w:r w:rsidR="00AA04AE">
        <w:rPr>
          <w:rStyle w:val="References"/>
        </w:rPr>
        <w:t>2</w:t>
      </w:r>
      <w:r w:rsidRPr="00510918">
        <w:rPr>
          <w:rStyle w:val="References"/>
        </w:rPr>
        <w:t xml:space="preserve">, item </w:t>
      </w:r>
      <w:r w:rsidR="00CE5276">
        <w:rPr>
          <w:rStyle w:val="References"/>
        </w:rPr>
        <w:t>630</w:t>
      </w:r>
      <w:r w:rsidRPr="00510918">
        <w:rPr>
          <w:rStyle w:val="References"/>
        </w:rPr>
        <w:t>, subsection 10(1) (definition of Corporations Law) of the Superannuation Industry (Supervision) Act 1993]</w:t>
      </w:r>
    </w:p>
    <w:p w14:paraId="3873E565" w14:textId="465D7C37" w:rsidR="004414CD" w:rsidRPr="00E4296D" w:rsidRDefault="00C41F2A" w:rsidP="004414CD">
      <w:pPr>
        <w:pStyle w:val="Normalparatextwithnumbers"/>
        <w:numPr>
          <w:ilvl w:val="1"/>
          <w:numId w:val="3"/>
        </w:numPr>
      </w:pPr>
      <w:r>
        <w:t>T</w:t>
      </w:r>
      <w:r w:rsidR="004414CD">
        <w:t xml:space="preserve">he amendments repeal the definition of ‘financial services </w:t>
      </w:r>
      <w:proofErr w:type="gramStart"/>
      <w:r w:rsidR="004414CD">
        <w:t>business’</w:t>
      </w:r>
      <w:proofErr w:type="gramEnd"/>
      <w:r>
        <w:t xml:space="preserve"> from the </w:t>
      </w:r>
      <w:r w:rsidRPr="00C81802">
        <w:rPr>
          <w:i/>
          <w:iCs/>
        </w:rPr>
        <w:t>Security of Cr</w:t>
      </w:r>
      <w:r w:rsidRPr="004A5CED">
        <w:rPr>
          <w:i/>
          <w:iCs/>
        </w:rPr>
        <w:t>it</w:t>
      </w:r>
      <w:r w:rsidRPr="005A5CF9">
        <w:rPr>
          <w:i/>
          <w:iCs/>
        </w:rPr>
        <w:t>i</w:t>
      </w:r>
      <w:r w:rsidRPr="00DE70E6">
        <w:rPr>
          <w:i/>
          <w:iCs/>
        </w:rPr>
        <w:t xml:space="preserve">cal Infrastructure </w:t>
      </w:r>
      <w:r w:rsidRPr="00C81802">
        <w:rPr>
          <w:i/>
          <w:iCs/>
        </w:rPr>
        <w:t>Act 2018</w:t>
      </w:r>
      <w:r w:rsidR="004414CD">
        <w:t>.</w:t>
      </w:r>
      <w:r w:rsidR="000F4821">
        <w:t xml:space="preserve"> Th</w:t>
      </w:r>
      <w:r w:rsidR="00302DD8">
        <w:t>is</w:t>
      </w:r>
      <w:r w:rsidR="000F4821">
        <w:t xml:space="preserve"> Act relies on the definition of ‘financial services business’ in the Corporat</w:t>
      </w:r>
      <w:r w:rsidR="00B2443A">
        <w:t>i</w:t>
      </w:r>
      <w:r w:rsidR="000F4821">
        <w:t>ons Act. However, the Bill repeal</w:t>
      </w:r>
      <w:r w:rsidR="00617AB7">
        <w:t>s</w:t>
      </w:r>
      <w:r w:rsidR="000F4821">
        <w:t xml:space="preserve"> this definition from the Corporations Act, as the term is defined as meaning ‘a business providing financial services’, which does not add anything to the ordinary meaning of the term</w:t>
      </w:r>
      <w:r w:rsidR="00D110BD">
        <w:t xml:space="preserve"> (see principle 1 above)</w:t>
      </w:r>
      <w:r w:rsidR="00B2443A">
        <w:t xml:space="preserve">. </w:t>
      </w:r>
      <w:r w:rsidR="00D110BD">
        <w:t>T</w:t>
      </w:r>
      <w:r w:rsidR="00B2443A">
        <w:t xml:space="preserve">he Bill </w:t>
      </w:r>
      <w:r w:rsidR="004B3977">
        <w:t xml:space="preserve">also amends the </w:t>
      </w:r>
      <w:r w:rsidR="00D110BD">
        <w:t xml:space="preserve">only </w:t>
      </w:r>
      <w:r w:rsidR="008656A8">
        <w:t xml:space="preserve">reference to </w:t>
      </w:r>
      <w:r w:rsidR="00302DD8">
        <w:t>th</w:t>
      </w:r>
      <w:r w:rsidR="00D110BD">
        <w:t>is</w:t>
      </w:r>
      <w:r w:rsidR="00302DD8">
        <w:t xml:space="preserve"> definition in the </w:t>
      </w:r>
      <w:r w:rsidR="00302DD8" w:rsidRPr="00C81802">
        <w:rPr>
          <w:i/>
          <w:iCs/>
        </w:rPr>
        <w:t>Security of Cr</w:t>
      </w:r>
      <w:r w:rsidR="00302DD8" w:rsidRPr="004A5CED">
        <w:rPr>
          <w:i/>
          <w:iCs/>
        </w:rPr>
        <w:t>it</w:t>
      </w:r>
      <w:r w:rsidR="00302DD8" w:rsidRPr="005A5CF9">
        <w:rPr>
          <w:i/>
          <w:iCs/>
        </w:rPr>
        <w:t>i</w:t>
      </w:r>
      <w:r w:rsidR="00302DD8" w:rsidRPr="00DE70E6">
        <w:rPr>
          <w:i/>
          <w:iCs/>
        </w:rPr>
        <w:t xml:space="preserve">cal Infrastructure </w:t>
      </w:r>
      <w:r w:rsidR="00302DD8" w:rsidRPr="00C81802">
        <w:rPr>
          <w:i/>
          <w:iCs/>
        </w:rPr>
        <w:t>Act</w:t>
      </w:r>
      <w:r w:rsidR="00302DD8">
        <w:rPr>
          <w:i/>
          <w:iCs/>
        </w:rPr>
        <w:t> </w:t>
      </w:r>
      <w:r w:rsidR="00302DD8" w:rsidRPr="00C81802">
        <w:rPr>
          <w:i/>
          <w:iCs/>
        </w:rPr>
        <w:t>2018</w:t>
      </w:r>
      <w:r w:rsidR="00302DD8">
        <w:t xml:space="preserve"> </w:t>
      </w:r>
      <w:r w:rsidR="004B3977">
        <w:t xml:space="preserve">to ensure </w:t>
      </w:r>
      <w:r w:rsidR="004F1C42">
        <w:t>that Act continues to operate as intended.</w:t>
      </w:r>
      <w:r w:rsidR="00B2443A">
        <w:br/>
      </w:r>
      <w:r w:rsidR="004414CD" w:rsidRPr="00C81802">
        <w:rPr>
          <w:b/>
          <w:bCs/>
          <w:i/>
          <w:iCs/>
        </w:rPr>
        <w:t xml:space="preserve">[Schedule </w:t>
      </w:r>
      <w:r w:rsidR="00AA04AE">
        <w:rPr>
          <w:b/>
          <w:bCs/>
          <w:i/>
          <w:iCs/>
        </w:rPr>
        <w:t>2</w:t>
      </w:r>
      <w:r w:rsidR="004414CD" w:rsidRPr="00C81802">
        <w:rPr>
          <w:b/>
          <w:bCs/>
          <w:i/>
          <w:iCs/>
        </w:rPr>
        <w:t xml:space="preserve">, item </w:t>
      </w:r>
      <w:r w:rsidR="00625870">
        <w:rPr>
          <w:b/>
          <w:bCs/>
          <w:i/>
          <w:iCs/>
        </w:rPr>
        <w:t>627</w:t>
      </w:r>
      <w:r w:rsidR="004414CD" w:rsidRPr="00C81802">
        <w:rPr>
          <w:b/>
          <w:bCs/>
          <w:i/>
          <w:iCs/>
        </w:rPr>
        <w:t>, section 5 (definition of financial services business) of the Security of Critical Infrastructure Act 2018]</w:t>
      </w:r>
    </w:p>
    <w:p w14:paraId="74FB2CE9" w14:textId="4B65C34B" w:rsidR="00814085" w:rsidRDefault="00814085" w:rsidP="00173E2A">
      <w:pPr>
        <w:pStyle w:val="Normalparatextwithnumbers"/>
        <w:numPr>
          <w:ilvl w:val="1"/>
          <w:numId w:val="3"/>
        </w:numPr>
      </w:pPr>
      <w:r>
        <w:t xml:space="preserve">The Bill repeals </w:t>
      </w:r>
      <w:r w:rsidR="00EE052E">
        <w:t xml:space="preserve">the </w:t>
      </w:r>
      <w:r>
        <w:t xml:space="preserve">reference to </w:t>
      </w:r>
      <w:r w:rsidR="00EE052E">
        <w:t>section 769</w:t>
      </w:r>
      <w:r>
        <w:t xml:space="preserve"> of the Corporations Act in the </w:t>
      </w:r>
      <w:r>
        <w:rPr>
          <w:i/>
          <w:iCs/>
        </w:rPr>
        <w:t>Income Tax Assessment Act 1997</w:t>
      </w:r>
      <w:r w:rsidR="00EE052E">
        <w:t>, as it</w:t>
      </w:r>
      <w:r w:rsidR="00235D2A">
        <w:t xml:space="preserve"> is </w:t>
      </w:r>
      <w:r w:rsidR="00EE052E">
        <w:t>redundant</w:t>
      </w:r>
      <w:r>
        <w:t>.</w:t>
      </w:r>
      <w:r w:rsidR="00235D2A">
        <w:t xml:space="preserve"> </w:t>
      </w:r>
      <w:r w:rsidR="00930365">
        <w:t>S</w:t>
      </w:r>
      <w:r w:rsidR="00235D2A">
        <w:t>ection</w:t>
      </w:r>
      <w:r w:rsidR="00930365">
        <w:t xml:space="preserve"> 769</w:t>
      </w:r>
      <w:r w:rsidR="00235D2A">
        <w:t xml:space="preserve"> </w:t>
      </w:r>
      <w:r w:rsidR="00EE052E">
        <w:t xml:space="preserve">of the </w:t>
      </w:r>
      <w:r w:rsidR="00EE052E">
        <w:lastRenderedPageBreak/>
        <w:t>Corporations Act</w:t>
      </w:r>
      <w:r w:rsidR="00235D2A">
        <w:t xml:space="preserve"> has been repealed and </w:t>
      </w:r>
      <w:r w:rsidR="00173E2A">
        <w:t xml:space="preserve">the definition of ‘approved stock exchange’ </w:t>
      </w:r>
      <w:r w:rsidR="00EE052E">
        <w:t xml:space="preserve">in the </w:t>
      </w:r>
      <w:r w:rsidR="00173E2A">
        <w:t>Corporations Act</w:t>
      </w:r>
      <w:r w:rsidR="00930365">
        <w:t xml:space="preserve"> </w:t>
      </w:r>
      <w:r w:rsidR="00EE052E">
        <w:t>now directs the reader to the</w:t>
      </w:r>
      <w:r w:rsidR="00173E2A">
        <w:t xml:space="preserve"> meaning </w:t>
      </w:r>
      <w:r w:rsidR="00EE052E">
        <w:t xml:space="preserve">of the phrase </w:t>
      </w:r>
      <w:r w:rsidR="00173E2A">
        <w:t xml:space="preserve">in </w:t>
      </w:r>
      <w:r w:rsidR="00235D2A">
        <w:t xml:space="preserve">the </w:t>
      </w:r>
      <w:r w:rsidR="00235D2A" w:rsidRPr="005F0048">
        <w:rPr>
          <w:i/>
        </w:rPr>
        <w:t>Income Tax Assessment Act 1997</w:t>
      </w:r>
      <w:r w:rsidR="00173E2A">
        <w:t>. The phrase</w:t>
      </w:r>
      <w:r w:rsidR="00235D2A">
        <w:t xml:space="preserve"> ‘approved stock exchange’</w:t>
      </w:r>
      <w:r w:rsidR="00173E2A">
        <w:t xml:space="preserve"> is defined </w:t>
      </w:r>
      <w:r w:rsidR="005F0048">
        <w:t>as ‘a stock exchange named in regulations made for the purposes of this definition’</w:t>
      </w:r>
      <w:r w:rsidR="00173E2A">
        <w:t xml:space="preserve"> in the </w:t>
      </w:r>
      <w:r w:rsidR="00173E2A" w:rsidRPr="005F0048">
        <w:rPr>
          <w:i/>
        </w:rPr>
        <w:t>Income Tax Assessment Act 1997</w:t>
      </w:r>
      <w:r w:rsidR="00235D2A">
        <w:t>. The Bill substitutes the reference to section 769 of the Corporations Act with the defined term ‘approved stock exchange’.</w:t>
      </w:r>
      <w:r w:rsidR="00173E2A">
        <w:br/>
      </w:r>
      <w:r w:rsidR="003E25D2" w:rsidRPr="003E25D2">
        <w:rPr>
          <w:rStyle w:val="References"/>
        </w:rPr>
        <w:t>[Schedule</w:t>
      </w:r>
      <w:r w:rsidR="003E25D2">
        <w:rPr>
          <w:rStyle w:val="References"/>
        </w:rPr>
        <w:t xml:space="preserve"> </w:t>
      </w:r>
      <w:r w:rsidR="00084786">
        <w:rPr>
          <w:rStyle w:val="References"/>
        </w:rPr>
        <w:t>2</w:t>
      </w:r>
      <w:r w:rsidR="003E25D2" w:rsidRPr="003E25D2">
        <w:rPr>
          <w:rStyle w:val="References"/>
        </w:rPr>
        <w:t xml:space="preserve">, item </w:t>
      </w:r>
      <w:r w:rsidR="0099675D">
        <w:rPr>
          <w:rStyle w:val="References"/>
        </w:rPr>
        <w:t>575</w:t>
      </w:r>
      <w:r w:rsidR="003E25D2" w:rsidRPr="003E25D2">
        <w:rPr>
          <w:rStyle w:val="References"/>
        </w:rPr>
        <w:t xml:space="preserve">, </w:t>
      </w:r>
      <w:r w:rsidR="003E25D2">
        <w:rPr>
          <w:rStyle w:val="References"/>
        </w:rPr>
        <w:t>paragraph</w:t>
      </w:r>
      <w:r w:rsidR="003E25D2" w:rsidRPr="003E25D2">
        <w:rPr>
          <w:rStyle w:val="References"/>
        </w:rPr>
        <w:t xml:space="preserve"> </w:t>
      </w:r>
      <w:r w:rsidR="003E25D2">
        <w:rPr>
          <w:rStyle w:val="References"/>
        </w:rPr>
        <w:t>115-290(1)(b)</w:t>
      </w:r>
      <w:r w:rsidR="003E25D2" w:rsidRPr="003E25D2">
        <w:rPr>
          <w:rStyle w:val="References"/>
        </w:rPr>
        <w:t xml:space="preserve"> of </w:t>
      </w:r>
      <w:r w:rsidR="003E25D2">
        <w:rPr>
          <w:rStyle w:val="References"/>
        </w:rPr>
        <w:t>the Income Tax Assessment Act 1997</w:t>
      </w:r>
      <w:r w:rsidR="003E25D2" w:rsidRPr="003E25D2">
        <w:rPr>
          <w:rStyle w:val="References"/>
        </w:rPr>
        <w:t xml:space="preserve">] </w:t>
      </w:r>
      <w:r>
        <w:t xml:space="preserve"> </w:t>
      </w:r>
    </w:p>
    <w:p w14:paraId="54670864" w14:textId="05230AC7" w:rsidR="00695FAD" w:rsidRPr="00553F89" w:rsidRDefault="00695FAD" w:rsidP="00510918">
      <w:pPr>
        <w:pStyle w:val="Normalparatextwithnumbers"/>
        <w:keepNext/>
        <w:numPr>
          <w:ilvl w:val="0"/>
          <w:numId w:val="0"/>
        </w:numPr>
        <w:rPr>
          <w:rStyle w:val="References"/>
          <w:i w:val="0"/>
        </w:rPr>
      </w:pPr>
      <w:r w:rsidRPr="00BA1AA5">
        <w:rPr>
          <w:rFonts w:ascii="Helvetica" w:eastAsiaTheme="majorEastAsia" w:hAnsi="Helvetica" w:cstheme="majorBidi"/>
          <w:b/>
          <w:spacing w:val="-10"/>
          <w:kern w:val="28"/>
          <w:sz w:val="24"/>
          <w:szCs w:val="56"/>
        </w:rPr>
        <w:t>Consequ</w:t>
      </w:r>
      <w:r w:rsidR="00960E51" w:rsidRPr="00BA1AA5">
        <w:rPr>
          <w:rFonts w:ascii="Helvetica" w:eastAsiaTheme="majorEastAsia" w:hAnsi="Helvetica" w:cstheme="majorBidi"/>
          <w:b/>
          <w:spacing w:val="-10"/>
          <w:kern w:val="28"/>
          <w:sz w:val="24"/>
          <w:szCs w:val="56"/>
        </w:rPr>
        <w:t>e</w:t>
      </w:r>
      <w:r w:rsidRPr="00BA1AA5">
        <w:rPr>
          <w:rFonts w:ascii="Helvetica" w:eastAsiaTheme="majorEastAsia" w:hAnsi="Helvetica" w:cstheme="majorBidi"/>
          <w:b/>
          <w:spacing w:val="-10"/>
          <w:kern w:val="28"/>
          <w:sz w:val="24"/>
          <w:szCs w:val="56"/>
        </w:rPr>
        <w:t xml:space="preserve">ntial amendments </w:t>
      </w:r>
      <w:r w:rsidR="004414CD" w:rsidRPr="00BA1AA5">
        <w:rPr>
          <w:rFonts w:ascii="Helvetica" w:eastAsiaTheme="majorEastAsia" w:hAnsi="Helvetica" w:cstheme="majorBidi"/>
          <w:b/>
          <w:spacing w:val="-10"/>
          <w:kern w:val="28"/>
          <w:sz w:val="24"/>
          <w:szCs w:val="56"/>
        </w:rPr>
        <w:t>to</w:t>
      </w:r>
      <w:r w:rsidRPr="00BA1AA5">
        <w:rPr>
          <w:rFonts w:ascii="Helvetica" w:eastAsiaTheme="majorEastAsia" w:hAnsi="Helvetica" w:cstheme="majorBidi"/>
          <w:b/>
          <w:spacing w:val="-10"/>
          <w:kern w:val="28"/>
          <w:sz w:val="24"/>
          <w:szCs w:val="56"/>
        </w:rPr>
        <w:t xml:space="preserve"> other Acts</w:t>
      </w:r>
      <w:r w:rsidR="00C35921">
        <w:rPr>
          <w:rFonts w:ascii="Helvetica" w:eastAsiaTheme="majorEastAsia" w:hAnsi="Helvetica" w:cstheme="majorBidi"/>
          <w:b/>
          <w:spacing w:val="-10"/>
          <w:kern w:val="28"/>
          <w:sz w:val="24"/>
          <w:szCs w:val="56"/>
        </w:rPr>
        <w:t xml:space="preserve"> and Regulations</w:t>
      </w:r>
    </w:p>
    <w:p w14:paraId="11E3B6B0" w14:textId="67AA8855" w:rsidR="00EF3E3A" w:rsidRPr="00C63849" w:rsidRDefault="00695FAD" w:rsidP="00C63849">
      <w:pPr>
        <w:pStyle w:val="Normalparatextwithnumbers"/>
        <w:rPr>
          <w:rStyle w:val="References"/>
          <w:b w:val="0"/>
          <w:bCs w:val="0"/>
          <w:i w:val="0"/>
          <w:iCs w:val="0"/>
        </w:rPr>
      </w:pPr>
      <w:bookmarkStart w:id="71" w:name="_Hlk117608914"/>
      <w:r w:rsidRPr="0069275D">
        <w:rPr>
          <w:rStyle w:val="References"/>
          <w:b w:val="0"/>
          <w:bCs w:val="0"/>
          <w:i w:val="0"/>
          <w:iCs w:val="0"/>
          <w:noProof/>
        </w:rPr>
        <w:t xml:space="preserve">The Bill </w:t>
      </w:r>
      <w:r w:rsidR="00A241EA">
        <w:rPr>
          <w:rStyle w:val="References"/>
          <w:b w:val="0"/>
          <w:bCs w:val="0"/>
          <w:i w:val="0"/>
          <w:iCs w:val="0"/>
          <w:noProof/>
        </w:rPr>
        <w:t xml:space="preserve">makes consequential amendments to </w:t>
      </w:r>
      <w:r w:rsidR="00411525">
        <w:rPr>
          <w:rStyle w:val="References"/>
          <w:b w:val="0"/>
          <w:bCs w:val="0"/>
          <w:i w:val="0"/>
          <w:iCs w:val="0"/>
          <w:noProof/>
        </w:rPr>
        <w:t xml:space="preserve"> </w:t>
      </w:r>
      <w:r>
        <w:rPr>
          <w:rStyle w:val="References"/>
          <w:b w:val="0"/>
          <w:bCs w:val="0"/>
          <w:i w:val="0"/>
          <w:iCs w:val="0"/>
          <w:noProof/>
        </w:rPr>
        <w:t>Acts</w:t>
      </w:r>
      <w:r w:rsidR="002F2F2F">
        <w:rPr>
          <w:rStyle w:val="References"/>
          <w:b w:val="0"/>
          <w:bCs w:val="0"/>
          <w:i w:val="0"/>
          <w:iCs w:val="0"/>
          <w:noProof/>
        </w:rPr>
        <w:t xml:space="preserve"> which rely on definitions</w:t>
      </w:r>
      <w:r w:rsidR="00411525">
        <w:rPr>
          <w:rStyle w:val="References"/>
          <w:b w:val="0"/>
          <w:bCs w:val="0"/>
          <w:i w:val="0"/>
          <w:iCs w:val="0"/>
          <w:noProof/>
        </w:rPr>
        <w:t xml:space="preserve"> </w:t>
      </w:r>
      <w:r w:rsidR="005F0048">
        <w:rPr>
          <w:rStyle w:val="References"/>
          <w:b w:val="0"/>
          <w:bCs w:val="0"/>
          <w:i w:val="0"/>
          <w:iCs w:val="0"/>
          <w:noProof/>
        </w:rPr>
        <w:t xml:space="preserve">in the Corporations Act </w:t>
      </w:r>
      <w:r w:rsidR="00411525">
        <w:rPr>
          <w:rStyle w:val="References"/>
          <w:b w:val="0"/>
          <w:bCs w:val="0"/>
          <w:i w:val="0"/>
          <w:iCs w:val="0"/>
          <w:noProof/>
        </w:rPr>
        <w:t>that are affected by this Bill</w:t>
      </w:r>
      <w:r w:rsidR="00A241EA" w:rsidRPr="00726D17">
        <w:rPr>
          <w:rStyle w:val="References"/>
          <w:b w:val="0"/>
          <w:bCs w:val="0"/>
          <w:i w:val="0"/>
          <w:iCs w:val="0"/>
          <w:noProof/>
        </w:rPr>
        <w:t>.</w:t>
      </w:r>
      <w:r w:rsidRPr="00726D17">
        <w:rPr>
          <w:rStyle w:val="References"/>
          <w:b w:val="0"/>
          <w:bCs w:val="0"/>
          <w:i w:val="0"/>
          <w:iCs w:val="0"/>
          <w:noProof/>
        </w:rPr>
        <w:t xml:space="preserve"> </w:t>
      </w:r>
    </w:p>
    <w:p w14:paraId="5E37F455" w14:textId="143D0CCF" w:rsidR="004B095F" w:rsidRDefault="00A81CAD" w:rsidP="00C63849">
      <w:pPr>
        <w:pStyle w:val="Normalparatextwithnumbers"/>
        <w:rPr>
          <w:rStyle w:val="References"/>
          <w:b w:val="0"/>
          <w:bCs w:val="0"/>
          <w:i w:val="0"/>
          <w:iCs w:val="0"/>
        </w:rPr>
      </w:pPr>
      <w:r>
        <w:rPr>
          <w:rStyle w:val="References"/>
          <w:b w:val="0"/>
          <w:bCs w:val="0"/>
          <w:i w:val="0"/>
          <w:iCs w:val="0"/>
          <w:noProof/>
        </w:rPr>
        <w:t>In most cases, w</w:t>
      </w:r>
      <w:r w:rsidR="00C63849">
        <w:rPr>
          <w:rStyle w:val="References"/>
          <w:b w:val="0"/>
          <w:bCs w:val="0"/>
          <w:i w:val="0"/>
          <w:iCs w:val="0"/>
          <w:noProof/>
        </w:rPr>
        <w:t xml:space="preserve">here </w:t>
      </w:r>
      <w:r w:rsidR="00D110BD">
        <w:rPr>
          <w:rStyle w:val="References"/>
          <w:b w:val="0"/>
          <w:bCs w:val="0"/>
          <w:i w:val="0"/>
          <w:iCs w:val="0"/>
          <w:noProof/>
        </w:rPr>
        <w:t xml:space="preserve">the Bill relocates </w:t>
      </w:r>
      <w:r w:rsidR="00C63849">
        <w:rPr>
          <w:rStyle w:val="References"/>
          <w:b w:val="0"/>
          <w:bCs w:val="0"/>
          <w:i w:val="0"/>
          <w:iCs w:val="0"/>
          <w:noProof/>
        </w:rPr>
        <w:t xml:space="preserve">a definition and </w:t>
      </w:r>
      <w:r w:rsidR="009C6C1F">
        <w:rPr>
          <w:rStyle w:val="References"/>
          <w:b w:val="0"/>
          <w:bCs w:val="0"/>
          <w:i w:val="0"/>
          <w:iCs w:val="0"/>
          <w:noProof/>
        </w:rPr>
        <w:t xml:space="preserve">that definition </w:t>
      </w:r>
      <w:r w:rsidR="00C63849">
        <w:rPr>
          <w:rStyle w:val="References"/>
          <w:b w:val="0"/>
          <w:bCs w:val="0"/>
          <w:i w:val="0"/>
          <w:iCs w:val="0"/>
          <w:noProof/>
        </w:rPr>
        <w:t xml:space="preserve">is relied on by a provision of another Act, the Bill amends the provision </w:t>
      </w:r>
      <w:r w:rsidR="00D110BD">
        <w:rPr>
          <w:rStyle w:val="References"/>
          <w:b w:val="0"/>
          <w:bCs w:val="0"/>
          <w:i w:val="0"/>
          <w:iCs w:val="0"/>
          <w:noProof/>
        </w:rPr>
        <w:t xml:space="preserve">in the other Act </w:t>
      </w:r>
      <w:r w:rsidR="00C63849">
        <w:rPr>
          <w:rStyle w:val="References"/>
          <w:b w:val="0"/>
          <w:bCs w:val="0"/>
          <w:i w:val="0"/>
          <w:iCs w:val="0"/>
          <w:noProof/>
        </w:rPr>
        <w:t xml:space="preserve">to remove any reference to a specific chapter, part, division or provision of the Corporations Act. This ensures the reference to </w:t>
      </w:r>
      <w:r w:rsidR="009C2483">
        <w:rPr>
          <w:rStyle w:val="References"/>
          <w:b w:val="0"/>
          <w:bCs w:val="0"/>
          <w:i w:val="0"/>
          <w:iCs w:val="0"/>
          <w:noProof/>
        </w:rPr>
        <w:t xml:space="preserve">a definition in </w:t>
      </w:r>
      <w:r w:rsidR="00C63849">
        <w:rPr>
          <w:rStyle w:val="References"/>
          <w:b w:val="0"/>
          <w:bCs w:val="0"/>
          <w:i w:val="0"/>
          <w:iCs w:val="0"/>
          <w:noProof/>
        </w:rPr>
        <w:t xml:space="preserve">the Corporations Act </w:t>
      </w:r>
      <w:r w:rsidR="009C2483">
        <w:rPr>
          <w:rStyle w:val="References"/>
          <w:b w:val="0"/>
          <w:bCs w:val="0"/>
          <w:i w:val="0"/>
          <w:iCs w:val="0"/>
          <w:noProof/>
        </w:rPr>
        <w:t>in a provision outside of the Corporations Act is not affected by</w:t>
      </w:r>
      <w:r w:rsidR="00C63849">
        <w:rPr>
          <w:rStyle w:val="References"/>
          <w:b w:val="0"/>
          <w:bCs w:val="0"/>
          <w:i w:val="0"/>
          <w:iCs w:val="0"/>
          <w:noProof/>
        </w:rPr>
        <w:t xml:space="preserve"> changes to the location of the </w:t>
      </w:r>
      <w:r w:rsidR="009C6C1F">
        <w:rPr>
          <w:rStyle w:val="References"/>
          <w:b w:val="0"/>
          <w:bCs w:val="0"/>
          <w:i w:val="0"/>
          <w:iCs w:val="0"/>
          <w:noProof/>
        </w:rPr>
        <w:t>definition</w:t>
      </w:r>
      <w:r w:rsidR="00C63849">
        <w:rPr>
          <w:rStyle w:val="References"/>
          <w:b w:val="0"/>
          <w:bCs w:val="0"/>
          <w:i w:val="0"/>
          <w:iCs w:val="0"/>
          <w:noProof/>
        </w:rPr>
        <w:t xml:space="preserve"> within the Corporations Act.</w:t>
      </w:r>
      <w:r w:rsidR="00D110BD">
        <w:rPr>
          <w:rStyle w:val="References"/>
          <w:b w:val="0"/>
          <w:bCs w:val="0"/>
          <w:i w:val="0"/>
          <w:iCs w:val="0"/>
          <w:noProof/>
        </w:rPr>
        <w:t xml:space="preserve"> It also brings the drafting into line with modern conventions.</w:t>
      </w:r>
    </w:p>
    <w:p w14:paraId="5E697925" w14:textId="330076C0" w:rsidR="004B095F" w:rsidRDefault="004B095F" w:rsidP="004B095F">
      <w:pPr>
        <w:pStyle w:val="Normalparatextwithnumbers"/>
      </w:pPr>
      <w:r>
        <w:t>This principle is applied in the following Acts:</w:t>
      </w:r>
    </w:p>
    <w:p w14:paraId="3DF038F8" w14:textId="55418519" w:rsidR="0011440D" w:rsidRPr="00E63B23" w:rsidRDefault="0011440D" w:rsidP="0011440D">
      <w:pPr>
        <w:pStyle w:val="Dotpoint1"/>
      </w:pPr>
      <w:r w:rsidRPr="00510918">
        <w:rPr>
          <w:i/>
          <w:iCs/>
        </w:rPr>
        <w:t>Aboriginal and Torres Strait Islander Land and Sea Future Fund Act 2018</w:t>
      </w:r>
      <w:r>
        <w:br/>
      </w:r>
      <w:r w:rsidRPr="00E63B23">
        <w:rPr>
          <w:rStyle w:val="References"/>
        </w:rPr>
        <w:t xml:space="preserve">[Schedule </w:t>
      </w:r>
      <w:r w:rsidR="00084786">
        <w:rPr>
          <w:rStyle w:val="References"/>
        </w:rPr>
        <w:t>2</w:t>
      </w:r>
      <w:r w:rsidRPr="00E63B23">
        <w:rPr>
          <w:rStyle w:val="References"/>
        </w:rPr>
        <w:t xml:space="preserve">, item </w:t>
      </w:r>
      <w:r w:rsidR="00630221">
        <w:rPr>
          <w:rStyle w:val="References"/>
        </w:rPr>
        <w:t>543</w:t>
      </w:r>
      <w:r w:rsidRPr="00E63B23">
        <w:rPr>
          <w:rStyle w:val="References"/>
        </w:rPr>
        <w:t xml:space="preserve">, </w:t>
      </w:r>
      <w:r>
        <w:rPr>
          <w:rStyle w:val="References"/>
        </w:rPr>
        <w:t>section 4</w:t>
      </w:r>
      <w:r w:rsidRPr="00E63B23">
        <w:rPr>
          <w:rStyle w:val="References"/>
        </w:rPr>
        <w:t xml:space="preserve"> of </w:t>
      </w:r>
      <w:r>
        <w:rPr>
          <w:rStyle w:val="References"/>
        </w:rPr>
        <w:t xml:space="preserve">the Aboriginal and Torres Strait Islander Land and Sea Future Fund </w:t>
      </w:r>
      <w:r w:rsidRPr="00E63B23">
        <w:rPr>
          <w:rStyle w:val="References"/>
        </w:rPr>
        <w:t>Act</w:t>
      </w:r>
      <w:r>
        <w:rPr>
          <w:rStyle w:val="References"/>
        </w:rPr>
        <w:t xml:space="preserve"> 2018</w:t>
      </w:r>
      <w:r w:rsidRPr="00E63B23">
        <w:rPr>
          <w:rStyle w:val="References"/>
        </w:rPr>
        <w:t xml:space="preserve">] </w:t>
      </w:r>
    </w:p>
    <w:p w14:paraId="43C64B60" w14:textId="7BA8235D" w:rsidR="0011440D" w:rsidRPr="00E63B23" w:rsidRDefault="0011440D" w:rsidP="0011440D">
      <w:pPr>
        <w:pStyle w:val="Dotpoint1"/>
      </w:pPr>
      <w:r w:rsidRPr="00510918">
        <w:rPr>
          <w:i/>
          <w:iCs/>
        </w:rPr>
        <w:t>Administrative Decisions (Judicial Review) Act 1977</w:t>
      </w:r>
      <w:r>
        <w:br/>
      </w:r>
      <w:r w:rsidRPr="00E63B23">
        <w:rPr>
          <w:rStyle w:val="References"/>
        </w:rPr>
        <w:t xml:space="preserve">[Schedule </w:t>
      </w:r>
      <w:r w:rsidR="00084786">
        <w:rPr>
          <w:rStyle w:val="References"/>
        </w:rPr>
        <w:t>2</w:t>
      </w:r>
      <w:r w:rsidRPr="00E63B23">
        <w:rPr>
          <w:rStyle w:val="References"/>
        </w:rPr>
        <w:t>, item</w:t>
      </w:r>
      <w:r>
        <w:rPr>
          <w:rStyle w:val="References"/>
        </w:rPr>
        <w:t xml:space="preserve"> </w:t>
      </w:r>
      <w:r w:rsidR="00630221">
        <w:rPr>
          <w:rStyle w:val="References"/>
        </w:rPr>
        <w:t>544</w:t>
      </w:r>
      <w:r w:rsidRPr="00E63B23">
        <w:rPr>
          <w:rStyle w:val="References"/>
        </w:rPr>
        <w:t xml:space="preserve">, </w:t>
      </w:r>
      <w:r>
        <w:rPr>
          <w:rStyle w:val="References"/>
        </w:rPr>
        <w:t>paragraph (</w:t>
      </w:r>
      <w:proofErr w:type="spellStart"/>
      <w:r>
        <w:rPr>
          <w:rStyle w:val="References"/>
        </w:rPr>
        <w:t>hba</w:t>
      </w:r>
      <w:proofErr w:type="spellEnd"/>
      <w:r>
        <w:rPr>
          <w:rStyle w:val="References"/>
        </w:rPr>
        <w:t>)</w:t>
      </w:r>
      <w:r w:rsidRPr="00E63B23">
        <w:rPr>
          <w:rStyle w:val="References"/>
        </w:rPr>
        <w:t xml:space="preserve"> of </w:t>
      </w:r>
      <w:r w:rsidR="00630221">
        <w:rPr>
          <w:rStyle w:val="References"/>
        </w:rPr>
        <w:t xml:space="preserve">Schedule 1 of </w:t>
      </w:r>
      <w:r>
        <w:rPr>
          <w:rStyle w:val="References"/>
        </w:rPr>
        <w:t>the Administrative Decisions (Judicial Review) Act 1977</w:t>
      </w:r>
      <w:r w:rsidRPr="00E63B23">
        <w:rPr>
          <w:rStyle w:val="References"/>
        </w:rPr>
        <w:t xml:space="preserve">] </w:t>
      </w:r>
    </w:p>
    <w:p w14:paraId="49BD7944" w14:textId="11C73605" w:rsidR="0011440D" w:rsidRPr="00E63B23" w:rsidRDefault="0011440D" w:rsidP="0011440D">
      <w:pPr>
        <w:pStyle w:val="Dotpoint1"/>
      </w:pPr>
      <w:r>
        <w:rPr>
          <w:i/>
          <w:iCs/>
        </w:rPr>
        <w:t>Aged Care Act 1997</w:t>
      </w:r>
      <w:r>
        <w:br/>
      </w:r>
      <w:r w:rsidRPr="00E63B23">
        <w:rPr>
          <w:rStyle w:val="References"/>
        </w:rPr>
        <w:t xml:space="preserve">[Schedule </w:t>
      </w:r>
      <w:r w:rsidR="00084786">
        <w:rPr>
          <w:rStyle w:val="References"/>
        </w:rPr>
        <w:t>2</w:t>
      </w:r>
      <w:r w:rsidRPr="00E63B23">
        <w:rPr>
          <w:rStyle w:val="References"/>
        </w:rPr>
        <w:t>, item</w:t>
      </w:r>
      <w:r>
        <w:rPr>
          <w:rStyle w:val="References"/>
        </w:rPr>
        <w:t xml:space="preserve"> </w:t>
      </w:r>
      <w:r w:rsidR="0032171D">
        <w:rPr>
          <w:rStyle w:val="References"/>
        </w:rPr>
        <w:t>545</w:t>
      </w:r>
      <w:r>
        <w:rPr>
          <w:rStyle w:val="References"/>
        </w:rPr>
        <w:t>, subsection 52N-1(3) of the Aged Care Act 1997</w:t>
      </w:r>
      <w:r w:rsidRPr="00E63B23">
        <w:rPr>
          <w:rStyle w:val="References"/>
        </w:rPr>
        <w:t xml:space="preserve">] </w:t>
      </w:r>
    </w:p>
    <w:p w14:paraId="7CAB2D58" w14:textId="3A06C89D" w:rsidR="0011440D" w:rsidRPr="00E63B23" w:rsidRDefault="0011440D" w:rsidP="0011440D">
      <w:pPr>
        <w:pStyle w:val="Dotpoint1"/>
      </w:pPr>
      <w:bookmarkStart w:id="72" w:name="_Hlk119064664"/>
      <w:proofErr w:type="spellStart"/>
      <w:r w:rsidRPr="0011440D">
        <w:rPr>
          <w:i/>
          <w:iCs/>
        </w:rPr>
        <w:t>Anti Money</w:t>
      </w:r>
      <w:proofErr w:type="spellEnd"/>
      <w:r w:rsidRPr="0011440D">
        <w:rPr>
          <w:i/>
          <w:iCs/>
        </w:rPr>
        <w:t xml:space="preserve"> Laundering and Counter Terrorism Financing Act 2006</w:t>
      </w:r>
      <w:r>
        <w:br/>
      </w:r>
      <w:r w:rsidRPr="00E63B23">
        <w:rPr>
          <w:rStyle w:val="References"/>
        </w:rPr>
        <w:t xml:space="preserve">[Schedule </w:t>
      </w:r>
      <w:r w:rsidR="00084786">
        <w:rPr>
          <w:rStyle w:val="References"/>
        </w:rPr>
        <w:t>2</w:t>
      </w:r>
      <w:r w:rsidRPr="00E63B23">
        <w:rPr>
          <w:rStyle w:val="References"/>
        </w:rPr>
        <w:t>, item</w:t>
      </w:r>
      <w:r w:rsidR="00B011FA">
        <w:rPr>
          <w:rStyle w:val="References"/>
        </w:rPr>
        <w:t>s</w:t>
      </w:r>
      <w:r>
        <w:rPr>
          <w:rStyle w:val="References"/>
        </w:rPr>
        <w:t xml:space="preserve"> </w:t>
      </w:r>
      <w:r w:rsidR="0032171D">
        <w:rPr>
          <w:rStyle w:val="References"/>
        </w:rPr>
        <w:t>546 to 549</w:t>
      </w:r>
      <w:r w:rsidRPr="00E63B23">
        <w:rPr>
          <w:rStyle w:val="References"/>
        </w:rPr>
        <w:t xml:space="preserve">, </w:t>
      </w:r>
      <w:r w:rsidR="00B011FA">
        <w:rPr>
          <w:rStyle w:val="References"/>
        </w:rPr>
        <w:t>section 5</w:t>
      </w:r>
      <w:r w:rsidRPr="00E63B23">
        <w:rPr>
          <w:rStyle w:val="References"/>
        </w:rPr>
        <w:t xml:space="preserve"> of </w:t>
      </w:r>
      <w:r w:rsidR="00B011FA">
        <w:rPr>
          <w:rStyle w:val="References"/>
        </w:rPr>
        <w:t xml:space="preserve">the </w:t>
      </w:r>
      <w:proofErr w:type="spellStart"/>
      <w:r w:rsidRPr="0011440D">
        <w:rPr>
          <w:rStyle w:val="References"/>
        </w:rPr>
        <w:t>Anti Money</w:t>
      </w:r>
      <w:proofErr w:type="spellEnd"/>
      <w:r w:rsidRPr="0011440D">
        <w:rPr>
          <w:rStyle w:val="References"/>
        </w:rPr>
        <w:t xml:space="preserve"> Laundering and Counter Terrorism Financing Act 2006</w:t>
      </w:r>
      <w:r w:rsidRPr="00E63B23">
        <w:rPr>
          <w:rStyle w:val="References"/>
        </w:rPr>
        <w:t xml:space="preserve">] </w:t>
      </w:r>
    </w:p>
    <w:bookmarkEnd w:id="72"/>
    <w:p w14:paraId="08D8335F" w14:textId="458FB3AA" w:rsidR="00B011FA" w:rsidRPr="00510918" w:rsidRDefault="00B011FA" w:rsidP="00B011FA">
      <w:pPr>
        <w:pStyle w:val="Dotpoint1"/>
        <w:rPr>
          <w:rStyle w:val="References"/>
          <w:b w:val="0"/>
          <w:bCs w:val="0"/>
          <w:i w:val="0"/>
          <w:iCs w:val="0"/>
        </w:rPr>
      </w:pPr>
      <w:r w:rsidRPr="00B011FA">
        <w:rPr>
          <w:i/>
          <w:iCs/>
        </w:rPr>
        <w:t>ASIC Supervisory Cost Recovery Levy Act 2017</w:t>
      </w:r>
      <w:r>
        <w:br/>
      </w:r>
      <w:r w:rsidRPr="00E63B23">
        <w:rPr>
          <w:rStyle w:val="References"/>
        </w:rPr>
        <w:t xml:space="preserve">[Schedule </w:t>
      </w:r>
      <w:r w:rsidR="00084786">
        <w:rPr>
          <w:rStyle w:val="References"/>
        </w:rPr>
        <w:t>2</w:t>
      </w:r>
      <w:r w:rsidRPr="00E63B23">
        <w:rPr>
          <w:rStyle w:val="References"/>
        </w:rPr>
        <w:t>, item</w:t>
      </w:r>
      <w:r>
        <w:rPr>
          <w:rStyle w:val="References"/>
        </w:rPr>
        <w:t xml:space="preserve">s </w:t>
      </w:r>
      <w:r w:rsidR="0032171D">
        <w:rPr>
          <w:rStyle w:val="References"/>
        </w:rPr>
        <w:t>551</w:t>
      </w:r>
      <w:r>
        <w:rPr>
          <w:rStyle w:val="References"/>
        </w:rPr>
        <w:t xml:space="preserve"> and </w:t>
      </w:r>
      <w:r w:rsidR="0032171D">
        <w:rPr>
          <w:rStyle w:val="References"/>
        </w:rPr>
        <w:t>552</w:t>
      </w:r>
      <w:r>
        <w:rPr>
          <w:rStyle w:val="References"/>
        </w:rPr>
        <w:t>,</w:t>
      </w:r>
      <w:r w:rsidRPr="00E63B23">
        <w:rPr>
          <w:rStyle w:val="References"/>
        </w:rPr>
        <w:t xml:space="preserve"> </w:t>
      </w:r>
      <w:r>
        <w:rPr>
          <w:rStyle w:val="References"/>
        </w:rPr>
        <w:t>section 7</w:t>
      </w:r>
      <w:r w:rsidRPr="00E63B23">
        <w:rPr>
          <w:rStyle w:val="References"/>
        </w:rPr>
        <w:t xml:space="preserve"> of</w:t>
      </w:r>
      <w:r>
        <w:rPr>
          <w:rStyle w:val="References"/>
        </w:rPr>
        <w:t xml:space="preserve"> the</w:t>
      </w:r>
      <w:r w:rsidRPr="00E63B23">
        <w:rPr>
          <w:rStyle w:val="References"/>
        </w:rPr>
        <w:t xml:space="preserve"> </w:t>
      </w:r>
      <w:r w:rsidRPr="00B011FA">
        <w:rPr>
          <w:rStyle w:val="References"/>
        </w:rPr>
        <w:t>ASIC Supervisory Cost Recovery Levy Act 2017</w:t>
      </w:r>
      <w:r w:rsidRPr="00E63B23">
        <w:rPr>
          <w:rStyle w:val="References"/>
        </w:rPr>
        <w:t xml:space="preserve">] </w:t>
      </w:r>
    </w:p>
    <w:p w14:paraId="3719B434" w14:textId="0689267C" w:rsidR="00B011FA" w:rsidRPr="00972842" w:rsidRDefault="00B011FA" w:rsidP="00B011FA">
      <w:pPr>
        <w:pStyle w:val="Dotpoint1"/>
        <w:rPr>
          <w:rStyle w:val="References"/>
          <w:b w:val="0"/>
          <w:bCs w:val="0"/>
          <w:i w:val="0"/>
          <w:iCs w:val="0"/>
        </w:rPr>
      </w:pPr>
      <w:r w:rsidRPr="00B011FA">
        <w:rPr>
          <w:i/>
          <w:iCs/>
        </w:rPr>
        <w:lastRenderedPageBreak/>
        <w:t>Australian Defence Force Cover Act 2015</w:t>
      </w:r>
      <w:r>
        <w:br/>
      </w:r>
      <w:r w:rsidRPr="00E63B23">
        <w:rPr>
          <w:rStyle w:val="References"/>
        </w:rPr>
        <w:t xml:space="preserve">[Schedule </w:t>
      </w:r>
      <w:r w:rsidR="00084786">
        <w:rPr>
          <w:rStyle w:val="References"/>
        </w:rPr>
        <w:t>2</w:t>
      </w:r>
      <w:r w:rsidRPr="00E63B23">
        <w:rPr>
          <w:rStyle w:val="References"/>
        </w:rPr>
        <w:t>, item</w:t>
      </w:r>
      <w:r>
        <w:rPr>
          <w:rStyle w:val="References"/>
        </w:rPr>
        <w:t xml:space="preserve"> </w:t>
      </w:r>
      <w:r w:rsidR="00F15879">
        <w:rPr>
          <w:rStyle w:val="References"/>
        </w:rPr>
        <w:t>553</w:t>
      </w:r>
      <w:r>
        <w:rPr>
          <w:rStyle w:val="References"/>
        </w:rPr>
        <w:t>,</w:t>
      </w:r>
      <w:r w:rsidRPr="00E63B23">
        <w:rPr>
          <w:rStyle w:val="References"/>
        </w:rPr>
        <w:t xml:space="preserve"> </w:t>
      </w:r>
      <w:r>
        <w:rPr>
          <w:rStyle w:val="References"/>
        </w:rPr>
        <w:t>subsection 57(2)</w:t>
      </w:r>
      <w:r w:rsidRPr="00E63B23">
        <w:rPr>
          <w:rStyle w:val="References"/>
        </w:rPr>
        <w:t xml:space="preserve"> </w:t>
      </w:r>
      <w:r w:rsidR="00F15879">
        <w:rPr>
          <w:rStyle w:val="References"/>
        </w:rPr>
        <w:t xml:space="preserve">(note) </w:t>
      </w:r>
      <w:r w:rsidRPr="00E63B23">
        <w:rPr>
          <w:rStyle w:val="References"/>
        </w:rPr>
        <w:t>of</w:t>
      </w:r>
      <w:r>
        <w:rPr>
          <w:rStyle w:val="References"/>
        </w:rPr>
        <w:t xml:space="preserve"> the</w:t>
      </w:r>
      <w:r w:rsidRPr="00E63B23">
        <w:rPr>
          <w:rStyle w:val="References"/>
        </w:rPr>
        <w:t xml:space="preserve"> </w:t>
      </w:r>
      <w:r w:rsidRPr="00B011FA">
        <w:rPr>
          <w:rStyle w:val="References"/>
        </w:rPr>
        <w:t>Australian Defence Force Cover Act 2015</w:t>
      </w:r>
      <w:r w:rsidRPr="00E63B23">
        <w:rPr>
          <w:rStyle w:val="References"/>
        </w:rPr>
        <w:t xml:space="preserve">] </w:t>
      </w:r>
    </w:p>
    <w:p w14:paraId="3F2CC3A9" w14:textId="3CAAE8B7" w:rsidR="00B011FA" w:rsidRPr="00972842" w:rsidRDefault="00B011FA" w:rsidP="00B011FA">
      <w:pPr>
        <w:pStyle w:val="Dotpoint1"/>
        <w:rPr>
          <w:rStyle w:val="References"/>
          <w:b w:val="0"/>
          <w:bCs w:val="0"/>
          <w:i w:val="0"/>
          <w:iCs w:val="0"/>
        </w:rPr>
      </w:pPr>
      <w:r w:rsidRPr="00B011FA">
        <w:rPr>
          <w:i/>
          <w:iCs/>
        </w:rPr>
        <w:t>Banking Act 1959</w:t>
      </w:r>
      <w:r>
        <w:br/>
      </w:r>
      <w:r w:rsidRPr="00E63B23">
        <w:rPr>
          <w:rStyle w:val="References"/>
        </w:rPr>
        <w:t xml:space="preserve">[Schedule </w:t>
      </w:r>
      <w:r w:rsidR="00084786">
        <w:rPr>
          <w:rStyle w:val="References"/>
        </w:rPr>
        <w:t>2</w:t>
      </w:r>
      <w:r w:rsidRPr="00E63B23">
        <w:rPr>
          <w:rStyle w:val="References"/>
        </w:rPr>
        <w:t>, item</w:t>
      </w:r>
      <w:r>
        <w:rPr>
          <w:rStyle w:val="References"/>
        </w:rPr>
        <w:t xml:space="preserve">s </w:t>
      </w:r>
      <w:r w:rsidR="00F15879">
        <w:rPr>
          <w:rStyle w:val="References"/>
        </w:rPr>
        <w:t>555</w:t>
      </w:r>
      <w:r>
        <w:rPr>
          <w:rStyle w:val="References"/>
        </w:rPr>
        <w:t>,</w:t>
      </w:r>
      <w:r w:rsidR="00F15879">
        <w:rPr>
          <w:rStyle w:val="References"/>
        </w:rPr>
        <w:t xml:space="preserve"> 556 and 558</w:t>
      </w:r>
      <w:r>
        <w:rPr>
          <w:rStyle w:val="References"/>
        </w:rPr>
        <w:t>,</w:t>
      </w:r>
      <w:r w:rsidRPr="00E63B23">
        <w:rPr>
          <w:rStyle w:val="References"/>
        </w:rPr>
        <w:t xml:space="preserve"> </w:t>
      </w:r>
      <w:r>
        <w:rPr>
          <w:rStyle w:val="References"/>
        </w:rPr>
        <w:t>subsection 5(1) and section 11CAA</w:t>
      </w:r>
      <w:r w:rsidRPr="00E63B23">
        <w:rPr>
          <w:rStyle w:val="References"/>
        </w:rPr>
        <w:t xml:space="preserve"> of</w:t>
      </w:r>
      <w:r>
        <w:rPr>
          <w:rStyle w:val="References"/>
        </w:rPr>
        <w:t xml:space="preserve"> the</w:t>
      </w:r>
      <w:r w:rsidRPr="00E63B23">
        <w:rPr>
          <w:rStyle w:val="References"/>
        </w:rPr>
        <w:t xml:space="preserve"> </w:t>
      </w:r>
      <w:r w:rsidRPr="00B011FA">
        <w:rPr>
          <w:rStyle w:val="References"/>
        </w:rPr>
        <w:t>Banking Act 1959</w:t>
      </w:r>
      <w:r w:rsidRPr="00E63B23">
        <w:rPr>
          <w:rStyle w:val="References"/>
        </w:rPr>
        <w:t xml:space="preserve">] </w:t>
      </w:r>
    </w:p>
    <w:p w14:paraId="473B312B" w14:textId="0C1FF816" w:rsidR="00B011FA" w:rsidRPr="00972842" w:rsidRDefault="00956D20" w:rsidP="00B011FA">
      <w:pPr>
        <w:pStyle w:val="Dotpoint1"/>
        <w:rPr>
          <w:rStyle w:val="References"/>
          <w:b w:val="0"/>
          <w:bCs w:val="0"/>
          <w:i w:val="0"/>
          <w:iCs w:val="0"/>
        </w:rPr>
      </w:pPr>
      <w:r w:rsidRPr="00956D20">
        <w:rPr>
          <w:i/>
          <w:iCs/>
        </w:rPr>
        <w:t>Clean Energy Finance Corporation Act 2012</w:t>
      </w:r>
      <w:r w:rsidR="00B011FA" w:rsidRPr="00B011FA">
        <w:rPr>
          <w:i/>
          <w:iCs/>
        </w:rPr>
        <w:t>8</w:t>
      </w:r>
      <w:r w:rsidR="00B011FA">
        <w:br/>
      </w:r>
      <w:r w:rsidR="00B011FA" w:rsidRPr="00E63B23">
        <w:rPr>
          <w:rStyle w:val="References"/>
        </w:rPr>
        <w:t xml:space="preserve">[Schedule </w:t>
      </w:r>
      <w:r w:rsidR="00084786">
        <w:rPr>
          <w:rStyle w:val="References"/>
        </w:rPr>
        <w:t>2</w:t>
      </w:r>
      <w:r w:rsidR="00B011FA" w:rsidRPr="00E63B23">
        <w:rPr>
          <w:rStyle w:val="References"/>
        </w:rPr>
        <w:t>, item</w:t>
      </w:r>
      <w:r w:rsidR="00B011FA">
        <w:rPr>
          <w:rStyle w:val="References"/>
        </w:rPr>
        <w:t xml:space="preserve"> </w:t>
      </w:r>
      <w:r w:rsidR="00F15879">
        <w:rPr>
          <w:rStyle w:val="References"/>
        </w:rPr>
        <w:t>559</w:t>
      </w:r>
      <w:r w:rsidR="00B011FA">
        <w:rPr>
          <w:rStyle w:val="References"/>
        </w:rPr>
        <w:t>,</w:t>
      </w:r>
      <w:r w:rsidR="00B011FA" w:rsidRPr="00E63B23">
        <w:rPr>
          <w:rStyle w:val="References"/>
        </w:rPr>
        <w:t xml:space="preserve"> </w:t>
      </w:r>
      <w:r>
        <w:rPr>
          <w:rStyle w:val="References"/>
        </w:rPr>
        <w:t>section 4</w:t>
      </w:r>
      <w:r w:rsidR="00B011FA" w:rsidRPr="00E63B23">
        <w:rPr>
          <w:rStyle w:val="References"/>
        </w:rPr>
        <w:t xml:space="preserve"> of</w:t>
      </w:r>
      <w:r w:rsidR="00B011FA">
        <w:rPr>
          <w:rStyle w:val="References"/>
        </w:rPr>
        <w:t xml:space="preserve"> the</w:t>
      </w:r>
      <w:r w:rsidR="00B011FA" w:rsidRPr="00E63B23">
        <w:rPr>
          <w:rStyle w:val="References"/>
        </w:rPr>
        <w:t xml:space="preserve"> </w:t>
      </w:r>
      <w:r w:rsidRPr="00956D20">
        <w:rPr>
          <w:rStyle w:val="References"/>
        </w:rPr>
        <w:t>Clean Energy Finance Corporation Act 2012</w:t>
      </w:r>
      <w:r w:rsidR="00B011FA" w:rsidRPr="00E63B23">
        <w:rPr>
          <w:rStyle w:val="References"/>
        </w:rPr>
        <w:t xml:space="preserve">] </w:t>
      </w:r>
    </w:p>
    <w:p w14:paraId="360636F8" w14:textId="2F4DDCD0" w:rsidR="00B011FA" w:rsidRPr="00972842" w:rsidRDefault="00956D20" w:rsidP="00B011FA">
      <w:pPr>
        <w:pStyle w:val="Dotpoint1"/>
        <w:rPr>
          <w:rStyle w:val="References"/>
          <w:b w:val="0"/>
          <w:bCs w:val="0"/>
          <w:i w:val="0"/>
          <w:iCs w:val="0"/>
        </w:rPr>
      </w:pPr>
      <w:r w:rsidRPr="00956D20">
        <w:rPr>
          <w:i/>
          <w:iCs/>
        </w:rPr>
        <w:t>Commonwealth Inscribed Stock Act 1911</w:t>
      </w:r>
      <w:r w:rsidR="00B011FA">
        <w:br/>
      </w:r>
      <w:r w:rsidR="00B011FA" w:rsidRPr="00E63B23">
        <w:rPr>
          <w:rStyle w:val="References"/>
        </w:rPr>
        <w:t xml:space="preserve">[Schedule </w:t>
      </w:r>
      <w:r w:rsidR="00084786">
        <w:rPr>
          <w:rStyle w:val="References"/>
        </w:rPr>
        <w:t>2</w:t>
      </w:r>
      <w:r w:rsidR="00B011FA" w:rsidRPr="00E63B23">
        <w:rPr>
          <w:rStyle w:val="References"/>
        </w:rPr>
        <w:t>, item</w:t>
      </w:r>
      <w:r w:rsidR="00B011FA">
        <w:rPr>
          <w:rStyle w:val="References"/>
        </w:rPr>
        <w:t xml:space="preserve"> </w:t>
      </w:r>
      <w:r w:rsidR="00F15879">
        <w:rPr>
          <w:rStyle w:val="References"/>
        </w:rPr>
        <w:t>560</w:t>
      </w:r>
      <w:r w:rsidR="00B011FA">
        <w:rPr>
          <w:rStyle w:val="References"/>
        </w:rPr>
        <w:t>,</w:t>
      </w:r>
      <w:r w:rsidR="00B011FA" w:rsidRPr="00E63B23">
        <w:rPr>
          <w:rStyle w:val="References"/>
        </w:rPr>
        <w:t xml:space="preserve"> </w:t>
      </w:r>
      <w:r>
        <w:rPr>
          <w:rStyle w:val="References"/>
        </w:rPr>
        <w:t>subsection 3(1)</w:t>
      </w:r>
      <w:r w:rsidR="00B011FA" w:rsidRPr="00E63B23">
        <w:rPr>
          <w:rStyle w:val="References"/>
        </w:rPr>
        <w:t xml:space="preserve"> of</w:t>
      </w:r>
      <w:r w:rsidR="00B011FA">
        <w:rPr>
          <w:rStyle w:val="References"/>
        </w:rPr>
        <w:t xml:space="preserve"> the</w:t>
      </w:r>
      <w:r w:rsidR="00B011FA" w:rsidRPr="00E63B23">
        <w:rPr>
          <w:rStyle w:val="References"/>
        </w:rPr>
        <w:t xml:space="preserve"> </w:t>
      </w:r>
      <w:r w:rsidRPr="00956D20">
        <w:rPr>
          <w:rStyle w:val="References"/>
        </w:rPr>
        <w:t>Commonwealth Inscribed Stock Act 1911</w:t>
      </w:r>
      <w:r w:rsidR="00B011FA" w:rsidRPr="00E63B23">
        <w:rPr>
          <w:rStyle w:val="References"/>
        </w:rPr>
        <w:t xml:space="preserve">] </w:t>
      </w:r>
    </w:p>
    <w:p w14:paraId="1BB58C6B" w14:textId="1A272AA8" w:rsidR="00B011FA" w:rsidRPr="00972842" w:rsidRDefault="00956D20" w:rsidP="00B011FA">
      <w:pPr>
        <w:pStyle w:val="Dotpoint1"/>
        <w:rPr>
          <w:rStyle w:val="References"/>
          <w:b w:val="0"/>
          <w:bCs w:val="0"/>
          <w:i w:val="0"/>
          <w:iCs w:val="0"/>
        </w:rPr>
      </w:pPr>
      <w:r w:rsidRPr="00956D20">
        <w:rPr>
          <w:i/>
          <w:iCs/>
        </w:rPr>
        <w:t>Corporations (Aboriginal and Torres Strait Islander) Act</w:t>
      </w:r>
      <w:r w:rsidR="00B011FA">
        <w:br/>
      </w:r>
      <w:r w:rsidR="00B011FA" w:rsidRPr="00E63B23">
        <w:rPr>
          <w:rStyle w:val="References"/>
        </w:rPr>
        <w:t xml:space="preserve">[Schedule </w:t>
      </w:r>
      <w:r w:rsidR="00084786">
        <w:rPr>
          <w:rStyle w:val="References"/>
        </w:rPr>
        <w:t>2</w:t>
      </w:r>
      <w:r w:rsidR="00B011FA" w:rsidRPr="00E63B23">
        <w:rPr>
          <w:rStyle w:val="References"/>
        </w:rPr>
        <w:t>, item</w:t>
      </w:r>
      <w:r>
        <w:rPr>
          <w:rStyle w:val="References"/>
        </w:rPr>
        <w:t xml:space="preserve">s </w:t>
      </w:r>
      <w:r w:rsidR="00885BC5">
        <w:rPr>
          <w:rStyle w:val="References"/>
        </w:rPr>
        <w:t>561 to 563</w:t>
      </w:r>
      <w:r w:rsidR="00B011FA">
        <w:rPr>
          <w:rStyle w:val="References"/>
        </w:rPr>
        <w:t>,</w:t>
      </w:r>
      <w:r w:rsidR="00B011FA" w:rsidRPr="00E63B23">
        <w:rPr>
          <w:rStyle w:val="References"/>
        </w:rPr>
        <w:t xml:space="preserve"> </w:t>
      </w:r>
      <w:r>
        <w:rPr>
          <w:rStyle w:val="References"/>
        </w:rPr>
        <w:t>paragraph 26-15(b), 694-75(1)(e) and (2)</w:t>
      </w:r>
      <w:r w:rsidR="00427E85">
        <w:rPr>
          <w:rStyle w:val="References"/>
        </w:rPr>
        <w:t>(e</w:t>
      </w:r>
      <w:r>
        <w:rPr>
          <w:rStyle w:val="References"/>
        </w:rPr>
        <w:t>) and section 700-1</w:t>
      </w:r>
      <w:r w:rsidR="00B011FA" w:rsidRPr="00E63B23">
        <w:rPr>
          <w:rStyle w:val="References"/>
        </w:rPr>
        <w:t xml:space="preserve"> of</w:t>
      </w:r>
      <w:r w:rsidR="00B011FA">
        <w:rPr>
          <w:rStyle w:val="References"/>
        </w:rPr>
        <w:t xml:space="preserve"> the</w:t>
      </w:r>
      <w:r w:rsidR="00B011FA" w:rsidRPr="00E63B23">
        <w:rPr>
          <w:rStyle w:val="References"/>
        </w:rPr>
        <w:t xml:space="preserve"> </w:t>
      </w:r>
      <w:r w:rsidRPr="00956D20">
        <w:rPr>
          <w:rStyle w:val="References"/>
        </w:rPr>
        <w:t>Corporations (Aboriginal and Torres Strait Islander) Act</w:t>
      </w:r>
      <w:r w:rsidR="00B011FA" w:rsidRPr="00E63B23">
        <w:rPr>
          <w:rStyle w:val="References"/>
        </w:rPr>
        <w:t xml:space="preserve">] </w:t>
      </w:r>
    </w:p>
    <w:p w14:paraId="1B1203D8" w14:textId="44085CF6" w:rsidR="00B011FA" w:rsidRPr="00972842" w:rsidRDefault="00956D20" w:rsidP="00B011FA">
      <w:pPr>
        <w:pStyle w:val="Dotpoint1"/>
        <w:rPr>
          <w:rStyle w:val="References"/>
          <w:b w:val="0"/>
          <w:bCs w:val="0"/>
          <w:i w:val="0"/>
          <w:iCs w:val="0"/>
        </w:rPr>
      </w:pPr>
      <w:r w:rsidRPr="00956D20">
        <w:rPr>
          <w:i/>
          <w:iCs/>
        </w:rPr>
        <w:t>Emergency Response Fund Act 2019</w:t>
      </w:r>
      <w:r w:rsidR="00B011FA">
        <w:br/>
      </w:r>
      <w:r w:rsidR="00B011FA" w:rsidRPr="00E63B23">
        <w:rPr>
          <w:rStyle w:val="References"/>
        </w:rPr>
        <w:t xml:space="preserve">[Schedule </w:t>
      </w:r>
      <w:r w:rsidR="00084786">
        <w:rPr>
          <w:rStyle w:val="References"/>
        </w:rPr>
        <w:t>2</w:t>
      </w:r>
      <w:r w:rsidR="00B011FA" w:rsidRPr="00E63B23">
        <w:rPr>
          <w:rStyle w:val="References"/>
        </w:rPr>
        <w:t>, item</w:t>
      </w:r>
      <w:r w:rsidR="00B011FA">
        <w:rPr>
          <w:rStyle w:val="References"/>
        </w:rPr>
        <w:t xml:space="preserve"> </w:t>
      </w:r>
      <w:r w:rsidR="00885BC5">
        <w:rPr>
          <w:rStyle w:val="References"/>
        </w:rPr>
        <w:t>565</w:t>
      </w:r>
      <w:r w:rsidR="00B011FA">
        <w:rPr>
          <w:rStyle w:val="References"/>
        </w:rPr>
        <w:t>,</w:t>
      </w:r>
      <w:r w:rsidR="00B011FA" w:rsidRPr="00E63B23">
        <w:rPr>
          <w:rStyle w:val="References"/>
        </w:rPr>
        <w:t xml:space="preserve"> </w:t>
      </w:r>
      <w:r>
        <w:rPr>
          <w:rStyle w:val="References"/>
        </w:rPr>
        <w:t>section 4</w:t>
      </w:r>
      <w:r w:rsidR="00B011FA" w:rsidRPr="00E63B23">
        <w:rPr>
          <w:rStyle w:val="References"/>
        </w:rPr>
        <w:t xml:space="preserve"> of</w:t>
      </w:r>
      <w:r w:rsidR="00B011FA">
        <w:rPr>
          <w:rStyle w:val="References"/>
        </w:rPr>
        <w:t xml:space="preserve"> the</w:t>
      </w:r>
      <w:r w:rsidR="00B011FA" w:rsidRPr="00E63B23">
        <w:rPr>
          <w:rStyle w:val="References"/>
        </w:rPr>
        <w:t xml:space="preserve"> </w:t>
      </w:r>
      <w:r w:rsidRPr="00956D20">
        <w:rPr>
          <w:rStyle w:val="References"/>
        </w:rPr>
        <w:t>Emergency Response Fund Act 2019</w:t>
      </w:r>
      <w:r w:rsidR="00B011FA" w:rsidRPr="00E63B23">
        <w:rPr>
          <w:rStyle w:val="References"/>
        </w:rPr>
        <w:t xml:space="preserve">] </w:t>
      </w:r>
    </w:p>
    <w:p w14:paraId="1E6C06B8" w14:textId="11F293C5" w:rsidR="00956D20" w:rsidRPr="00972842" w:rsidRDefault="00956D20" w:rsidP="00956D20">
      <w:pPr>
        <w:pStyle w:val="Dotpoint1"/>
        <w:rPr>
          <w:rStyle w:val="References"/>
          <w:b w:val="0"/>
          <w:bCs w:val="0"/>
          <w:i w:val="0"/>
          <w:iCs w:val="0"/>
        </w:rPr>
      </w:pPr>
      <w:r w:rsidRPr="00956D20">
        <w:rPr>
          <w:i/>
          <w:iCs/>
        </w:rPr>
        <w:t>Financial Sector (Collection of Data) Act 2001</w:t>
      </w:r>
      <w:r>
        <w:br/>
      </w:r>
      <w:r w:rsidRPr="00E63B23">
        <w:rPr>
          <w:rStyle w:val="References"/>
        </w:rPr>
        <w:t xml:space="preserve">[Schedule </w:t>
      </w:r>
      <w:r w:rsidR="00084786">
        <w:rPr>
          <w:rStyle w:val="References"/>
        </w:rPr>
        <w:t>2</w:t>
      </w:r>
      <w:r w:rsidRPr="00E63B23">
        <w:rPr>
          <w:rStyle w:val="References"/>
        </w:rPr>
        <w:t>, item</w:t>
      </w:r>
      <w:r>
        <w:rPr>
          <w:rStyle w:val="References"/>
        </w:rPr>
        <w:t xml:space="preserve"> </w:t>
      </w:r>
      <w:r w:rsidR="007E3F98">
        <w:rPr>
          <w:rStyle w:val="References"/>
        </w:rPr>
        <w:t>566 to 568</w:t>
      </w:r>
      <w:r>
        <w:rPr>
          <w:rStyle w:val="References"/>
        </w:rPr>
        <w:t>,</w:t>
      </w:r>
      <w:r w:rsidRPr="00E63B23">
        <w:rPr>
          <w:rStyle w:val="References"/>
        </w:rPr>
        <w:t xml:space="preserve"> </w:t>
      </w:r>
      <w:r>
        <w:rPr>
          <w:rStyle w:val="References"/>
        </w:rPr>
        <w:t>subparagraphs 5(2)(e)(</w:t>
      </w:r>
      <w:proofErr w:type="spellStart"/>
      <w:r>
        <w:rPr>
          <w:rStyle w:val="References"/>
        </w:rPr>
        <w:t>i</w:t>
      </w:r>
      <w:proofErr w:type="spellEnd"/>
      <w:r>
        <w:rPr>
          <w:rStyle w:val="References"/>
        </w:rPr>
        <w:t>) and 13(4F)(c)(ii)</w:t>
      </w:r>
      <w:r w:rsidRPr="00E63B23">
        <w:rPr>
          <w:rStyle w:val="References"/>
        </w:rPr>
        <w:t xml:space="preserve"> of</w:t>
      </w:r>
      <w:r>
        <w:rPr>
          <w:rStyle w:val="References"/>
        </w:rPr>
        <w:t xml:space="preserve"> the</w:t>
      </w:r>
      <w:r w:rsidRPr="00E63B23">
        <w:rPr>
          <w:rStyle w:val="References"/>
        </w:rPr>
        <w:t xml:space="preserve"> </w:t>
      </w:r>
      <w:r w:rsidRPr="00956D20">
        <w:rPr>
          <w:rStyle w:val="References"/>
        </w:rPr>
        <w:t>Financial Sector (Collection of Data) Act 2001</w:t>
      </w:r>
      <w:r w:rsidRPr="00E63B23">
        <w:rPr>
          <w:rStyle w:val="References"/>
        </w:rPr>
        <w:t xml:space="preserve">] </w:t>
      </w:r>
    </w:p>
    <w:p w14:paraId="726A879B" w14:textId="564EE856" w:rsidR="00956D20" w:rsidRPr="00972842" w:rsidRDefault="00956D20" w:rsidP="00956D20">
      <w:pPr>
        <w:pStyle w:val="Dotpoint1"/>
        <w:rPr>
          <w:rStyle w:val="References"/>
          <w:b w:val="0"/>
          <w:bCs w:val="0"/>
          <w:i w:val="0"/>
          <w:iCs w:val="0"/>
        </w:rPr>
      </w:pPr>
      <w:r w:rsidRPr="00956D20">
        <w:rPr>
          <w:i/>
          <w:iCs/>
        </w:rPr>
        <w:t>Financial Transaction Reports Act 1988</w:t>
      </w:r>
      <w:r>
        <w:br/>
      </w:r>
      <w:r w:rsidRPr="00E63B23">
        <w:rPr>
          <w:rStyle w:val="References"/>
        </w:rPr>
        <w:t xml:space="preserve">[Schedule </w:t>
      </w:r>
      <w:r w:rsidR="00084786">
        <w:rPr>
          <w:rStyle w:val="References"/>
        </w:rPr>
        <w:t>2</w:t>
      </w:r>
      <w:r w:rsidRPr="00E63B23">
        <w:rPr>
          <w:rStyle w:val="References"/>
        </w:rPr>
        <w:t>, item</w:t>
      </w:r>
      <w:r>
        <w:rPr>
          <w:rStyle w:val="References"/>
        </w:rPr>
        <w:t xml:space="preserve">s </w:t>
      </w:r>
      <w:r w:rsidR="00A07E78">
        <w:rPr>
          <w:rStyle w:val="References"/>
        </w:rPr>
        <w:t>569 to 571</w:t>
      </w:r>
      <w:r>
        <w:rPr>
          <w:rStyle w:val="References"/>
        </w:rPr>
        <w:t>,</w:t>
      </w:r>
      <w:r w:rsidRPr="00E63B23">
        <w:rPr>
          <w:rStyle w:val="References"/>
        </w:rPr>
        <w:t xml:space="preserve"> </w:t>
      </w:r>
      <w:r w:rsidR="00886042">
        <w:rPr>
          <w:rStyle w:val="References"/>
        </w:rPr>
        <w:t xml:space="preserve">subsections 3(1) and 9(4) </w:t>
      </w:r>
      <w:r w:rsidRPr="00E63B23">
        <w:rPr>
          <w:rStyle w:val="References"/>
        </w:rPr>
        <w:t>of</w:t>
      </w:r>
      <w:r>
        <w:rPr>
          <w:rStyle w:val="References"/>
        </w:rPr>
        <w:t xml:space="preserve"> the</w:t>
      </w:r>
      <w:r w:rsidRPr="00E63B23">
        <w:rPr>
          <w:rStyle w:val="References"/>
        </w:rPr>
        <w:t xml:space="preserve"> </w:t>
      </w:r>
      <w:r w:rsidRPr="00956D20">
        <w:rPr>
          <w:rStyle w:val="References"/>
        </w:rPr>
        <w:t>Financial Transaction Reports Act 1988</w:t>
      </w:r>
      <w:r w:rsidRPr="00E63B23">
        <w:rPr>
          <w:rStyle w:val="References"/>
        </w:rPr>
        <w:t xml:space="preserve">] </w:t>
      </w:r>
    </w:p>
    <w:p w14:paraId="7CDF33EE" w14:textId="6BCDDDFD" w:rsidR="00956D20" w:rsidRPr="00972842" w:rsidRDefault="00886042" w:rsidP="00956D20">
      <w:pPr>
        <w:pStyle w:val="Dotpoint1"/>
        <w:rPr>
          <w:rStyle w:val="References"/>
          <w:b w:val="0"/>
          <w:bCs w:val="0"/>
          <w:i w:val="0"/>
          <w:iCs w:val="0"/>
        </w:rPr>
      </w:pPr>
      <w:r w:rsidRPr="00886042">
        <w:rPr>
          <w:i/>
          <w:iCs/>
        </w:rPr>
        <w:t>Future Drought Fund Act 2019</w:t>
      </w:r>
      <w:r w:rsidR="00956D20">
        <w:br/>
      </w:r>
      <w:r w:rsidR="00956D20" w:rsidRPr="00E63B23">
        <w:rPr>
          <w:rStyle w:val="References"/>
        </w:rPr>
        <w:t xml:space="preserve">[Schedule </w:t>
      </w:r>
      <w:r w:rsidR="00084786">
        <w:rPr>
          <w:rStyle w:val="References"/>
        </w:rPr>
        <w:t>2</w:t>
      </w:r>
      <w:r w:rsidR="00956D20" w:rsidRPr="00E63B23">
        <w:rPr>
          <w:rStyle w:val="References"/>
        </w:rPr>
        <w:t>, item</w:t>
      </w:r>
      <w:r w:rsidR="00956D20">
        <w:rPr>
          <w:rStyle w:val="References"/>
        </w:rPr>
        <w:t xml:space="preserve"> </w:t>
      </w:r>
      <w:r w:rsidR="002A0809">
        <w:rPr>
          <w:rStyle w:val="References"/>
        </w:rPr>
        <w:t>572</w:t>
      </w:r>
      <w:r w:rsidR="00956D20">
        <w:rPr>
          <w:rStyle w:val="References"/>
        </w:rPr>
        <w:t>,</w:t>
      </w:r>
      <w:r w:rsidR="00956D20" w:rsidRPr="00E63B23">
        <w:rPr>
          <w:rStyle w:val="References"/>
        </w:rPr>
        <w:t xml:space="preserve"> </w:t>
      </w:r>
      <w:r>
        <w:rPr>
          <w:rStyle w:val="References"/>
        </w:rPr>
        <w:t>section 5</w:t>
      </w:r>
      <w:r w:rsidR="00956D20">
        <w:rPr>
          <w:rStyle w:val="References"/>
        </w:rPr>
        <w:t xml:space="preserve"> </w:t>
      </w:r>
      <w:r w:rsidR="00956D20" w:rsidRPr="00E63B23">
        <w:rPr>
          <w:rStyle w:val="References"/>
        </w:rPr>
        <w:t>of</w:t>
      </w:r>
      <w:r w:rsidR="00956D20">
        <w:rPr>
          <w:rStyle w:val="References"/>
        </w:rPr>
        <w:t xml:space="preserve"> the</w:t>
      </w:r>
      <w:r w:rsidR="00956D20" w:rsidRPr="00E63B23">
        <w:rPr>
          <w:rStyle w:val="References"/>
        </w:rPr>
        <w:t xml:space="preserve"> </w:t>
      </w:r>
      <w:r w:rsidRPr="00886042">
        <w:rPr>
          <w:rStyle w:val="References"/>
        </w:rPr>
        <w:t>Future Drought Fund Act 2019</w:t>
      </w:r>
      <w:r w:rsidR="00956D20" w:rsidRPr="00E63B23">
        <w:rPr>
          <w:rStyle w:val="References"/>
        </w:rPr>
        <w:t xml:space="preserve">] </w:t>
      </w:r>
    </w:p>
    <w:p w14:paraId="4D45594C" w14:textId="0A1D1518" w:rsidR="00956D20" w:rsidRPr="00972842" w:rsidRDefault="00886042" w:rsidP="00956D20">
      <w:pPr>
        <w:pStyle w:val="Dotpoint1"/>
        <w:rPr>
          <w:rStyle w:val="References"/>
          <w:b w:val="0"/>
          <w:bCs w:val="0"/>
          <w:i w:val="0"/>
          <w:iCs w:val="0"/>
        </w:rPr>
      </w:pPr>
      <w:r w:rsidRPr="00886042">
        <w:rPr>
          <w:i/>
          <w:iCs/>
        </w:rPr>
        <w:t>Future Fund Act 2006</w:t>
      </w:r>
      <w:r w:rsidR="00956D20">
        <w:br/>
      </w:r>
      <w:r w:rsidR="00956D20" w:rsidRPr="00E63B23">
        <w:rPr>
          <w:rStyle w:val="References"/>
        </w:rPr>
        <w:t xml:space="preserve">[Schedule </w:t>
      </w:r>
      <w:r w:rsidR="00084786">
        <w:rPr>
          <w:rStyle w:val="References"/>
        </w:rPr>
        <w:t>2</w:t>
      </w:r>
      <w:r w:rsidR="00956D20" w:rsidRPr="00E63B23">
        <w:rPr>
          <w:rStyle w:val="References"/>
        </w:rPr>
        <w:t>, item</w:t>
      </w:r>
      <w:r w:rsidR="00956D20">
        <w:rPr>
          <w:rStyle w:val="References"/>
        </w:rPr>
        <w:t xml:space="preserve"> </w:t>
      </w:r>
      <w:r w:rsidR="00DF3286">
        <w:rPr>
          <w:rStyle w:val="References"/>
        </w:rPr>
        <w:t>573</w:t>
      </w:r>
      <w:r w:rsidR="00956D20">
        <w:rPr>
          <w:rStyle w:val="References"/>
        </w:rPr>
        <w:t>,</w:t>
      </w:r>
      <w:r w:rsidR="00956D20" w:rsidRPr="00E63B23">
        <w:rPr>
          <w:rStyle w:val="References"/>
        </w:rPr>
        <w:t xml:space="preserve"> </w:t>
      </w:r>
      <w:r w:rsidR="00956D20">
        <w:rPr>
          <w:rStyle w:val="References"/>
        </w:rPr>
        <w:t xml:space="preserve">section </w:t>
      </w:r>
      <w:r>
        <w:rPr>
          <w:rStyle w:val="References"/>
        </w:rPr>
        <w:t>5</w:t>
      </w:r>
      <w:r w:rsidR="00956D20" w:rsidRPr="00E63B23">
        <w:rPr>
          <w:rStyle w:val="References"/>
        </w:rPr>
        <w:t xml:space="preserve"> of</w:t>
      </w:r>
      <w:r w:rsidR="00956D20">
        <w:rPr>
          <w:rStyle w:val="References"/>
        </w:rPr>
        <w:t xml:space="preserve"> the</w:t>
      </w:r>
      <w:r w:rsidR="00956D20" w:rsidRPr="00E63B23">
        <w:rPr>
          <w:rStyle w:val="References"/>
        </w:rPr>
        <w:t xml:space="preserve"> </w:t>
      </w:r>
      <w:r w:rsidRPr="00886042">
        <w:rPr>
          <w:rStyle w:val="References"/>
        </w:rPr>
        <w:t>Future Fund Act 2006</w:t>
      </w:r>
      <w:r w:rsidR="00956D20" w:rsidRPr="00E63B23">
        <w:rPr>
          <w:rStyle w:val="References"/>
        </w:rPr>
        <w:t xml:space="preserve">] </w:t>
      </w:r>
    </w:p>
    <w:p w14:paraId="7B9896D7" w14:textId="51532913" w:rsidR="00956D20" w:rsidRPr="00972842" w:rsidRDefault="00886042" w:rsidP="00956D20">
      <w:pPr>
        <w:pStyle w:val="Dotpoint1"/>
        <w:rPr>
          <w:rStyle w:val="References"/>
          <w:b w:val="0"/>
          <w:bCs w:val="0"/>
          <w:i w:val="0"/>
          <w:iCs w:val="0"/>
        </w:rPr>
      </w:pPr>
      <w:r w:rsidRPr="00886042">
        <w:rPr>
          <w:i/>
          <w:iCs/>
        </w:rPr>
        <w:t>Income Tax Assessment Act 1936</w:t>
      </w:r>
      <w:r w:rsidR="00956D20">
        <w:br/>
      </w:r>
      <w:r w:rsidR="00956D20" w:rsidRPr="00E63B23">
        <w:rPr>
          <w:rStyle w:val="References"/>
        </w:rPr>
        <w:t xml:space="preserve">[Schedule </w:t>
      </w:r>
      <w:r w:rsidR="00084786">
        <w:rPr>
          <w:rStyle w:val="References"/>
        </w:rPr>
        <w:t>2</w:t>
      </w:r>
      <w:r w:rsidR="00956D20" w:rsidRPr="00E63B23">
        <w:rPr>
          <w:rStyle w:val="References"/>
        </w:rPr>
        <w:t>, item</w:t>
      </w:r>
      <w:r w:rsidR="00956D20">
        <w:rPr>
          <w:rStyle w:val="References"/>
        </w:rPr>
        <w:t xml:space="preserve"> </w:t>
      </w:r>
      <w:r w:rsidR="00DF3286">
        <w:rPr>
          <w:rStyle w:val="References"/>
        </w:rPr>
        <w:t>574</w:t>
      </w:r>
      <w:r w:rsidR="00956D20">
        <w:rPr>
          <w:rStyle w:val="References"/>
        </w:rPr>
        <w:t>,</w:t>
      </w:r>
      <w:r w:rsidR="00956D20" w:rsidRPr="00E63B23">
        <w:rPr>
          <w:rStyle w:val="References"/>
        </w:rPr>
        <w:t xml:space="preserve"> </w:t>
      </w:r>
      <w:r>
        <w:rPr>
          <w:rStyle w:val="References"/>
        </w:rPr>
        <w:t>s</w:t>
      </w:r>
      <w:r w:rsidRPr="00886042">
        <w:rPr>
          <w:rStyle w:val="References"/>
        </w:rPr>
        <w:t>ubparagraph 128AE(2)(e)(iii)</w:t>
      </w:r>
      <w:r w:rsidR="00956D20" w:rsidRPr="00E63B23">
        <w:rPr>
          <w:rStyle w:val="References"/>
        </w:rPr>
        <w:t>of</w:t>
      </w:r>
      <w:r w:rsidR="00956D20">
        <w:rPr>
          <w:rStyle w:val="References"/>
        </w:rPr>
        <w:t xml:space="preserve"> the</w:t>
      </w:r>
      <w:r w:rsidR="00956D20" w:rsidRPr="00E63B23">
        <w:rPr>
          <w:rStyle w:val="References"/>
        </w:rPr>
        <w:t xml:space="preserve"> </w:t>
      </w:r>
      <w:r w:rsidRPr="00886042">
        <w:rPr>
          <w:rStyle w:val="References"/>
        </w:rPr>
        <w:t>Income Tax Assessment Act 1936</w:t>
      </w:r>
      <w:r w:rsidR="00956D20" w:rsidRPr="00E63B23">
        <w:rPr>
          <w:rStyle w:val="References"/>
        </w:rPr>
        <w:t xml:space="preserve">] </w:t>
      </w:r>
    </w:p>
    <w:p w14:paraId="57BB504B" w14:textId="3281B0D2" w:rsidR="00604A2C" w:rsidRPr="00604A2C" w:rsidRDefault="00604A2C" w:rsidP="00604A2C">
      <w:pPr>
        <w:pStyle w:val="Dotpoint1"/>
        <w:rPr>
          <w:rStyle w:val="References"/>
          <w:b w:val="0"/>
          <w:bCs w:val="0"/>
          <w:i w:val="0"/>
          <w:iCs w:val="0"/>
        </w:rPr>
      </w:pPr>
      <w:r w:rsidRPr="00510918">
        <w:rPr>
          <w:i/>
          <w:iCs/>
        </w:rPr>
        <w:t>Income Tax Assessment Act 1997</w:t>
      </w:r>
      <w:r w:rsidR="00427E85">
        <w:rPr>
          <w:rStyle w:val="References"/>
          <w:b w:val="0"/>
          <w:bCs w:val="0"/>
          <w:i w:val="0"/>
          <w:iCs w:val="0"/>
        </w:rPr>
        <w:br/>
      </w:r>
      <w:r w:rsidR="00427E85" w:rsidRPr="00510918">
        <w:rPr>
          <w:rStyle w:val="References"/>
        </w:rPr>
        <w:t xml:space="preserve">[Schedule </w:t>
      </w:r>
      <w:r w:rsidR="00084786">
        <w:rPr>
          <w:rStyle w:val="References"/>
        </w:rPr>
        <w:t>2</w:t>
      </w:r>
      <w:r w:rsidR="00427E85" w:rsidRPr="00510918">
        <w:rPr>
          <w:rStyle w:val="References"/>
        </w:rPr>
        <w:t>, item</w:t>
      </w:r>
      <w:r w:rsidR="00427E85">
        <w:rPr>
          <w:rStyle w:val="References"/>
        </w:rPr>
        <w:t>s</w:t>
      </w:r>
      <w:r w:rsidR="00427E85" w:rsidRPr="00510918">
        <w:rPr>
          <w:rStyle w:val="References"/>
        </w:rPr>
        <w:t xml:space="preserve"> </w:t>
      </w:r>
      <w:r w:rsidR="001E2631">
        <w:rPr>
          <w:rStyle w:val="References"/>
        </w:rPr>
        <w:t>575</w:t>
      </w:r>
      <w:r w:rsidR="00427E85">
        <w:rPr>
          <w:rStyle w:val="References"/>
        </w:rPr>
        <w:t xml:space="preserve"> to </w:t>
      </w:r>
      <w:r w:rsidR="001E2631">
        <w:rPr>
          <w:rStyle w:val="References"/>
        </w:rPr>
        <w:t>583</w:t>
      </w:r>
      <w:r w:rsidR="00427E85" w:rsidRPr="00510918">
        <w:rPr>
          <w:rStyle w:val="References"/>
        </w:rPr>
        <w:t xml:space="preserve">, </w:t>
      </w:r>
      <w:r w:rsidR="00427E85">
        <w:rPr>
          <w:rStyle w:val="References"/>
        </w:rPr>
        <w:t>section 292-330</w:t>
      </w:r>
      <w:r w:rsidR="00EA6980">
        <w:rPr>
          <w:rStyle w:val="References"/>
        </w:rPr>
        <w:t xml:space="preserve"> (note), subsections 275-10(5), 275-35(2), 275-35(3), 995-1(1), </w:t>
      </w:r>
      <w:r w:rsidR="00427E85">
        <w:rPr>
          <w:rStyle w:val="References"/>
        </w:rPr>
        <w:t>paragraphs</w:t>
      </w:r>
      <w:r w:rsidR="00427E85" w:rsidRPr="00510918">
        <w:rPr>
          <w:rStyle w:val="References"/>
        </w:rPr>
        <w:t xml:space="preserve"> </w:t>
      </w:r>
      <w:r w:rsidR="00427E85">
        <w:rPr>
          <w:rStyle w:val="References"/>
        </w:rPr>
        <w:t>115-290(1)(b), 275-15(b) and 275-20(5)(c)</w:t>
      </w:r>
      <w:r w:rsidR="000F4D13">
        <w:rPr>
          <w:rStyle w:val="References"/>
        </w:rPr>
        <w:t xml:space="preserve"> and</w:t>
      </w:r>
      <w:r w:rsidR="00427E85">
        <w:rPr>
          <w:rStyle w:val="References"/>
        </w:rPr>
        <w:t xml:space="preserve"> </w:t>
      </w:r>
      <w:r w:rsidR="00EA6980">
        <w:rPr>
          <w:rStyle w:val="References"/>
        </w:rPr>
        <w:t>subparagraphs 275(1)(a)(</w:t>
      </w:r>
      <w:proofErr w:type="spellStart"/>
      <w:r w:rsidR="00EA6980">
        <w:rPr>
          <w:rStyle w:val="References"/>
        </w:rPr>
        <w:t>i</w:t>
      </w:r>
      <w:proofErr w:type="spellEnd"/>
      <w:r w:rsidR="00EA6980">
        <w:rPr>
          <w:rStyle w:val="References"/>
        </w:rPr>
        <w:t>) and (ii)</w:t>
      </w:r>
      <w:r w:rsidR="00427E85" w:rsidRPr="00510918">
        <w:rPr>
          <w:rStyle w:val="References"/>
        </w:rPr>
        <w:t xml:space="preserve"> of </w:t>
      </w:r>
      <w:r w:rsidR="00EA6980">
        <w:rPr>
          <w:rStyle w:val="References"/>
        </w:rPr>
        <w:t>the Income Tax Assessment Act 1997]</w:t>
      </w:r>
    </w:p>
    <w:p w14:paraId="5B3516B8" w14:textId="7AB82597" w:rsidR="00EA6980" w:rsidRPr="00604A2C" w:rsidRDefault="00EA6980" w:rsidP="00EA6980">
      <w:pPr>
        <w:pStyle w:val="Dotpoint1"/>
        <w:rPr>
          <w:rStyle w:val="References"/>
          <w:b w:val="0"/>
          <w:bCs w:val="0"/>
          <w:i w:val="0"/>
          <w:iCs w:val="0"/>
        </w:rPr>
      </w:pPr>
      <w:r w:rsidRPr="006F7C54">
        <w:rPr>
          <w:i/>
          <w:iCs/>
        </w:rPr>
        <w:lastRenderedPageBreak/>
        <w:t xml:space="preserve">Income Tax </w:t>
      </w:r>
      <w:r>
        <w:rPr>
          <w:i/>
          <w:iCs/>
        </w:rPr>
        <w:t>Rates</w:t>
      </w:r>
      <w:r w:rsidRPr="006F7C54">
        <w:rPr>
          <w:i/>
          <w:iCs/>
        </w:rPr>
        <w:t xml:space="preserve"> Act 19</w:t>
      </w:r>
      <w:r>
        <w:rPr>
          <w:i/>
          <w:iCs/>
        </w:rPr>
        <w:t>86</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xml:space="preserve">, item </w:t>
      </w:r>
      <w:r w:rsidR="00976A4A">
        <w:rPr>
          <w:rStyle w:val="References"/>
        </w:rPr>
        <w:t>584</w:t>
      </w:r>
      <w:r w:rsidRPr="006F7C54">
        <w:rPr>
          <w:rStyle w:val="References"/>
        </w:rPr>
        <w:t xml:space="preserve">, </w:t>
      </w:r>
      <w:r w:rsidR="000936D6">
        <w:rPr>
          <w:rStyle w:val="References"/>
        </w:rPr>
        <w:t>subparagraph</w:t>
      </w:r>
      <w:r>
        <w:rPr>
          <w:rStyle w:val="References"/>
        </w:rPr>
        <w:t xml:space="preserve"> </w:t>
      </w:r>
      <w:r w:rsidR="000936D6">
        <w:rPr>
          <w:rStyle w:val="References"/>
        </w:rPr>
        <w:t>23AB(2)(a)(iv)</w:t>
      </w:r>
      <w:r>
        <w:rPr>
          <w:rStyle w:val="References"/>
        </w:rPr>
        <w:t xml:space="preserve"> </w:t>
      </w:r>
      <w:r w:rsidRPr="006F7C54">
        <w:rPr>
          <w:rStyle w:val="References"/>
        </w:rPr>
        <w:t xml:space="preserve">of </w:t>
      </w:r>
      <w:r>
        <w:rPr>
          <w:rStyle w:val="References"/>
        </w:rPr>
        <w:t xml:space="preserve">the Income Tax </w:t>
      </w:r>
      <w:r w:rsidR="000936D6">
        <w:rPr>
          <w:rStyle w:val="References"/>
        </w:rPr>
        <w:t>Rates</w:t>
      </w:r>
      <w:r>
        <w:rPr>
          <w:rStyle w:val="References"/>
        </w:rPr>
        <w:t xml:space="preserve"> Act 19</w:t>
      </w:r>
      <w:r w:rsidR="000936D6">
        <w:rPr>
          <w:rStyle w:val="References"/>
        </w:rPr>
        <w:t>86</w:t>
      </w:r>
      <w:r>
        <w:rPr>
          <w:rStyle w:val="References"/>
        </w:rPr>
        <w:t>]</w:t>
      </w:r>
    </w:p>
    <w:p w14:paraId="222FFC32" w14:textId="7A4E34AB" w:rsidR="00604A2C" w:rsidRPr="00510918" w:rsidRDefault="00737C0E" w:rsidP="00956D20">
      <w:pPr>
        <w:pStyle w:val="Dotpoint1"/>
        <w:rPr>
          <w:rStyle w:val="References"/>
          <w:b w:val="0"/>
          <w:i w:val="0"/>
        </w:rPr>
      </w:pPr>
      <w:r w:rsidRPr="006F7C54">
        <w:rPr>
          <w:i/>
          <w:iCs/>
        </w:rPr>
        <w:t>In</w:t>
      </w:r>
      <w:r>
        <w:rPr>
          <w:i/>
          <w:iCs/>
        </w:rPr>
        <w:t>surance</w:t>
      </w:r>
      <w:r w:rsidRPr="006F7C54">
        <w:rPr>
          <w:i/>
          <w:iCs/>
        </w:rPr>
        <w:t xml:space="preserve"> Act 19</w:t>
      </w:r>
      <w:r>
        <w:rPr>
          <w:i/>
          <w:iCs/>
        </w:rPr>
        <w:t>73</w:t>
      </w:r>
      <w:r>
        <w:rPr>
          <w:rStyle w:val="References"/>
          <w:b w:val="0"/>
          <w:bCs w:val="0"/>
          <w:i w:val="0"/>
          <w:iCs w:val="0"/>
        </w:rPr>
        <w:br/>
      </w:r>
      <w:bookmarkStart w:id="73" w:name="_Hlk119065338"/>
      <w:r w:rsidRPr="006F7C54">
        <w:rPr>
          <w:rStyle w:val="References"/>
        </w:rPr>
        <w:t xml:space="preserve">[Schedule </w:t>
      </w:r>
      <w:r w:rsidR="00084786">
        <w:rPr>
          <w:rStyle w:val="References"/>
        </w:rPr>
        <w:t>2</w:t>
      </w:r>
      <w:r w:rsidRPr="006F7C54">
        <w:rPr>
          <w:rStyle w:val="References"/>
        </w:rPr>
        <w:t>, item</w:t>
      </w:r>
      <w:r>
        <w:rPr>
          <w:rStyle w:val="References"/>
        </w:rPr>
        <w:t>s</w:t>
      </w:r>
      <w:r w:rsidRPr="006F7C54">
        <w:rPr>
          <w:rStyle w:val="References"/>
        </w:rPr>
        <w:t xml:space="preserve"> </w:t>
      </w:r>
      <w:r w:rsidR="00976A4A">
        <w:rPr>
          <w:rStyle w:val="References"/>
        </w:rPr>
        <w:t>585</w:t>
      </w:r>
      <w:r>
        <w:rPr>
          <w:rStyle w:val="References"/>
        </w:rPr>
        <w:t xml:space="preserve"> to </w:t>
      </w:r>
      <w:r w:rsidR="00976A4A">
        <w:rPr>
          <w:rStyle w:val="References"/>
        </w:rPr>
        <w:t>590</w:t>
      </w:r>
      <w:r w:rsidRPr="006F7C54">
        <w:rPr>
          <w:rStyle w:val="References"/>
        </w:rPr>
        <w:t xml:space="preserve">, </w:t>
      </w:r>
      <w:r>
        <w:rPr>
          <w:rStyle w:val="References"/>
        </w:rPr>
        <w:t>sub</w:t>
      </w:r>
      <w:r w:rsidR="00D20F99">
        <w:rPr>
          <w:rStyle w:val="References"/>
        </w:rPr>
        <w:t>s</w:t>
      </w:r>
      <w:r>
        <w:rPr>
          <w:rStyle w:val="References"/>
        </w:rPr>
        <w:t>ection 3(1)</w:t>
      </w:r>
      <w:r w:rsidR="000F4D13">
        <w:rPr>
          <w:rStyle w:val="References"/>
        </w:rPr>
        <w:t xml:space="preserve"> and</w:t>
      </w:r>
      <w:r w:rsidR="00D20F99">
        <w:rPr>
          <w:rStyle w:val="References"/>
        </w:rPr>
        <w:t xml:space="preserve"> paragraph 3A(2)(a)</w:t>
      </w:r>
      <w:r>
        <w:rPr>
          <w:rStyle w:val="References"/>
        </w:rPr>
        <w:t xml:space="preserve"> </w:t>
      </w:r>
      <w:r w:rsidRPr="006F7C54">
        <w:rPr>
          <w:rStyle w:val="References"/>
        </w:rPr>
        <w:t xml:space="preserve">of </w:t>
      </w:r>
      <w:r>
        <w:rPr>
          <w:rStyle w:val="References"/>
        </w:rPr>
        <w:t>the Insurance Act 1973]</w:t>
      </w:r>
      <w:bookmarkEnd w:id="73"/>
    </w:p>
    <w:p w14:paraId="13E84ECC" w14:textId="7C2E3B8B" w:rsidR="00D20F99" w:rsidRPr="00510918" w:rsidRDefault="00D20F99" w:rsidP="00956D20">
      <w:pPr>
        <w:pStyle w:val="Dotpoint1"/>
        <w:rPr>
          <w:rStyle w:val="References"/>
          <w:b w:val="0"/>
          <w:bCs w:val="0"/>
          <w:i w:val="0"/>
          <w:iCs w:val="0"/>
        </w:rPr>
      </w:pPr>
      <w:r w:rsidRPr="006F7C54">
        <w:rPr>
          <w:i/>
          <w:iCs/>
        </w:rPr>
        <w:t>In</w:t>
      </w:r>
      <w:r>
        <w:rPr>
          <w:i/>
          <w:iCs/>
        </w:rPr>
        <w:t>surance</w:t>
      </w:r>
      <w:r w:rsidRPr="006F7C54">
        <w:rPr>
          <w:i/>
          <w:iCs/>
        </w:rPr>
        <w:t xml:space="preserve"> </w:t>
      </w:r>
      <w:r>
        <w:rPr>
          <w:i/>
          <w:iCs/>
        </w:rPr>
        <w:t xml:space="preserve">Contracts </w:t>
      </w:r>
      <w:r w:rsidRPr="006F7C54">
        <w:rPr>
          <w:i/>
          <w:iCs/>
        </w:rPr>
        <w:t>Act 19</w:t>
      </w:r>
      <w:r>
        <w:rPr>
          <w:i/>
          <w:iCs/>
        </w:rPr>
        <w:t>84</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item</w:t>
      </w:r>
      <w:r>
        <w:rPr>
          <w:rStyle w:val="References"/>
        </w:rPr>
        <w:t>s</w:t>
      </w:r>
      <w:r w:rsidRPr="006F7C54">
        <w:rPr>
          <w:rStyle w:val="References"/>
        </w:rPr>
        <w:t xml:space="preserve"> </w:t>
      </w:r>
      <w:r w:rsidR="004B0795">
        <w:rPr>
          <w:rStyle w:val="References"/>
        </w:rPr>
        <w:t>591 to 592,</w:t>
      </w:r>
      <w:r w:rsidRPr="006F7C54">
        <w:rPr>
          <w:rStyle w:val="References"/>
        </w:rPr>
        <w:t xml:space="preserve"> </w:t>
      </w:r>
      <w:r>
        <w:rPr>
          <w:rStyle w:val="References"/>
        </w:rPr>
        <w:t xml:space="preserve">subsections 14A(2) and (3) </w:t>
      </w:r>
      <w:r w:rsidRPr="006F7C54">
        <w:rPr>
          <w:rStyle w:val="References"/>
        </w:rPr>
        <w:t xml:space="preserve">of </w:t>
      </w:r>
      <w:r>
        <w:rPr>
          <w:rStyle w:val="References"/>
        </w:rPr>
        <w:t>the Insurance Contracts Act 1984]</w:t>
      </w:r>
    </w:p>
    <w:p w14:paraId="792749B3" w14:textId="3BB95BEB" w:rsidR="00D20F99" w:rsidRPr="00510918" w:rsidRDefault="00D20F99" w:rsidP="00956D20">
      <w:pPr>
        <w:pStyle w:val="Dotpoint1"/>
        <w:rPr>
          <w:rStyle w:val="References"/>
          <w:b w:val="0"/>
          <w:bCs w:val="0"/>
          <w:i w:val="0"/>
          <w:iCs w:val="0"/>
        </w:rPr>
      </w:pPr>
      <w:r w:rsidRPr="006F7C54">
        <w:rPr>
          <w:i/>
          <w:iCs/>
        </w:rPr>
        <w:t>In</w:t>
      </w:r>
      <w:r>
        <w:rPr>
          <w:i/>
          <w:iCs/>
        </w:rPr>
        <w:t xml:space="preserve">teractive Gambling </w:t>
      </w:r>
      <w:r w:rsidRPr="006F7C54">
        <w:rPr>
          <w:i/>
          <w:iCs/>
        </w:rPr>
        <w:t xml:space="preserve">Act </w:t>
      </w:r>
      <w:r>
        <w:rPr>
          <w:i/>
          <w:iCs/>
        </w:rPr>
        <w:t>2001</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xml:space="preserve">, item </w:t>
      </w:r>
      <w:r w:rsidR="00F761F9">
        <w:rPr>
          <w:rStyle w:val="References"/>
        </w:rPr>
        <w:t>593</w:t>
      </w:r>
      <w:r w:rsidRPr="006F7C54">
        <w:rPr>
          <w:rStyle w:val="References"/>
        </w:rPr>
        <w:t xml:space="preserve">, </w:t>
      </w:r>
      <w:r>
        <w:rPr>
          <w:rStyle w:val="References"/>
        </w:rPr>
        <w:t xml:space="preserve">paragraph 5(3)(b) </w:t>
      </w:r>
      <w:r w:rsidRPr="006F7C54">
        <w:rPr>
          <w:rStyle w:val="References"/>
        </w:rPr>
        <w:t xml:space="preserve">of </w:t>
      </w:r>
      <w:r>
        <w:rPr>
          <w:rStyle w:val="References"/>
        </w:rPr>
        <w:t>the Interactive Gambling Act 2001]</w:t>
      </w:r>
    </w:p>
    <w:p w14:paraId="1ED5017A" w14:textId="7DABBBCE" w:rsidR="00D20F99" w:rsidRPr="00972842" w:rsidRDefault="000F4D13" w:rsidP="00956D20">
      <w:pPr>
        <w:pStyle w:val="Dotpoint1"/>
        <w:rPr>
          <w:rStyle w:val="References"/>
          <w:b w:val="0"/>
          <w:bCs w:val="0"/>
          <w:i w:val="0"/>
          <w:iCs w:val="0"/>
        </w:rPr>
      </w:pPr>
      <w:r>
        <w:rPr>
          <w:i/>
          <w:iCs/>
        </w:rPr>
        <w:t xml:space="preserve">Life Insurance </w:t>
      </w:r>
      <w:r w:rsidRPr="006F7C54">
        <w:rPr>
          <w:i/>
          <w:iCs/>
        </w:rPr>
        <w:t xml:space="preserve">Act </w:t>
      </w:r>
      <w:r>
        <w:rPr>
          <w:i/>
          <w:iCs/>
        </w:rPr>
        <w:t>1995</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xml:space="preserve">, item </w:t>
      </w:r>
      <w:r w:rsidR="00F761F9">
        <w:rPr>
          <w:rStyle w:val="References"/>
        </w:rPr>
        <w:t>594 to 597</w:t>
      </w:r>
      <w:r w:rsidRPr="006F7C54">
        <w:rPr>
          <w:rStyle w:val="References"/>
        </w:rPr>
        <w:t xml:space="preserve">, </w:t>
      </w:r>
      <w:r>
        <w:rPr>
          <w:rStyle w:val="References"/>
        </w:rPr>
        <w:t xml:space="preserve">section 230AAB </w:t>
      </w:r>
      <w:r w:rsidR="000B1292">
        <w:rPr>
          <w:rStyle w:val="References"/>
        </w:rPr>
        <w:t xml:space="preserve">and Dictionary </w:t>
      </w:r>
      <w:r w:rsidRPr="006F7C54">
        <w:rPr>
          <w:rStyle w:val="References"/>
        </w:rPr>
        <w:t xml:space="preserve">of </w:t>
      </w:r>
      <w:r>
        <w:rPr>
          <w:rStyle w:val="References"/>
        </w:rPr>
        <w:t xml:space="preserve">the </w:t>
      </w:r>
      <w:r w:rsidR="000B1292">
        <w:rPr>
          <w:rStyle w:val="References"/>
        </w:rPr>
        <w:t>Life Insurance</w:t>
      </w:r>
      <w:r>
        <w:rPr>
          <w:rStyle w:val="References"/>
        </w:rPr>
        <w:t xml:space="preserve"> Act</w:t>
      </w:r>
      <w:r w:rsidR="000B1292">
        <w:rPr>
          <w:rStyle w:val="References"/>
        </w:rPr>
        <w:t xml:space="preserve"> 1995</w:t>
      </w:r>
      <w:r>
        <w:rPr>
          <w:rStyle w:val="References"/>
        </w:rPr>
        <w:t>]</w:t>
      </w:r>
    </w:p>
    <w:p w14:paraId="72A8FC77" w14:textId="107BAB01" w:rsidR="00D23743" w:rsidRPr="006F7C54" w:rsidRDefault="00D23743" w:rsidP="00D23743">
      <w:pPr>
        <w:pStyle w:val="Dotpoint1"/>
        <w:numPr>
          <w:ilvl w:val="0"/>
          <w:numId w:val="8"/>
        </w:numPr>
        <w:ind w:left="1418" w:hanging="709"/>
        <w:rPr>
          <w:rStyle w:val="References"/>
          <w:b w:val="0"/>
          <w:bCs w:val="0"/>
          <w:i w:val="0"/>
          <w:iCs w:val="0"/>
        </w:rPr>
      </w:pPr>
      <w:r w:rsidRPr="00CE15A1">
        <w:rPr>
          <w:i/>
          <w:iCs/>
        </w:rPr>
        <w:t xml:space="preserve">Medibank </w:t>
      </w:r>
      <w:r>
        <w:rPr>
          <w:i/>
          <w:iCs/>
        </w:rPr>
        <w:t xml:space="preserve">Private Sale </w:t>
      </w:r>
      <w:r w:rsidRPr="006F7C54">
        <w:rPr>
          <w:i/>
          <w:iCs/>
        </w:rPr>
        <w:t xml:space="preserve">Act </w:t>
      </w:r>
      <w:r>
        <w:rPr>
          <w:i/>
          <w:iCs/>
        </w:rPr>
        <w:t>2006</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item</w:t>
      </w:r>
      <w:r>
        <w:rPr>
          <w:rStyle w:val="References"/>
        </w:rPr>
        <w:t>s</w:t>
      </w:r>
      <w:r w:rsidRPr="006F7C54">
        <w:rPr>
          <w:rStyle w:val="References"/>
        </w:rPr>
        <w:t xml:space="preserve"> </w:t>
      </w:r>
      <w:r w:rsidR="00396599">
        <w:rPr>
          <w:rStyle w:val="References"/>
        </w:rPr>
        <w:t>598</w:t>
      </w:r>
      <w:r>
        <w:rPr>
          <w:rStyle w:val="References"/>
        </w:rPr>
        <w:t xml:space="preserve"> and </w:t>
      </w:r>
      <w:r w:rsidR="00396599">
        <w:rPr>
          <w:rStyle w:val="References"/>
        </w:rPr>
        <w:t>599</w:t>
      </w:r>
      <w:r w:rsidRPr="006F7C54">
        <w:rPr>
          <w:rStyle w:val="References"/>
        </w:rPr>
        <w:t xml:space="preserve">, </w:t>
      </w:r>
      <w:r>
        <w:rPr>
          <w:rStyle w:val="References"/>
        </w:rPr>
        <w:t xml:space="preserve">clause 1 and subclause 6(8) of Schedule 2 </w:t>
      </w:r>
      <w:r w:rsidRPr="006F7C54">
        <w:rPr>
          <w:rStyle w:val="References"/>
        </w:rPr>
        <w:t xml:space="preserve">of </w:t>
      </w:r>
      <w:r>
        <w:rPr>
          <w:rStyle w:val="References"/>
        </w:rPr>
        <w:t>the Medibank Private Sale Act 2006]</w:t>
      </w:r>
    </w:p>
    <w:p w14:paraId="316D0158" w14:textId="6F1554D1" w:rsidR="00D23743" w:rsidRPr="00510918" w:rsidRDefault="00D23743" w:rsidP="00956D20">
      <w:pPr>
        <w:pStyle w:val="Dotpoint1"/>
        <w:numPr>
          <w:ilvl w:val="0"/>
          <w:numId w:val="8"/>
        </w:numPr>
        <w:ind w:left="1418" w:hanging="709"/>
        <w:rPr>
          <w:rStyle w:val="References"/>
          <w:b w:val="0"/>
          <w:bCs w:val="0"/>
          <w:i w:val="0"/>
          <w:iCs w:val="0"/>
        </w:rPr>
      </w:pPr>
      <w:r>
        <w:rPr>
          <w:i/>
          <w:iCs/>
        </w:rPr>
        <w:t xml:space="preserve">Medical Indemnity </w:t>
      </w:r>
      <w:r w:rsidRPr="006F7C54">
        <w:rPr>
          <w:i/>
          <w:iCs/>
        </w:rPr>
        <w:t xml:space="preserve">Act </w:t>
      </w:r>
      <w:r>
        <w:rPr>
          <w:i/>
          <w:iCs/>
        </w:rPr>
        <w:t>2002</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xml:space="preserve">, item </w:t>
      </w:r>
      <w:r w:rsidR="00CE15A1">
        <w:rPr>
          <w:rStyle w:val="References"/>
        </w:rPr>
        <w:t>600</w:t>
      </w:r>
      <w:r w:rsidRPr="006F7C54">
        <w:rPr>
          <w:rStyle w:val="References"/>
        </w:rPr>
        <w:t xml:space="preserve">, </w:t>
      </w:r>
      <w:r>
        <w:rPr>
          <w:rStyle w:val="References"/>
        </w:rPr>
        <w:t xml:space="preserve">subsection 4(1) </w:t>
      </w:r>
      <w:r w:rsidRPr="006F7C54">
        <w:rPr>
          <w:rStyle w:val="References"/>
        </w:rPr>
        <w:t xml:space="preserve">of </w:t>
      </w:r>
      <w:r>
        <w:rPr>
          <w:rStyle w:val="References"/>
        </w:rPr>
        <w:t>the Medi</w:t>
      </w:r>
      <w:r w:rsidR="00D61A54">
        <w:rPr>
          <w:rStyle w:val="References"/>
        </w:rPr>
        <w:t xml:space="preserve">cal Indemnity </w:t>
      </w:r>
      <w:r>
        <w:rPr>
          <w:rStyle w:val="References"/>
        </w:rPr>
        <w:t>Act 200</w:t>
      </w:r>
      <w:r w:rsidR="00D61A54">
        <w:rPr>
          <w:rStyle w:val="References"/>
        </w:rPr>
        <w:t>2</w:t>
      </w:r>
      <w:r>
        <w:rPr>
          <w:rStyle w:val="References"/>
        </w:rPr>
        <w:t>]</w:t>
      </w:r>
    </w:p>
    <w:p w14:paraId="55ED8CB1" w14:textId="29C1D5AE" w:rsidR="00D61A54" w:rsidRPr="00510918" w:rsidRDefault="00D61A54" w:rsidP="00956D20">
      <w:pPr>
        <w:pStyle w:val="Dotpoint1"/>
        <w:numPr>
          <w:ilvl w:val="0"/>
          <w:numId w:val="8"/>
        </w:numPr>
        <w:ind w:left="1418" w:hanging="709"/>
        <w:rPr>
          <w:rStyle w:val="References"/>
          <w:b w:val="0"/>
          <w:bCs w:val="0"/>
          <w:i w:val="0"/>
          <w:iCs w:val="0"/>
        </w:rPr>
      </w:pPr>
      <w:r>
        <w:rPr>
          <w:i/>
          <w:iCs/>
        </w:rPr>
        <w:t xml:space="preserve">Medical Indemnity (Prudential Supervision and Product Standards) </w:t>
      </w:r>
      <w:r w:rsidRPr="006F7C54">
        <w:rPr>
          <w:i/>
          <w:iCs/>
        </w:rPr>
        <w:t xml:space="preserve">Act </w:t>
      </w:r>
      <w:r>
        <w:rPr>
          <w:i/>
          <w:iCs/>
        </w:rPr>
        <w:t>2003</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xml:space="preserve">, item </w:t>
      </w:r>
      <w:r w:rsidR="00CE15A1">
        <w:rPr>
          <w:rStyle w:val="References"/>
        </w:rPr>
        <w:t>601</w:t>
      </w:r>
      <w:r w:rsidRPr="006F7C54">
        <w:rPr>
          <w:rStyle w:val="References"/>
        </w:rPr>
        <w:t xml:space="preserve">, </w:t>
      </w:r>
      <w:r>
        <w:rPr>
          <w:rStyle w:val="References"/>
        </w:rPr>
        <w:t xml:space="preserve">subsection 4(1) </w:t>
      </w:r>
      <w:r w:rsidRPr="006F7C54">
        <w:rPr>
          <w:rStyle w:val="References"/>
        </w:rPr>
        <w:t xml:space="preserve">of </w:t>
      </w:r>
      <w:r>
        <w:rPr>
          <w:rStyle w:val="References"/>
        </w:rPr>
        <w:t>the Medical Indemnity (Prudential Supervision and Product Standards) Act 2002]</w:t>
      </w:r>
    </w:p>
    <w:p w14:paraId="02ADB506" w14:textId="7B6B2804" w:rsidR="00D61A54" w:rsidRPr="00510918" w:rsidRDefault="00D61A54" w:rsidP="00956D20">
      <w:pPr>
        <w:pStyle w:val="Dotpoint1"/>
        <w:numPr>
          <w:ilvl w:val="0"/>
          <w:numId w:val="8"/>
        </w:numPr>
        <w:ind w:left="1418" w:hanging="709"/>
        <w:rPr>
          <w:rStyle w:val="References"/>
          <w:b w:val="0"/>
          <w:bCs w:val="0"/>
          <w:i w:val="0"/>
          <w:iCs w:val="0"/>
        </w:rPr>
      </w:pPr>
      <w:r>
        <w:rPr>
          <w:i/>
          <w:iCs/>
        </w:rPr>
        <w:t xml:space="preserve">Medical Research Future Fund </w:t>
      </w:r>
      <w:r w:rsidRPr="006F7C54">
        <w:rPr>
          <w:i/>
          <w:iCs/>
        </w:rPr>
        <w:t xml:space="preserve">Act </w:t>
      </w:r>
      <w:r>
        <w:rPr>
          <w:i/>
          <w:iCs/>
        </w:rPr>
        <w:t>2015</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sidRPr="00AD5FAD">
        <w:rPr>
          <w:rStyle w:val="References"/>
        </w:rPr>
        <w:t xml:space="preserve"> </w:t>
      </w:r>
      <w:r w:rsidR="00CE15A1">
        <w:rPr>
          <w:rStyle w:val="References"/>
        </w:rPr>
        <w:t>602</w:t>
      </w:r>
      <w:r w:rsidRPr="00B1690A">
        <w:rPr>
          <w:rStyle w:val="References"/>
        </w:rPr>
        <w:t xml:space="preserve">, </w:t>
      </w:r>
      <w:r w:rsidRPr="00607D01">
        <w:rPr>
          <w:rStyle w:val="References"/>
        </w:rPr>
        <w:t>se</w:t>
      </w:r>
      <w:r w:rsidRPr="003C752E">
        <w:rPr>
          <w:rStyle w:val="References"/>
        </w:rPr>
        <w:t>c</w:t>
      </w:r>
      <w:r w:rsidRPr="00ED5EF9">
        <w:rPr>
          <w:rStyle w:val="References"/>
        </w:rPr>
        <w:t>tio</w:t>
      </w:r>
      <w:r w:rsidRPr="00373626">
        <w:rPr>
          <w:rStyle w:val="References"/>
        </w:rPr>
        <w:t xml:space="preserve">n </w:t>
      </w:r>
      <w:r w:rsidRPr="00D61A54">
        <w:rPr>
          <w:rStyle w:val="References"/>
        </w:rPr>
        <w:t xml:space="preserve">5 of the </w:t>
      </w:r>
      <w:r w:rsidRPr="00510918">
        <w:rPr>
          <w:b/>
          <w:bCs/>
          <w:i/>
          <w:iCs/>
        </w:rPr>
        <w:t>Medical Research Future Fund Act 2015</w:t>
      </w:r>
      <w:r w:rsidRPr="00D61A54">
        <w:rPr>
          <w:rStyle w:val="References"/>
        </w:rPr>
        <w:t>]</w:t>
      </w:r>
    </w:p>
    <w:p w14:paraId="0C451E45" w14:textId="240164D1" w:rsidR="00D61A54" w:rsidRPr="00510918" w:rsidRDefault="00D61A54" w:rsidP="00956D20">
      <w:pPr>
        <w:pStyle w:val="Dotpoint1"/>
        <w:numPr>
          <w:ilvl w:val="0"/>
          <w:numId w:val="8"/>
        </w:numPr>
        <w:ind w:left="1418" w:hanging="709"/>
        <w:rPr>
          <w:rStyle w:val="References"/>
          <w:b w:val="0"/>
          <w:bCs w:val="0"/>
          <w:i w:val="0"/>
          <w:iCs w:val="0"/>
        </w:rPr>
      </w:pPr>
      <w:r>
        <w:rPr>
          <w:i/>
          <w:iCs/>
        </w:rPr>
        <w:t>National Broadband Network Companies Act 2011</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Pr>
          <w:rStyle w:val="References"/>
        </w:rPr>
        <w:t>s</w:t>
      </w:r>
      <w:r w:rsidRPr="006F7C54">
        <w:rPr>
          <w:rStyle w:val="References"/>
        </w:rPr>
        <w:t xml:space="preserve"> </w:t>
      </w:r>
      <w:r w:rsidR="00CE15A1">
        <w:rPr>
          <w:rStyle w:val="References"/>
        </w:rPr>
        <w:t>603-605</w:t>
      </w:r>
      <w:r>
        <w:rPr>
          <w:rStyle w:val="References"/>
        </w:rPr>
        <w:t xml:space="preserve"> to 2</w:t>
      </w:r>
      <w:r w:rsidRPr="006F7C54">
        <w:rPr>
          <w:rStyle w:val="References"/>
        </w:rPr>
        <w:t>, section 5</w:t>
      </w:r>
      <w:r>
        <w:rPr>
          <w:rStyle w:val="References"/>
        </w:rPr>
        <w:t>, subsection 55(8) and paragraph 60(1)(c)</w:t>
      </w:r>
      <w:r w:rsidRPr="006F7C54">
        <w:rPr>
          <w:rStyle w:val="References"/>
        </w:rPr>
        <w:t xml:space="preserve"> of the </w:t>
      </w:r>
      <w:r>
        <w:rPr>
          <w:b/>
          <w:bCs/>
          <w:i/>
          <w:iCs/>
        </w:rPr>
        <w:t>National Broadband Network Companies Act 2011</w:t>
      </w:r>
      <w:r w:rsidRPr="00D61A54">
        <w:rPr>
          <w:rStyle w:val="References"/>
        </w:rPr>
        <w:t>]</w:t>
      </w:r>
    </w:p>
    <w:p w14:paraId="66EBED38" w14:textId="3F23A313" w:rsidR="00D61A54" w:rsidRPr="00510918" w:rsidRDefault="00AD5FAD" w:rsidP="00956D20">
      <w:pPr>
        <w:pStyle w:val="Dotpoint1"/>
        <w:numPr>
          <w:ilvl w:val="0"/>
          <w:numId w:val="8"/>
        </w:numPr>
        <w:ind w:left="1418" w:hanging="709"/>
        <w:rPr>
          <w:rStyle w:val="References"/>
          <w:b w:val="0"/>
          <w:bCs w:val="0"/>
          <w:i w:val="0"/>
          <w:iCs w:val="0"/>
        </w:rPr>
      </w:pPr>
      <w:r>
        <w:rPr>
          <w:i/>
          <w:iCs/>
        </w:rPr>
        <w:t>National Consumer Credit Protection Act 2009</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Pr>
          <w:rStyle w:val="References"/>
        </w:rPr>
        <w:t>s</w:t>
      </w:r>
      <w:r w:rsidRPr="006F7C54">
        <w:rPr>
          <w:rStyle w:val="References"/>
        </w:rPr>
        <w:t xml:space="preserve"> </w:t>
      </w:r>
      <w:r w:rsidR="00B87D24">
        <w:rPr>
          <w:rStyle w:val="References"/>
        </w:rPr>
        <w:t>606 to 609</w:t>
      </w:r>
      <w:r w:rsidRPr="006F7C54">
        <w:rPr>
          <w:rStyle w:val="References"/>
        </w:rPr>
        <w:t xml:space="preserve">, </w:t>
      </w:r>
      <w:r>
        <w:rPr>
          <w:rStyle w:val="References"/>
        </w:rPr>
        <w:t>sub</w:t>
      </w:r>
      <w:r w:rsidRPr="006F7C54">
        <w:rPr>
          <w:rStyle w:val="References"/>
        </w:rPr>
        <w:t>section</w:t>
      </w:r>
      <w:r>
        <w:rPr>
          <w:rStyle w:val="References"/>
        </w:rPr>
        <w:t>s</w:t>
      </w:r>
      <w:r w:rsidRPr="006F7C54">
        <w:rPr>
          <w:rStyle w:val="References"/>
        </w:rPr>
        <w:t xml:space="preserve"> </w:t>
      </w:r>
      <w:r>
        <w:rPr>
          <w:rStyle w:val="References"/>
        </w:rPr>
        <w:t>5(1) and 204(1) and paragr</w:t>
      </w:r>
      <w:r w:rsidRPr="00AD5FAD">
        <w:rPr>
          <w:rStyle w:val="References"/>
        </w:rPr>
        <w:t>a</w:t>
      </w:r>
      <w:r w:rsidRPr="002130A4">
        <w:rPr>
          <w:rStyle w:val="References"/>
        </w:rPr>
        <w:t>ph 4</w:t>
      </w:r>
      <w:r w:rsidRPr="00B1690A">
        <w:rPr>
          <w:rStyle w:val="References"/>
        </w:rPr>
        <w:t>7(</w:t>
      </w:r>
      <w:r w:rsidRPr="00607D01">
        <w:rPr>
          <w:rStyle w:val="References"/>
        </w:rPr>
        <w:t>1</w:t>
      </w:r>
      <w:r w:rsidRPr="003C752E">
        <w:rPr>
          <w:rStyle w:val="References"/>
        </w:rPr>
        <w:t>)</w:t>
      </w:r>
      <w:r w:rsidRPr="00ED5EF9">
        <w:rPr>
          <w:rStyle w:val="References"/>
        </w:rPr>
        <w:t xml:space="preserve"> </w:t>
      </w:r>
      <w:r w:rsidRPr="00373626">
        <w:rPr>
          <w:rStyle w:val="References"/>
        </w:rPr>
        <w:t xml:space="preserve">of </w:t>
      </w:r>
      <w:r w:rsidRPr="00AD5FAD">
        <w:rPr>
          <w:rStyle w:val="References"/>
        </w:rPr>
        <w:t xml:space="preserve">the </w:t>
      </w:r>
      <w:r w:rsidRPr="00510918">
        <w:rPr>
          <w:b/>
          <w:bCs/>
          <w:i/>
          <w:iCs/>
        </w:rPr>
        <w:t>National Consumer Credit Protection Act 2009</w:t>
      </w:r>
      <w:r w:rsidRPr="00AD5FAD">
        <w:rPr>
          <w:rStyle w:val="References"/>
        </w:rPr>
        <w:t>]</w:t>
      </w:r>
    </w:p>
    <w:p w14:paraId="635E1523" w14:textId="791788E1" w:rsidR="00AD5FAD" w:rsidRPr="00510918" w:rsidRDefault="00AD5FAD" w:rsidP="00AD5FAD">
      <w:pPr>
        <w:pStyle w:val="Dotpoint1"/>
        <w:numPr>
          <w:ilvl w:val="0"/>
          <w:numId w:val="8"/>
        </w:numPr>
        <w:ind w:left="1418" w:hanging="709"/>
        <w:rPr>
          <w:rStyle w:val="References"/>
          <w:b w:val="0"/>
          <w:bCs w:val="0"/>
          <w:i w:val="0"/>
          <w:iCs w:val="0"/>
        </w:rPr>
      </w:pPr>
      <w:r w:rsidRPr="006F7C54">
        <w:rPr>
          <w:i/>
          <w:iCs/>
        </w:rPr>
        <w:lastRenderedPageBreak/>
        <w:t>Payment Systems and Netting Act 1998</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Pr>
          <w:rStyle w:val="References"/>
        </w:rPr>
        <w:t>s</w:t>
      </w:r>
      <w:r w:rsidRPr="006F7C54">
        <w:rPr>
          <w:rStyle w:val="References"/>
        </w:rPr>
        <w:t xml:space="preserve"> </w:t>
      </w:r>
      <w:r w:rsidR="00B87D24">
        <w:rPr>
          <w:rStyle w:val="References"/>
        </w:rPr>
        <w:t>610</w:t>
      </w:r>
      <w:r>
        <w:rPr>
          <w:rStyle w:val="References"/>
        </w:rPr>
        <w:t xml:space="preserve"> to </w:t>
      </w:r>
      <w:r w:rsidR="00B87D24">
        <w:rPr>
          <w:rStyle w:val="References"/>
        </w:rPr>
        <w:t>614</w:t>
      </w:r>
      <w:r w:rsidRPr="006F7C54">
        <w:rPr>
          <w:rStyle w:val="References"/>
        </w:rPr>
        <w:t xml:space="preserve">, section </w:t>
      </w:r>
      <w:proofErr w:type="gramStart"/>
      <w:r>
        <w:rPr>
          <w:rStyle w:val="References"/>
        </w:rPr>
        <w:t>5</w:t>
      </w:r>
      <w:proofErr w:type="gramEnd"/>
      <w:r>
        <w:rPr>
          <w:rStyle w:val="References"/>
        </w:rPr>
        <w:t xml:space="preserve"> and </w:t>
      </w:r>
      <w:r w:rsidR="002130A4">
        <w:rPr>
          <w:rStyle w:val="References"/>
        </w:rPr>
        <w:t>paragraph 10(2)(f)</w:t>
      </w:r>
      <w:r w:rsidRPr="006F7C54">
        <w:rPr>
          <w:rStyle w:val="References"/>
        </w:rPr>
        <w:t xml:space="preserve"> of the </w:t>
      </w:r>
      <w:r w:rsidR="002130A4" w:rsidRPr="00510918">
        <w:rPr>
          <w:b/>
          <w:bCs/>
          <w:i/>
          <w:iCs/>
        </w:rPr>
        <w:t>Payment Systems and Netting Act 1998</w:t>
      </w:r>
      <w:r w:rsidRPr="00AD5FAD">
        <w:rPr>
          <w:rStyle w:val="References"/>
        </w:rPr>
        <w:t>]</w:t>
      </w:r>
    </w:p>
    <w:p w14:paraId="1B22CF08" w14:textId="47845653" w:rsidR="000A3ED7" w:rsidRDefault="002130A4" w:rsidP="002130A4">
      <w:pPr>
        <w:pStyle w:val="Dotpoint1"/>
        <w:numPr>
          <w:ilvl w:val="0"/>
          <w:numId w:val="8"/>
        </w:numPr>
        <w:ind w:left="1418" w:hanging="709"/>
        <w:rPr>
          <w:rStyle w:val="References"/>
          <w:b w:val="0"/>
          <w:bCs w:val="0"/>
          <w:i w:val="0"/>
          <w:iCs w:val="0"/>
        </w:rPr>
      </w:pPr>
      <w:r>
        <w:rPr>
          <w:i/>
          <w:iCs/>
        </w:rPr>
        <w:t>Personal Property Securities Act 2009</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sidRPr="006F7C54">
        <w:rPr>
          <w:rStyle w:val="References"/>
        </w:rPr>
        <w:t xml:space="preserve"> </w:t>
      </w:r>
      <w:r w:rsidR="00D92EE7">
        <w:rPr>
          <w:rStyle w:val="References"/>
        </w:rPr>
        <w:t>615</w:t>
      </w:r>
      <w:r w:rsidRPr="006F7C54">
        <w:rPr>
          <w:rStyle w:val="References"/>
        </w:rPr>
        <w:t xml:space="preserve">, section </w:t>
      </w:r>
      <w:r>
        <w:rPr>
          <w:rStyle w:val="References"/>
        </w:rPr>
        <w:t xml:space="preserve">10 </w:t>
      </w:r>
      <w:r w:rsidRPr="006F7C54">
        <w:rPr>
          <w:rStyle w:val="References"/>
        </w:rPr>
        <w:t xml:space="preserve">of the </w:t>
      </w:r>
      <w:r w:rsidRPr="006F7C54">
        <w:rPr>
          <w:b/>
          <w:bCs/>
          <w:i/>
          <w:iCs/>
        </w:rPr>
        <w:t>Payment Systems and Netting Act 1998</w:t>
      </w:r>
      <w:r w:rsidRPr="00AD5FAD">
        <w:rPr>
          <w:rStyle w:val="References"/>
        </w:rPr>
        <w:t>]</w:t>
      </w:r>
    </w:p>
    <w:p w14:paraId="13B94785" w14:textId="77FFF3E4" w:rsidR="002130A4" w:rsidRPr="00510918" w:rsidRDefault="002130A4" w:rsidP="002130A4">
      <w:pPr>
        <w:pStyle w:val="Dotpoint1"/>
        <w:numPr>
          <w:ilvl w:val="0"/>
          <w:numId w:val="8"/>
        </w:numPr>
        <w:ind w:left="1418" w:hanging="709"/>
        <w:rPr>
          <w:rStyle w:val="References"/>
          <w:b w:val="0"/>
          <w:bCs w:val="0"/>
          <w:i w:val="0"/>
          <w:iCs w:val="0"/>
        </w:rPr>
      </w:pPr>
      <w:r>
        <w:rPr>
          <w:i/>
          <w:iCs/>
        </w:rPr>
        <w:t>Retirement Savings Accounts Act 1997</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sidR="00B1690A">
        <w:rPr>
          <w:rStyle w:val="References"/>
        </w:rPr>
        <w:t>s</w:t>
      </w:r>
      <w:r w:rsidRPr="006F7C54">
        <w:rPr>
          <w:rStyle w:val="References"/>
        </w:rPr>
        <w:t xml:space="preserve"> </w:t>
      </w:r>
      <w:r w:rsidR="00D92EE7">
        <w:rPr>
          <w:rStyle w:val="References"/>
        </w:rPr>
        <w:t>616</w:t>
      </w:r>
      <w:r w:rsidR="00B1690A">
        <w:rPr>
          <w:rStyle w:val="References"/>
        </w:rPr>
        <w:t xml:space="preserve"> to </w:t>
      </w:r>
      <w:r w:rsidR="00D92EE7">
        <w:rPr>
          <w:rStyle w:val="References"/>
        </w:rPr>
        <w:t>619</w:t>
      </w:r>
      <w:r w:rsidRPr="006F7C54">
        <w:rPr>
          <w:rStyle w:val="References"/>
        </w:rPr>
        <w:t xml:space="preserve">, </w:t>
      </w:r>
      <w:r w:rsidR="00B1690A">
        <w:rPr>
          <w:rStyle w:val="References"/>
        </w:rPr>
        <w:t>sub</w:t>
      </w:r>
      <w:r w:rsidRPr="006F7C54">
        <w:rPr>
          <w:rStyle w:val="References"/>
        </w:rPr>
        <w:t>section</w:t>
      </w:r>
      <w:r w:rsidR="00B1690A">
        <w:rPr>
          <w:rStyle w:val="References"/>
        </w:rPr>
        <w:t>s</w:t>
      </w:r>
      <w:r w:rsidRPr="006F7C54">
        <w:rPr>
          <w:rStyle w:val="References"/>
        </w:rPr>
        <w:t xml:space="preserve"> </w:t>
      </w:r>
      <w:r w:rsidR="00B1690A">
        <w:rPr>
          <w:rStyle w:val="References"/>
        </w:rPr>
        <w:t>95(1A), 163(12), 182(1A) and paragraph 47(1)(a)</w:t>
      </w:r>
      <w:r>
        <w:rPr>
          <w:rStyle w:val="References"/>
        </w:rPr>
        <w:t xml:space="preserve"> </w:t>
      </w:r>
      <w:r w:rsidRPr="006F7C54">
        <w:rPr>
          <w:rStyle w:val="References"/>
        </w:rPr>
        <w:t xml:space="preserve">of the </w:t>
      </w:r>
      <w:r w:rsidR="00B1690A">
        <w:rPr>
          <w:b/>
          <w:bCs/>
          <w:i/>
          <w:iCs/>
        </w:rPr>
        <w:t xml:space="preserve">Retirement Savings Accounts Act </w:t>
      </w:r>
      <w:r w:rsidRPr="006F7C54">
        <w:rPr>
          <w:b/>
          <w:bCs/>
          <w:i/>
          <w:iCs/>
        </w:rPr>
        <w:t>199</w:t>
      </w:r>
      <w:r w:rsidR="00B1690A">
        <w:rPr>
          <w:b/>
          <w:bCs/>
          <w:i/>
          <w:iCs/>
        </w:rPr>
        <w:t>7</w:t>
      </w:r>
      <w:r w:rsidRPr="00AD5FAD">
        <w:rPr>
          <w:rStyle w:val="References"/>
        </w:rPr>
        <w:t>]</w:t>
      </w:r>
    </w:p>
    <w:p w14:paraId="520C2394" w14:textId="604A9625" w:rsidR="00B1690A" w:rsidRPr="00510918" w:rsidRDefault="00B1690A" w:rsidP="002130A4">
      <w:pPr>
        <w:pStyle w:val="Dotpoint1"/>
        <w:numPr>
          <w:ilvl w:val="0"/>
          <w:numId w:val="8"/>
        </w:numPr>
        <w:ind w:left="1418" w:hanging="709"/>
        <w:rPr>
          <w:rStyle w:val="References"/>
          <w:b w:val="0"/>
          <w:bCs w:val="0"/>
          <w:i w:val="0"/>
          <w:iCs w:val="0"/>
        </w:rPr>
      </w:pPr>
      <w:r>
        <w:rPr>
          <w:i/>
          <w:iCs/>
        </w:rPr>
        <w:t>Security of Critical Infrastructure Act 2018</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Pr>
          <w:rStyle w:val="References"/>
        </w:rPr>
        <w:t>s</w:t>
      </w:r>
      <w:r w:rsidRPr="006F7C54">
        <w:rPr>
          <w:rStyle w:val="References"/>
        </w:rPr>
        <w:t xml:space="preserve"> </w:t>
      </w:r>
      <w:r>
        <w:rPr>
          <w:rStyle w:val="References"/>
        </w:rPr>
        <w:t>SCI1 to SCI7</w:t>
      </w:r>
      <w:r w:rsidRPr="006F7C54">
        <w:rPr>
          <w:rStyle w:val="References"/>
        </w:rPr>
        <w:t xml:space="preserve">, section </w:t>
      </w:r>
      <w:r>
        <w:rPr>
          <w:rStyle w:val="References"/>
        </w:rPr>
        <w:t>5</w:t>
      </w:r>
      <w:r w:rsidR="00607D01">
        <w:rPr>
          <w:rStyle w:val="References"/>
        </w:rPr>
        <w:t xml:space="preserve"> </w:t>
      </w:r>
      <w:r w:rsidRPr="006F7C54">
        <w:rPr>
          <w:rStyle w:val="References"/>
        </w:rPr>
        <w:t xml:space="preserve">of the </w:t>
      </w:r>
      <w:r w:rsidR="00607D01">
        <w:rPr>
          <w:b/>
          <w:bCs/>
          <w:i/>
          <w:iCs/>
        </w:rPr>
        <w:t>Security of Critical Infrastructure Act 2018</w:t>
      </w:r>
      <w:r w:rsidRPr="00AD5FAD">
        <w:rPr>
          <w:rStyle w:val="References"/>
        </w:rPr>
        <w:t>]</w:t>
      </w:r>
    </w:p>
    <w:p w14:paraId="11BB69FD" w14:textId="4B239DDE" w:rsidR="00607D01" w:rsidRPr="00510918" w:rsidRDefault="00607D01" w:rsidP="00607D01">
      <w:pPr>
        <w:pStyle w:val="Dotpoint1"/>
        <w:numPr>
          <w:ilvl w:val="0"/>
          <w:numId w:val="8"/>
        </w:numPr>
        <w:ind w:left="1418" w:hanging="709"/>
        <w:rPr>
          <w:rStyle w:val="References"/>
          <w:b w:val="0"/>
          <w:bCs w:val="0"/>
          <w:i w:val="0"/>
          <w:iCs w:val="0"/>
        </w:rPr>
      </w:pPr>
      <w:r>
        <w:rPr>
          <w:i/>
          <w:iCs/>
        </w:rPr>
        <w:t>Superannuation Contributions Tax (Assessment and Collection) Act 1997</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sidRPr="006F7C54">
        <w:rPr>
          <w:rStyle w:val="References"/>
        </w:rPr>
        <w:t xml:space="preserve"> </w:t>
      </w:r>
      <w:r w:rsidR="00E90C47">
        <w:rPr>
          <w:rStyle w:val="References"/>
        </w:rPr>
        <w:t>628</w:t>
      </w:r>
      <w:r w:rsidRPr="006F7C54">
        <w:rPr>
          <w:rStyle w:val="References"/>
        </w:rPr>
        <w:t xml:space="preserve">, section </w:t>
      </w:r>
      <w:r>
        <w:rPr>
          <w:rStyle w:val="References"/>
        </w:rPr>
        <w:t xml:space="preserve">24 (note) </w:t>
      </w:r>
      <w:r w:rsidRPr="006F7C54">
        <w:rPr>
          <w:rStyle w:val="References"/>
        </w:rPr>
        <w:t>of the</w:t>
      </w:r>
      <w:r>
        <w:rPr>
          <w:b/>
          <w:bCs/>
          <w:i/>
          <w:iCs/>
        </w:rPr>
        <w:t xml:space="preserve"> Superannuation Contributions Tax (Assessment and Collection) Act </w:t>
      </w:r>
      <w:r w:rsidRPr="006F7C54">
        <w:rPr>
          <w:b/>
          <w:bCs/>
          <w:i/>
          <w:iCs/>
        </w:rPr>
        <w:t>199</w:t>
      </w:r>
      <w:r>
        <w:rPr>
          <w:b/>
          <w:bCs/>
          <w:i/>
          <w:iCs/>
        </w:rPr>
        <w:t>7</w:t>
      </w:r>
      <w:r w:rsidRPr="00AD5FAD">
        <w:rPr>
          <w:rStyle w:val="References"/>
        </w:rPr>
        <w:t>]</w:t>
      </w:r>
    </w:p>
    <w:p w14:paraId="6A89C41A" w14:textId="6255B9E3" w:rsidR="00607D01" w:rsidRPr="00510918" w:rsidRDefault="00607D01" w:rsidP="00607D01">
      <w:pPr>
        <w:pStyle w:val="Dotpoint1"/>
        <w:numPr>
          <w:ilvl w:val="0"/>
          <w:numId w:val="8"/>
        </w:numPr>
        <w:ind w:left="1418" w:hanging="709"/>
        <w:rPr>
          <w:rStyle w:val="References"/>
          <w:b w:val="0"/>
          <w:bCs w:val="0"/>
          <w:i w:val="0"/>
          <w:iCs w:val="0"/>
        </w:rPr>
      </w:pPr>
      <w:r>
        <w:rPr>
          <w:i/>
          <w:iCs/>
        </w:rPr>
        <w:t>Superannuation Industry (Supervision) Act 1993</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Pr>
          <w:rStyle w:val="References"/>
        </w:rPr>
        <w:t>s</w:t>
      </w:r>
      <w:r w:rsidRPr="006F7C54">
        <w:rPr>
          <w:rStyle w:val="References"/>
        </w:rPr>
        <w:t xml:space="preserve"> </w:t>
      </w:r>
      <w:r w:rsidR="00E90C47">
        <w:rPr>
          <w:rStyle w:val="References"/>
        </w:rPr>
        <w:t>629</w:t>
      </w:r>
      <w:r>
        <w:rPr>
          <w:rStyle w:val="References"/>
        </w:rPr>
        <w:t xml:space="preserve"> to </w:t>
      </w:r>
      <w:r w:rsidR="00E90C47">
        <w:rPr>
          <w:rStyle w:val="References"/>
        </w:rPr>
        <w:t>643</w:t>
      </w:r>
      <w:r w:rsidRPr="006F7C54">
        <w:rPr>
          <w:rStyle w:val="References"/>
        </w:rPr>
        <w:t xml:space="preserve">, </w:t>
      </w:r>
      <w:r>
        <w:rPr>
          <w:rStyle w:val="References"/>
        </w:rPr>
        <w:t>section 38A, sub</w:t>
      </w:r>
      <w:r w:rsidRPr="006F7C54">
        <w:rPr>
          <w:rStyle w:val="References"/>
        </w:rPr>
        <w:t>section</w:t>
      </w:r>
      <w:r>
        <w:rPr>
          <w:rStyle w:val="References"/>
        </w:rPr>
        <w:t>s</w:t>
      </w:r>
      <w:r w:rsidRPr="006F7C54">
        <w:rPr>
          <w:rStyle w:val="References"/>
        </w:rPr>
        <w:t xml:space="preserve"> </w:t>
      </w:r>
      <w:r>
        <w:rPr>
          <w:rStyle w:val="References"/>
        </w:rPr>
        <w:t>10(1), 29SAC(2)</w:t>
      </w:r>
      <w:r w:rsidR="003C752E">
        <w:rPr>
          <w:rStyle w:val="References"/>
        </w:rPr>
        <w:t>, 66(5), 101(1), 101(3) and 242C(2)</w:t>
      </w:r>
      <w:r>
        <w:rPr>
          <w:rStyle w:val="References"/>
        </w:rPr>
        <w:t xml:space="preserve"> </w:t>
      </w:r>
      <w:r w:rsidRPr="006F7C54">
        <w:rPr>
          <w:rStyle w:val="References"/>
        </w:rPr>
        <w:t>of the</w:t>
      </w:r>
      <w:r>
        <w:rPr>
          <w:b/>
          <w:bCs/>
          <w:i/>
          <w:iCs/>
        </w:rPr>
        <w:t xml:space="preserve"> Superannuation Industry (Supervision) Act </w:t>
      </w:r>
      <w:r w:rsidRPr="006F7C54">
        <w:rPr>
          <w:b/>
          <w:bCs/>
          <w:i/>
          <w:iCs/>
        </w:rPr>
        <w:t>199</w:t>
      </w:r>
      <w:r>
        <w:rPr>
          <w:b/>
          <w:bCs/>
          <w:i/>
          <w:iCs/>
        </w:rPr>
        <w:t>3</w:t>
      </w:r>
      <w:r w:rsidRPr="00AD5FAD">
        <w:rPr>
          <w:rStyle w:val="References"/>
        </w:rPr>
        <w:t>]</w:t>
      </w:r>
    </w:p>
    <w:p w14:paraId="4FF1A31E" w14:textId="6F672951" w:rsidR="003C752E" w:rsidRPr="00510918" w:rsidRDefault="003C752E" w:rsidP="00607D01">
      <w:pPr>
        <w:pStyle w:val="Dotpoint1"/>
        <w:numPr>
          <w:ilvl w:val="0"/>
          <w:numId w:val="8"/>
        </w:numPr>
        <w:ind w:left="1418" w:hanging="709"/>
        <w:rPr>
          <w:rStyle w:val="References"/>
          <w:b w:val="0"/>
          <w:bCs w:val="0"/>
          <w:i w:val="0"/>
          <w:iCs w:val="0"/>
        </w:rPr>
      </w:pPr>
      <w:r>
        <w:rPr>
          <w:i/>
          <w:iCs/>
        </w:rPr>
        <w:t>Taxation Administration Act 1953</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Pr>
          <w:rStyle w:val="References"/>
        </w:rPr>
        <w:t>s</w:t>
      </w:r>
      <w:r w:rsidRPr="006F7C54">
        <w:rPr>
          <w:rStyle w:val="References"/>
        </w:rPr>
        <w:t xml:space="preserve"> </w:t>
      </w:r>
      <w:r w:rsidR="00E90C47">
        <w:rPr>
          <w:rStyle w:val="References"/>
        </w:rPr>
        <w:t>646</w:t>
      </w:r>
      <w:r>
        <w:rPr>
          <w:rStyle w:val="References"/>
        </w:rPr>
        <w:t xml:space="preserve"> to </w:t>
      </w:r>
      <w:r w:rsidR="00E90C47">
        <w:rPr>
          <w:rStyle w:val="References"/>
        </w:rPr>
        <w:t>656</w:t>
      </w:r>
      <w:r w:rsidRPr="006F7C54">
        <w:rPr>
          <w:rStyle w:val="References"/>
        </w:rPr>
        <w:t>,</w:t>
      </w:r>
      <w:r>
        <w:rPr>
          <w:rStyle w:val="References"/>
        </w:rPr>
        <w:t xml:space="preserve"> section 155-190 (note),</w:t>
      </w:r>
      <w:r w:rsidRPr="006F7C54">
        <w:rPr>
          <w:rStyle w:val="References"/>
        </w:rPr>
        <w:t xml:space="preserve"> </w:t>
      </w:r>
      <w:r>
        <w:rPr>
          <w:rStyle w:val="References"/>
        </w:rPr>
        <w:t>subsections 133-120(2) (note), 133-140(1) (note), 355-65(3) (note), 390-5(1) (note 2)</w:t>
      </w:r>
      <w:r w:rsidR="00455227">
        <w:rPr>
          <w:rStyle w:val="References"/>
        </w:rPr>
        <w:t xml:space="preserve"> and subparagraph 426-120(2)(b(ii)</w:t>
      </w:r>
      <w:r>
        <w:rPr>
          <w:rStyle w:val="References"/>
        </w:rPr>
        <w:t xml:space="preserve"> of Schedule 1, paragraph</w:t>
      </w:r>
      <w:r w:rsidR="00ED5EF9">
        <w:rPr>
          <w:rStyle w:val="References"/>
        </w:rPr>
        <w:t>s</w:t>
      </w:r>
      <w:r>
        <w:rPr>
          <w:rStyle w:val="References"/>
        </w:rPr>
        <w:t xml:space="preserve"> 396-65(</w:t>
      </w:r>
      <w:r w:rsidR="00ED5EF9">
        <w:rPr>
          <w:rStyle w:val="References"/>
        </w:rPr>
        <w:t>1</w:t>
      </w:r>
      <w:r>
        <w:rPr>
          <w:rStyle w:val="References"/>
        </w:rPr>
        <w:t>)(b)</w:t>
      </w:r>
      <w:r w:rsidR="00ED5EF9">
        <w:rPr>
          <w:rStyle w:val="References"/>
        </w:rPr>
        <w:t xml:space="preserve"> and 396-65(2)(b)</w:t>
      </w:r>
      <w:r>
        <w:rPr>
          <w:rStyle w:val="References"/>
        </w:rPr>
        <w:t xml:space="preserve"> subparagraphs 396-65(1)(b)(</w:t>
      </w:r>
      <w:proofErr w:type="spellStart"/>
      <w:r>
        <w:rPr>
          <w:rStyle w:val="References"/>
        </w:rPr>
        <w:t>i</w:t>
      </w:r>
      <w:proofErr w:type="spellEnd"/>
      <w:r>
        <w:rPr>
          <w:rStyle w:val="References"/>
        </w:rPr>
        <w:t>), 396-65(2)(b)(</w:t>
      </w:r>
      <w:proofErr w:type="spellStart"/>
      <w:r>
        <w:rPr>
          <w:rStyle w:val="References"/>
        </w:rPr>
        <w:t>i</w:t>
      </w:r>
      <w:proofErr w:type="spellEnd"/>
      <w:r>
        <w:rPr>
          <w:rStyle w:val="References"/>
        </w:rPr>
        <w:t>), sub</w:t>
      </w:r>
      <w:r w:rsidRPr="006F7C54">
        <w:rPr>
          <w:rStyle w:val="References"/>
        </w:rPr>
        <w:t>section</w:t>
      </w:r>
      <w:r>
        <w:rPr>
          <w:rStyle w:val="References"/>
        </w:rPr>
        <w:t>s</w:t>
      </w:r>
      <w:r w:rsidRPr="006F7C54">
        <w:rPr>
          <w:rStyle w:val="References"/>
        </w:rPr>
        <w:t xml:space="preserve"> </w:t>
      </w:r>
      <w:r>
        <w:rPr>
          <w:rStyle w:val="References"/>
        </w:rPr>
        <w:t xml:space="preserve">10(1), 29SAC(2), 66(5), 101(1), 101(3) and 242C(2) </w:t>
      </w:r>
      <w:r w:rsidRPr="006F7C54">
        <w:rPr>
          <w:rStyle w:val="References"/>
        </w:rPr>
        <w:t xml:space="preserve">of </w:t>
      </w:r>
      <w:r w:rsidR="00455227">
        <w:rPr>
          <w:rStyle w:val="References"/>
        </w:rPr>
        <w:t>the Taxation Administration</w:t>
      </w:r>
      <w:r>
        <w:rPr>
          <w:b/>
          <w:bCs/>
          <w:i/>
          <w:iCs/>
        </w:rPr>
        <w:t xml:space="preserve"> Act </w:t>
      </w:r>
      <w:r w:rsidRPr="006F7C54">
        <w:rPr>
          <w:b/>
          <w:bCs/>
          <w:i/>
          <w:iCs/>
        </w:rPr>
        <w:t>19</w:t>
      </w:r>
      <w:r w:rsidR="00455227">
        <w:rPr>
          <w:b/>
          <w:bCs/>
          <w:i/>
          <w:iCs/>
        </w:rPr>
        <w:t>5</w:t>
      </w:r>
      <w:r>
        <w:rPr>
          <w:b/>
          <w:bCs/>
          <w:i/>
          <w:iCs/>
        </w:rPr>
        <w:t>3</w:t>
      </w:r>
      <w:r w:rsidRPr="00AD5FAD">
        <w:rPr>
          <w:rStyle w:val="References"/>
        </w:rPr>
        <w:t>]</w:t>
      </w:r>
    </w:p>
    <w:p w14:paraId="061F37F2" w14:textId="597C6CEC" w:rsidR="00455227" w:rsidRPr="00607D01" w:rsidRDefault="00455227" w:rsidP="00607D01">
      <w:pPr>
        <w:pStyle w:val="Dotpoint1"/>
        <w:numPr>
          <w:ilvl w:val="0"/>
          <w:numId w:val="8"/>
        </w:numPr>
        <w:ind w:left="1418" w:hanging="709"/>
        <w:rPr>
          <w:rStyle w:val="References"/>
          <w:b w:val="0"/>
          <w:bCs w:val="0"/>
          <w:i w:val="0"/>
          <w:iCs w:val="0"/>
        </w:rPr>
      </w:pPr>
      <w:r>
        <w:rPr>
          <w:i/>
          <w:iCs/>
        </w:rPr>
        <w:t>Telstra Corporation Act 1991</w:t>
      </w:r>
      <w:r>
        <w:rPr>
          <w:rStyle w:val="References"/>
          <w:b w:val="0"/>
          <w:bCs w:val="0"/>
          <w:i w:val="0"/>
          <w:iCs w:val="0"/>
        </w:rPr>
        <w:br/>
      </w:r>
      <w:r w:rsidRPr="006F7C54">
        <w:rPr>
          <w:rStyle w:val="References"/>
        </w:rPr>
        <w:t xml:space="preserve">[Schedule </w:t>
      </w:r>
      <w:r w:rsidR="00084786">
        <w:rPr>
          <w:rStyle w:val="References"/>
        </w:rPr>
        <w:t>2</w:t>
      </w:r>
      <w:r w:rsidRPr="006F7C54">
        <w:rPr>
          <w:rStyle w:val="References"/>
        </w:rPr>
        <w:t>, it</w:t>
      </w:r>
      <w:r w:rsidRPr="00D61A54">
        <w:rPr>
          <w:rStyle w:val="References"/>
        </w:rPr>
        <w:t>em</w:t>
      </w:r>
      <w:r w:rsidRPr="006F7C54">
        <w:rPr>
          <w:rStyle w:val="References"/>
        </w:rPr>
        <w:t xml:space="preserve"> </w:t>
      </w:r>
      <w:r w:rsidR="00E90C47">
        <w:rPr>
          <w:rStyle w:val="References"/>
        </w:rPr>
        <w:t>657</w:t>
      </w:r>
      <w:r>
        <w:rPr>
          <w:rStyle w:val="References"/>
        </w:rPr>
        <w:t xml:space="preserve"> to </w:t>
      </w:r>
      <w:r w:rsidR="00E90C47">
        <w:rPr>
          <w:rStyle w:val="References"/>
        </w:rPr>
        <w:t>659</w:t>
      </w:r>
      <w:r w:rsidRPr="006F7C54">
        <w:rPr>
          <w:rStyle w:val="References"/>
        </w:rPr>
        <w:t>,</w:t>
      </w:r>
      <w:r>
        <w:rPr>
          <w:rStyle w:val="References"/>
        </w:rPr>
        <w:t xml:space="preserve"> subsection 8AJA(8) and paragraph 8AR(1)(c) of the Telstra Corporation Act 1991]</w:t>
      </w:r>
    </w:p>
    <w:p w14:paraId="499F93E1" w14:textId="3A29E4F8" w:rsidR="009D1B1C" w:rsidRPr="009C6C1F" w:rsidRDefault="00C63849" w:rsidP="00D72CAB">
      <w:pPr>
        <w:pStyle w:val="Normalparatextwithnumbers"/>
      </w:pPr>
      <w:r w:rsidRPr="004E766F">
        <w:rPr>
          <w:rStyle w:val="References"/>
          <w:b w:val="0"/>
          <w:bCs w:val="0"/>
          <w:i w:val="0"/>
          <w:iCs w:val="0"/>
        </w:rPr>
        <w:t xml:space="preserve">The Bill relocates the definition of ‘securities’ </w:t>
      </w:r>
      <w:r w:rsidR="00D31587">
        <w:rPr>
          <w:rStyle w:val="References"/>
          <w:b w:val="0"/>
          <w:bCs w:val="0"/>
          <w:i w:val="0"/>
          <w:iCs w:val="0"/>
        </w:rPr>
        <w:t>in</w:t>
      </w:r>
      <w:r w:rsidRPr="004E766F">
        <w:rPr>
          <w:rStyle w:val="References"/>
          <w:b w:val="0"/>
          <w:bCs w:val="0"/>
          <w:i w:val="0"/>
          <w:iCs w:val="0"/>
        </w:rPr>
        <w:t xml:space="preserve"> the Corporations Act from section 761A to subsection 92(5). Where an Act relies on the definition of ‘securities’ provided by current section 761A of the Corporations Act, this Bill amends that Act to refer to new subsection 92(5) of the Corporations Act.</w:t>
      </w:r>
      <w:r w:rsidRPr="00726D17">
        <w:br/>
      </w:r>
      <w:r w:rsidR="00D31587">
        <w:rPr>
          <w:rStyle w:val="References"/>
        </w:rPr>
        <w:t xml:space="preserve">[Schedule </w:t>
      </w:r>
      <w:r w:rsidR="00084786">
        <w:rPr>
          <w:rStyle w:val="References"/>
        </w:rPr>
        <w:t>2</w:t>
      </w:r>
      <w:r w:rsidR="00D31587">
        <w:rPr>
          <w:rStyle w:val="References"/>
        </w:rPr>
        <w:t xml:space="preserve">, item </w:t>
      </w:r>
      <w:r w:rsidR="000B7FC5">
        <w:rPr>
          <w:rStyle w:val="References"/>
        </w:rPr>
        <w:t>550</w:t>
      </w:r>
      <w:r w:rsidR="00D31587">
        <w:rPr>
          <w:rStyle w:val="References"/>
        </w:rPr>
        <w:t>, section 5 of the Anti-Money Laundering and Counter Terrorism Financing Act 2006</w:t>
      </w:r>
      <w:r w:rsidR="006705EA">
        <w:rPr>
          <w:rStyle w:val="References"/>
        </w:rPr>
        <w:t xml:space="preserve">; item </w:t>
      </w:r>
      <w:r w:rsidR="000B7FC5">
        <w:rPr>
          <w:rStyle w:val="References"/>
        </w:rPr>
        <w:t>599</w:t>
      </w:r>
      <w:r w:rsidR="006705EA">
        <w:rPr>
          <w:rStyle w:val="References"/>
        </w:rPr>
        <w:t xml:space="preserve">, subclause 6(8) of Schedule 2 of the </w:t>
      </w:r>
      <w:r w:rsidR="006705EA" w:rsidRPr="00510918">
        <w:rPr>
          <w:rStyle w:val="References"/>
        </w:rPr>
        <w:t>Medibank Private Sale Act 2006</w:t>
      </w:r>
      <w:r w:rsidR="004154D4">
        <w:rPr>
          <w:rStyle w:val="References"/>
        </w:rPr>
        <w:t xml:space="preserve">; item </w:t>
      </w:r>
      <w:r w:rsidR="000B7FC5">
        <w:rPr>
          <w:rStyle w:val="References"/>
        </w:rPr>
        <w:t>611</w:t>
      </w:r>
      <w:r w:rsidR="004154D4">
        <w:rPr>
          <w:rStyle w:val="References"/>
        </w:rPr>
        <w:t>, section 5 of the Payment Systems and Netting Act 1998</w:t>
      </w:r>
      <w:r w:rsidR="00D31587">
        <w:rPr>
          <w:rStyle w:val="References"/>
        </w:rPr>
        <w:t>]</w:t>
      </w:r>
    </w:p>
    <w:p w14:paraId="396A301A" w14:textId="0610CC38" w:rsidR="00354FE3" w:rsidRPr="00726D17" w:rsidRDefault="006F6E47" w:rsidP="00354FE3">
      <w:pPr>
        <w:pStyle w:val="Normalparatextwithnumbers"/>
      </w:pPr>
      <w:r>
        <w:lastRenderedPageBreak/>
        <w:t>T</w:t>
      </w:r>
      <w:r w:rsidR="00354FE3">
        <w:t xml:space="preserve">he </w:t>
      </w:r>
      <w:r w:rsidR="00354FE3" w:rsidRPr="009C6C1F">
        <w:rPr>
          <w:i/>
        </w:rPr>
        <w:t>Superannuation Industry (Supervision) Act 1993</w:t>
      </w:r>
      <w:r w:rsidR="00354FE3">
        <w:t xml:space="preserve"> </w:t>
      </w:r>
      <w:r>
        <w:t xml:space="preserve">contains a provision which defines the term ‘regulated superannuation fund’ with reference to the definition of ‘regulated superannuation fund’ in </w:t>
      </w:r>
      <w:r w:rsidR="00DB64E1">
        <w:t xml:space="preserve">Chapter 7 of </w:t>
      </w:r>
      <w:r>
        <w:t>the Corporations Act. The Bill amends th</w:t>
      </w:r>
      <w:r w:rsidR="00DB64E1">
        <w:t>is</w:t>
      </w:r>
      <w:r>
        <w:t xml:space="preserve"> provision to remove this reference to the Corporations Act</w:t>
      </w:r>
      <w:r w:rsidR="00DB64E1">
        <w:t xml:space="preserve"> </w:t>
      </w:r>
      <w:r w:rsidR="00D72BF1">
        <w:t>while</w:t>
      </w:r>
      <w:r w:rsidR="00DB64E1">
        <w:t xml:space="preserve"> </w:t>
      </w:r>
      <w:r w:rsidR="00D72BF1">
        <w:t>incorporating</w:t>
      </w:r>
      <w:r w:rsidR="00DB64E1">
        <w:t xml:space="preserve"> the </w:t>
      </w:r>
      <w:r w:rsidR="00D72BF1">
        <w:t>substance</w:t>
      </w:r>
      <w:r w:rsidR="00DB64E1">
        <w:t xml:space="preserve"> of the definition </w:t>
      </w:r>
      <w:r w:rsidR="00D72BF1">
        <w:t>from</w:t>
      </w:r>
      <w:r w:rsidR="00DB64E1">
        <w:t xml:space="preserve"> the Corporations Act</w:t>
      </w:r>
      <w:r w:rsidR="00D72BF1">
        <w:t xml:space="preserve"> into the relevant provision of the </w:t>
      </w:r>
      <w:r w:rsidR="00D72BF1" w:rsidRPr="00D72BF1">
        <w:rPr>
          <w:i/>
          <w:iCs/>
        </w:rPr>
        <w:t>Superannuation Industry (Supervision) Act 1993</w:t>
      </w:r>
      <w:r w:rsidR="00F57C36">
        <w:t>.</w:t>
      </w:r>
      <w:r w:rsidR="00F57C36">
        <w:br/>
      </w:r>
      <w:r w:rsidR="00F57C36" w:rsidRPr="005F0048">
        <w:rPr>
          <w:rStyle w:val="References"/>
        </w:rPr>
        <w:t xml:space="preserve">[Schedule </w:t>
      </w:r>
      <w:r w:rsidR="00084786">
        <w:rPr>
          <w:rStyle w:val="References"/>
        </w:rPr>
        <w:t>2</w:t>
      </w:r>
      <w:r w:rsidR="00F57C36" w:rsidRPr="005F0048">
        <w:rPr>
          <w:rStyle w:val="References"/>
        </w:rPr>
        <w:t>, item</w:t>
      </w:r>
      <w:r w:rsidR="00F57C36">
        <w:rPr>
          <w:rStyle w:val="References"/>
        </w:rPr>
        <w:t>s</w:t>
      </w:r>
      <w:r w:rsidR="00F57C36" w:rsidRPr="005F0048">
        <w:rPr>
          <w:rStyle w:val="References"/>
        </w:rPr>
        <w:t xml:space="preserve"> </w:t>
      </w:r>
      <w:r w:rsidR="007B4903">
        <w:rPr>
          <w:rStyle w:val="References"/>
        </w:rPr>
        <w:t>640 to 641</w:t>
      </w:r>
      <w:r w:rsidR="00F57C36" w:rsidRPr="005F0048">
        <w:rPr>
          <w:rStyle w:val="References"/>
        </w:rPr>
        <w:t xml:space="preserve">, </w:t>
      </w:r>
      <w:r w:rsidR="009C6C1F">
        <w:rPr>
          <w:rStyle w:val="References"/>
        </w:rPr>
        <w:t>subsections 101(1) and 101(3)</w:t>
      </w:r>
      <w:r w:rsidR="00F57C36" w:rsidRPr="005F0048">
        <w:rPr>
          <w:rStyle w:val="References"/>
        </w:rPr>
        <w:t xml:space="preserve"> of </w:t>
      </w:r>
      <w:r w:rsidR="009C6C1F">
        <w:rPr>
          <w:rStyle w:val="References"/>
        </w:rPr>
        <w:t>the Superannuation Industry (Supervision) Act 1993</w:t>
      </w:r>
      <w:r w:rsidR="00F57C36" w:rsidRPr="005F0048">
        <w:rPr>
          <w:rStyle w:val="References"/>
        </w:rPr>
        <w:t xml:space="preserve"> being amended] </w:t>
      </w:r>
      <w:r w:rsidR="00354FE3">
        <w:t xml:space="preserve"> </w:t>
      </w:r>
    </w:p>
    <w:p w14:paraId="1990D64C" w14:textId="67BEFC72" w:rsidR="00C35921" w:rsidRDefault="00C35921" w:rsidP="00C35921">
      <w:pPr>
        <w:pStyle w:val="Normalparatextwithnumbers"/>
      </w:pPr>
      <w:r>
        <w:t xml:space="preserve">Consequential amendments to Regulations are being progressed as a separate tranche of work. They will be released for consultation in early 2023. </w:t>
      </w:r>
    </w:p>
    <w:p w14:paraId="16381479" w14:textId="4E9ACDF2" w:rsidR="00695FAD" w:rsidRDefault="00695FAD" w:rsidP="00695FAD">
      <w:pPr>
        <w:pStyle w:val="Heading2"/>
      </w:pPr>
      <w:bookmarkStart w:id="74" w:name="_Toc119482441"/>
      <w:bookmarkEnd w:id="71"/>
      <w:r w:rsidRPr="00020288" w:rsidDel="00166AC4">
        <w:t xml:space="preserve">Commencement, </w:t>
      </w:r>
      <w:r w:rsidR="00FC591F">
        <w:t>a</w:t>
      </w:r>
      <w:r w:rsidRPr="00AF50CE">
        <w:t>pplication</w:t>
      </w:r>
      <w:r w:rsidRPr="00020288">
        <w:t>, and transitional provisions</w:t>
      </w:r>
      <w:bookmarkEnd w:id="74"/>
    </w:p>
    <w:p w14:paraId="1DE73309" w14:textId="786891C1" w:rsidR="001D743E" w:rsidRPr="001D743E" w:rsidRDefault="00A247B5" w:rsidP="000E3E59">
      <w:pPr>
        <w:pStyle w:val="Normalparatextwithnumbers"/>
        <w:numPr>
          <w:ilvl w:val="1"/>
          <w:numId w:val="41"/>
        </w:numPr>
      </w:pPr>
      <w:r>
        <w:t xml:space="preserve">The Bill </w:t>
      </w:r>
      <w:r w:rsidR="00C2794B" w:rsidRPr="001D743E">
        <w:t xml:space="preserve">ensures ASIC instruments continue to operate as intended notwithstanding the amendments to definitions in the Corporations Act </w:t>
      </w:r>
      <w:r w:rsidR="00E2701C" w:rsidRPr="001D743E">
        <w:t xml:space="preserve">and the ASIC Act </w:t>
      </w:r>
      <w:r w:rsidR="00C2794B" w:rsidRPr="001D743E">
        <w:t>made by the Bill.</w:t>
      </w:r>
      <w:r w:rsidR="001D743E" w:rsidRPr="001D743E">
        <w:t xml:space="preserve"> In particular, r</w:t>
      </w:r>
      <w:r w:rsidR="00E2701C" w:rsidRPr="001D743E">
        <w:t xml:space="preserve">eferences </w:t>
      </w:r>
      <w:r w:rsidR="002B0ECC" w:rsidRPr="001D743E">
        <w:t xml:space="preserve">in ASIC instruments </w:t>
      </w:r>
      <w:r w:rsidR="00E2701C" w:rsidRPr="001D743E">
        <w:t xml:space="preserve">to </w:t>
      </w:r>
    </w:p>
    <w:p w14:paraId="4A520685" w14:textId="1743C4F2" w:rsidR="001D743E" w:rsidRPr="001D743E" w:rsidRDefault="00E2701C" w:rsidP="001D743E">
      <w:pPr>
        <w:pStyle w:val="Dotpoint1"/>
      </w:pPr>
      <w:r w:rsidRPr="001D743E">
        <w:t>definition</w:t>
      </w:r>
      <w:r w:rsidR="002B0ECC" w:rsidRPr="001D743E">
        <w:t>s</w:t>
      </w:r>
      <w:r w:rsidRPr="001D743E">
        <w:t xml:space="preserve"> </w:t>
      </w:r>
      <w:r w:rsidR="002B0ECC" w:rsidRPr="001D743E">
        <w:t xml:space="preserve">that are moved or amended by the Bill are treated </w:t>
      </w:r>
      <w:r w:rsidRPr="001D743E">
        <w:t xml:space="preserve">as referring to the </w:t>
      </w:r>
      <w:r w:rsidR="002B0ECC" w:rsidRPr="001D743E">
        <w:t>new</w:t>
      </w:r>
      <w:r w:rsidRPr="001D743E">
        <w:t xml:space="preserve"> definition</w:t>
      </w:r>
      <w:r w:rsidR="007432C2" w:rsidRPr="001D743E">
        <w:t>; and</w:t>
      </w:r>
    </w:p>
    <w:p w14:paraId="614AB65C" w14:textId="780C0F2A" w:rsidR="007432C2" w:rsidRPr="001D743E" w:rsidRDefault="007432C2" w:rsidP="00B4071A">
      <w:pPr>
        <w:pStyle w:val="Dotpoint1"/>
      </w:pPr>
      <w:r w:rsidRPr="001D743E">
        <w:t xml:space="preserve">repealed definitions </w:t>
      </w:r>
      <w:r w:rsidR="001D743E" w:rsidRPr="001D743E">
        <w:t>(that are not moved or replaced) are t</w:t>
      </w:r>
      <w:r w:rsidRPr="001D743E">
        <w:t>reated as continuing to have effect for the purposes of the instrument as though they had not been repealed.</w:t>
      </w:r>
    </w:p>
    <w:p w14:paraId="0C21762F" w14:textId="050E4507" w:rsidR="00005224" w:rsidRPr="00AD7D3F" w:rsidRDefault="00005224" w:rsidP="00AD7D3F">
      <w:pPr>
        <w:pStyle w:val="Normalparatextwithnumbers"/>
        <w:numPr>
          <w:ilvl w:val="0"/>
          <w:numId w:val="0"/>
        </w:numPr>
        <w:ind w:left="709"/>
        <w:rPr>
          <w:rStyle w:val="References"/>
        </w:rPr>
      </w:pPr>
      <w:r w:rsidRPr="00084786">
        <w:rPr>
          <w:rStyle w:val="References"/>
        </w:rPr>
        <w:t>[</w:t>
      </w:r>
      <w:r w:rsidR="000F3B97" w:rsidRPr="00726D17">
        <w:rPr>
          <w:rStyle w:val="References"/>
        </w:rPr>
        <w:t xml:space="preserve">Schedule </w:t>
      </w:r>
      <w:r w:rsidR="00084786">
        <w:rPr>
          <w:rStyle w:val="References"/>
        </w:rPr>
        <w:t>2</w:t>
      </w:r>
      <w:r w:rsidR="000F3B97" w:rsidRPr="00726D17">
        <w:rPr>
          <w:rStyle w:val="References"/>
        </w:rPr>
        <w:t xml:space="preserve">, item </w:t>
      </w:r>
      <w:r w:rsidR="007B4903">
        <w:rPr>
          <w:rStyle w:val="References"/>
        </w:rPr>
        <w:t>541</w:t>
      </w:r>
      <w:r w:rsidR="000F3B97" w:rsidRPr="00726D17">
        <w:rPr>
          <w:rStyle w:val="References"/>
        </w:rPr>
        <w:t>, section</w:t>
      </w:r>
      <w:r w:rsidR="000F3B97">
        <w:rPr>
          <w:rStyle w:val="References"/>
        </w:rPr>
        <w:t>s 344B, 344C and</w:t>
      </w:r>
      <w:r w:rsidR="000F3B97" w:rsidRPr="00726D17">
        <w:rPr>
          <w:rStyle w:val="References"/>
        </w:rPr>
        <w:t xml:space="preserve"> 344D of the ASIC Act; item 2005, section</w:t>
      </w:r>
      <w:r w:rsidR="000F3B97">
        <w:rPr>
          <w:rStyle w:val="References"/>
        </w:rPr>
        <w:t>s</w:t>
      </w:r>
      <w:r w:rsidR="000F3B97" w:rsidRPr="00726D17">
        <w:rPr>
          <w:rStyle w:val="References"/>
        </w:rPr>
        <w:t xml:space="preserve"> </w:t>
      </w:r>
      <w:r w:rsidR="000F3B97">
        <w:rPr>
          <w:rStyle w:val="References"/>
        </w:rPr>
        <w:t xml:space="preserve">1698B, 1698C, 1698D and </w:t>
      </w:r>
      <w:r w:rsidR="000F3B97" w:rsidRPr="00726D17">
        <w:rPr>
          <w:rStyle w:val="References"/>
        </w:rPr>
        <w:t xml:space="preserve">1698E of the </w:t>
      </w:r>
      <w:r w:rsidR="000F3B97">
        <w:rPr>
          <w:rStyle w:val="References"/>
        </w:rPr>
        <w:t>Corporations</w:t>
      </w:r>
      <w:r w:rsidR="000F3B97" w:rsidRPr="00726D17">
        <w:rPr>
          <w:rStyle w:val="References"/>
        </w:rPr>
        <w:t xml:space="preserve"> Act</w:t>
      </w:r>
      <w:r w:rsidRPr="00084786">
        <w:rPr>
          <w:rStyle w:val="References"/>
        </w:rPr>
        <w:t xml:space="preserve">] </w:t>
      </w:r>
    </w:p>
    <w:p w14:paraId="33F44706" w14:textId="2B9EDB08" w:rsidR="00AE1EC8" w:rsidRDefault="00077274" w:rsidP="00AE1EC8">
      <w:pPr>
        <w:pStyle w:val="Normalparatextwithnumbers"/>
        <w:numPr>
          <w:ilvl w:val="1"/>
          <w:numId w:val="41"/>
        </w:numPr>
      </w:pPr>
      <w:r w:rsidRPr="00726D17">
        <w:rPr>
          <w:noProof/>
        </w:rPr>
        <w:t>The</w:t>
      </w:r>
      <w:r w:rsidRPr="00726D17" w:rsidDel="006E1F68">
        <w:rPr>
          <w:noProof/>
        </w:rPr>
        <w:t xml:space="preserve"> </w:t>
      </w:r>
      <w:r w:rsidRPr="00726D17">
        <w:rPr>
          <w:noProof/>
        </w:rPr>
        <w:t xml:space="preserve">Bill </w:t>
      </w:r>
      <w:r w:rsidR="001A2541">
        <w:t>also includes a savings provision to ensure that the amendments relating to the AIA do not alter the calculation of time for p</w:t>
      </w:r>
      <w:r w:rsidRPr="00726D17">
        <w:t>eriod</w:t>
      </w:r>
      <w:r w:rsidR="00AE1EC8">
        <w:t>s</w:t>
      </w:r>
      <w:r w:rsidRPr="00726D17">
        <w:t xml:space="preserve"> which starts before </w:t>
      </w:r>
      <w:r w:rsidR="003A3266" w:rsidRPr="00726D17">
        <w:t xml:space="preserve">the </w:t>
      </w:r>
      <w:r w:rsidRPr="00726D17">
        <w:t xml:space="preserve">commencement </w:t>
      </w:r>
      <w:r w:rsidR="003A3266" w:rsidRPr="00726D17">
        <w:t xml:space="preserve">of </w:t>
      </w:r>
      <w:r w:rsidR="004729E9" w:rsidRPr="00726D17">
        <w:t>the Bill</w:t>
      </w:r>
      <w:r w:rsidRPr="00726D17">
        <w:t xml:space="preserve">. </w:t>
      </w:r>
      <w:r w:rsidR="008F54A7">
        <w:t xml:space="preserve">This is significant for time periods in ASIC instruments. It has no practical effect for time periods in the ASIC Act, Corporations Act or regulations made under those Acts as the amendments in this Bill preserve the status quo. </w:t>
      </w:r>
      <w:r w:rsidR="00370F01">
        <w:br/>
      </w:r>
      <w:r w:rsidR="00370F01" w:rsidRPr="00370F01">
        <w:rPr>
          <w:rStyle w:val="References"/>
        </w:rPr>
        <w:t>[</w:t>
      </w:r>
      <w:r w:rsidR="00370F01" w:rsidRPr="00726D17">
        <w:rPr>
          <w:rStyle w:val="References"/>
        </w:rPr>
        <w:t xml:space="preserve">Schedule </w:t>
      </w:r>
      <w:r w:rsidR="00084786">
        <w:rPr>
          <w:rStyle w:val="References"/>
        </w:rPr>
        <w:t>2</w:t>
      </w:r>
      <w:r w:rsidR="00370F01" w:rsidRPr="00726D17">
        <w:rPr>
          <w:rStyle w:val="References"/>
        </w:rPr>
        <w:t xml:space="preserve">, item </w:t>
      </w:r>
      <w:r w:rsidR="007B4903">
        <w:rPr>
          <w:rStyle w:val="References"/>
        </w:rPr>
        <w:t>542</w:t>
      </w:r>
      <w:r w:rsidR="00370F01" w:rsidRPr="00726D17">
        <w:rPr>
          <w:rStyle w:val="References"/>
        </w:rPr>
        <w:t>, section</w:t>
      </w:r>
      <w:r w:rsidR="00911FE3">
        <w:rPr>
          <w:rStyle w:val="References"/>
        </w:rPr>
        <w:t>s 344B, 344C and</w:t>
      </w:r>
      <w:r w:rsidR="00370F01" w:rsidRPr="00726D17">
        <w:rPr>
          <w:rStyle w:val="References"/>
        </w:rPr>
        <w:t xml:space="preserve"> 344D of the ASIC Act; item 2005, section</w:t>
      </w:r>
      <w:r w:rsidR="00996F65">
        <w:rPr>
          <w:rStyle w:val="References"/>
        </w:rPr>
        <w:t>s</w:t>
      </w:r>
      <w:r w:rsidR="00370F01" w:rsidRPr="00726D17">
        <w:rPr>
          <w:rStyle w:val="References"/>
        </w:rPr>
        <w:t xml:space="preserve"> </w:t>
      </w:r>
      <w:r w:rsidR="000F3B97">
        <w:rPr>
          <w:rStyle w:val="References"/>
        </w:rPr>
        <w:t>1698B, 1698C, 1698D and</w:t>
      </w:r>
      <w:r w:rsidR="00370F01" w:rsidRPr="00726D17">
        <w:rPr>
          <w:rStyle w:val="References"/>
        </w:rPr>
        <w:t xml:space="preserve"> 1698E of the </w:t>
      </w:r>
      <w:r w:rsidR="00370F01">
        <w:rPr>
          <w:rStyle w:val="References"/>
        </w:rPr>
        <w:t>Corporations</w:t>
      </w:r>
      <w:r w:rsidR="00370F01" w:rsidRPr="00726D17">
        <w:rPr>
          <w:rStyle w:val="References"/>
        </w:rPr>
        <w:t xml:space="preserve"> Act</w:t>
      </w:r>
      <w:r w:rsidR="00370F01" w:rsidRPr="00370F01">
        <w:rPr>
          <w:rStyle w:val="References"/>
        </w:rPr>
        <w:t xml:space="preserve">] </w:t>
      </w:r>
      <w:r w:rsidRPr="00726D17">
        <w:rPr>
          <w:rStyle w:val="References"/>
        </w:rPr>
        <w:t xml:space="preserve"> </w:t>
      </w:r>
      <w:r w:rsidR="00D40CFA" w:rsidRPr="00726D17">
        <w:t xml:space="preserve"> </w:t>
      </w:r>
      <w:r w:rsidR="00F11355" w:rsidRPr="00726D17">
        <w:t xml:space="preserve"> </w:t>
      </w:r>
      <w:r w:rsidRPr="00726D17">
        <w:rPr>
          <w:rStyle w:val="References"/>
        </w:rPr>
        <w:t xml:space="preserve"> </w:t>
      </w:r>
      <w:r w:rsidR="00D40CFA" w:rsidRPr="00726D17">
        <w:t xml:space="preserve"> </w:t>
      </w:r>
      <w:r w:rsidR="00F11355" w:rsidRPr="00726D17">
        <w:t xml:space="preserve"> </w:t>
      </w:r>
    </w:p>
    <w:p w14:paraId="1E9EA8D5" w14:textId="546504D4" w:rsidR="00AE1EC8" w:rsidRPr="00726D17" w:rsidRDefault="00AE1EC8" w:rsidP="00AE1EC8">
      <w:pPr>
        <w:pStyle w:val="Normalparatextwithnumbers"/>
        <w:numPr>
          <w:ilvl w:val="1"/>
          <w:numId w:val="41"/>
        </w:numPr>
      </w:pPr>
      <w:r w:rsidRPr="00726D17">
        <w:t xml:space="preserve">Treasury welcomes feedback from stakeholders on </w:t>
      </w:r>
      <w:r>
        <w:t>any other</w:t>
      </w:r>
      <w:r w:rsidRPr="00726D17">
        <w:t xml:space="preserve"> matters </w:t>
      </w:r>
      <w:r>
        <w:t>that</w:t>
      </w:r>
      <w:r w:rsidRPr="00726D17">
        <w:t xml:space="preserve"> may require </w:t>
      </w:r>
      <w:r>
        <w:t>consequential</w:t>
      </w:r>
      <w:r w:rsidR="00DD2EA0">
        <w:t xml:space="preserve"> or savings</w:t>
      </w:r>
      <w:r w:rsidRPr="00726D17">
        <w:t xml:space="preserve"> provisions.</w:t>
      </w:r>
      <w:r w:rsidR="00DD2EA0">
        <w:t xml:space="preserve"> </w:t>
      </w:r>
    </w:p>
    <w:p w14:paraId="052BF1FC" w14:textId="01AA6A61" w:rsidR="0092154E" w:rsidRPr="0092154E" w:rsidRDefault="0092154E">
      <w:pPr>
        <w:pStyle w:val="Heading2"/>
      </w:pPr>
      <w:bookmarkStart w:id="75" w:name="_Toc119482442"/>
      <w:r>
        <w:lastRenderedPageBreak/>
        <w:t>Contingent amendments</w:t>
      </w:r>
      <w:bookmarkEnd w:id="75"/>
    </w:p>
    <w:p w14:paraId="3479653C" w14:textId="77777777" w:rsidR="001021CD" w:rsidRDefault="00A55004" w:rsidP="000008E8">
      <w:pPr>
        <w:pStyle w:val="Normalparatextwithnumbers"/>
        <w:numPr>
          <w:ilvl w:val="1"/>
          <w:numId w:val="41"/>
        </w:numPr>
      </w:pPr>
      <w:r>
        <w:t xml:space="preserve">Prior to introduction to Parliament, the Bill will be updated to include contingent amendments. These will detail how the amendments in this Bill interact with amendments in other Treasury Laws Amendment Bills that are before the Parliament at the time of this Bill’s introduction. </w:t>
      </w:r>
    </w:p>
    <w:p w14:paraId="201FD775" w14:textId="54A162D6" w:rsidR="00B77D03" w:rsidRDefault="001021CD" w:rsidP="00BD6230">
      <w:pPr>
        <w:pStyle w:val="Normalparatextwithnumbers"/>
      </w:pPr>
      <w:r>
        <w:t>Contingent</w:t>
      </w:r>
      <w:r w:rsidR="00A55004">
        <w:t xml:space="preserve"> amendments will be drafted closer to the time of introduction, once </w:t>
      </w:r>
      <w:r w:rsidR="004703AD">
        <w:t>Treasury has</w:t>
      </w:r>
      <w:r w:rsidR="00A55004">
        <w:t xml:space="preserve"> a clearer idea of what Bills will remain before the Parliament at the time this Bill is introduced.</w:t>
      </w:r>
      <w:bookmarkStart w:id="76" w:name="RISGoesHere"/>
      <w:bookmarkEnd w:id="5"/>
      <w:bookmarkEnd w:id="42"/>
      <w:bookmarkEnd w:id="43"/>
      <w:bookmarkEnd w:id="44"/>
      <w:bookmarkEnd w:id="45"/>
      <w:bookmarkEnd w:id="46"/>
      <w:bookmarkEnd w:id="47"/>
      <w:bookmarkEnd w:id="48"/>
      <w:bookmarkEnd w:id="76"/>
      <w:r w:rsidR="00BD6230">
        <w:t xml:space="preserve"> </w:t>
      </w:r>
    </w:p>
    <w:sectPr w:rsidR="00B77D03" w:rsidSect="00000BFC">
      <w:headerReference w:type="even" r:id="rId25"/>
      <w:headerReference w:type="default" r:id="rId26"/>
      <w:head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8B4D" w14:textId="77777777" w:rsidR="005038DA" w:rsidRDefault="005038DA">
      <w:pPr>
        <w:spacing w:before="0" w:after="0"/>
      </w:pPr>
      <w:r>
        <w:separator/>
      </w:r>
    </w:p>
  </w:endnote>
  <w:endnote w:type="continuationSeparator" w:id="0">
    <w:p w14:paraId="066827FB" w14:textId="77777777" w:rsidR="005038DA" w:rsidRDefault="005038DA">
      <w:pPr>
        <w:spacing w:before="0" w:after="0"/>
      </w:pPr>
      <w:r>
        <w:continuationSeparator/>
      </w:r>
    </w:p>
  </w:endnote>
  <w:endnote w:type="continuationNotice" w:id="1">
    <w:p w14:paraId="79073DC3" w14:textId="77777777" w:rsidR="005038DA" w:rsidRDefault="005038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24214"/>
      <w:docPartObj>
        <w:docPartGallery w:val="Page Numbers (Bottom of Page)"/>
        <w:docPartUnique/>
      </w:docPartObj>
    </w:sdtPr>
    <w:sdtEndPr>
      <w:rPr>
        <w:noProof/>
      </w:rPr>
    </w:sdtEndPr>
    <w:sdtContent>
      <w:p w14:paraId="1043B541" w14:textId="1251BED8" w:rsidR="00E55B8F" w:rsidRDefault="00E55B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F1893F" w14:textId="77777777" w:rsidR="00E55B8F" w:rsidRDefault="00E55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995284"/>
      <w:docPartObj>
        <w:docPartGallery w:val="Page Numbers (Bottom of Page)"/>
        <w:docPartUnique/>
      </w:docPartObj>
    </w:sdtPr>
    <w:sdtEndPr>
      <w:rPr>
        <w:noProof/>
      </w:rPr>
    </w:sdtEndPr>
    <w:sdtContent>
      <w:p w14:paraId="19F56BAC" w14:textId="18E2383A" w:rsidR="00E55B8F" w:rsidRDefault="00E55B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B55F6" w14:textId="77777777" w:rsidR="00E55B8F" w:rsidRDefault="00E55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1EDB"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3E6E"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48B3"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0670" w14:textId="77777777" w:rsidR="005038DA" w:rsidRDefault="005038DA">
      <w:pPr>
        <w:spacing w:before="0" w:after="0"/>
      </w:pPr>
      <w:r>
        <w:separator/>
      </w:r>
    </w:p>
  </w:footnote>
  <w:footnote w:type="continuationSeparator" w:id="0">
    <w:p w14:paraId="4730E446" w14:textId="77777777" w:rsidR="005038DA" w:rsidRDefault="005038DA">
      <w:pPr>
        <w:spacing w:before="0" w:after="0"/>
      </w:pPr>
      <w:r>
        <w:continuationSeparator/>
      </w:r>
    </w:p>
  </w:footnote>
  <w:footnote w:type="continuationNotice" w:id="1">
    <w:p w14:paraId="0163FC90" w14:textId="77777777" w:rsidR="005038DA" w:rsidRDefault="005038D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5738F8D7" w14:textId="77777777" w:rsidR="007A2DBD" w:rsidRDefault="00A82444">
        <w:pPr>
          <w:pStyle w:val="Header"/>
        </w:pPr>
        <w:r>
          <w:rPr>
            <w:noProof/>
          </w:rPr>
          <w:pict w14:anchorId="46F391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A11F"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C6A2"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C214" w14:textId="33D3F441"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6B5F85">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BBE4"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6AF0" w14:textId="63856658" w:rsidR="007A2DBD" w:rsidRPr="00816825" w:rsidRDefault="00A82444" w:rsidP="002425D9">
    <w:pPr>
      <w:pStyle w:val="leftheader"/>
    </w:pPr>
    <w:r>
      <w:fldChar w:fldCharType="begin"/>
    </w:r>
    <w:r>
      <w:instrText xml:space="preserve"> STYLEREF  "Heading 1"  \* MERGEFORMAT </w:instrText>
    </w:r>
    <w:r>
      <w:fldChar w:fldCharType="separate"/>
    </w:r>
    <w:r w:rsidRPr="00A82444">
      <w:rPr>
        <w:noProof/>
        <w:lang w:val="en-US"/>
      </w:rPr>
      <w:t>Glossary</w:t>
    </w:r>
    <w:r>
      <w:rPr>
        <w:noProof/>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108A"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5ED0"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61EF" w14:textId="179873C5" w:rsidR="007A2DBD" w:rsidRPr="00E55B8F" w:rsidRDefault="00E55B8F" w:rsidP="00E55B8F">
    <w:pPr>
      <w:pStyle w:val="rightheader"/>
    </w:pPr>
    <w:fldSimple w:instr=" STYLEREF &quot;Bill Name&quot; \* MERGEFORMAT ">
      <w:r w:rsidR="00A82444">
        <w:rPr>
          <w:noProof/>
        </w:rPr>
        <w:t>Treasury Laws Amendment (Measures for Consultation) Bill 2022: ALRC Financial Services Interim Report Recommendations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1EB5" w14:textId="417CFD66" w:rsidR="007A2DBD" w:rsidRPr="00705E94" w:rsidRDefault="005038DA" w:rsidP="00705E94">
    <w:pPr>
      <w:pStyle w:val="rightheader"/>
    </w:pPr>
    <w:fldSimple w:instr=" STYLEREF &quot;Bill Name&quot; \* MERGEFORMAT ">
      <w:r w:rsidR="00A82444">
        <w:rPr>
          <w:noProof/>
        </w:rPr>
        <w:t>Treasury Laws Amendment (Measures for Consultation) Bill 2022: ALRC Financial Services Interim Report Recommendations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0AE"/>
    <w:multiLevelType w:val="multilevel"/>
    <w:tmpl w:val="0194FD9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0532A"/>
    <w:multiLevelType w:val="hybridMultilevel"/>
    <w:tmpl w:val="72800EF2"/>
    <w:lvl w:ilvl="0" w:tplc="56D6C9B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375D0A"/>
    <w:multiLevelType w:val="multilevel"/>
    <w:tmpl w:val="1A20C7F8"/>
    <w:lvl w:ilvl="0">
      <w:start w:val="1"/>
      <w:numFmt w:val="decimal"/>
      <w:lvlText w:val="Chapter %1:"/>
      <w:lvlJc w:val="left"/>
      <w:pPr>
        <w:tabs>
          <w:tab w:val="num" w:pos="3119"/>
        </w:tabs>
        <w:ind w:left="142"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rPr>
    </w:lvl>
    <w:lvl w:ilvl="2">
      <w:start w:val="1"/>
      <w:numFmt w:val="decimal"/>
      <w:lvlRestart w:val="1"/>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A05E59"/>
    <w:multiLevelType w:val="hybridMultilevel"/>
    <w:tmpl w:val="1AF0B400"/>
    <w:lvl w:ilvl="0" w:tplc="FCF4E00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F22AB"/>
    <w:multiLevelType w:val="hybridMultilevel"/>
    <w:tmpl w:val="77EE6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7BA5FD0"/>
    <w:multiLevelType w:val="hybridMultilevel"/>
    <w:tmpl w:val="F2E4B1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98C4EA7"/>
    <w:multiLevelType w:val="hybridMultilevel"/>
    <w:tmpl w:val="AD088C86"/>
    <w:lvl w:ilvl="0" w:tplc="5992944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B287E"/>
    <w:multiLevelType w:val="multilevel"/>
    <w:tmpl w:val="9A068148"/>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1" w15:restartNumberingAfterBreak="0">
    <w:nsid w:val="232D31EF"/>
    <w:multiLevelType w:val="hybridMultilevel"/>
    <w:tmpl w:val="46B059D2"/>
    <w:lvl w:ilvl="0" w:tplc="005408DC">
      <w:start w:val="34"/>
      <w:numFmt w:val="bullet"/>
      <w:lvlText w:val=""/>
      <w:lvlJc w:val="left"/>
      <w:pPr>
        <w:ind w:left="1500" w:hanging="360"/>
      </w:pPr>
      <w:rPr>
        <w:rFonts w:ascii="Symbol" w:eastAsia="Times New Roman" w:hAnsi="Symbol"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2" w15:restartNumberingAfterBreak="0">
    <w:nsid w:val="29170CA0"/>
    <w:multiLevelType w:val="multilevel"/>
    <w:tmpl w:val="97D4160A"/>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2A678A"/>
    <w:multiLevelType w:val="hybridMultilevel"/>
    <w:tmpl w:val="CB80A90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452B2E"/>
    <w:multiLevelType w:val="multilevel"/>
    <w:tmpl w:val="6A8AB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652640"/>
    <w:multiLevelType w:val="multilevel"/>
    <w:tmpl w:val="522E4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8" w15:restartNumberingAfterBreak="0">
    <w:nsid w:val="446C1C8D"/>
    <w:multiLevelType w:val="hybridMultilevel"/>
    <w:tmpl w:val="2DA6C63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9" w15:restartNumberingAfterBreak="0">
    <w:nsid w:val="4D7262F2"/>
    <w:multiLevelType w:val="hybridMultilevel"/>
    <w:tmpl w:val="CAAA95C8"/>
    <w:lvl w:ilvl="0" w:tplc="E6A878B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1567AE"/>
    <w:multiLevelType w:val="hybridMultilevel"/>
    <w:tmpl w:val="85AEEC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930461F"/>
    <w:multiLevelType w:val="multilevel"/>
    <w:tmpl w:val="F3AEF64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4" w15:restartNumberingAfterBreak="0">
    <w:nsid w:val="5FBC7E8D"/>
    <w:multiLevelType w:val="multilevel"/>
    <w:tmpl w:val="4E2660B4"/>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lvl w:ilvl="1">
      <w:start w:val="1"/>
      <w:numFmt w:val="bullet"/>
      <w:lvlText w:val="–"/>
      <w:lvlJc w:val="left"/>
      <w:pPr>
        <w:tabs>
          <w:tab w:val="num" w:pos="2480"/>
        </w:tabs>
        <w:ind w:left="2480" w:hanging="520"/>
      </w:pPr>
      <w:rPr>
        <w:rFonts w:ascii="Times New Roman" w:hAnsi="Times New Roman" w:cs="Times New Roman"/>
      </w:rPr>
    </w:lvl>
    <w:lvl w:ilvl="2">
      <w:start w:val="1"/>
      <w:numFmt w:val="bulle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5"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F708FF"/>
    <w:multiLevelType w:val="hybridMultilevel"/>
    <w:tmpl w:val="D93A15EC"/>
    <w:lvl w:ilvl="0" w:tplc="6F2EB5A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37B54"/>
    <w:multiLevelType w:val="hybridMultilevel"/>
    <w:tmpl w:val="DA2A01B0"/>
    <w:lvl w:ilvl="0" w:tplc="12E41228">
      <w:start w:val="23"/>
      <w:numFmt w:val="bullet"/>
      <w:lvlText w:val="-"/>
      <w:lvlJc w:val="left"/>
      <w:pPr>
        <w:ind w:left="1778" w:hanging="360"/>
      </w:pPr>
      <w:rPr>
        <w:rFonts w:ascii="Times New Roman" w:eastAsiaTheme="minorHAnsi" w:hAnsi="Times New Roman" w:cs="Times New Roman"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29" w15:restartNumberingAfterBreak="0">
    <w:nsid w:val="7A6F444F"/>
    <w:multiLevelType w:val="hybridMultilevel"/>
    <w:tmpl w:val="EA22A32E"/>
    <w:lvl w:ilvl="0" w:tplc="C6F4F300">
      <w:start w:val="1"/>
      <w:numFmt w:val="bullet"/>
      <w:lvlText w:val="-"/>
      <w:lvlJc w:val="left"/>
      <w:pPr>
        <w:ind w:left="1778" w:hanging="360"/>
      </w:pPr>
      <w:rPr>
        <w:rFonts w:ascii="Times New Roman" w:eastAsiaTheme="minorHAnsi" w:hAnsi="Times New Roman" w:cs="Times New Roman"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3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12"/>
  </w:num>
  <w:num w:numId="7">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14"/>
  </w:num>
  <w:num w:numId="9">
    <w:abstractNumId w:val="32"/>
  </w:num>
  <w:num w:numId="10">
    <w:abstractNumId w:val="22"/>
  </w:num>
  <w:num w:numId="11">
    <w:abstractNumId w:val="17"/>
  </w:num>
  <w:num w:numId="12">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30"/>
  </w:num>
  <w:num w:numId="14">
    <w:abstractNumId w:val="25"/>
  </w:num>
  <w:num w:numId="15">
    <w:abstractNumId w:val="27"/>
  </w:num>
  <w:num w:numId="16">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14"/>
  </w:num>
  <w:num w:numId="18">
    <w:abstractNumId w:val="7"/>
  </w:num>
  <w:num w:numId="19">
    <w:abstractNumId w:val="23"/>
  </w:num>
  <w:num w:numId="20">
    <w:abstractNumId w:val="31"/>
  </w:num>
  <w:num w:numId="21">
    <w:abstractNumId w:val="30"/>
  </w:num>
  <w:num w:numId="22">
    <w:abstractNumId w:val="5"/>
  </w:num>
  <w:num w:numId="23">
    <w:abstractNumId w:val="12"/>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abstractNumId w:val="1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i w:val="0"/>
          <w:iCs/>
        </w:rPr>
      </w:lvl>
    </w:lvlOverride>
  </w:num>
  <w:num w:numId="25">
    <w:abstractNumId w:val="10"/>
  </w:num>
  <w:num w:numId="26">
    <w:abstractNumId w:val="24"/>
  </w:num>
  <w:num w:numId="27">
    <w:abstractNumId w:val="13"/>
  </w:num>
  <w:num w:numId="2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8"/>
  </w:num>
  <w:num w:numId="31">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9"/>
  </w:num>
  <w:num w:numId="34">
    <w:abstractNumId w:val="26"/>
  </w:num>
  <w:num w:numId="35">
    <w:abstractNumId w:val="9"/>
  </w:num>
  <w:num w:numId="36">
    <w:abstractNumId w:val="6"/>
  </w:num>
  <w:num w:numId="37">
    <w:abstractNumId w:val="11"/>
  </w:num>
  <w:num w:numId="38">
    <w:abstractNumId w:val="3"/>
  </w:num>
  <w:num w:numId="39">
    <w:abstractNumId w:val="29"/>
  </w:num>
  <w:num w:numId="40">
    <w:abstractNumId w:val="15"/>
  </w:num>
  <w:num w:numId="41">
    <w:abstractNumId w:val="12"/>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2">
    <w:abstractNumId w:val="16"/>
  </w:num>
  <w:num w:numId="43">
    <w:abstractNumId w:val="23"/>
  </w:num>
  <w:num w:numId="44">
    <w:abstractNumId w:val="23"/>
  </w:num>
  <w:num w:numId="45">
    <w:abstractNumId w:val="12"/>
  </w:num>
  <w:num w:numId="46">
    <w:abstractNumId w:val="4"/>
  </w:num>
  <w:num w:numId="47">
    <w:abstractNumId w:val="1"/>
  </w:num>
  <w:num w:numId="48">
    <w:abstractNumId w:val="12"/>
  </w:num>
  <w:num w:numId="49">
    <w:abstractNumId w:val="18"/>
  </w:num>
  <w:num w:numId="50">
    <w:abstractNumId w:val="12"/>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51">
    <w:abstractNumId w:val="30"/>
  </w:num>
  <w:num w:numId="52">
    <w:abstractNumId w:val="12"/>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53">
    <w:abstractNumId w:val="12"/>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5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58">
    <w:abstractNumId w:val="12"/>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59">
    <w:abstractNumId w:val="12"/>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AD"/>
    <w:rsid w:val="000008E8"/>
    <w:rsid w:val="00000BFC"/>
    <w:rsid w:val="00000EA5"/>
    <w:rsid w:val="000017D0"/>
    <w:rsid w:val="00002114"/>
    <w:rsid w:val="000021D7"/>
    <w:rsid w:val="000029E7"/>
    <w:rsid w:val="00002E57"/>
    <w:rsid w:val="000047C8"/>
    <w:rsid w:val="00004A5B"/>
    <w:rsid w:val="00005224"/>
    <w:rsid w:val="00007FB5"/>
    <w:rsid w:val="0001010C"/>
    <w:rsid w:val="000106F6"/>
    <w:rsid w:val="00011BCD"/>
    <w:rsid w:val="00012A37"/>
    <w:rsid w:val="00013449"/>
    <w:rsid w:val="000170C8"/>
    <w:rsid w:val="00017B8A"/>
    <w:rsid w:val="00021DAA"/>
    <w:rsid w:val="00022AE2"/>
    <w:rsid w:val="00025393"/>
    <w:rsid w:val="000260D6"/>
    <w:rsid w:val="00027C13"/>
    <w:rsid w:val="000302A5"/>
    <w:rsid w:val="00031574"/>
    <w:rsid w:val="00031595"/>
    <w:rsid w:val="000338E1"/>
    <w:rsid w:val="00034BC3"/>
    <w:rsid w:val="00034C32"/>
    <w:rsid w:val="00034F4E"/>
    <w:rsid w:val="00037166"/>
    <w:rsid w:val="000379E9"/>
    <w:rsid w:val="00040058"/>
    <w:rsid w:val="000414F5"/>
    <w:rsid w:val="00043028"/>
    <w:rsid w:val="00044825"/>
    <w:rsid w:val="00045493"/>
    <w:rsid w:val="00045DFC"/>
    <w:rsid w:val="0004669E"/>
    <w:rsid w:val="00046F3F"/>
    <w:rsid w:val="00047FF2"/>
    <w:rsid w:val="000504F0"/>
    <w:rsid w:val="00053089"/>
    <w:rsid w:val="0005444D"/>
    <w:rsid w:val="000563C9"/>
    <w:rsid w:val="00056960"/>
    <w:rsid w:val="0006411D"/>
    <w:rsid w:val="000645FE"/>
    <w:rsid w:val="00065E4A"/>
    <w:rsid w:val="000666BC"/>
    <w:rsid w:val="00067E26"/>
    <w:rsid w:val="00071568"/>
    <w:rsid w:val="0007416B"/>
    <w:rsid w:val="00077274"/>
    <w:rsid w:val="0007729B"/>
    <w:rsid w:val="0007777A"/>
    <w:rsid w:val="0008190E"/>
    <w:rsid w:val="000831B2"/>
    <w:rsid w:val="00083304"/>
    <w:rsid w:val="000843FE"/>
    <w:rsid w:val="00084786"/>
    <w:rsid w:val="00084D6B"/>
    <w:rsid w:val="0008658F"/>
    <w:rsid w:val="00087F47"/>
    <w:rsid w:val="00087FE9"/>
    <w:rsid w:val="00090A2C"/>
    <w:rsid w:val="00092392"/>
    <w:rsid w:val="000936D6"/>
    <w:rsid w:val="0009519F"/>
    <w:rsid w:val="00096968"/>
    <w:rsid w:val="00096FEC"/>
    <w:rsid w:val="000A25F3"/>
    <w:rsid w:val="000A3230"/>
    <w:rsid w:val="000A3ED7"/>
    <w:rsid w:val="000A4BE9"/>
    <w:rsid w:val="000A6EB5"/>
    <w:rsid w:val="000B1292"/>
    <w:rsid w:val="000B1DDC"/>
    <w:rsid w:val="000B2E24"/>
    <w:rsid w:val="000B502B"/>
    <w:rsid w:val="000B6B3E"/>
    <w:rsid w:val="000B7389"/>
    <w:rsid w:val="000B74B5"/>
    <w:rsid w:val="000B75CF"/>
    <w:rsid w:val="000B7D6E"/>
    <w:rsid w:val="000B7FC5"/>
    <w:rsid w:val="000C1C58"/>
    <w:rsid w:val="000C2E06"/>
    <w:rsid w:val="000C3522"/>
    <w:rsid w:val="000C3ECE"/>
    <w:rsid w:val="000C48F2"/>
    <w:rsid w:val="000C5BC5"/>
    <w:rsid w:val="000D1B5C"/>
    <w:rsid w:val="000D3380"/>
    <w:rsid w:val="000D3F7E"/>
    <w:rsid w:val="000D4CC3"/>
    <w:rsid w:val="000D6CBE"/>
    <w:rsid w:val="000D7FDD"/>
    <w:rsid w:val="000E09FA"/>
    <w:rsid w:val="000E24AD"/>
    <w:rsid w:val="000E3A05"/>
    <w:rsid w:val="000E4D39"/>
    <w:rsid w:val="000E521B"/>
    <w:rsid w:val="000E6F42"/>
    <w:rsid w:val="000E6F4C"/>
    <w:rsid w:val="000F0592"/>
    <w:rsid w:val="000F0824"/>
    <w:rsid w:val="000F0E41"/>
    <w:rsid w:val="000F1261"/>
    <w:rsid w:val="000F12CF"/>
    <w:rsid w:val="000F2EC5"/>
    <w:rsid w:val="000F34D2"/>
    <w:rsid w:val="000F3B97"/>
    <w:rsid w:val="000F4821"/>
    <w:rsid w:val="000F4D13"/>
    <w:rsid w:val="000F6BA3"/>
    <w:rsid w:val="001021CD"/>
    <w:rsid w:val="0010277C"/>
    <w:rsid w:val="00105E85"/>
    <w:rsid w:val="00106FDC"/>
    <w:rsid w:val="00107D80"/>
    <w:rsid w:val="001111EB"/>
    <w:rsid w:val="00111B40"/>
    <w:rsid w:val="0011440D"/>
    <w:rsid w:val="00115269"/>
    <w:rsid w:val="00115509"/>
    <w:rsid w:val="001159E1"/>
    <w:rsid w:val="00116071"/>
    <w:rsid w:val="00116487"/>
    <w:rsid w:val="001166B5"/>
    <w:rsid w:val="001227A2"/>
    <w:rsid w:val="00123C4E"/>
    <w:rsid w:val="00123E84"/>
    <w:rsid w:val="00130111"/>
    <w:rsid w:val="00130D51"/>
    <w:rsid w:val="00130D60"/>
    <w:rsid w:val="00136A23"/>
    <w:rsid w:val="001379D4"/>
    <w:rsid w:val="00141701"/>
    <w:rsid w:val="00144912"/>
    <w:rsid w:val="00150083"/>
    <w:rsid w:val="001526A4"/>
    <w:rsid w:val="00152805"/>
    <w:rsid w:val="0015283D"/>
    <w:rsid w:val="00154A1A"/>
    <w:rsid w:val="00155D14"/>
    <w:rsid w:val="001568D3"/>
    <w:rsid w:val="00156F47"/>
    <w:rsid w:val="00157E0B"/>
    <w:rsid w:val="00157FCF"/>
    <w:rsid w:val="001604E1"/>
    <w:rsid w:val="001619C3"/>
    <w:rsid w:val="00161BDB"/>
    <w:rsid w:val="00162163"/>
    <w:rsid w:val="0016226F"/>
    <w:rsid w:val="00163457"/>
    <w:rsid w:val="001643D9"/>
    <w:rsid w:val="00165A95"/>
    <w:rsid w:val="00166695"/>
    <w:rsid w:val="00166AC4"/>
    <w:rsid w:val="00166E20"/>
    <w:rsid w:val="0017054A"/>
    <w:rsid w:val="00170C78"/>
    <w:rsid w:val="0017176C"/>
    <w:rsid w:val="00171AF8"/>
    <w:rsid w:val="00173E2A"/>
    <w:rsid w:val="001741A2"/>
    <w:rsid w:val="00174FE8"/>
    <w:rsid w:val="00175339"/>
    <w:rsid w:val="00181C6B"/>
    <w:rsid w:val="001879DE"/>
    <w:rsid w:val="00187A7B"/>
    <w:rsid w:val="0019079A"/>
    <w:rsid w:val="00192ECA"/>
    <w:rsid w:val="00193E76"/>
    <w:rsid w:val="001956C9"/>
    <w:rsid w:val="001956D9"/>
    <w:rsid w:val="00195AE0"/>
    <w:rsid w:val="00195D1C"/>
    <w:rsid w:val="00196EB8"/>
    <w:rsid w:val="00196FE1"/>
    <w:rsid w:val="001A031E"/>
    <w:rsid w:val="001A2541"/>
    <w:rsid w:val="001A2D63"/>
    <w:rsid w:val="001A39FD"/>
    <w:rsid w:val="001A3A7E"/>
    <w:rsid w:val="001A58DD"/>
    <w:rsid w:val="001A5990"/>
    <w:rsid w:val="001A5995"/>
    <w:rsid w:val="001A5A76"/>
    <w:rsid w:val="001A5E4B"/>
    <w:rsid w:val="001B07FA"/>
    <w:rsid w:val="001B0AA3"/>
    <w:rsid w:val="001B1306"/>
    <w:rsid w:val="001B1C70"/>
    <w:rsid w:val="001B4285"/>
    <w:rsid w:val="001B44EF"/>
    <w:rsid w:val="001B6315"/>
    <w:rsid w:val="001B71F7"/>
    <w:rsid w:val="001C100E"/>
    <w:rsid w:val="001C43BF"/>
    <w:rsid w:val="001C5CBF"/>
    <w:rsid w:val="001C63C9"/>
    <w:rsid w:val="001D16DA"/>
    <w:rsid w:val="001D1EEF"/>
    <w:rsid w:val="001D2386"/>
    <w:rsid w:val="001D278C"/>
    <w:rsid w:val="001D46A5"/>
    <w:rsid w:val="001D743E"/>
    <w:rsid w:val="001D7CE9"/>
    <w:rsid w:val="001E01BF"/>
    <w:rsid w:val="001E1C60"/>
    <w:rsid w:val="001E2631"/>
    <w:rsid w:val="001E267F"/>
    <w:rsid w:val="001E31EE"/>
    <w:rsid w:val="001E4EED"/>
    <w:rsid w:val="001E771B"/>
    <w:rsid w:val="001E7CFA"/>
    <w:rsid w:val="001F1CC9"/>
    <w:rsid w:val="001F2D5A"/>
    <w:rsid w:val="001F4140"/>
    <w:rsid w:val="001F50EB"/>
    <w:rsid w:val="001F5294"/>
    <w:rsid w:val="002020C6"/>
    <w:rsid w:val="0020764F"/>
    <w:rsid w:val="0020771C"/>
    <w:rsid w:val="002129D2"/>
    <w:rsid w:val="00212A1F"/>
    <w:rsid w:val="002130A4"/>
    <w:rsid w:val="00213525"/>
    <w:rsid w:val="002159BF"/>
    <w:rsid w:val="00221952"/>
    <w:rsid w:val="00223067"/>
    <w:rsid w:val="00224B42"/>
    <w:rsid w:val="00225C7C"/>
    <w:rsid w:val="00227EEB"/>
    <w:rsid w:val="00230C17"/>
    <w:rsid w:val="0023268C"/>
    <w:rsid w:val="00232D80"/>
    <w:rsid w:val="00233CEC"/>
    <w:rsid w:val="0023409D"/>
    <w:rsid w:val="00235D2A"/>
    <w:rsid w:val="00235DF2"/>
    <w:rsid w:val="002379E7"/>
    <w:rsid w:val="00237B2F"/>
    <w:rsid w:val="002425D9"/>
    <w:rsid w:val="00242B2A"/>
    <w:rsid w:val="00246197"/>
    <w:rsid w:val="00246225"/>
    <w:rsid w:val="0024784F"/>
    <w:rsid w:val="00250844"/>
    <w:rsid w:val="00252074"/>
    <w:rsid w:val="002538F1"/>
    <w:rsid w:val="00254F34"/>
    <w:rsid w:val="00255383"/>
    <w:rsid w:val="00260B8B"/>
    <w:rsid w:val="00260C8D"/>
    <w:rsid w:val="002626AD"/>
    <w:rsid w:val="002626BC"/>
    <w:rsid w:val="002656FE"/>
    <w:rsid w:val="002704BC"/>
    <w:rsid w:val="00271385"/>
    <w:rsid w:val="00271CE2"/>
    <w:rsid w:val="00272930"/>
    <w:rsid w:val="0027367F"/>
    <w:rsid w:val="00274D5C"/>
    <w:rsid w:val="0027536E"/>
    <w:rsid w:val="00276753"/>
    <w:rsid w:val="00277DF5"/>
    <w:rsid w:val="0028026C"/>
    <w:rsid w:val="00280274"/>
    <w:rsid w:val="002808EF"/>
    <w:rsid w:val="00280EBC"/>
    <w:rsid w:val="00280FA9"/>
    <w:rsid w:val="00283389"/>
    <w:rsid w:val="002840F9"/>
    <w:rsid w:val="00284A62"/>
    <w:rsid w:val="002872AB"/>
    <w:rsid w:val="0029122E"/>
    <w:rsid w:val="002935AC"/>
    <w:rsid w:val="00293931"/>
    <w:rsid w:val="00293CED"/>
    <w:rsid w:val="00297081"/>
    <w:rsid w:val="00297948"/>
    <w:rsid w:val="00297CF2"/>
    <w:rsid w:val="002A0809"/>
    <w:rsid w:val="002A0B75"/>
    <w:rsid w:val="002A1C41"/>
    <w:rsid w:val="002A2137"/>
    <w:rsid w:val="002A2419"/>
    <w:rsid w:val="002A3DBD"/>
    <w:rsid w:val="002A5021"/>
    <w:rsid w:val="002A52E5"/>
    <w:rsid w:val="002A5928"/>
    <w:rsid w:val="002A62EC"/>
    <w:rsid w:val="002A707B"/>
    <w:rsid w:val="002A79CC"/>
    <w:rsid w:val="002A7DB9"/>
    <w:rsid w:val="002B04CE"/>
    <w:rsid w:val="002B0B67"/>
    <w:rsid w:val="002B0DC3"/>
    <w:rsid w:val="002B0ECC"/>
    <w:rsid w:val="002B136B"/>
    <w:rsid w:val="002B13DC"/>
    <w:rsid w:val="002B1A90"/>
    <w:rsid w:val="002B1D9E"/>
    <w:rsid w:val="002B3155"/>
    <w:rsid w:val="002B378E"/>
    <w:rsid w:val="002B38F3"/>
    <w:rsid w:val="002B623C"/>
    <w:rsid w:val="002B6F60"/>
    <w:rsid w:val="002C15F7"/>
    <w:rsid w:val="002C18CD"/>
    <w:rsid w:val="002C1D60"/>
    <w:rsid w:val="002C2C22"/>
    <w:rsid w:val="002C4082"/>
    <w:rsid w:val="002C42CB"/>
    <w:rsid w:val="002C7325"/>
    <w:rsid w:val="002C78D6"/>
    <w:rsid w:val="002D080A"/>
    <w:rsid w:val="002D331F"/>
    <w:rsid w:val="002D4A20"/>
    <w:rsid w:val="002D4ED7"/>
    <w:rsid w:val="002D637B"/>
    <w:rsid w:val="002D77E7"/>
    <w:rsid w:val="002E20A6"/>
    <w:rsid w:val="002E24DA"/>
    <w:rsid w:val="002E2AD0"/>
    <w:rsid w:val="002E37CC"/>
    <w:rsid w:val="002E3881"/>
    <w:rsid w:val="002E53B6"/>
    <w:rsid w:val="002E59A1"/>
    <w:rsid w:val="002E6047"/>
    <w:rsid w:val="002E64D1"/>
    <w:rsid w:val="002F14D6"/>
    <w:rsid w:val="002F1CB0"/>
    <w:rsid w:val="002F2BFF"/>
    <w:rsid w:val="002F2F2F"/>
    <w:rsid w:val="002F3C8A"/>
    <w:rsid w:val="002F4B60"/>
    <w:rsid w:val="002F5302"/>
    <w:rsid w:val="002F560E"/>
    <w:rsid w:val="002F63EE"/>
    <w:rsid w:val="002F68A5"/>
    <w:rsid w:val="003007B1"/>
    <w:rsid w:val="0030118B"/>
    <w:rsid w:val="00302BF8"/>
    <w:rsid w:val="00302DD8"/>
    <w:rsid w:val="00306418"/>
    <w:rsid w:val="00306DBE"/>
    <w:rsid w:val="00307A12"/>
    <w:rsid w:val="00307A61"/>
    <w:rsid w:val="0031059D"/>
    <w:rsid w:val="00310824"/>
    <w:rsid w:val="0031324D"/>
    <w:rsid w:val="00313DC8"/>
    <w:rsid w:val="00313F9B"/>
    <w:rsid w:val="00315D81"/>
    <w:rsid w:val="00316117"/>
    <w:rsid w:val="00320638"/>
    <w:rsid w:val="00321480"/>
    <w:rsid w:val="0032171D"/>
    <w:rsid w:val="003244BD"/>
    <w:rsid w:val="003246BF"/>
    <w:rsid w:val="00326BAD"/>
    <w:rsid w:val="00330CB1"/>
    <w:rsid w:val="003329F7"/>
    <w:rsid w:val="003354F1"/>
    <w:rsid w:val="003430F7"/>
    <w:rsid w:val="00345F5B"/>
    <w:rsid w:val="003510A8"/>
    <w:rsid w:val="00351274"/>
    <w:rsid w:val="00351D4D"/>
    <w:rsid w:val="00352468"/>
    <w:rsid w:val="0035317F"/>
    <w:rsid w:val="0035346A"/>
    <w:rsid w:val="00353878"/>
    <w:rsid w:val="00354FE3"/>
    <w:rsid w:val="003556BF"/>
    <w:rsid w:val="003565FB"/>
    <w:rsid w:val="00357508"/>
    <w:rsid w:val="003600AF"/>
    <w:rsid w:val="0036035A"/>
    <w:rsid w:val="003615F0"/>
    <w:rsid w:val="00361AFC"/>
    <w:rsid w:val="00361EA6"/>
    <w:rsid w:val="003621EC"/>
    <w:rsid w:val="003625BF"/>
    <w:rsid w:val="00364078"/>
    <w:rsid w:val="003651EE"/>
    <w:rsid w:val="00367372"/>
    <w:rsid w:val="00367822"/>
    <w:rsid w:val="0036790F"/>
    <w:rsid w:val="003701A0"/>
    <w:rsid w:val="00370F01"/>
    <w:rsid w:val="00373626"/>
    <w:rsid w:val="00373D6A"/>
    <w:rsid w:val="00374366"/>
    <w:rsid w:val="00374687"/>
    <w:rsid w:val="003776AA"/>
    <w:rsid w:val="003805C3"/>
    <w:rsid w:val="00381442"/>
    <w:rsid w:val="00384981"/>
    <w:rsid w:val="00385DFF"/>
    <w:rsid w:val="00387402"/>
    <w:rsid w:val="00387830"/>
    <w:rsid w:val="00390891"/>
    <w:rsid w:val="0039391C"/>
    <w:rsid w:val="00393D27"/>
    <w:rsid w:val="00396599"/>
    <w:rsid w:val="003971ED"/>
    <w:rsid w:val="003A0372"/>
    <w:rsid w:val="003A1EDD"/>
    <w:rsid w:val="003A1F45"/>
    <w:rsid w:val="003A2B0E"/>
    <w:rsid w:val="003A3266"/>
    <w:rsid w:val="003A66E1"/>
    <w:rsid w:val="003B07A1"/>
    <w:rsid w:val="003B1CF2"/>
    <w:rsid w:val="003B2590"/>
    <w:rsid w:val="003B33E5"/>
    <w:rsid w:val="003B3EFA"/>
    <w:rsid w:val="003B71EE"/>
    <w:rsid w:val="003B7C72"/>
    <w:rsid w:val="003C0C8D"/>
    <w:rsid w:val="003C0DC5"/>
    <w:rsid w:val="003C17CC"/>
    <w:rsid w:val="003C1CDB"/>
    <w:rsid w:val="003C3DB9"/>
    <w:rsid w:val="003C5543"/>
    <w:rsid w:val="003C6CBA"/>
    <w:rsid w:val="003C752E"/>
    <w:rsid w:val="003D4D66"/>
    <w:rsid w:val="003E1297"/>
    <w:rsid w:val="003E25D2"/>
    <w:rsid w:val="003E2B85"/>
    <w:rsid w:val="003E31BE"/>
    <w:rsid w:val="003F0668"/>
    <w:rsid w:val="003F0F01"/>
    <w:rsid w:val="003F13A4"/>
    <w:rsid w:val="003F1AD7"/>
    <w:rsid w:val="003F2232"/>
    <w:rsid w:val="003F3AC4"/>
    <w:rsid w:val="003F4C90"/>
    <w:rsid w:val="003F7F11"/>
    <w:rsid w:val="004008AE"/>
    <w:rsid w:val="00404A47"/>
    <w:rsid w:val="00405475"/>
    <w:rsid w:val="00411525"/>
    <w:rsid w:val="00414017"/>
    <w:rsid w:val="004154D4"/>
    <w:rsid w:val="004161DD"/>
    <w:rsid w:val="0042280F"/>
    <w:rsid w:val="00423245"/>
    <w:rsid w:val="00424BD8"/>
    <w:rsid w:val="004273C3"/>
    <w:rsid w:val="00427E85"/>
    <w:rsid w:val="00427EDF"/>
    <w:rsid w:val="00430A32"/>
    <w:rsid w:val="00431D6E"/>
    <w:rsid w:val="004323CA"/>
    <w:rsid w:val="004344DC"/>
    <w:rsid w:val="00436583"/>
    <w:rsid w:val="004365DF"/>
    <w:rsid w:val="00436BBD"/>
    <w:rsid w:val="004414CD"/>
    <w:rsid w:val="00442238"/>
    <w:rsid w:val="004422DA"/>
    <w:rsid w:val="00442C99"/>
    <w:rsid w:val="004449A7"/>
    <w:rsid w:val="00445510"/>
    <w:rsid w:val="00445ED7"/>
    <w:rsid w:val="00446425"/>
    <w:rsid w:val="00446C74"/>
    <w:rsid w:val="00447CD5"/>
    <w:rsid w:val="0045099D"/>
    <w:rsid w:val="00450C5F"/>
    <w:rsid w:val="00453095"/>
    <w:rsid w:val="00453423"/>
    <w:rsid w:val="00453EDC"/>
    <w:rsid w:val="00455227"/>
    <w:rsid w:val="00456134"/>
    <w:rsid w:val="00457B28"/>
    <w:rsid w:val="004603EF"/>
    <w:rsid w:val="00461699"/>
    <w:rsid w:val="00462657"/>
    <w:rsid w:val="00462846"/>
    <w:rsid w:val="004703AD"/>
    <w:rsid w:val="00470BCF"/>
    <w:rsid w:val="00470E67"/>
    <w:rsid w:val="004712F6"/>
    <w:rsid w:val="004729E9"/>
    <w:rsid w:val="00472AAF"/>
    <w:rsid w:val="00472DB7"/>
    <w:rsid w:val="00473C9F"/>
    <w:rsid w:val="0047593B"/>
    <w:rsid w:val="00476008"/>
    <w:rsid w:val="00477C04"/>
    <w:rsid w:val="00477F16"/>
    <w:rsid w:val="004801C2"/>
    <w:rsid w:val="004827D7"/>
    <w:rsid w:val="00485934"/>
    <w:rsid w:val="00485FD0"/>
    <w:rsid w:val="00486891"/>
    <w:rsid w:val="0048774D"/>
    <w:rsid w:val="004879C7"/>
    <w:rsid w:val="00490B48"/>
    <w:rsid w:val="00490E33"/>
    <w:rsid w:val="00492729"/>
    <w:rsid w:val="0049331E"/>
    <w:rsid w:val="004939BE"/>
    <w:rsid w:val="00495AD2"/>
    <w:rsid w:val="00495B0A"/>
    <w:rsid w:val="00495D7B"/>
    <w:rsid w:val="0049601E"/>
    <w:rsid w:val="00496642"/>
    <w:rsid w:val="00496880"/>
    <w:rsid w:val="00496C21"/>
    <w:rsid w:val="004971E2"/>
    <w:rsid w:val="00497931"/>
    <w:rsid w:val="004A1A33"/>
    <w:rsid w:val="004A1DFD"/>
    <w:rsid w:val="004A37EA"/>
    <w:rsid w:val="004A3D75"/>
    <w:rsid w:val="004A4ABC"/>
    <w:rsid w:val="004A51AB"/>
    <w:rsid w:val="004A5CED"/>
    <w:rsid w:val="004A62B0"/>
    <w:rsid w:val="004A676E"/>
    <w:rsid w:val="004A71E6"/>
    <w:rsid w:val="004B0795"/>
    <w:rsid w:val="004B095F"/>
    <w:rsid w:val="004B1C70"/>
    <w:rsid w:val="004B1F33"/>
    <w:rsid w:val="004B3977"/>
    <w:rsid w:val="004B3CCC"/>
    <w:rsid w:val="004B6B3B"/>
    <w:rsid w:val="004C03F2"/>
    <w:rsid w:val="004C0534"/>
    <w:rsid w:val="004C05B5"/>
    <w:rsid w:val="004C4534"/>
    <w:rsid w:val="004C614A"/>
    <w:rsid w:val="004D1B1E"/>
    <w:rsid w:val="004D2285"/>
    <w:rsid w:val="004D22EF"/>
    <w:rsid w:val="004D2C47"/>
    <w:rsid w:val="004D2E46"/>
    <w:rsid w:val="004D4763"/>
    <w:rsid w:val="004D64D5"/>
    <w:rsid w:val="004D7661"/>
    <w:rsid w:val="004D7FC5"/>
    <w:rsid w:val="004E1E06"/>
    <w:rsid w:val="004E324D"/>
    <w:rsid w:val="004E4FF1"/>
    <w:rsid w:val="004E4FF8"/>
    <w:rsid w:val="004E511D"/>
    <w:rsid w:val="004E6A1A"/>
    <w:rsid w:val="004E766F"/>
    <w:rsid w:val="004F111B"/>
    <w:rsid w:val="004F1849"/>
    <w:rsid w:val="004F1C42"/>
    <w:rsid w:val="004F23C3"/>
    <w:rsid w:val="004F474A"/>
    <w:rsid w:val="004F640A"/>
    <w:rsid w:val="004F6570"/>
    <w:rsid w:val="004F76CA"/>
    <w:rsid w:val="004F7C15"/>
    <w:rsid w:val="00500FEF"/>
    <w:rsid w:val="00501700"/>
    <w:rsid w:val="005038D0"/>
    <w:rsid w:val="005038DA"/>
    <w:rsid w:val="00505347"/>
    <w:rsid w:val="005066F5"/>
    <w:rsid w:val="005103A2"/>
    <w:rsid w:val="00510886"/>
    <w:rsid w:val="00510918"/>
    <w:rsid w:val="00511048"/>
    <w:rsid w:val="005137B7"/>
    <w:rsid w:val="00513A6F"/>
    <w:rsid w:val="00515164"/>
    <w:rsid w:val="0051593A"/>
    <w:rsid w:val="00516E63"/>
    <w:rsid w:val="0051748C"/>
    <w:rsid w:val="00517D6E"/>
    <w:rsid w:val="00521452"/>
    <w:rsid w:val="005232AB"/>
    <w:rsid w:val="005252EF"/>
    <w:rsid w:val="005266A0"/>
    <w:rsid w:val="00526E73"/>
    <w:rsid w:val="00527C8D"/>
    <w:rsid w:val="005310C3"/>
    <w:rsid w:val="00531C67"/>
    <w:rsid w:val="00531D8F"/>
    <w:rsid w:val="005325D8"/>
    <w:rsid w:val="00532858"/>
    <w:rsid w:val="00532D2C"/>
    <w:rsid w:val="0053425A"/>
    <w:rsid w:val="0053435B"/>
    <w:rsid w:val="005356CB"/>
    <w:rsid w:val="00536095"/>
    <w:rsid w:val="00536ABC"/>
    <w:rsid w:val="0053718B"/>
    <w:rsid w:val="0054043F"/>
    <w:rsid w:val="00542251"/>
    <w:rsid w:val="005425D6"/>
    <w:rsid w:val="00543F89"/>
    <w:rsid w:val="00543F9D"/>
    <w:rsid w:val="005445E6"/>
    <w:rsid w:val="00545847"/>
    <w:rsid w:val="005515C0"/>
    <w:rsid w:val="00552057"/>
    <w:rsid w:val="0055383E"/>
    <w:rsid w:val="005547CC"/>
    <w:rsid w:val="00554BB6"/>
    <w:rsid w:val="00555269"/>
    <w:rsid w:val="00556D0B"/>
    <w:rsid w:val="00556F3B"/>
    <w:rsid w:val="005577AC"/>
    <w:rsid w:val="00557A12"/>
    <w:rsid w:val="005602CD"/>
    <w:rsid w:val="00560415"/>
    <w:rsid w:val="00561B6D"/>
    <w:rsid w:val="00563594"/>
    <w:rsid w:val="005636E4"/>
    <w:rsid w:val="00563E3C"/>
    <w:rsid w:val="0056675C"/>
    <w:rsid w:val="00566BC6"/>
    <w:rsid w:val="00570545"/>
    <w:rsid w:val="0057163B"/>
    <w:rsid w:val="00571B83"/>
    <w:rsid w:val="00573807"/>
    <w:rsid w:val="00573B97"/>
    <w:rsid w:val="00573BCA"/>
    <w:rsid w:val="00573C2C"/>
    <w:rsid w:val="00574CAD"/>
    <w:rsid w:val="00575B9B"/>
    <w:rsid w:val="00575EDC"/>
    <w:rsid w:val="00576C79"/>
    <w:rsid w:val="00577B45"/>
    <w:rsid w:val="00580FB2"/>
    <w:rsid w:val="005816A6"/>
    <w:rsid w:val="00581A77"/>
    <w:rsid w:val="00584115"/>
    <w:rsid w:val="00584B6F"/>
    <w:rsid w:val="00586458"/>
    <w:rsid w:val="005866E7"/>
    <w:rsid w:val="0059200B"/>
    <w:rsid w:val="0059234D"/>
    <w:rsid w:val="005936EB"/>
    <w:rsid w:val="005956B2"/>
    <w:rsid w:val="005966DE"/>
    <w:rsid w:val="00597B9F"/>
    <w:rsid w:val="005A260D"/>
    <w:rsid w:val="005A28A4"/>
    <w:rsid w:val="005A2F32"/>
    <w:rsid w:val="005A3AA3"/>
    <w:rsid w:val="005A494C"/>
    <w:rsid w:val="005A5CF9"/>
    <w:rsid w:val="005A66F5"/>
    <w:rsid w:val="005B1030"/>
    <w:rsid w:val="005B1CEF"/>
    <w:rsid w:val="005B36F1"/>
    <w:rsid w:val="005C0CB8"/>
    <w:rsid w:val="005C12F1"/>
    <w:rsid w:val="005C2BCA"/>
    <w:rsid w:val="005C2BD1"/>
    <w:rsid w:val="005C2FBC"/>
    <w:rsid w:val="005C3325"/>
    <w:rsid w:val="005C753D"/>
    <w:rsid w:val="005C7767"/>
    <w:rsid w:val="005C799A"/>
    <w:rsid w:val="005C7FD7"/>
    <w:rsid w:val="005D0202"/>
    <w:rsid w:val="005D0844"/>
    <w:rsid w:val="005D15BE"/>
    <w:rsid w:val="005D169F"/>
    <w:rsid w:val="005D4C52"/>
    <w:rsid w:val="005D4F0A"/>
    <w:rsid w:val="005D53A3"/>
    <w:rsid w:val="005D5F12"/>
    <w:rsid w:val="005D668F"/>
    <w:rsid w:val="005D7819"/>
    <w:rsid w:val="005E1542"/>
    <w:rsid w:val="005E4B7A"/>
    <w:rsid w:val="005E553C"/>
    <w:rsid w:val="005F0048"/>
    <w:rsid w:val="005F07A1"/>
    <w:rsid w:val="005F1AD4"/>
    <w:rsid w:val="005F21AB"/>
    <w:rsid w:val="005F36AF"/>
    <w:rsid w:val="005F5226"/>
    <w:rsid w:val="005F6162"/>
    <w:rsid w:val="006009D1"/>
    <w:rsid w:val="00600D6B"/>
    <w:rsid w:val="00601877"/>
    <w:rsid w:val="00601A2B"/>
    <w:rsid w:val="00602582"/>
    <w:rsid w:val="00603F22"/>
    <w:rsid w:val="006042C2"/>
    <w:rsid w:val="00604A2C"/>
    <w:rsid w:val="00604F01"/>
    <w:rsid w:val="00605FED"/>
    <w:rsid w:val="00606B4C"/>
    <w:rsid w:val="00607154"/>
    <w:rsid w:val="00607168"/>
    <w:rsid w:val="00607D01"/>
    <w:rsid w:val="0061017D"/>
    <w:rsid w:val="00613BA7"/>
    <w:rsid w:val="00615B8D"/>
    <w:rsid w:val="00615C40"/>
    <w:rsid w:val="00617AB7"/>
    <w:rsid w:val="00621813"/>
    <w:rsid w:val="00621B71"/>
    <w:rsid w:val="006223AE"/>
    <w:rsid w:val="00622763"/>
    <w:rsid w:val="00622A7B"/>
    <w:rsid w:val="006235C8"/>
    <w:rsid w:val="00624182"/>
    <w:rsid w:val="00624905"/>
    <w:rsid w:val="00624FFC"/>
    <w:rsid w:val="00625870"/>
    <w:rsid w:val="00626978"/>
    <w:rsid w:val="00627B7D"/>
    <w:rsid w:val="00630221"/>
    <w:rsid w:val="00630725"/>
    <w:rsid w:val="00632238"/>
    <w:rsid w:val="00632D84"/>
    <w:rsid w:val="00634FE7"/>
    <w:rsid w:val="00635982"/>
    <w:rsid w:val="006364F6"/>
    <w:rsid w:val="006368E9"/>
    <w:rsid w:val="00637359"/>
    <w:rsid w:val="00641C07"/>
    <w:rsid w:val="00641FDC"/>
    <w:rsid w:val="00642420"/>
    <w:rsid w:val="0064315A"/>
    <w:rsid w:val="006439CB"/>
    <w:rsid w:val="006479AC"/>
    <w:rsid w:val="006508CC"/>
    <w:rsid w:val="00651161"/>
    <w:rsid w:val="00651437"/>
    <w:rsid w:val="0065503C"/>
    <w:rsid w:val="00655C15"/>
    <w:rsid w:val="00657D5E"/>
    <w:rsid w:val="00662F28"/>
    <w:rsid w:val="00664382"/>
    <w:rsid w:val="00667667"/>
    <w:rsid w:val="006705EA"/>
    <w:rsid w:val="0067658F"/>
    <w:rsid w:val="0067679E"/>
    <w:rsid w:val="00677A09"/>
    <w:rsid w:val="00680009"/>
    <w:rsid w:val="006809B8"/>
    <w:rsid w:val="00681F1A"/>
    <w:rsid w:val="006821D6"/>
    <w:rsid w:val="00683847"/>
    <w:rsid w:val="00683FAF"/>
    <w:rsid w:val="00690E12"/>
    <w:rsid w:val="00691A2E"/>
    <w:rsid w:val="0069350D"/>
    <w:rsid w:val="00695289"/>
    <w:rsid w:val="00695FAD"/>
    <w:rsid w:val="00696020"/>
    <w:rsid w:val="00697715"/>
    <w:rsid w:val="00697956"/>
    <w:rsid w:val="006A02D4"/>
    <w:rsid w:val="006A0562"/>
    <w:rsid w:val="006A1F1C"/>
    <w:rsid w:val="006A22FF"/>
    <w:rsid w:val="006A2BC6"/>
    <w:rsid w:val="006A4C5E"/>
    <w:rsid w:val="006A6233"/>
    <w:rsid w:val="006A64E8"/>
    <w:rsid w:val="006A7371"/>
    <w:rsid w:val="006B1096"/>
    <w:rsid w:val="006B1734"/>
    <w:rsid w:val="006B5F85"/>
    <w:rsid w:val="006B68B2"/>
    <w:rsid w:val="006B7CE2"/>
    <w:rsid w:val="006B7D90"/>
    <w:rsid w:val="006C0EED"/>
    <w:rsid w:val="006C154A"/>
    <w:rsid w:val="006C192F"/>
    <w:rsid w:val="006C40A4"/>
    <w:rsid w:val="006C596B"/>
    <w:rsid w:val="006C5E5E"/>
    <w:rsid w:val="006C67F6"/>
    <w:rsid w:val="006C7BD5"/>
    <w:rsid w:val="006D235C"/>
    <w:rsid w:val="006D273A"/>
    <w:rsid w:val="006D3598"/>
    <w:rsid w:val="006D7B22"/>
    <w:rsid w:val="006E0151"/>
    <w:rsid w:val="006E0237"/>
    <w:rsid w:val="006E1F68"/>
    <w:rsid w:val="006E3FA6"/>
    <w:rsid w:val="006E51BA"/>
    <w:rsid w:val="006E699E"/>
    <w:rsid w:val="006E759C"/>
    <w:rsid w:val="006F5CE8"/>
    <w:rsid w:val="006F6395"/>
    <w:rsid w:val="006F6E47"/>
    <w:rsid w:val="006F7A86"/>
    <w:rsid w:val="0070266A"/>
    <w:rsid w:val="00703675"/>
    <w:rsid w:val="00704649"/>
    <w:rsid w:val="00705E94"/>
    <w:rsid w:val="00706716"/>
    <w:rsid w:val="007071AF"/>
    <w:rsid w:val="007145E8"/>
    <w:rsid w:val="007156CC"/>
    <w:rsid w:val="00716B32"/>
    <w:rsid w:val="007174B6"/>
    <w:rsid w:val="007222C7"/>
    <w:rsid w:val="00722BCA"/>
    <w:rsid w:val="00724909"/>
    <w:rsid w:val="00725183"/>
    <w:rsid w:val="00725C8E"/>
    <w:rsid w:val="0072696C"/>
    <w:rsid w:val="00726D17"/>
    <w:rsid w:val="00727A00"/>
    <w:rsid w:val="007316F6"/>
    <w:rsid w:val="007318D5"/>
    <w:rsid w:val="00731BE4"/>
    <w:rsid w:val="0073326A"/>
    <w:rsid w:val="00733D82"/>
    <w:rsid w:val="00734238"/>
    <w:rsid w:val="00737C0E"/>
    <w:rsid w:val="00740C62"/>
    <w:rsid w:val="007426A8"/>
    <w:rsid w:val="007426FC"/>
    <w:rsid w:val="007432C2"/>
    <w:rsid w:val="00744308"/>
    <w:rsid w:val="007479A1"/>
    <w:rsid w:val="00752137"/>
    <w:rsid w:val="00752190"/>
    <w:rsid w:val="0075309C"/>
    <w:rsid w:val="0075385E"/>
    <w:rsid w:val="007553DB"/>
    <w:rsid w:val="00761563"/>
    <w:rsid w:val="007618C5"/>
    <w:rsid w:val="0076327D"/>
    <w:rsid w:val="00763484"/>
    <w:rsid w:val="00766AE2"/>
    <w:rsid w:val="00766B37"/>
    <w:rsid w:val="007701D1"/>
    <w:rsid w:val="0077138E"/>
    <w:rsid w:val="007735B6"/>
    <w:rsid w:val="007778CC"/>
    <w:rsid w:val="007778EC"/>
    <w:rsid w:val="00777A92"/>
    <w:rsid w:val="00780A85"/>
    <w:rsid w:val="007823E2"/>
    <w:rsid w:val="007832ED"/>
    <w:rsid w:val="00783508"/>
    <w:rsid w:val="007849D6"/>
    <w:rsid w:val="007850A3"/>
    <w:rsid w:val="00785A15"/>
    <w:rsid w:val="00786CC4"/>
    <w:rsid w:val="00787BC9"/>
    <w:rsid w:val="00790D69"/>
    <w:rsid w:val="00791C6F"/>
    <w:rsid w:val="007924D2"/>
    <w:rsid w:val="007958B3"/>
    <w:rsid w:val="00797A8A"/>
    <w:rsid w:val="007A1787"/>
    <w:rsid w:val="007A194F"/>
    <w:rsid w:val="007A22E8"/>
    <w:rsid w:val="007A2DBD"/>
    <w:rsid w:val="007A493B"/>
    <w:rsid w:val="007A6C1E"/>
    <w:rsid w:val="007A706D"/>
    <w:rsid w:val="007A7591"/>
    <w:rsid w:val="007A7D87"/>
    <w:rsid w:val="007B0BA2"/>
    <w:rsid w:val="007B14E4"/>
    <w:rsid w:val="007B1509"/>
    <w:rsid w:val="007B194D"/>
    <w:rsid w:val="007B30B4"/>
    <w:rsid w:val="007B3395"/>
    <w:rsid w:val="007B4903"/>
    <w:rsid w:val="007B4CD0"/>
    <w:rsid w:val="007B6304"/>
    <w:rsid w:val="007B6B3D"/>
    <w:rsid w:val="007C0E0B"/>
    <w:rsid w:val="007C1F94"/>
    <w:rsid w:val="007C6371"/>
    <w:rsid w:val="007C63D0"/>
    <w:rsid w:val="007C69F8"/>
    <w:rsid w:val="007C6CB0"/>
    <w:rsid w:val="007C7180"/>
    <w:rsid w:val="007C7412"/>
    <w:rsid w:val="007D0737"/>
    <w:rsid w:val="007D1B60"/>
    <w:rsid w:val="007D2EEC"/>
    <w:rsid w:val="007D2FBE"/>
    <w:rsid w:val="007D5080"/>
    <w:rsid w:val="007D5FA6"/>
    <w:rsid w:val="007D6A5A"/>
    <w:rsid w:val="007D6DA9"/>
    <w:rsid w:val="007E07B1"/>
    <w:rsid w:val="007E0F8D"/>
    <w:rsid w:val="007E1ED8"/>
    <w:rsid w:val="007E3F98"/>
    <w:rsid w:val="007E48BD"/>
    <w:rsid w:val="007E59E0"/>
    <w:rsid w:val="007E5FBE"/>
    <w:rsid w:val="007E62B0"/>
    <w:rsid w:val="007F04A2"/>
    <w:rsid w:val="007F1698"/>
    <w:rsid w:val="007F28C5"/>
    <w:rsid w:val="007F2AC6"/>
    <w:rsid w:val="007F3B53"/>
    <w:rsid w:val="007F3FE4"/>
    <w:rsid w:val="007F43AB"/>
    <w:rsid w:val="007F5B38"/>
    <w:rsid w:val="007F6B6D"/>
    <w:rsid w:val="007F7E4A"/>
    <w:rsid w:val="0080512B"/>
    <w:rsid w:val="00805750"/>
    <w:rsid w:val="0080660E"/>
    <w:rsid w:val="00806DC6"/>
    <w:rsid w:val="00810905"/>
    <w:rsid w:val="00810971"/>
    <w:rsid w:val="00810FB1"/>
    <w:rsid w:val="0081114E"/>
    <w:rsid w:val="008111C7"/>
    <w:rsid w:val="00811CAA"/>
    <w:rsid w:val="0081230B"/>
    <w:rsid w:val="008132B7"/>
    <w:rsid w:val="0081373E"/>
    <w:rsid w:val="00813DD1"/>
    <w:rsid w:val="00813EDD"/>
    <w:rsid w:val="00814085"/>
    <w:rsid w:val="008143C2"/>
    <w:rsid w:val="00815114"/>
    <w:rsid w:val="00816F0D"/>
    <w:rsid w:val="008201A4"/>
    <w:rsid w:val="0082029A"/>
    <w:rsid w:val="008208EE"/>
    <w:rsid w:val="0082284C"/>
    <w:rsid w:val="00824136"/>
    <w:rsid w:val="008258DB"/>
    <w:rsid w:val="00826D45"/>
    <w:rsid w:val="00826D56"/>
    <w:rsid w:val="0083313C"/>
    <w:rsid w:val="00835120"/>
    <w:rsid w:val="0083533A"/>
    <w:rsid w:val="0083684C"/>
    <w:rsid w:val="00837851"/>
    <w:rsid w:val="00840882"/>
    <w:rsid w:val="00843295"/>
    <w:rsid w:val="008445FF"/>
    <w:rsid w:val="008447CD"/>
    <w:rsid w:val="00852CC0"/>
    <w:rsid w:val="00855261"/>
    <w:rsid w:val="00856941"/>
    <w:rsid w:val="00856E30"/>
    <w:rsid w:val="008621C2"/>
    <w:rsid w:val="00863BFF"/>
    <w:rsid w:val="00864458"/>
    <w:rsid w:val="0086566F"/>
    <w:rsid w:val="008656A8"/>
    <w:rsid w:val="00865A09"/>
    <w:rsid w:val="00866D1E"/>
    <w:rsid w:val="00870071"/>
    <w:rsid w:val="00871E44"/>
    <w:rsid w:val="00873094"/>
    <w:rsid w:val="008747ED"/>
    <w:rsid w:val="008766E1"/>
    <w:rsid w:val="008818CC"/>
    <w:rsid w:val="008820EF"/>
    <w:rsid w:val="00883876"/>
    <w:rsid w:val="00883A1C"/>
    <w:rsid w:val="00885BC5"/>
    <w:rsid w:val="00886042"/>
    <w:rsid w:val="008877D2"/>
    <w:rsid w:val="00891358"/>
    <w:rsid w:val="00891FA7"/>
    <w:rsid w:val="00892383"/>
    <w:rsid w:val="00892590"/>
    <w:rsid w:val="008962AA"/>
    <w:rsid w:val="008964C9"/>
    <w:rsid w:val="00896D8C"/>
    <w:rsid w:val="00897988"/>
    <w:rsid w:val="008A27B3"/>
    <w:rsid w:val="008A4A65"/>
    <w:rsid w:val="008A57EE"/>
    <w:rsid w:val="008A5A27"/>
    <w:rsid w:val="008A7FFA"/>
    <w:rsid w:val="008B0E10"/>
    <w:rsid w:val="008B16AF"/>
    <w:rsid w:val="008B212C"/>
    <w:rsid w:val="008B30FF"/>
    <w:rsid w:val="008B48B6"/>
    <w:rsid w:val="008B5398"/>
    <w:rsid w:val="008B6D1F"/>
    <w:rsid w:val="008B7F01"/>
    <w:rsid w:val="008C1456"/>
    <w:rsid w:val="008C2C91"/>
    <w:rsid w:val="008C2FF5"/>
    <w:rsid w:val="008C5717"/>
    <w:rsid w:val="008C61BE"/>
    <w:rsid w:val="008C6A5E"/>
    <w:rsid w:val="008C6CD5"/>
    <w:rsid w:val="008D167B"/>
    <w:rsid w:val="008D67F8"/>
    <w:rsid w:val="008D7234"/>
    <w:rsid w:val="008D7DC1"/>
    <w:rsid w:val="008D7DEF"/>
    <w:rsid w:val="008E0A89"/>
    <w:rsid w:val="008E3DC9"/>
    <w:rsid w:val="008E4BC4"/>
    <w:rsid w:val="008F1338"/>
    <w:rsid w:val="008F2756"/>
    <w:rsid w:val="008F35C8"/>
    <w:rsid w:val="008F3975"/>
    <w:rsid w:val="008F54A7"/>
    <w:rsid w:val="008F5627"/>
    <w:rsid w:val="008F5CAC"/>
    <w:rsid w:val="008F6217"/>
    <w:rsid w:val="008F6D8C"/>
    <w:rsid w:val="008F7CB9"/>
    <w:rsid w:val="00907EB9"/>
    <w:rsid w:val="00911111"/>
    <w:rsid w:val="00911FE3"/>
    <w:rsid w:val="00912ECE"/>
    <w:rsid w:val="00912F61"/>
    <w:rsid w:val="00913137"/>
    <w:rsid w:val="009132EB"/>
    <w:rsid w:val="009134CB"/>
    <w:rsid w:val="00913690"/>
    <w:rsid w:val="009146A9"/>
    <w:rsid w:val="00917362"/>
    <w:rsid w:val="0092154E"/>
    <w:rsid w:val="00921AA5"/>
    <w:rsid w:val="00923434"/>
    <w:rsid w:val="00925473"/>
    <w:rsid w:val="009275EE"/>
    <w:rsid w:val="00927F5E"/>
    <w:rsid w:val="00930365"/>
    <w:rsid w:val="00931A7A"/>
    <w:rsid w:val="00931D93"/>
    <w:rsid w:val="00932C85"/>
    <w:rsid w:val="009341D2"/>
    <w:rsid w:val="009357EB"/>
    <w:rsid w:val="00936A14"/>
    <w:rsid w:val="0093762F"/>
    <w:rsid w:val="009376B8"/>
    <w:rsid w:val="00941CF0"/>
    <w:rsid w:val="00942F0F"/>
    <w:rsid w:val="0094316A"/>
    <w:rsid w:val="00944F78"/>
    <w:rsid w:val="00945DEC"/>
    <w:rsid w:val="009461ED"/>
    <w:rsid w:val="00947ACC"/>
    <w:rsid w:val="009534FB"/>
    <w:rsid w:val="0095471D"/>
    <w:rsid w:val="00954931"/>
    <w:rsid w:val="00954BC7"/>
    <w:rsid w:val="009569D2"/>
    <w:rsid w:val="00956D20"/>
    <w:rsid w:val="009608CB"/>
    <w:rsid w:val="00960E51"/>
    <w:rsid w:val="00963496"/>
    <w:rsid w:val="00964D7F"/>
    <w:rsid w:val="00965B06"/>
    <w:rsid w:val="00966650"/>
    <w:rsid w:val="009673E0"/>
    <w:rsid w:val="009706BA"/>
    <w:rsid w:val="009722A3"/>
    <w:rsid w:val="009723D2"/>
    <w:rsid w:val="009732E4"/>
    <w:rsid w:val="009747C3"/>
    <w:rsid w:val="00976A4A"/>
    <w:rsid w:val="00976B20"/>
    <w:rsid w:val="009773D0"/>
    <w:rsid w:val="009779FE"/>
    <w:rsid w:val="00980D70"/>
    <w:rsid w:val="00981C22"/>
    <w:rsid w:val="00982D26"/>
    <w:rsid w:val="009838C1"/>
    <w:rsid w:val="00984459"/>
    <w:rsid w:val="009901FE"/>
    <w:rsid w:val="00991336"/>
    <w:rsid w:val="00995768"/>
    <w:rsid w:val="00995C63"/>
    <w:rsid w:val="0099675D"/>
    <w:rsid w:val="00996F65"/>
    <w:rsid w:val="00997AB6"/>
    <w:rsid w:val="009A1014"/>
    <w:rsid w:val="009A1994"/>
    <w:rsid w:val="009A358A"/>
    <w:rsid w:val="009A371A"/>
    <w:rsid w:val="009A3723"/>
    <w:rsid w:val="009A3DF7"/>
    <w:rsid w:val="009A4F58"/>
    <w:rsid w:val="009A5E07"/>
    <w:rsid w:val="009A610D"/>
    <w:rsid w:val="009A68D5"/>
    <w:rsid w:val="009B4C84"/>
    <w:rsid w:val="009B5155"/>
    <w:rsid w:val="009B750F"/>
    <w:rsid w:val="009C162E"/>
    <w:rsid w:val="009C2483"/>
    <w:rsid w:val="009C5005"/>
    <w:rsid w:val="009C6C1F"/>
    <w:rsid w:val="009D095E"/>
    <w:rsid w:val="009D1B1C"/>
    <w:rsid w:val="009D1CD2"/>
    <w:rsid w:val="009D32A1"/>
    <w:rsid w:val="009D5C73"/>
    <w:rsid w:val="009D6820"/>
    <w:rsid w:val="009D6A0D"/>
    <w:rsid w:val="009D6AB9"/>
    <w:rsid w:val="009E1C76"/>
    <w:rsid w:val="009E2067"/>
    <w:rsid w:val="009E225F"/>
    <w:rsid w:val="009E7F33"/>
    <w:rsid w:val="009F072B"/>
    <w:rsid w:val="009F17E2"/>
    <w:rsid w:val="009F1F1B"/>
    <w:rsid w:val="009F2116"/>
    <w:rsid w:val="009F3FA5"/>
    <w:rsid w:val="009F41BE"/>
    <w:rsid w:val="009F4AF1"/>
    <w:rsid w:val="009F5CE2"/>
    <w:rsid w:val="00A0017B"/>
    <w:rsid w:val="00A0125F"/>
    <w:rsid w:val="00A04BF2"/>
    <w:rsid w:val="00A06232"/>
    <w:rsid w:val="00A06B05"/>
    <w:rsid w:val="00A07C8D"/>
    <w:rsid w:val="00A07E78"/>
    <w:rsid w:val="00A11393"/>
    <w:rsid w:val="00A11EB1"/>
    <w:rsid w:val="00A12F0A"/>
    <w:rsid w:val="00A13071"/>
    <w:rsid w:val="00A13409"/>
    <w:rsid w:val="00A13BEA"/>
    <w:rsid w:val="00A14B48"/>
    <w:rsid w:val="00A20EA7"/>
    <w:rsid w:val="00A228A7"/>
    <w:rsid w:val="00A22DA7"/>
    <w:rsid w:val="00A23993"/>
    <w:rsid w:val="00A239FA"/>
    <w:rsid w:val="00A241EA"/>
    <w:rsid w:val="00A247B5"/>
    <w:rsid w:val="00A257A7"/>
    <w:rsid w:val="00A264D3"/>
    <w:rsid w:val="00A26C75"/>
    <w:rsid w:val="00A270B6"/>
    <w:rsid w:val="00A311A0"/>
    <w:rsid w:val="00A32B50"/>
    <w:rsid w:val="00A32E6E"/>
    <w:rsid w:val="00A34D11"/>
    <w:rsid w:val="00A367B2"/>
    <w:rsid w:val="00A376CE"/>
    <w:rsid w:val="00A420D9"/>
    <w:rsid w:val="00A42261"/>
    <w:rsid w:val="00A42704"/>
    <w:rsid w:val="00A43369"/>
    <w:rsid w:val="00A444AF"/>
    <w:rsid w:val="00A50270"/>
    <w:rsid w:val="00A52C19"/>
    <w:rsid w:val="00A53ACB"/>
    <w:rsid w:val="00A55004"/>
    <w:rsid w:val="00A56044"/>
    <w:rsid w:val="00A57FE2"/>
    <w:rsid w:val="00A614DB"/>
    <w:rsid w:val="00A61E85"/>
    <w:rsid w:val="00A6329F"/>
    <w:rsid w:val="00A63597"/>
    <w:rsid w:val="00A63806"/>
    <w:rsid w:val="00A63A51"/>
    <w:rsid w:val="00A643C0"/>
    <w:rsid w:val="00A64426"/>
    <w:rsid w:val="00A65011"/>
    <w:rsid w:val="00A65116"/>
    <w:rsid w:val="00A6713E"/>
    <w:rsid w:val="00A67FE6"/>
    <w:rsid w:val="00A70B2C"/>
    <w:rsid w:val="00A70F09"/>
    <w:rsid w:val="00A7111A"/>
    <w:rsid w:val="00A735AA"/>
    <w:rsid w:val="00A74B1A"/>
    <w:rsid w:val="00A800A2"/>
    <w:rsid w:val="00A807DF"/>
    <w:rsid w:val="00A81494"/>
    <w:rsid w:val="00A81B3E"/>
    <w:rsid w:val="00A81CAD"/>
    <w:rsid w:val="00A82444"/>
    <w:rsid w:val="00A82C19"/>
    <w:rsid w:val="00A82F51"/>
    <w:rsid w:val="00A855B9"/>
    <w:rsid w:val="00A85CDE"/>
    <w:rsid w:val="00A8670D"/>
    <w:rsid w:val="00A90C25"/>
    <w:rsid w:val="00A90D9A"/>
    <w:rsid w:val="00A92920"/>
    <w:rsid w:val="00A9588A"/>
    <w:rsid w:val="00A95B11"/>
    <w:rsid w:val="00A97DA1"/>
    <w:rsid w:val="00AA04AE"/>
    <w:rsid w:val="00AA2654"/>
    <w:rsid w:val="00AA3FAE"/>
    <w:rsid w:val="00AA4706"/>
    <w:rsid w:val="00AA6B3C"/>
    <w:rsid w:val="00AB248F"/>
    <w:rsid w:val="00AB3333"/>
    <w:rsid w:val="00AB3B79"/>
    <w:rsid w:val="00AB4301"/>
    <w:rsid w:val="00AB5BDA"/>
    <w:rsid w:val="00AB6EEC"/>
    <w:rsid w:val="00AB7245"/>
    <w:rsid w:val="00AC3AD8"/>
    <w:rsid w:val="00AC588D"/>
    <w:rsid w:val="00AC5EA0"/>
    <w:rsid w:val="00AC6E32"/>
    <w:rsid w:val="00AD11F1"/>
    <w:rsid w:val="00AD1978"/>
    <w:rsid w:val="00AD31F7"/>
    <w:rsid w:val="00AD4113"/>
    <w:rsid w:val="00AD5FAD"/>
    <w:rsid w:val="00AD7D3F"/>
    <w:rsid w:val="00AE0179"/>
    <w:rsid w:val="00AE0864"/>
    <w:rsid w:val="00AE1EC8"/>
    <w:rsid w:val="00AE23A9"/>
    <w:rsid w:val="00AE511A"/>
    <w:rsid w:val="00AE66AC"/>
    <w:rsid w:val="00AF011D"/>
    <w:rsid w:val="00AF20AE"/>
    <w:rsid w:val="00AF2C9C"/>
    <w:rsid w:val="00AF2E27"/>
    <w:rsid w:val="00AF4448"/>
    <w:rsid w:val="00AF50CE"/>
    <w:rsid w:val="00AF7C1C"/>
    <w:rsid w:val="00AF7CC4"/>
    <w:rsid w:val="00B000E0"/>
    <w:rsid w:val="00B011FA"/>
    <w:rsid w:val="00B05AEA"/>
    <w:rsid w:val="00B06BF2"/>
    <w:rsid w:val="00B06C7A"/>
    <w:rsid w:val="00B07271"/>
    <w:rsid w:val="00B07693"/>
    <w:rsid w:val="00B14443"/>
    <w:rsid w:val="00B15937"/>
    <w:rsid w:val="00B1690A"/>
    <w:rsid w:val="00B17D41"/>
    <w:rsid w:val="00B208FA"/>
    <w:rsid w:val="00B21E99"/>
    <w:rsid w:val="00B227BB"/>
    <w:rsid w:val="00B2443A"/>
    <w:rsid w:val="00B255C5"/>
    <w:rsid w:val="00B27096"/>
    <w:rsid w:val="00B300E8"/>
    <w:rsid w:val="00B3026D"/>
    <w:rsid w:val="00B336D1"/>
    <w:rsid w:val="00B35098"/>
    <w:rsid w:val="00B36649"/>
    <w:rsid w:val="00B36BAF"/>
    <w:rsid w:val="00B37483"/>
    <w:rsid w:val="00B417CA"/>
    <w:rsid w:val="00B419C5"/>
    <w:rsid w:val="00B44F0F"/>
    <w:rsid w:val="00B46F51"/>
    <w:rsid w:val="00B475D8"/>
    <w:rsid w:val="00B52C85"/>
    <w:rsid w:val="00B54F0A"/>
    <w:rsid w:val="00B55CF9"/>
    <w:rsid w:val="00B56F06"/>
    <w:rsid w:val="00B60C9D"/>
    <w:rsid w:val="00B61EF2"/>
    <w:rsid w:val="00B623E2"/>
    <w:rsid w:val="00B62EFF"/>
    <w:rsid w:val="00B65CF9"/>
    <w:rsid w:val="00B66110"/>
    <w:rsid w:val="00B67670"/>
    <w:rsid w:val="00B7064C"/>
    <w:rsid w:val="00B71AFB"/>
    <w:rsid w:val="00B722AC"/>
    <w:rsid w:val="00B7393A"/>
    <w:rsid w:val="00B73C84"/>
    <w:rsid w:val="00B74AA8"/>
    <w:rsid w:val="00B74ADA"/>
    <w:rsid w:val="00B75866"/>
    <w:rsid w:val="00B77D03"/>
    <w:rsid w:val="00B8120C"/>
    <w:rsid w:val="00B8187E"/>
    <w:rsid w:val="00B82B79"/>
    <w:rsid w:val="00B84241"/>
    <w:rsid w:val="00B85110"/>
    <w:rsid w:val="00B85540"/>
    <w:rsid w:val="00B8695F"/>
    <w:rsid w:val="00B8714E"/>
    <w:rsid w:val="00B8756F"/>
    <w:rsid w:val="00B87D24"/>
    <w:rsid w:val="00B87D55"/>
    <w:rsid w:val="00B91B55"/>
    <w:rsid w:val="00B91B6F"/>
    <w:rsid w:val="00B931C8"/>
    <w:rsid w:val="00B9333A"/>
    <w:rsid w:val="00B96479"/>
    <w:rsid w:val="00BA0DA0"/>
    <w:rsid w:val="00BA154B"/>
    <w:rsid w:val="00BA1AA5"/>
    <w:rsid w:val="00BA200E"/>
    <w:rsid w:val="00BA2E51"/>
    <w:rsid w:val="00BA48D0"/>
    <w:rsid w:val="00BA4E4B"/>
    <w:rsid w:val="00BA54C2"/>
    <w:rsid w:val="00BA5771"/>
    <w:rsid w:val="00BA6750"/>
    <w:rsid w:val="00BA7062"/>
    <w:rsid w:val="00BB0AA4"/>
    <w:rsid w:val="00BB1AB8"/>
    <w:rsid w:val="00BB276E"/>
    <w:rsid w:val="00BB7F95"/>
    <w:rsid w:val="00BC2861"/>
    <w:rsid w:val="00BC2E4A"/>
    <w:rsid w:val="00BC3F1E"/>
    <w:rsid w:val="00BC4EBE"/>
    <w:rsid w:val="00BC6153"/>
    <w:rsid w:val="00BC66E2"/>
    <w:rsid w:val="00BD0751"/>
    <w:rsid w:val="00BD19D9"/>
    <w:rsid w:val="00BD2B7C"/>
    <w:rsid w:val="00BD2BD3"/>
    <w:rsid w:val="00BD3274"/>
    <w:rsid w:val="00BD38FF"/>
    <w:rsid w:val="00BD6230"/>
    <w:rsid w:val="00BE00A4"/>
    <w:rsid w:val="00BE12D0"/>
    <w:rsid w:val="00BE1E3B"/>
    <w:rsid w:val="00BE44C3"/>
    <w:rsid w:val="00BE5BC9"/>
    <w:rsid w:val="00BE7F58"/>
    <w:rsid w:val="00BF0A8B"/>
    <w:rsid w:val="00BF0E64"/>
    <w:rsid w:val="00BF2506"/>
    <w:rsid w:val="00C02499"/>
    <w:rsid w:val="00C045C2"/>
    <w:rsid w:val="00C04BC0"/>
    <w:rsid w:val="00C065D3"/>
    <w:rsid w:val="00C06D1C"/>
    <w:rsid w:val="00C10168"/>
    <w:rsid w:val="00C114D1"/>
    <w:rsid w:val="00C121BA"/>
    <w:rsid w:val="00C154AD"/>
    <w:rsid w:val="00C163BB"/>
    <w:rsid w:val="00C2087B"/>
    <w:rsid w:val="00C20926"/>
    <w:rsid w:val="00C210FE"/>
    <w:rsid w:val="00C22612"/>
    <w:rsid w:val="00C23024"/>
    <w:rsid w:val="00C251DE"/>
    <w:rsid w:val="00C251EC"/>
    <w:rsid w:val="00C2649F"/>
    <w:rsid w:val="00C26B41"/>
    <w:rsid w:val="00C2794B"/>
    <w:rsid w:val="00C27F43"/>
    <w:rsid w:val="00C318E9"/>
    <w:rsid w:val="00C31989"/>
    <w:rsid w:val="00C33A26"/>
    <w:rsid w:val="00C33EAE"/>
    <w:rsid w:val="00C35921"/>
    <w:rsid w:val="00C37E23"/>
    <w:rsid w:val="00C40D5A"/>
    <w:rsid w:val="00C40EF7"/>
    <w:rsid w:val="00C413B2"/>
    <w:rsid w:val="00C41BDA"/>
    <w:rsid w:val="00C41F2A"/>
    <w:rsid w:val="00C42DB1"/>
    <w:rsid w:val="00C50B35"/>
    <w:rsid w:val="00C50E1E"/>
    <w:rsid w:val="00C5177A"/>
    <w:rsid w:val="00C52688"/>
    <w:rsid w:val="00C550FF"/>
    <w:rsid w:val="00C57052"/>
    <w:rsid w:val="00C579F8"/>
    <w:rsid w:val="00C6024E"/>
    <w:rsid w:val="00C62973"/>
    <w:rsid w:val="00C63849"/>
    <w:rsid w:val="00C63ED9"/>
    <w:rsid w:val="00C64064"/>
    <w:rsid w:val="00C64542"/>
    <w:rsid w:val="00C66DBD"/>
    <w:rsid w:val="00C66F51"/>
    <w:rsid w:val="00C722E1"/>
    <w:rsid w:val="00C73AF7"/>
    <w:rsid w:val="00C742C5"/>
    <w:rsid w:val="00C745B1"/>
    <w:rsid w:val="00C74ED1"/>
    <w:rsid w:val="00C75198"/>
    <w:rsid w:val="00C75FD7"/>
    <w:rsid w:val="00C7783B"/>
    <w:rsid w:val="00C77E40"/>
    <w:rsid w:val="00C812B9"/>
    <w:rsid w:val="00C816CE"/>
    <w:rsid w:val="00C81802"/>
    <w:rsid w:val="00C83692"/>
    <w:rsid w:val="00C8437F"/>
    <w:rsid w:val="00C84C7F"/>
    <w:rsid w:val="00C85427"/>
    <w:rsid w:val="00C93E28"/>
    <w:rsid w:val="00C94CE0"/>
    <w:rsid w:val="00CA273F"/>
    <w:rsid w:val="00CA35E0"/>
    <w:rsid w:val="00CA37D2"/>
    <w:rsid w:val="00CA6611"/>
    <w:rsid w:val="00CA7AFD"/>
    <w:rsid w:val="00CB0269"/>
    <w:rsid w:val="00CB20CC"/>
    <w:rsid w:val="00CB232E"/>
    <w:rsid w:val="00CB3A87"/>
    <w:rsid w:val="00CB3CB6"/>
    <w:rsid w:val="00CB3F38"/>
    <w:rsid w:val="00CB4F57"/>
    <w:rsid w:val="00CB522D"/>
    <w:rsid w:val="00CB5728"/>
    <w:rsid w:val="00CB63AC"/>
    <w:rsid w:val="00CC0025"/>
    <w:rsid w:val="00CC0496"/>
    <w:rsid w:val="00CC3C62"/>
    <w:rsid w:val="00CC47E1"/>
    <w:rsid w:val="00CC49E7"/>
    <w:rsid w:val="00CC5AA3"/>
    <w:rsid w:val="00CD0F4A"/>
    <w:rsid w:val="00CD2FAE"/>
    <w:rsid w:val="00CD34A1"/>
    <w:rsid w:val="00CD5E92"/>
    <w:rsid w:val="00CD5EDB"/>
    <w:rsid w:val="00CD6AC4"/>
    <w:rsid w:val="00CD6E9B"/>
    <w:rsid w:val="00CE04D1"/>
    <w:rsid w:val="00CE15A1"/>
    <w:rsid w:val="00CE20ED"/>
    <w:rsid w:val="00CE23BB"/>
    <w:rsid w:val="00CE2639"/>
    <w:rsid w:val="00CE5276"/>
    <w:rsid w:val="00CE5B6B"/>
    <w:rsid w:val="00CE5DA2"/>
    <w:rsid w:val="00CE7140"/>
    <w:rsid w:val="00CE7844"/>
    <w:rsid w:val="00CF04CD"/>
    <w:rsid w:val="00CF0EC7"/>
    <w:rsid w:val="00CF16E1"/>
    <w:rsid w:val="00CF1D28"/>
    <w:rsid w:val="00CF2349"/>
    <w:rsid w:val="00CF38D3"/>
    <w:rsid w:val="00CF47F0"/>
    <w:rsid w:val="00CF6524"/>
    <w:rsid w:val="00CF6E96"/>
    <w:rsid w:val="00D0107A"/>
    <w:rsid w:val="00D01C67"/>
    <w:rsid w:val="00D02601"/>
    <w:rsid w:val="00D02CBE"/>
    <w:rsid w:val="00D02CE3"/>
    <w:rsid w:val="00D02E5C"/>
    <w:rsid w:val="00D02FC8"/>
    <w:rsid w:val="00D04320"/>
    <w:rsid w:val="00D04933"/>
    <w:rsid w:val="00D04F67"/>
    <w:rsid w:val="00D074D3"/>
    <w:rsid w:val="00D10208"/>
    <w:rsid w:val="00D110BD"/>
    <w:rsid w:val="00D114BB"/>
    <w:rsid w:val="00D13FC2"/>
    <w:rsid w:val="00D14CEE"/>
    <w:rsid w:val="00D1676A"/>
    <w:rsid w:val="00D20C19"/>
    <w:rsid w:val="00D20F99"/>
    <w:rsid w:val="00D214DD"/>
    <w:rsid w:val="00D21B7A"/>
    <w:rsid w:val="00D21FB5"/>
    <w:rsid w:val="00D22AA6"/>
    <w:rsid w:val="00D235AB"/>
    <w:rsid w:val="00D23743"/>
    <w:rsid w:val="00D25D25"/>
    <w:rsid w:val="00D2746D"/>
    <w:rsid w:val="00D30CD0"/>
    <w:rsid w:val="00D31587"/>
    <w:rsid w:val="00D316AD"/>
    <w:rsid w:val="00D33AF3"/>
    <w:rsid w:val="00D34E72"/>
    <w:rsid w:val="00D35290"/>
    <w:rsid w:val="00D3560A"/>
    <w:rsid w:val="00D364C7"/>
    <w:rsid w:val="00D366DF"/>
    <w:rsid w:val="00D36A6D"/>
    <w:rsid w:val="00D37745"/>
    <w:rsid w:val="00D4083B"/>
    <w:rsid w:val="00D40CFA"/>
    <w:rsid w:val="00D446BE"/>
    <w:rsid w:val="00D45194"/>
    <w:rsid w:val="00D45693"/>
    <w:rsid w:val="00D45BBB"/>
    <w:rsid w:val="00D479FB"/>
    <w:rsid w:val="00D47FB7"/>
    <w:rsid w:val="00D52E6C"/>
    <w:rsid w:val="00D532F3"/>
    <w:rsid w:val="00D54139"/>
    <w:rsid w:val="00D57AE5"/>
    <w:rsid w:val="00D607AD"/>
    <w:rsid w:val="00D61A54"/>
    <w:rsid w:val="00D62D5A"/>
    <w:rsid w:val="00D631A9"/>
    <w:rsid w:val="00D661D5"/>
    <w:rsid w:val="00D66F8A"/>
    <w:rsid w:val="00D678CD"/>
    <w:rsid w:val="00D7166A"/>
    <w:rsid w:val="00D71A86"/>
    <w:rsid w:val="00D727D0"/>
    <w:rsid w:val="00D72BF1"/>
    <w:rsid w:val="00D7380B"/>
    <w:rsid w:val="00D75075"/>
    <w:rsid w:val="00D750C3"/>
    <w:rsid w:val="00D7561A"/>
    <w:rsid w:val="00D75BFF"/>
    <w:rsid w:val="00D75FB4"/>
    <w:rsid w:val="00D76C23"/>
    <w:rsid w:val="00D77583"/>
    <w:rsid w:val="00D802D7"/>
    <w:rsid w:val="00D815DB"/>
    <w:rsid w:val="00D822CA"/>
    <w:rsid w:val="00D830F2"/>
    <w:rsid w:val="00D8327F"/>
    <w:rsid w:val="00D845F9"/>
    <w:rsid w:val="00D85213"/>
    <w:rsid w:val="00D85918"/>
    <w:rsid w:val="00D85956"/>
    <w:rsid w:val="00D85D04"/>
    <w:rsid w:val="00D87454"/>
    <w:rsid w:val="00D87B86"/>
    <w:rsid w:val="00D902B9"/>
    <w:rsid w:val="00D90CB8"/>
    <w:rsid w:val="00D927D1"/>
    <w:rsid w:val="00D92D54"/>
    <w:rsid w:val="00D92EE7"/>
    <w:rsid w:val="00D93FDF"/>
    <w:rsid w:val="00D96266"/>
    <w:rsid w:val="00D96586"/>
    <w:rsid w:val="00D9778F"/>
    <w:rsid w:val="00DA3039"/>
    <w:rsid w:val="00DA3496"/>
    <w:rsid w:val="00DA3785"/>
    <w:rsid w:val="00DA6F0C"/>
    <w:rsid w:val="00DA7C1F"/>
    <w:rsid w:val="00DB0A95"/>
    <w:rsid w:val="00DB3200"/>
    <w:rsid w:val="00DB4B79"/>
    <w:rsid w:val="00DB6133"/>
    <w:rsid w:val="00DB64E1"/>
    <w:rsid w:val="00DB7026"/>
    <w:rsid w:val="00DC256B"/>
    <w:rsid w:val="00DC2C6D"/>
    <w:rsid w:val="00DC3055"/>
    <w:rsid w:val="00DC3D30"/>
    <w:rsid w:val="00DC6B7A"/>
    <w:rsid w:val="00DC6D03"/>
    <w:rsid w:val="00DD0429"/>
    <w:rsid w:val="00DD0E40"/>
    <w:rsid w:val="00DD2EA0"/>
    <w:rsid w:val="00DD4B6F"/>
    <w:rsid w:val="00DD57FD"/>
    <w:rsid w:val="00DD6655"/>
    <w:rsid w:val="00DD6CB7"/>
    <w:rsid w:val="00DD763B"/>
    <w:rsid w:val="00DE22E9"/>
    <w:rsid w:val="00DE2DA0"/>
    <w:rsid w:val="00DE360D"/>
    <w:rsid w:val="00DE3743"/>
    <w:rsid w:val="00DE38F7"/>
    <w:rsid w:val="00DE4D21"/>
    <w:rsid w:val="00DE4EB9"/>
    <w:rsid w:val="00DE57C9"/>
    <w:rsid w:val="00DE6094"/>
    <w:rsid w:val="00DE64AC"/>
    <w:rsid w:val="00DE6612"/>
    <w:rsid w:val="00DE6D36"/>
    <w:rsid w:val="00DE6EBD"/>
    <w:rsid w:val="00DE70E6"/>
    <w:rsid w:val="00DE7A11"/>
    <w:rsid w:val="00DF24FA"/>
    <w:rsid w:val="00DF2858"/>
    <w:rsid w:val="00DF29EB"/>
    <w:rsid w:val="00DF3286"/>
    <w:rsid w:val="00DF390C"/>
    <w:rsid w:val="00DF5A4D"/>
    <w:rsid w:val="00DF5D0C"/>
    <w:rsid w:val="00DF647C"/>
    <w:rsid w:val="00E005AC"/>
    <w:rsid w:val="00E020B4"/>
    <w:rsid w:val="00E020D6"/>
    <w:rsid w:val="00E03211"/>
    <w:rsid w:val="00E038ED"/>
    <w:rsid w:val="00E03E9D"/>
    <w:rsid w:val="00E0490C"/>
    <w:rsid w:val="00E05897"/>
    <w:rsid w:val="00E0630E"/>
    <w:rsid w:val="00E07229"/>
    <w:rsid w:val="00E0766B"/>
    <w:rsid w:val="00E1142A"/>
    <w:rsid w:val="00E13694"/>
    <w:rsid w:val="00E14797"/>
    <w:rsid w:val="00E15B9B"/>
    <w:rsid w:val="00E1733B"/>
    <w:rsid w:val="00E17D90"/>
    <w:rsid w:val="00E22231"/>
    <w:rsid w:val="00E2336E"/>
    <w:rsid w:val="00E2489D"/>
    <w:rsid w:val="00E24AA1"/>
    <w:rsid w:val="00E26B56"/>
    <w:rsid w:val="00E2701C"/>
    <w:rsid w:val="00E27550"/>
    <w:rsid w:val="00E27D54"/>
    <w:rsid w:val="00E326A8"/>
    <w:rsid w:val="00E32902"/>
    <w:rsid w:val="00E341EC"/>
    <w:rsid w:val="00E34A5B"/>
    <w:rsid w:val="00E35F46"/>
    <w:rsid w:val="00E3679E"/>
    <w:rsid w:val="00E36B12"/>
    <w:rsid w:val="00E43C34"/>
    <w:rsid w:val="00E45D92"/>
    <w:rsid w:val="00E46C07"/>
    <w:rsid w:val="00E47192"/>
    <w:rsid w:val="00E50554"/>
    <w:rsid w:val="00E5547A"/>
    <w:rsid w:val="00E55B8F"/>
    <w:rsid w:val="00E55DE1"/>
    <w:rsid w:val="00E56529"/>
    <w:rsid w:val="00E56A97"/>
    <w:rsid w:val="00E57971"/>
    <w:rsid w:val="00E60729"/>
    <w:rsid w:val="00E63B23"/>
    <w:rsid w:val="00E64764"/>
    <w:rsid w:val="00E65046"/>
    <w:rsid w:val="00E66197"/>
    <w:rsid w:val="00E70E68"/>
    <w:rsid w:val="00E72862"/>
    <w:rsid w:val="00E72A71"/>
    <w:rsid w:val="00E734EE"/>
    <w:rsid w:val="00E73AA2"/>
    <w:rsid w:val="00E75B56"/>
    <w:rsid w:val="00E75D98"/>
    <w:rsid w:val="00E76689"/>
    <w:rsid w:val="00E76BE7"/>
    <w:rsid w:val="00E7751B"/>
    <w:rsid w:val="00E80A59"/>
    <w:rsid w:val="00E816FE"/>
    <w:rsid w:val="00E832EF"/>
    <w:rsid w:val="00E83A18"/>
    <w:rsid w:val="00E84771"/>
    <w:rsid w:val="00E85746"/>
    <w:rsid w:val="00E86572"/>
    <w:rsid w:val="00E900B9"/>
    <w:rsid w:val="00E90C47"/>
    <w:rsid w:val="00E92E7C"/>
    <w:rsid w:val="00E93DD8"/>
    <w:rsid w:val="00E93DEB"/>
    <w:rsid w:val="00E94FB5"/>
    <w:rsid w:val="00E95EB2"/>
    <w:rsid w:val="00E96CC8"/>
    <w:rsid w:val="00E9787A"/>
    <w:rsid w:val="00EA0148"/>
    <w:rsid w:val="00EA2AD8"/>
    <w:rsid w:val="00EA4123"/>
    <w:rsid w:val="00EA46EF"/>
    <w:rsid w:val="00EA5B18"/>
    <w:rsid w:val="00EA6980"/>
    <w:rsid w:val="00EB12E7"/>
    <w:rsid w:val="00EB1616"/>
    <w:rsid w:val="00EB3878"/>
    <w:rsid w:val="00EB417B"/>
    <w:rsid w:val="00EB5988"/>
    <w:rsid w:val="00EB6DC9"/>
    <w:rsid w:val="00EB7707"/>
    <w:rsid w:val="00EC0553"/>
    <w:rsid w:val="00EC0A01"/>
    <w:rsid w:val="00EC0AE7"/>
    <w:rsid w:val="00EC0F35"/>
    <w:rsid w:val="00EC2099"/>
    <w:rsid w:val="00EC32FE"/>
    <w:rsid w:val="00EC3BB3"/>
    <w:rsid w:val="00EC56B2"/>
    <w:rsid w:val="00EC5B19"/>
    <w:rsid w:val="00EC6CE9"/>
    <w:rsid w:val="00EC7940"/>
    <w:rsid w:val="00ED0B65"/>
    <w:rsid w:val="00ED1D1C"/>
    <w:rsid w:val="00ED2D4C"/>
    <w:rsid w:val="00ED2FE6"/>
    <w:rsid w:val="00ED3F07"/>
    <w:rsid w:val="00ED5E39"/>
    <w:rsid w:val="00ED5EF9"/>
    <w:rsid w:val="00ED716A"/>
    <w:rsid w:val="00EE028E"/>
    <w:rsid w:val="00EE03D1"/>
    <w:rsid w:val="00EE052E"/>
    <w:rsid w:val="00EE64F3"/>
    <w:rsid w:val="00EE7A0F"/>
    <w:rsid w:val="00EF051A"/>
    <w:rsid w:val="00EF06F5"/>
    <w:rsid w:val="00EF09DA"/>
    <w:rsid w:val="00EF0E5B"/>
    <w:rsid w:val="00EF0FFF"/>
    <w:rsid w:val="00EF1A5B"/>
    <w:rsid w:val="00EF2B19"/>
    <w:rsid w:val="00EF3212"/>
    <w:rsid w:val="00EF35DD"/>
    <w:rsid w:val="00EF3E24"/>
    <w:rsid w:val="00EF3E3A"/>
    <w:rsid w:val="00EF43BC"/>
    <w:rsid w:val="00EF5151"/>
    <w:rsid w:val="00EF62A4"/>
    <w:rsid w:val="00EF6479"/>
    <w:rsid w:val="00EF6DB8"/>
    <w:rsid w:val="00EF7B99"/>
    <w:rsid w:val="00F0052D"/>
    <w:rsid w:val="00F01126"/>
    <w:rsid w:val="00F01A32"/>
    <w:rsid w:val="00F02C59"/>
    <w:rsid w:val="00F02E37"/>
    <w:rsid w:val="00F0323B"/>
    <w:rsid w:val="00F03FD4"/>
    <w:rsid w:val="00F04C67"/>
    <w:rsid w:val="00F04F20"/>
    <w:rsid w:val="00F05F9D"/>
    <w:rsid w:val="00F0641A"/>
    <w:rsid w:val="00F068D9"/>
    <w:rsid w:val="00F10CED"/>
    <w:rsid w:val="00F110CC"/>
    <w:rsid w:val="00F11355"/>
    <w:rsid w:val="00F128A2"/>
    <w:rsid w:val="00F13F7A"/>
    <w:rsid w:val="00F15879"/>
    <w:rsid w:val="00F161B4"/>
    <w:rsid w:val="00F16C15"/>
    <w:rsid w:val="00F16E3A"/>
    <w:rsid w:val="00F209F8"/>
    <w:rsid w:val="00F22F58"/>
    <w:rsid w:val="00F22FD0"/>
    <w:rsid w:val="00F23372"/>
    <w:rsid w:val="00F233EF"/>
    <w:rsid w:val="00F254C2"/>
    <w:rsid w:val="00F25C37"/>
    <w:rsid w:val="00F26DB8"/>
    <w:rsid w:val="00F30336"/>
    <w:rsid w:val="00F307F0"/>
    <w:rsid w:val="00F30E6C"/>
    <w:rsid w:val="00F31507"/>
    <w:rsid w:val="00F31ACD"/>
    <w:rsid w:val="00F32299"/>
    <w:rsid w:val="00F32323"/>
    <w:rsid w:val="00F32FE7"/>
    <w:rsid w:val="00F33183"/>
    <w:rsid w:val="00F3327D"/>
    <w:rsid w:val="00F3471E"/>
    <w:rsid w:val="00F35623"/>
    <w:rsid w:val="00F3696E"/>
    <w:rsid w:val="00F40635"/>
    <w:rsid w:val="00F40CA6"/>
    <w:rsid w:val="00F426D8"/>
    <w:rsid w:val="00F4371D"/>
    <w:rsid w:val="00F500EA"/>
    <w:rsid w:val="00F50D65"/>
    <w:rsid w:val="00F519BE"/>
    <w:rsid w:val="00F538E9"/>
    <w:rsid w:val="00F53C82"/>
    <w:rsid w:val="00F53C95"/>
    <w:rsid w:val="00F54244"/>
    <w:rsid w:val="00F554CF"/>
    <w:rsid w:val="00F5600E"/>
    <w:rsid w:val="00F56ABC"/>
    <w:rsid w:val="00F57C36"/>
    <w:rsid w:val="00F61EC6"/>
    <w:rsid w:val="00F62519"/>
    <w:rsid w:val="00F63975"/>
    <w:rsid w:val="00F676E8"/>
    <w:rsid w:val="00F71310"/>
    <w:rsid w:val="00F72AEE"/>
    <w:rsid w:val="00F74022"/>
    <w:rsid w:val="00F75D4A"/>
    <w:rsid w:val="00F76029"/>
    <w:rsid w:val="00F761F9"/>
    <w:rsid w:val="00F76D70"/>
    <w:rsid w:val="00F80348"/>
    <w:rsid w:val="00F80D77"/>
    <w:rsid w:val="00F82752"/>
    <w:rsid w:val="00F82955"/>
    <w:rsid w:val="00F82F37"/>
    <w:rsid w:val="00F83ED7"/>
    <w:rsid w:val="00F85DB3"/>
    <w:rsid w:val="00F87538"/>
    <w:rsid w:val="00F87E9E"/>
    <w:rsid w:val="00F90977"/>
    <w:rsid w:val="00F91D9D"/>
    <w:rsid w:val="00F93F60"/>
    <w:rsid w:val="00F97845"/>
    <w:rsid w:val="00F97954"/>
    <w:rsid w:val="00FA068F"/>
    <w:rsid w:val="00FA12E0"/>
    <w:rsid w:val="00FA283D"/>
    <w:rsid w:val="00FA295A"/>
    <w:rsid w:val="00FA2FEB"/>
    <w:rsid w:val="00FA357D"/>
    <w:rsid w:val="00FA3F57"/>
    <w:rsid w:val="00FA5B42"/>
    <w:rsid w:val="00FA5F83"/>
    <w:rsid w:val="00FA6825"/>
    <w:rsid w:val="00FA6D69"/>
    <w:rsid w:val="00FB1241"/>
    <w:rsid w:val="00FB24D5"/>
    <w:rsid w:val="00FB2744"/>
    <w:rsid w:val="00FB2BF1"/>
    <w:rsid w:val="00FB3FCD"/>
    <w:rsid w:val="00FB46F3"/>
    <w:rsid w:val="00FB4A9B"/>
    <w:rsid w:val="00FB4C56"/>
    <w:rsid w:val="00FB51E9"/>
    <w:rsid w:val="00FB6A17"/>
    <w:rsid w:val="00FC0121"/>
    <w:rsid w:val="00FC2773"/>
    <w:rsid w:val="00FC29E5"/>
    <w:rsid w:val="00FC303E"/>
    <w:rsid w:val="00FC3323"/>
    <w:rsid w:val="00FC4BE9"/>
    <w:rsid w:val="00FC590A"/>
    <w:rsid w:val="00FC591F"/>
    <w:rsid w:val="00FC6665"/>
    <w:rsid w:val="00FC7B9D"/>
    <w:rsid w:val="00FD1CFF"/>
    <w:rsid w:val="00FD20F7"/>
    <w:rsid w:val="00FD238C"/>
    <w:rsid w:val="00FD3630"/>
    <w:rsid w:val="00FD5B89"/>
    <w:rsid w:val="00FE1499"/>
    <w:rsid w:val="00FE2322"/>
    <w:rsid w:val="00FE28CF"/>
    <w:rsid w:val="00FE2F73"/>
    <w:rsid w:val="00FE3E8E"/>
    <w:rsid w:val="00FE4B7D"/>
    <w:rsid w:val="00FE4F28"/>
    <w:rsid w:val="00FF11F6"/>
    <w:rsid w:val="00FF22C6"/>
    <w:rsid w:val="00FF32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2A0E5"/>
  <w15:chartTrackingRefBased/>
  <w15:docId w15:val="{FE86E775-E338-4F14-8777-86AC1CAC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50"/>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41"/>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link w:val="DashChar"/>
    <w:qFormat/>
    <w:rsid w:val="00F22F58"/>
    <w:pPr>
      <w:numPr>
        <w:ilvl w:val="1"/>
        <w:numId w:val="25"/>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link w:val="Exampledotpoint1Char"/>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uiPriority w:val="99"/>
    <w:rsid w:val="00F22F58"/>
    <w:pPr>
      <w:tabs>
        <w:tab w:val="center" w:pos="4153"/>
        <w:tab w:val="right" w:pos="8306"/>
      </w:tabs>
    </w:pPr>
  </w:style>
  <w:style w:type="character" w:customStyle="1" w:styleId="FooterChar">
    <w:name w:val="Footer Char"/>
    <w:basedOn w:val="DefaultParagraphFont"/>
    <w:link w:val="Footer"/>
    <w:uiPriority w:val="99"/>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50"/>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695FAD"/>
    <w:rPr>
      <w:color w:val="954F72" w:themeColor="followedHyperlink"/>
      <w:u w:val="single"/>
    </w:rPr>
  </w:style>
  <w:style w:type="character" w:styleId="CommentReference">
    <w:name w:val="annotation reference"/>
    <w:basedOn w:val="DefaultParagraphFont"/>
    <w:uiPriority w:val="99"/>
    <w:semiHidden/>
    <w:unhideWhenUsed/>
    <w:rsid w:val="00695FAD"/>
    <w:rPr>
      <w:sz w:val="16"/>
      <w:szCs w:val="16"/>
    </w:rPr>
  </w:style>
  <w:style w:type="paragraph" w:styleId="CommentText">
    <w:name w:val="annotation text"/>
    <w:basedOn w:val="Normal"/>
    <w:link w:val="CommentTextChar"/>
    <w:uiPriority w:val="99"/>
    <w:unhideWhenUsed/>
    <w:rsid w:val="00695FAD"/>
    <w:rPr>
      <w:sz w:val="20"/>
      <w:szCs w:val="20"/>
    </w:rPr>
  </w:style>
  <w:style w:type="character" w:customStyle="1" w:styleId="CommentTextChar">
    <w:name w:val="Comment Text Char"/>
    <w:basedOn w:val="DefaultParagraphFont"/>
    <w:link w:val="CommentText"/>
    <w:uiPriority w:val="99"/>
    <w:rsid w:val="00695FA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95FAD"/>
    <w:rPr>
      <w:b/>
      <w:bCs/>
    </w:rPr>
  </w:style>
  <w:style w:type="character" w:customStyle="1" w:styleId="CommentSubjectChar">
    <w:name w:val="Comment Subject Char"/>
    <w:basedOn w:val="CommentTextChar"/>
    <w:link w:val="CommentSubject"/>
    <w:uiPriority w:val="99"/>
    <w:semiHidden/>
    <w:rsid w:val="00695FAD"/>
    <w:rPr>
      <w:rFonts w:ascii="Times New Roman" w:hAnsi="Times New Roman"/>
      <w:b/>
      <w:bCs/>
      <w:sz w:val="20"/>
      <w:szCs w:val="20"/>
    </w:rPr>
  </w:style>
  <w:style w:type="paragraph" w:customStyle="1" w:styleId="Bullet">
    <w:name w:val="Bullet"/>
    <w:aliases w:val="Body,Bullet + line,b,b + line,b1,level 1"/>
    <w:basedOn w:val="Normal"/>
    <w:link w:val="BulletChar"/>
    <w:qFormat/>
    <w:rsid w:val="00695FAD"/>
    <w:pPr>
      <w:numPr>
        <w:numId w:val="25"/>
      </w:numPr>
      <w:spacing w:before="0" w:after="240"/>
    </w:pPr>
    <w:rPr>
      <w:rFonts w:ascii="Book Antiqua" w:eastAsia="Times New Roman" w:hAnsi="Book Antiqua" w:cs="Times New Roman"/>
      <w:color w:val="FF0000"/>
      <w:szCs w:val="24"/>
      <w:lang w:eastAsia="en-AU"/>
    </w:rPr>
  </w:style>
  <w:style w:type="character" w:customStyle="1" w:styleId="BulletChar">
    <w:name w:val="Bullet Char"/>
    <w:basedOn w:val="DefaultParagraphFont"/>
    <w:link w:val="Bullet"/>
    <w:rsid w:val="00695FAD"/>
    <w:rPr>
      <w:rFonts w:ascii="Book Antiqua" w:eastAsia="Times New Roman" w:hAnsi="Book Antiqua" w:cs="Times New Roman"/>
      <w:color w:val="FF0000"/>
      <w:szCs w:val="24"/>
      <w:lang w:eastAsia="en-AU"/>
    </w:rPr>
  </w:style>
  <w:style w:type="paragraph" w:customStyle="1" w:styleId="DoubleDot">
    <w:name w:val="Double Dot"/>
    <w:basedOn w:val="Normal"/>
    <w:qFormat/>
    <w:rsid w:val="00695FAD"/>
    <w:pPr>
      <w:numPr>
        <w:ilvl w:val="2"/>
        <w:numId w:val="25"/>
      </w:numPr>
      <w:spacing w:before="0" w:after="240"/>
    </w:pPr>
    <w:rPr>
      <w:rFonts w:ascii="Book Antiqua" w:eastAsia="Times New Roman" w:hAnsi="Book Antiqua" w:cs="Times New Roman"/>
      <w:color w:val="FF0000"/>
      <w:szCs w:val="24"/>
      <w:lang w:eastAsia="en-AU"/>
    </w:rPr>
  </w:style>
  <w:style w:type="character" w:customStyle="1" w:styleId="DashChar">
    <w:name w:val="Dash Char"/>
    <w:basedOn w:val="DefaultParagraphFont"/>
    <w:link w:val="Dash"/>
    <w:rsid w:val="00695FAD"/>
    <w:rPr>
      <w:rFonts w:ascii="Times New Roman" w:hAnsi="Times New Roman"/>
    </w:rPr>
  </w:style>
  <w:style w:type="paragraph" w:customStyle="1" w:styleId="base-text-paragraph">
    <w:name w:val="base-text-paragraph"/>
    <w:link w:val="base-text-paragraphChar"/>
    <w:rsid w:val="00695FAD"/>
    <w:pPr>
      <w:numPr>
        <w:numId w:val="26"/>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695FAD"/>
    <w:rPr>
      <w:rFonts w:ascii="Times New Roman" w:eastAsia="Times New Roman" w:hAnsi="Times New Roman" w:cs="Times New Roman"/>
      <w:szCs w:val="20"/>
      <w:lang w:eastAsia="en-AU"/>
    </w:rPr>
  </w:style>
  <w:style w:type="paragraph" w:styleId="ListParagraph">
    <w:name w:val="List Paragraph"/>
    <w:basedOn w:val="Normal"/>
    <w:link w:val="ListParagraphChar"/>
    <w:uiPriority w:val="34"/>
    <w:qFormat/>
    <w:rsid w:val="00695FAD"/>
    <w:pPr>
      <w:ind w:left="720"/>
      <w:contextualSpacing/>
    </w:pPr>
  </w:style>
  <w:style w:type="paragraph" w:styleId="TOC4">
    <w:name w:val="toc 4"/>
    <w:basedOn w:val="Normal"/>
    <w:next w:val="Normal"/>
    <w:autoRedefine/>
    <w:uiPriority w:val="39"/>
    <w:semiHidden/>
    <w:unhideWhenUsed/>
    <w:rsid w:val="00695FAD"/>
    <w:pPr>
      <w:spacing w:after="100"/>
      <w:ind w:left="660"/>
    </w:pPr>
  </w:style>
  <w:style w:type="paragraph" w:styleId="TOC5">
    <w:name w:val="toc 5"/>
    <w:basedOn w:val="Normal"/>
    <w:next w:val="Normal"/>
    <w:autoRedefine/>
    <w:uiPriority w:val="39"/>
    <w:semiHidden/>
    <w:unhideWhenUsed/>
    <w:rsid w:val="00695FAD"/>
    <w:pPr>
      <w:spacing w:after="100"/>
      <w:ind w:left="880"/>
    </w:pPr>
  </w:style>
  <w:style w:type="paragraph" w:styleId="TOC6">
    <w:name w:val="toc 6"/>
    <w:basedOn w:val="Normal"/>
    <w:next w:val="Normal"/>
    <w:autoRedefine/>
    <w:uiPriority w:val="39"/>
    <w:semiHidden/>
    <w:unhideWhenUsed/>
    <w:rsid w:val="00695FAD"/>
    <w:pPr>
      <w:spacing w:after="100"/>
      <w:ind w:left="1100"/>
    </w:pPr>
  </w:style>
  <w:style w:type="paragraph" w:styleId="TOC7">
    <w:name w:val="toc 7"/>
    <w:basedOn w:val="Normal"/>
    <w:next w:val="Normal"/>
    <w:autoRedefine/>
    <w:uiPriority w:val="39"/>
    <w:semiHidden/>
    <w:unhideWhenUsed/>
    <w:rsid w:val="00695FAD"/>
    <w:pPr>
      <w:spacing w:after="100"/>
      <w:ind w:left="1320"/>
    </w:pPr>
  </w:style>
  <w:style w:type="paragraph" w:styleId="TOC8">
    <w:name w:val="toc 8"/>
    <w:basedOn w:val="Normal"/>
    <w:next w:val="Normal"/>
    <w:autoRedefine/>
    <w:uiPriority w:val="39"/>
    <w:semiHidden/>
    <w:unhideWhenUsed/>
    <w:rsid w:val="00695FAD"/>
    <w:pPr>
      <w:spacing w:after="100"/>
      <w:ind w:left="1540"/>
    </w:pPr>
  </w:style>
  <w:style w:type="paragraph" w:styleId="TOC9">
    <w:name w:val="toc 9"/>
    <w:basedOn w:val="Normal"/>
    <w:next w:val="Normal"/>
    <w:autoRedefine/>
    <w:uiPriority w:val="39"/>
    <w:semiHidden/>
    <w:unhideWhenUsed/>
    <w:rsid w:val="00695FAD"/>
    <w:pPr>
      <w:spacing w:after="100"/>
      <w:ind w:left="1760"/>
    </w:pPr>
  </w:style>
  <w:style w:type="paragraph" w:customStyle="1" w:styleId="SecurityClassificationHeader">
    <w:name w:val="Security Classification Header"/>
    <w:link w:val="SecurityClassificationHeaderChar"/>
    <w:rsid w:val="00695FAD"/>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695FAD"/>
    <w:rPr>
      <w:rFonts w:ascii="Calibri" w:hAnsi="Calibri" w:cs="Calibri"/>
      <w:b/>
      <w:color w:val="FF0000"/>
      <w:sz w:val="24"/>
    </w:rPr>
  </w:style>
  <w:style w:type="paragraph" w:customStyle="1" w:styleId="SecurityClassificationFooter">
    <w:name w:val="Security Classification Footer"/>
    <w:link w:val="SecurityClassificationFooterChar"/>
    <w:rsid w:val="00695FAD"/>
    <w:pPr>
      <w:spacing w:before="36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695FAD"/>
    <w:rPr>
      <w:rFonts w:ascii="Calibri" w:hAnsi="Calibri" w:cs="Calibri"/>
      <w:b/>
      <w:color w:val="FF0000"/>
      <w:sz w:val="24"/>
    </w:rPr>
  </w:style>
  <w:style w:type="paragraph" w:customStyle="1" w:styleId="DLMSecurityHeader">
    <w:name w:val="DLM Security Header"/>
    <w:link w:val="DLMSecurityHeaderChar"/>
    <w:rsid w:val="00695FAD"/>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695FAD"/>
    <w:rPr>
      <w:rFonts w:ascii="Calibri" w:hAnsi="Calibri" w:cs="Calibri"/>
      <w:b/>
      <w:color w:val="FF0000"/>
      <w:sz w:val="24"/>
    </w:rPr>
  </w:style>
  <w:style w:type="paragraph" w:customStyle="1" w:styleId="DLMSecurityFooter">
    <w:name w:val="DLM Security Footer"/>
    <w:link w:val="DLMSecurityFooterChar"/>
    <w:rsid w:val="00695FAD"/>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695FAD"/>
    <w:rPr>
      <w:rFonts w:ascii="Calibri" w:hAnsi="Calibri" w:cs="Calibri"/>
      <w:b/>
      <w:color w:val="FF0000"/>
      <w:sz w:val="24"/>
    </w:rPr>
  </w:style>
  <w:style w:type="character" w:customStyle="1" w:styleId="ListParagraphChar">
    <w:name w:val="List Paragraph Char"/>
    <w:basedOn w:val="DefaultParagraphFont"/>
    <w:link w:val="ListParagraph"/>
    <w:uiPriority w:val="34"/>
    <w:locked/>
    <w:rsid w:val="00695FAD"/>
    <w:rPr>
      <w:rFonts w:ascii="Times New Roman" w:hAnsi="Times New Roman"/>
    </w:rPr>
  </w:style>
  <w:style w:type="paragraph" w:styleId="NormalWeb">
    <w:name w:val="Normal (Web)"/>
    <w:basedOn w:val="Normal"/>
    <w:uiPriority w:val="99"/>
    <w:unhideWhenUsed/>
    <w:rsid w:val="00695FAD"/>
    <w:pPr>
      <w:spacing w:before="100" w:beforeAutospacing="1" w:after="100" w:afterAutospacing="1"/>
    </w:pPr>
    <w:rPr>
      <w:rFonts w:eastAsia="Times New Roman" w:cs="Times New Roman"/>
      <w:sz w:val="24"/>
      <w:szCs w:val="24"/>
      <w:lang w:eastAsia="en-AU"/>
    </w:rPr>
  </w:style>
  <w:style w:type="character" w:styleId="Emphasis">
    <w:name w:val="Emphasis"/>
    <w:basedOn w:val="DefaultParagraphFont"/>
    <w:uiPriority w:val="20"/>
    <w:qFormat/>
    <w:rsid w:val="00695FAD"/>
    <w:rPr>
      <w:i/>
      <w:iCs/>
    </w:rPr>
  </w:style>
  <w:style w:type="character" w:customStyle="1" w:styleId="Exampledotpoint1Char">
    <w:name w:val="Example dot point 1 Char"/>
    <w:basedOn w:val="DefaultParagraphFont"/>
    <w:link w:val="Exampledotpoint1"/>
    <w:uiPriority w:val="1"/>
    <w:rsid w:val="00695FAD"/>
    <w:rPr>
      <w:rFonts w:ascii="Times New Roman" w:hAnsi="Times New Roman"/>
      <w:iCs/>
      <w:color w:val="000000" w:themeColor="text1"/>
      <w:sz w:val="21"/>
    </w:rPr>
  </w:style>
  <w:style w:type="paragraph" w:customStyle="1" w:styleId="ItemHead">
    <w:name w:val="ItemHead"/>
    <w:aliases w:val="ih"/>
    <w:basedOn w:val="Normal"/>
    <w:next w:val="Normal"/>
    <w:rsid w:val="00695FAD"/>
    <w:pPr>
      <w:keepNext/>
      <w:keepLines/>
      <w:spacing w:before="220" w:after="0"/>
      <w:ind w:left="709" w:hanging="709"/>
    </w:pPr>
    <w:rPr>
      <w:rFonts w:ascii="Arial" w:eastAsia="Times New Roman" w:hAnsi="Arial" w:cs="Times New Roman"/>
      <w:b/>
      <w:kern w:val="28"/>
      <w:sz w:val="24"/>
      <w:szCs w:val="20"/>
      <w:lang w:eastAsia="en-AU"/>
    </w:rPr>
  </w:style>
  <w:style w:type="character" w:customStyle="1" w:styleId="paragraphChar">
    <w:name w:val="paragraph Char"/>
    <w:aliases w:val="a Char"/>
    <w:basedOn w:val="DefaultParagraphFont"/>
    <w:link w:val="paragraph"/>
    <w:locked/>
    <w:rsid w:val="00695FAD"/>
    <w:rPr>
      <w:rFonts w:ascii="Times New Roman" w:eastAsia="Times New Roman" w:hAnsi="Times New Roman" w:cs="Times New Roman"/>
      <w:lang w:eastAsia="en-AU"/>
    </w:rPr>
  </w:style>
  <w:style w:type="paragraph" w:customStyle="1" w:styleId="paragraph">
    <w:name w:val="paragraph"/>
    <w:aliases w:val="a"/>
    <w:basedOn w:val="Normal"/>
    <w:link w:val="paragraphChar"/>
    <w:rsid w:val="00695FAD"/>
    <w:pPr>
      <w:tabs>
        <w:tab w:val="right" w:pos="1531"/>
      </w:tabs>
      <w:spacing w:before="40" w:after="0"/>
      <w:ind w:left="1644" w:hanging="1644"/>
    </w:pPr>
    <w:rPr>
      <w:rFonts w:eastAsia="Times New Roman" w:cs="Times New Roman"/>
      <w:lang w:eastAsia="en-AU"/>
    </w:rPr>
  </w:style>
  <w:style w:type="paragraph" w:customStyle="1" w:styleId="ActHead9">
    <w:name w:val="ActHead 9"/>
    <w:aliases w:val="aat"/>
    <w:basedOn w:val="Normal"/>
    <w:next w:val="ItemHead"/>
    <w:qFormat/>
    <w:rsid w:val="00695FAD"/>
    <w:pPr>
      <w:keepNext/>
      <w:keepLines/>
      <w:spacing w:before="280" w:after="0"/>
      <w:ind w:left="1134" w:hanging="1134"/>
      <w:outlineLvl w:val="8"/>
    </w:pPr>
    <w:rPr>
      <w:rFonts w:eastAsia="Times New Roman" w:cs="Times New Roman"/>
      <w:b/>
      <w:i/>
      <w:kern w:val="28"/>
      <w:sz w:val="28"/>
      <w:szCs w:val="20"/>
      <w:lang w:eastAsia="en-AU"/>
    </w:rPr>
  </w:style>
  <w:style w:type="character" w:customStyle="1" w:styleId="NormalparatextwithnumbersChar">
    <w:name w:val="Normal para text (with numbers) Char"/>
    <w:basedOn w:val="DefaultParagraphFont"/>
    <w:link w:val="Normalparatextwithnumbers"/>
    <w:rsid w:val="00695FAD"/>
    <w:rPr>
      <w:rFonts w:ascii="Times New Roman" w:hAnsi="Times New Roman"/>
    </w:rPr>
  </w:style>
  <w:style w:type="character" w:customStyle="1" w:styleId="CharSectno">
    <w:name w:val="CharSectno"/>
    <w:basedOn w:val="DefaultParagraphFont"/>
    <w:qFormat/>
    <w:rsid w:val="00626978"/>
  </w:style>
  <w:style w:type="paragraph" w:customStyle="1" w:styleId="notedraft">
    <w:name w:val="note(draft)"/>
    <w:aliases w:val="nd"/>
    <w:basedOn w:val="Normal"/>
    <w:rsid w:val="00626978"/>
    <w:pPr>
      <w:spacing w:before="240" w:after="0"/>
      <w:ind w:left="284" w:hanging="284"/>
    </w:pPr>
    <w:rPr>
      <w:rFonts w:eastAsia="Times New Roman" w:cs="Times New Roman"/>
      <w:i/>
      <w:sz w:val="24"/>
      <w:szCs w:val="20"/>
      <w:lang w:eastAsia="en-AU"/>
    </w:rPr>
  </w:style>
  <w:style w:type="paragraph" w:customStyle="1" w:styleId="paragraphsub">
    <w:name w:val="paragraph(sub)"/>
    <w:aliases w:val="aa"/>
    <w:basedOn w:val="Normal"/>
    <w:rsid w:val="00A247B5"/>
    <w:pPr>
      <w:tabs>
        <w:tab w:val="right" w:pos="1985"/>
      </w:tabs>
      <w:spacing w:before="40" w:after="0"/>
      <w:ind w:left="2098" w:hanging="2098"/>
    </w:pPr>
    <w:rPr>
      <w:rFonts w:eastAsia="Times New Roman" w:cs="Times New Roman"/>
      <w:szCs w:val="20"/>
      <w:lang w:eastAsia="en-AU"/>
    </w:rPr>
  </w:style>
  <w:style w:type="paragraph" w:customStyle="1" w:styleId="subsection2">
    <w:name w:val="subsection2"/>
    <w:aliases w:val="ss2"/>
    <w:basedOn w:val="Normal"/>
    <w:next w:val="Normal"/>
    <w:rsid w:val="00A247B5"/>
    <w:pPr>
      <w:spacing w:before="40" w:after="0"/>
      <w:ind w:left="1134"/>
    </w:pPr>
    <w:rPr>
      <w:rFonts w:eastAsia="Times New Roman" w:cs="Times New Roman"/>
      <w:szCs w:val="20"/>
      <w:lang w:eastAsia="en-AU"/>
    </w:rPr>
  </w:style>
  <w:style w:type="character" w:customStyle="1" w:styleId="TabletextChar">
    <w:name w:val="Tabletext Char"/>
    <w:aliases w:val="tt Char"/>
    <w:basedOn w:val="DefaultParagraphFont"/>
    <w:link w:val="Tabletext0"/>
    <w:locked/>
    <w:rsid w:val="00B35098"/>
    <w:rPr>
      <w:rFonts w:ascii="Times New Roman" w:eastAsia="Times New Roman" w:hAnsi="Times New Roman" w:cs="Times New Roman"/>
      <w:sz w:val="20"/>
      <w:szCs w:val="20"/>
      <w:lang w:eastAsia="en-AU"/>
    </w:rPr>
  </w:style>
  <w:style w:type="paragraph" w:customStyle="1" w:styleId="Tabletext0">
    <w:name w:val="Tabletext"/>
    <w:aliases w:val="tt"/>
    <w:basedOn w:val="Normal"/>
    <w:link w:val="TabletextChar"/>
    <w:rsid w:val="00B35098"/>
    <w:pPr>
      <w:spacing w:before="60" w:after="0" w:line="240" w:lineRule="atLeast"/>
    </w:pPr>
    <w:rPr>
      <w:rFonts w:eastAsia="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7608">
      <w:bodyDiv w:val="1"/>
      <w:marLeft w:val="0"/>
      <w:marRight w:val="0"/>
      <w:marTop w:val="0"/>
      <w:marBottom w:val="0"/>
      <w:divBdr>
        <w:top w:val="none" w:sz="0" w:space="0" w:color="auto"/>
        <w:left w:val="none" w:sz="0" w:space="0" w:color="auto"/>
        <w:bottom w:val="none" w:sz="0" w:space="0" w:color="auto"/>
        <w:right w:val="none" w:sz="0" w:space="0" w:color="auto"/>
      </w:divBdr>
    </w:div>
    <w:div w:id="197816375">
      <w:bodyDiv w:val="1"/>
      <w:marLeft w:val="0"/>
      <w:marRight w:val="0"/>
      <w:marTop w:val="0"/>
      <w:marBottom w:val="0"/>
      <w:divBdr>
        <w:top w:val="none" w:sz="0" w:space="0" w:color="auto"/>
        <w:left w:val="none" w:sz="0" w:space="0" w:color="auto"/>
        <w:bottom w:val="none" w:sz="0" w:space="0" w:color="auto"/>
        <w:right w:val="none" w:sz="0" w:space="0" w:color="auto"/>
      </w:divBdr>
    </w:div>
    <w:div w:id="214589770">
      <w:bodyDiv w:val="1"/>
      <w:marLeft w:val="0"/>
      <w:marRight w:val="0"/>
      <w:marTop w:val="0"/>
      <w:marBottom w:val="0"/>
      <w:divBdr>
        <w:top w:val="none" w:sz="0" w:space="0" w:color="auto"/>
        <w:left w:val="none" w:sz="0" w:space="0" w:color="auto"/>
        <w:bottom w:val="none" w:sz="0" w:space="0" w:color="auto"/>
        <w:right w:val="none" w:sz="0" w:space="0" w:color="auto"/>
      </w:divBdr>
    </w:div>
    <w:div w:id="248736671">
      <w:bodyDiv w:val="1"/>
      <w:marLeft w:val="0"/>
      <w:marRight w:val="0"/>
      <w:marTop w:val="0"/>
      <w:marBottom w:val="0"/>
      <w:divBdr>
        <w:top w:val="none" w:sz="0" w:space="0" w:color="auto"/>
        <w:left w:val="none" w:sz="0" w:space="0" w:color="auto"/>
        <w:bottom w:val="none" w:sz="0" w:space="0" w:color="auto"/>
        <w:right w:val="none" w:sz="0" w:space="0" w:color="auto"/>
      </w:divBdr>
    </w:div>
    <w:div w:id="355468685">
      <w:bodyDiv w:val="1"/>
      <w:marLeft w:val="0"/>
      <w:marRight w:val="0"/>
      <w:marTop w:val="0"/>
      <w:marBottom w:val="0"/>
      <w:divBdr>
        <w:top w:val="none" w:sz="0" w:space="0" w:color="auto"/>
        <w:left w:val="none" w:sz="0" w:space="0" w:color="auto"/>
        <w:bottom w:val="none" w:sz="0" w:space="0" w:color="auto"/>
        <w:right w:val="none" w:sz="0" w:space="0" w:color="auto"/>
      </w:divBdr>
    </w:div>
    <w:div w:id="518349011">
      <w:bodyDiv w:val="1"/>
      <w:marLeft w:val="0"/>
      <w:marRight w:val="0"/>
      <w:marTop w:val="0"/>
      <w:marBottom w:val="0"/>
      <w:divBdr>
        <w:top w:val="none" w:sz="0" w:space="0" w:color="auto"/>
        <w:left w:val="none" w:sz="0" w:space="0" w:color="auto"/>
        <w:bottom w:val="none" w:sz="0" w:space="0" w:color="auto"/>
        <w:right w:val="none" w:sz="0" w:space="0" w:color="auto"/>
      </w:divBdr>
    </w:div>
    <w:div w:id="578249067">
      <w:bodyDiv w:val="1"/>
      <w:marLeft w:val="0"/>
      <w:marRight w:val="0"/>
      <w:marTop w:val="0"/>
      <w:marBottom w:val="0"/>
      <w:divBdr>
        <w:top w:val="none" w:sz="0" w:space="0" w:color="auto"/>
        <w:left w:val="none" w:sz="0" w:space="0" w:color="auto"/>
        <w:bottom w:val="none" w:sz="0" w:space="0" w:color="auto"/>
        <w:right w:val="none" w:sz="0" w:space="0" w:color="auto"/>
      </w:divBdr>
    </w:div>
    <w:div w:id="708995678">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027876028">
      <w:bodyDiv w:val="1"/>
      <w:marLeft w:val="0"/>
      <w:marRight w:val="0"/>
      <w:marTop w:val="0"/>
      <w:marBottom w:val="0"/>
      <w:divBdr>
        <w:top w:val="none" w:sz="0" w:space="0" w:color="auto"/>
        <w:left w:val="none" w:sz="0" w:space="0" w:color="auto"/>
        <w:bottom w:val="none" w:sz="0" w:space="0" w:color="auto"/>
        <w:right w:val="none" w:sz="0" w:space="0" w:color="auto"/>
      </w:divBdr>
    </w:div>
    <w:div w:id="1220554488">
      <w:bodyDiv w:val="1"/>
      <w:marLeft w:val="0"/>
      <w:marRight w:val="0"/>
      <w:marTop w:val="0"/>
      <w:marBottom w:val="0"/>
      <w:divBdr>
        <w:top w:val="none" w:sz="0" w:space="0" w:color="auto"/>
        <w:left w:val="none" w:sz="0" w:space="0" w:color="auto"/>
        <w:bottom w:val="none" w:sz="0" w:space="0" w:color="auto"/>
        <w:right w:val="none" w:sz="0" w:space="0" w:color="auto"/>
      </w:divBdr>
    </w:div>
    <w:div w:id="1233003797">
      <w:bodyDiv w:val="1"/>
      <w:marLeft w:val="0"/>
      <w:marRight w:val="0"/>
      <w:marTop w:val="0"/>
      <w:marBottom w:val="0"/>
      <w:divBdr>
        <w:top w:val="none" w:sz="0" w:space="0" w:color="auto"/>
        <w:left w:val="none" w:sz="0" w:space="0" w:color="auto"/>
        <w:bottom w:val="none" w:sz="0" w:space="0" w:color="auto"/>
        <w:right w:val="none" w:sz="0" w:space="0" w:color="auto"/>
      </w:divBdr>
    </w:div>
    <w:div w:id="1443648019">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81276302">
      <w:bodyDiv w:val="1"/>
      <w:marLeft w:val="0"/>
      <w:marRight w:val="0"/>
      <w:marTop w:val="0"/>
      <w:marBottom w:val="0"/>
      <w:divBdr>
        <w:top w:val="none" w:sz="0" w:space="0" w:color="auto"/>
        <w:left w:val="none" w:sz="0" w:space="0" w:color="auto"/>
        <w:bottom w:val="none" w:sz="0" w:space="0" w:color="auto"/>
        <w:right w:val="none" w:sz="0" w:space="0" w:color="auto"/>
      </w:divBdr>
    </w:div>
    <w:div w:id="1723867659">
      <w:bodyDiv w:val="1"/>
      <w:marLeft w:val="0"/>
      <w:marRight w:val="0"/>
      <w:marTop w:val="0"/>
      <w:marBottom w:val="0"/>
      <w:divBdr>
        <w:top w:val="none" w:sz="0" w:space="0" w:color="auto"/>
        <w:left w:val="none" w:sz="0" w:space="0" w:color="auto"/>
        <w:bottom w:val="none" w:sz="0" w:space="0" w:color="auto"/>
        <w:right w:val="none" w:sz="0" w:space="0" w:color="auto"/>
      </w:divBdr>
    </w:div>
    <w:div w:id="1873182294">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634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B866136AFF1E4E4499DA2879B52E4B16" ma:contentTypeVersion="51157" ma:contentTypeDescription="Create a new document." ma:contentTypeScope="" ma:versionID="322f827f72f138acfd9a38db903e47d3">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b18e0c92-ee40-42fd-b396-a0f4f73caaf0" targetNamespace="http://schemas.microsoft.com/office/2006/metadata/properties" ma:root="true" ma:fieldsID="a15256edeac49ab338b3f24bbf1dd49b" ns1:_="" ns2:_="" ns3:_="" ns4:_="" ns5:_="">
    <xsd:import namespace="http://schemas.microsoft.com/sharepoint/v3"/>
    <xsd:import namespace="0f563589-9cf9-4143-b1eb-fb0534803d38"/>
    <xsd:import namespace="9f7bc583-7cbe-45b9-a2bd-8bbb6543b37e"/>
    <xsd:import namespace="http://schemas.microsoft.com/sharepoint/v4"/>
    <xsd:import namespace="b18e0c92-ee40-42fd-b396-a0f4f73caaf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Wiki" minOccurs="0"/>
                <xsd:element ref="ns5:IssueDate" minOccurs="0"/>
                <xsd:element ref="ns5:Status" minOccurs="0"/>
                <xsd:element ref="ns5:ResponsibleLDOOfficer" minOccurs="0"/>
                <xsd:element ref="ns5:Practice_x0020_note"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AE-20260-Destroy 7 years after action completed|623f5ec9-ec5d-4824-8e13-9c9bfc51fe7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3"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0c92-ee40-42fd-b396-a0f4f73caaf0" elementFormDefault="qualified">
    <xsd:import namespace="http://schemas.microsoft.com/office/2006/documentManagement/types"/>
    <xsd:import namespace="http://schemas.microsoft.com/office/infopath/2007/PartnerControls"/>
    <xsd:element name="Wiki" ma:index="17" nillable="true" ma:displayName="TEST Wiki" ma:format="Hyperlink" ma:internalName="Wiki">
      <xsd:complexType>
        <xsd:complexContent>
          <xsd:extension base="dms:URL">
            <xsd:sequence>
              <xsd:element name="Url" type="dms:ValidUrl" minOccurs="0" nillable="true"/>
              <xsd:element name="Description" type="xsd:string" nillable="true"/>
            </xsd:sequence>
          </xsd:extension>
        </xsd:complexContent>
      </xsd:complexType>
    </xsd:element>
    <xsd:element name="IssueDate" ma:index="18" nillable="true" ma:displayName="Last updated" ma:description="Date of issue or revision" ma:format="DateOnly" ma:internalName="IssueDate">
      <xsd:simpleType>
        <xsd:restriction base="dms:DateTime"/>
      </xsd:simpleType>
    </xsd:element>
    <xsd:element name="Status" ma:index="19" nillable="true" ma:displayName="Status" ma:default="Under development" ma:description="Please indicate the status of the practice note here." ma:format="RadioButtons" ma:internalName="Status">
      <xsd:simpleType>
        <xsd:restriction base="dms:Choice">
          <xsd:enumeration value="Under development"/>
          <xsd:enumeration value="Finalised"/>
        </xsd:restriction>
      </xsd:simpleType>
    </xsd:element>
    <xsd:element name="ResponsibleLDOOfficer" ma:index="20" nillable="true" ma:displayName="Responsible LDO Officer" ma:description="Please put the LDO officer who is responsible for the practice note here." ma:list="UserInfo" ma:SharePointGroup="0" ma:internalName="ResponsibleLDO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actice_x0020_note" ma:index="21" nillable="true" ma:displayName="Practice note" ma:default="0" ma:description="Is this a practice note?" ma:internalName="Practice_x0020_no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2022RG-103-20618</_dlc_DocId>
    <TaxCatchAll xmlns="0f563589-9cf9-4143-b1eb-fb0534803d38">
      <Value>1</Value>
    </TaxCatchAll>
    <_dlc_DocIdUrl xmlns="0f563589-9cf9-4143-b1eb-fb0534803d38">
      <Url>http://tweb/sites/rg/ldp/_layouts/15/DocIdRedir.aspx?ID=2022RG-103-20618</Url>
      <Description>2022RG-103-20618</Description>
    </_dlc_DocIdUrl>
    <Status xmlns="b18e0c92-ee40-42fd-b396-a0f4f73caaf0">Under development</Status>
    <IconOverlay xmlns="http://schemas.microsoft.com/sharepoint/v4" xsi:nil="true"/>
    <ResponsibleLDOOfficer xmlns="b18e0c92-ee40-42fd-b396-a0f4f73caaf0">
      <UserInfo>
        <DisplayName/>
        <AccountId xsi:nil="true"/>
        <AccountType/>
      </UserInfo>
    </ResponsibleLDOOfficer>
    <IssueDate xmlns="b18e0c92-ee40-42fd-b396-a0f4f73caaf0" xsi:nil="true"/>
    <Wiki xmlns="b18e0c92-ee40-42fd-b396-a0f4f73caaf0">
      <Url xsi:nil="true"/>
      <Description xsi:nil="true"/>
    </Wiki>
    <i6880fa62fd2465ea894b48b45824d1c xmlns="9f7bc583-7cbe-45b9-a2bd-8bbb6543b37e">
      <Terms xmlns="http://schemas.microsoft.com/office/infopath/2007/PartnerControls"/>
    </i6880fa62fd2465ea894b48b45824d1c>
    <Practice_x0020_note xmlns="b18e0c92-ee40-42fd-b396-a0f4f73caaf0">false</Practice_x0020_note>
  </documentManagement>
</p:properties>
</file>

<file path=customXml/itemProps1.xml><?xml version="1.0" encoding="utf-8"?>
<ds:datastoreItem xmlns:ds="http://schemas.openxmlformats.org/officeDocument/2006/customXml" ds:itemID="{858BEC6C-4BB3-4075-9027-F3629BE44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b18e0c92-ee40-42fd-b396-a0f4f73c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54F33DE7-6162-4D70-82BD-24893EA163E7}">
  <ds:schemaRefs>
    <ds:schemaRef ds:uri="http://schemas.microsoft.com/sharepoint/events"/>
  </ds:schemaRefs>
</ds:datastoreItem>
</file>

<file path=customXml/itemProps5.xml><?xml version="1.0" encoding="utf-8"?>
<ds:datastoreItem xmlns:ds="http://schemas.openxmlformats.org/officeDocument/2006/customXml" ds:itemID="{053F917A-5910-49D6-ACB2-C89ED82D310E}">
  <ds:schemaRefs>
    <ds:schemaRef ds:uri="office.server.policy"/>
  </ds:schemaRefs>
</ds:datastoreItem>
</file>

<file path=customXml/itemProps6.xml><?xml version="1.0" encoding="utf-8"?>
<ds:datastoreItem xmlns:ds="http://schemas.openxmlformats.org/officeDocument/2006/customXml" ds:itemID="{6AB365E2-A817-49FA-9295-CAB62986032D}">
  <ds:schemaRefs>
    <ds:schemaRef ds:uri="http://purl.org/dc/dcmitype/"/>
    <ds:schemaRef ds:uri="http://www.w3.org/XML/1998/namespace"/>
    <ds:schemaRef ds:uri="b18e0c92-ee40-42fd-b396-a0f4f73caaf0"/>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schemas.microsoft.com/sharepoint/v4"/>
    <ds:schemaRef ds:uri="9f7bc583-7cbe-45b9-a2bd-8bbb6543b37e"/>
    <ds:schemaRef ds:uri="0f563589-9cf9-4143-b1eb-fb0534803d38"/>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Pri-EM.dotx</Template>
  <TotalTime>3</TotalTime>
  <Pages>29</Pages>
  <Words>7247</Words>
  <Characters>41309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Explanatory materials - Treasury Laws Amendment (Measures for Consultation) Bill 2022: ALRC Financial Services Interim Report Recommendations</vt:lpstr>
    </vt:vector>
  </TitlesOfParts>
  <Company/>
  <LinksUpToDate>false</LinksUpToDate>
  <CharactersWithSpaces>48460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(Measures for Consultation) Bill 2022: ALRC Financial Services Interim Report Recommendations</dc:title>
  <dc:subject/>
  <dc:creator>Australian Government</dc:creator>
  <cp:keywords/>
  <dc:description/>
  <cp:lastModifiedBy>Smith, Matthew</cp:lastModifiedBy>
  <cp:revision>4</cp:revision>
  <cp:lastPrinted>2022-12-07T23:19:00Z</cp:lastPrinted>
  <dcterms:created xsi:type="dcterms:W3CDTF">2022-12-07T23:18:00Z</dcterms:created>
  <dcterms:modified xsi:type="dcterms:W3CDTF">2022-12-08T05:28:00Z</dcterms:modified>
</cp:coreProperties>
</file>