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D3B2" w14:textId="4E1D0B2F" w:rsidR="008449BB" w:rsidRDefault="008449BB" w:rsidP="00D62733">
      <w:pPr>
        <w:ind w:left="720" w:hanging="720"/>
      </w:pPr>
      <w:r>
        <w:t xml:space="preserve"> </w:t>
      </w:r>
    </w:p>
    <w:sdt>
      <w:sdtPr>
        <w:id w:val="-1206409104"/>
        <w:docPartObj>
          <w:docPartGallery w:val="Cover Pages"/>
          <w:docPartUnique/>
        </w:docPartObj>
      </w:sdtPr>
      <w:sdtEndPr/>
      <w:sdtContent>
        <w:p w14:paraId="6662FF57" w14:textId="3E9CB7CC" w:rsidR="00A652B8" w:rsidRPr="006D0240" w:rsidRDefault="00A652B8" w:rsidP="00D62733">
          <w:pPr>
            <w:ind w:left="720" w:hanging="720"/>
          </w:pPr>
          <w:r>
            <w:rPr>
              <w:noProof/>
              <w:lang w:eastAsia="zh-CN"/>
            </w:rPr>
            <w:drawing>
              <wp:anchor distT="0" distB="0" distL="114300" distR="114300" simplePos="0" relativeHeight="251658240" behindDoc="1" locked="0" layoutInCell="1" allowOverlap="1" wp14:anchorId="6EC0EBAD" wp14:editId="7A1E3D83">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EEA8EC2" w14:textId="77777777" w:rsidR="00A652B8" w:rsidRPr="006D0240" w:rsidRDefault="00A652B8" w:rsidP="001D4EAA">
          <w:pPr>
            <w:pStyle w:val="Header"/>
            <w:spacing w:after="1320"/>
            <w:jc w:val="left"/>
          </w:pPr>
        </w:p>
        <w:p w14:paraId="30694ECB" w14:textId="69396DE0" w:rsidR="007219DB" w:rsidRPr="007219DB" w:rsidRDefault="005974C4" w:rsidP="007219DB">
          <w:pPr>
            <w:pStyle w:val="Title"/>
          </w:pPr>
          <w:r>
            <w:t>Regulating</w:t>
          </w:r>
          <w:r w:rsidR="00595CD4">
            <w:t xml:space="preserve"> </w:t>
          </w:r>
          <w:r w:rsidR="00DD4AA3">
            <w:t>Buy Now, Pay Later</w:t>
          </w:r>
          <w:r w:rsidR="00A0538C">
            <w:t xml:space="preserve"> in Australia</w:t>
          </w:r>
          <w:r w:rsidR="00DD4AA3">
            <w:t xml:space="preserve"> </w:t>
          </w:r>
        </w:p>
        <w:p w14:paraId="7AD03051" w14:textId="532040A5" w:rsidR="00A652B8" w:rsidRPr="001D4EAA" w:rsidRDefault="00EF6D77" w:rsidP="00082FC2">
          <w:pPr>
            <w:pStyle w:val="Subtitle"/>
            <w:spacing w:after="240"/>
          </w:pPr>
          <w:r>
            <w:t xml:space="preserve">Options </w:t>
          </w:r>
          <w:r w:rsidR="00A652B8">
            <w:t>paper</w:t>
          </w:r>
        </w:p>
        <w:p w14:paraId="1FDA9235" w14:textId="2C0B3282" w:rsidR="00A652B8" w:rsidRDefault="005974C4" w:rsidP="001D4EAA">
          <w:pPr>
            <w:pStyle w:val="ReportDate"/>
            <w:rPr>
              <w:rFonts w:ascii="Rockwell" w:hAnsi="Rockwell"/>
              <w:sz w:val="24"/>
            </w:rPr>
          </w:pPr>
          <w:r>
            <w:rPr>
              <w:rStyle w:val="ReportDateChar"/>
            </w:rPr>
            <w:t>November 2022</w:t>
          </w:r>
        </w:p>
        <w:p w14:paraId="37F7E5D5" w14:textId="77777777" w:rsidR="00A652B8" w:rsidRDefault="00A652B8" w:rsidP="00775702">
          <w:pPr>
            <w:spacing w:after="1640"/>
          </w:pPr>
        </w:p>
        <w:p w14:paraId="3C39001C" w14:textId="77777777" w:rsidR="00A652B8" w:rsidRDefault="00A652B8" w:rsidP="00775702">
          <w:pPr>
            <w:spacing w:after="1640"/>
          </w:pPr>
        </w:p>
        <w:p w14:paraId="71C602F1" w14:textId="77777777" w:rsidR="00A652B8" w:rsidRDefault="00A652B8">
          <w:pPr>
            <w:spacing w:before="0" w:after="160" w:line="259" w:lineRule="auto"/>
          </w:pPr>
          <w:r>
            <w:br w:type="page"/>
          </w:r>
        </w:p>
      </w:sdtContent>
    </w:sdt>
    <w:p w14:paraId="546BD069"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51B43C1" w14:textId="2E2A23F5" w:rsidR="00BC5420" w:rsidRDefault="00BC5420">
      <w:pPr>
        <w:spacing w:before="0" w:after="160" w:line="259" w:lineRule="auto"/>
      </w:pPr>
    </w:p>
    <w:p w14:paraId="520306C6" w14:textId="7C41722D" w:rsidR="000E0B74" w:rsidRDefault="000E0B74" w:rsidP="000E0B74">
      <w:pPr>
        <w:spacing w:before="240"/>
      </w:pPr>
      <w:r w:rsidRPr="00661BF0">
        <w:t>© Comm</w:t>
      </w:r>
      <w:r w:rsidRPr="00E42582">
        <w:t xml:space="preserve">onwealth of Australia </w:t>
      </w:r>
      <w:r w:rsidRPr="0068659E">
        <w:t>20</w:t>
      </w:r>
      <w:r w:rsidR="00EF2FBF" w:rsidRPr="0068659E">
        <w:t>2</w:t>
      </w:r>
      <w:r w:rsidR="00E42582" w:rsidRPr="0068659E">
        <w:t>2</w:t>
      </w:r>
    </w:p>
    <w:p w14:paraId="5927B497" w14:textId="4C1052B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347FCD0" w14:textId="77777777" w:rsidR="000E0B74" w:rsidRDefault="000E0B74" w:rsidP="000E0B74">
      <w:pPr>
        <w:pStyle w:val="ChartGraphic"/>
        <w:jc w:val="left"/>
      </w:pPr>
      <w:r w:rsidRPr="00E56DFB">
        <w:rPr>
          <w:noProof/>
          <w:lang w:eastAsia="zh-CN"/>
        </w:rPr>
        <w:drawing>
          <wp:inline distT="0" distB="0" distL="0" distR="0" wp14:anchorId="713B98A1" wp14:editId="165B5DC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BBAB058" w14:textId="35713241"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40C18AE" w14:textId="77777777" w:rsidR="000E0B74" w:rsidRPr="0031276E" w:rsidRDefault="000E0B74" w:rsidP="0031276E">
      <w:pPr>
        <w:spacing w:before="240"/>
        <w:rPr>
          <w:b/>
        </w:rPr>
      </w:pPr>
      <w:r w:rsidRPr="0031276E">
        <w:rPr>
          <w:b/>
        </w:rPr>
        <w:t>Treasury material used ‘as supplied’.</w:t>
      </w:r>
    </w:p>
    <w:p w14:paraId="7F1B9696"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06CEE5A" w14:textId="7342CD9D" w:rsidR="000E0B74" w:rsidRPr="00A13A11" w:rsidRDefault="000E0B74" w:rsidP="000E0B74">
      <w:pPr>
        <w:ind w:firstLine="720"/>
      </w:pPr>
      <w:r w:rsidRPr="002F1BC2">
        <w:rPr>
          <w:i/>
        </w:rPr>
        <w:t xml:space="preserve">Source: The </w:t>
      </w:r>
      <w:r w:rsidRPr="002F1BC2">
        <w:rPr>
          <w:i/>
          <w:iCs/>
        </w:rPr>
        <w:t>Australian Government the Treasury</w:t>
      </w:r>
      <w:r>
        <w:t>.</w:t>
      </w:r>
    </w:p>
    <w:p w14:paraId="4E00E84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3DB059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47254FC" w14:textId="7553AD22" w:rsidR="000E0B74" w:rsidRPr="006627B4" w:rsidRDefault="000E0B74" w:rsidP="000E0B74">
      <w:pPr>
        <w:ind w:firstLine="720"/>
      </w:pPr>
      <w:r w:rsidRPr="002F1BC2">
        <w:rPr>
          <w:i/>
        </w:rPr>
        <w:t>Based on The Australian Government the Treasury data</w:t>
      </w:r>
      <w:r>
        <w:t>.</w:t>
      </w:r>
    </w:p>
    <w:p w14:paraId="41332D4D" w14:textId="77777777" w:rsidR="000E0B74" w:rsidRPr="006627B4" w:rsidRDefault="000E0B74" w:rsidP="000E0B74">
      <w:pPr>
        <w:spacing w:before="240"/>
        <w:rPr>
          <w:b/>
        </w:rPr>
      </w:pPr>
      <w:r w:rsidRPr="006627B4">
        <w:rPr>
          <w:b/>
        </w:rPr>
        <w:t>Use of the Coat of Arms</w:t>
      </w:r>
    </w:p>
    <w:p w14:paraId="635DB012" w14:textId="52A1B490"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Pr="005A283B">
          <w:rPr>
            <w:rStyle w:val="Hyperlink"/>
          </w:rPr>
          <w:t>www.pmc.gov.au/government/commonwealth-coat-arm</w:t>
        </w:r>
      </w:hyperlink>
      <w:r w:rsidRPr="004A7BC2">
        <w:t>s).</w:t>
      </w:r>
    </w:p>
    <w:p w14:paraId="1C389F39" w14:textId="77777777" w:rsidR="000E0B74" w:rsidRPr="006627B4" w:rsidRDefault="000E0B74" w:rsidP="000E0B74">
      <w:pPr>
        <w:spacing w:before="240"/>
        <w:rPr>
          <w:b/>
        </w:rPr>
      </w:pPr>
      <w:r>
        <w:rPr>
          <w:b/>
        </w:rPr>
        <w:t>Other u</w:t>
      </w:r>
      <w:r w:rsidRPr="006627B4">
        <w:rPr>
          <w:b/>
        </w:rPr>
        <w:t>ses</w:t>
      </w:r>
    </w:p>
    <w:p w14:paraId="43410AC6" w14:textId="77777777" w:rsidR="000E0B74" w:rsidRPr="006627B4" w:rsidRDefault="000E0B74" w:rsidP="000E0B74">
      <w:r>
        <w:t>E</w:t>
      </w:r>
      <w:r w:rsidRPr="006627B4">
        <w:t>nquiries regarding this licence and any other use of this document are welcome at:</w:t>
      </w:r>
    </w:p>
    <w:p w14:paraId="31472932" w14:textId="2098E70F"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12041FC9"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43441379" w14:textId="77777777" w:rsidR="000E0B74" w:rsidRPr="00354FBB" w:rsidRDefault="000E0B74" w:rsidP="00354FBB">
      <w:pPr>
        <w:pStyle w:val="Heading1"/>
      </w:pPr>
      <w:bookmarkStart w:id="0" w:name="_Toc119916340"/>
      <w:r w:rsidRPr="00354FBB">
        <w:lastRenderedPageBreak/>
        <w:t>Contents</w:t>
      </w:r>
      <w:bookmarkEnd w:id="0"/>
    </w:p>
    <w:p w14:paraId="2CFBCFA2" w14:textId="1859479D" w:rsidR="004529BD"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9916340" w:history="1">
        <w:r w:rsidR="004529BD" w:rsidRPr="0014326B">
          <w:rPr>
            <w:rStyle w:val="Hyperlink"/>
          </w:rPr>
          <w:t>Contents</w:t>
        </w:r>
        <w:r w:rsidR="004529BD">
          <w:rPr>
            <w:webHidden/>
          </w:rPr>
          <w:tab/>
        </w:r>
        <w:r w:rsidR="004529BD">
          <w:rPr>
            <w:webHidden/>
          </w:rPr>
          <w:fldChar w:fldCharType="begin"/>
        </w:r>
        <w:r w:rsidR="004529BD">
          <w:rPr>
            <w:webHidden/>
          </w:rPr>
          <w:instrText xml:space="preserve"> PAGEREF _Toc119916340 \h </w:instrText>
        </w:r>
        <w:r w:rsidR="004529BD">
          <w:rPr>
            <w:webHidden/>
          </w:rPr>
        </w:r>
        <w:r w:rsidR="004529BD">
          <w:rPr>
            <w:webHidden/>
          </w:rPr>
          <w:fldChar w:fldCharType="separate"/>
        </w:r>
        <w:r w:rsidR="002067B3">
          <w:rPr>
            <w:webHidden/>
          </w:rPr>
          <w:t>ii</w:t>
        </w:r>
        <w:r w:rsidR="004529BD">
          <w:rPr>
            <w:webHidden/>
          </w:rPr>
          <w:fldChar w:fldCharType="end"/>
        </w:r>
      </w:hyperlink>
    </w:p>
    <w:p w14:paraId="5359393D" w14:textId="430AC2EF" w:rsidR="004529BD" w:rsidRDefault="00967853">
      <w:pPr>
        <w:pStyle w:val="TOC1"/>
        <w:rPr>
          <w:rFonts w:asciiTheme="minorHAnsi" w:eastAsiaTheme="minorEastAsia" w:hAnsiTheme="minorHAnsi" w:cstheme="minorBidi"/>
          <w:b w:val="0"/>
          <w:color w:val="auto"/>
        </w:rPr>
      </w:pPr>
      <w:hyperlink w:anchor="_Toc119916341" w:history="1">
        <w:r w:rsidR="004529BD" w:rsidRPr="0014326B">
          <w:rPr>
            <w:rStyle w:val="Hyperlink"/>
          </w:rPr>
          <w:t>Consultation process</w:t>
        </w:r>
        <w:r w:rsidR="004529BD">
          <w:rPr>
            <w:webHidden/>
          </w:rPr>
          <w:tab/>
        </w:r>
        <w:r w:rsidR="004529BD">
          <w:rPr>
            <w:webHidden/>
          </w:rPr>
          <w:fldChar w:fldCharType="begin"/>
        </w:r>
        <w:r w:rsidR="004529BD">
          <w:rPr>
            <w:webHidden/>
          </w:rPr>
          <w:instrText xml:space="preserve"> PAGEREF _Toc119916341 \h </w:instrText>
        </w:r>
        <w:r w:rsidR="004529BD">
          <w:rPr>
            <w:webHidden/>
          </w:rPr>
        </w:r>
        <w:r w:rsidR="004529BD">
          <w:rPr>
            <w:webHidden/>
          </w:rPr>
          <w:fldChar w:fldCharType="separate"/>
        </w:r>
        <w:r w:rsidR="002067B3">
          <w:rPr>
            <w:webHidden/>
          </w:rPr>
          <w:t>3</w:t>
        </w:r>
        <w:r w:rsidR="004529BD">
          <w:rPr>
            <w:webHidden/>
          </w:rPr>
          <w:fldChar w:fldCharType="end"/>
        </w:r>
      </w:hyperlink>
    </w:p>
    <w:p w14:paraId="20F5CCA0" w14:textId="059FF7BF" w:rsidR="004529BD" w:rsidRDefault="00967853">
      <w:pPr>
        <w:pStyle w:val="TOC2"/>
        <w:rPr>
          <w:rFonts w:asciiTheme="minorHAnsi" w:eastAsiaTheme="minorEastAsia" w:hAnsiTheme="minorHAnsi" w:cstheme="minorBidi"/>
          <w:color w:val="auto"/>
          <w:szCs w:val="22"/>
        </w:rPr>
      </w:pPr>
      <w:hyperlink w:anchor="_Toc119916342" w:history="1">
        <w:r w:rsidR="004529BD" w:rsidRPr="0014326B">
          <w:rPr>
            <w:rStyle w:val="Hyperlink"/>
          </w:rPr>
          <w:t>Request for feedback and comments</w:t>
        </w:r>
        <w:r w:rsidR="004529BD">
          <w:rPr>
            <w:webHidden/>
          </w:rPr>
          <w:tab/>
        </w:r>
        <w:r w:rsidR="004529BD">
          <w:rPr>
            <w:webHidden/>
          </w:rPr>
          <w:fldChar w:fldCharType="begin"/>
        </w:r>
        <w:r w:rsidR="004529BD">
          <w:rPr>
            <w:webHidden/>
          </w:rPr>
          <w:instrText xml:space="preserve"> PAGEREF _Toc119916342 \h </w:instrText>
        </w:r>
        <w:r w:rsidR="004529BD">
          <w:rPr>
            <w:webHidden/>
          </w:rPr>
        </w:r>
        <w:r w:rsidR="004529BD">
          <w:rPr>
            <w:webHidden/>
          </w:rPr>
          <w:fldChar w:fldCharType="separate"/>
        </w:r>
        <w:r w:rsidR="002067B3">
          <w:rPr>
            <w:webHidden/>
          </w:rPr>
          <w:t>3</w:t>
        </w:r>
        <w:r w:rsidR="004529BD">
          <w:rPr>
            <w:webHidden/>
          </w:rPr>
          <w:fldChar w:fldCharType="end"/>
        </w:r>
      </w:hyperlink>
    </w:p>
    <w:p w14:paraId="10B7EC72" w14:textId="695EDCCC" w:rsidR="004529BD" w:rsidRDefault="00967853">
      <w:pPr>
        <w:pStyle w:val="TOC1"/>
        <w:rPr>
          <w:rFonts w:asciiTheme="minorHAnsi" w:eastAsiaTheme="minorEastAsia" w:hAnsiTheme="minorHAnsi" w:cstheme="minorBidi"/>
          <w:b w:val="0"/>
          <w:color w:val="auto"/>
        </w:rPr>
      </w:pPr>
      <w:hyperlink w:anchor="_Toc119916343" w:history="1">
        <w:r w:rsidR="004529BD" w:rsidRPr="0014326B">
          <w:rPr>
            <w:rStyle w:val="Hyperlink"/>
          </w:rPr>
          <w:t>Executive Summary</w:t>
        </w:r>
        <w:r w:rsidR="004529BD">
          <w:rPr>
            <w:webHidden/>
          </w:rPr>
          <w:tab/>
        </w:r>
        <w:r w:rsidR="004529BD">
          <w:rPr>
            <w:webHidden/>
          </w:rPr>
          <w:fldChar w:fldCharType="begin"/>
        </w:r>
        <w:r w:rsidR="004529BD">
          <w:rPr>
            <w:webHidden/>
          </w:rPr>
          <w:instrText xml:space="preserve"> PAGEREF _Toc119916343 \h </w:instrText>
        </w:r>
        <w:r w:rsidR="004529BD">
          <w:rPr>
            <w:webHidden/>
          </w:rPr>
        </w:r>
        <w:r w:rsidR="004529BD">
          <w:rPr>
            <w:webHidden/>
          </w:rPr>
          <w:fldChar w:fldCharType="separate"/>
        </w:r>
        <w:r w:rsidR="002067B3">
          <w:rPr>
            <w:webHidden/>
          </w:rPr>
          <w:t>4</w:t>
        </w:r>
        <w:r w:rsidR="004529BD">
          <w:rPr>
            <w:webHidden/>
          </w:rPr>
          <w:fldChar w:fldCharType="end"/>
        </w:r>
      </w:hyperlink>
    </w:p>
    <w:p w14:paraId="7AF68E7A" w14:textId="58DE9BFA" w:rsidR="004529BD" w:rsidRDefault="00967853">
      <w:pPr>
        <w:pStyle w:val="TOC1"/>
        <w:rPr>
          <w:rFonts w:asciiTheme="minorHAnsi" w:eastAsiaTheme="minorEastAsia" w:hAnsiTheme="minorHAnsi" w:cstheme="minorBidi"/>
          <w:b w:val="0"/>
          <w:color w:val="auto"/>
        </w:rPr>
      </w:pPr>
      <w:hyperlink w:anchor="_Toc119916344" w:history="1">
        <w:r w:rsidR="004529BD" w:rsidRPr="0014326B">
          <w:rPr>
            <w:rStyle w:val="Hyperlink"/>
          </w:rPr>
          <w:t>The regulation of BNPL in Australia</w:t>
        </w:r>
        <w:r w:rsidR="004529BD">
          <w:rPr>
            <w:webHidden/>
          </w:rPr>
          <w:tab/>
        </w:r>
        <w:r w:rsidR="004529BD">
          <w:rPr>
            <w:webHidden/>
          </w:rPr>
          <w:fldChar w:fldCharType="begin"/>
        </w:r>
        <w:r w:rsidR="004529BD">
          <w:rPr>
            <w:webHidden/>
          </w:rPr>
          <w:instrText xml:space="preserve"> PAGEREF _Toc119916344 \h </w:instrText>
        </w:r>
        <w:r w:rsidR="004529BD">
          <w:rPr>
            <w:webHidden/>
          </w:rPr>
        </w:r>
        <w:r w:rsidR="004529BD">
          <w:rPr>
            <w:webHidden/>
          </w:rPr>
          <w:fldChar w:fldCharType="separate"/>
        </w:r>
        <w:r w:rsidR="002067B3">
          <w:rPr>
            <w:webHidden/>
          </w:rPr>
          <w:t>6</w:t>
        </w:r>
        <w:r w:rsidR="004529BD">
          <w:rPr>
            <w:webHidden/>
          </w:rPr>
          <w:fldChar w:fldCharType="end"/>
        </w:r>
      </w:hyperlink>
    </w:p>
    <w:p w14:paraId="5FC4DFF2" w14:textId="388F678D" w:rsidR="004529BD" w:rsidRDefault="00967853">
      <w:pPr>
        <w:pStyle w:val="TOC2"/>
        <w:rPr>
          <w:rFonts w:asciiTheme="minorHAnsi" w:eastAsiaTheme="minorEastAsia" w:hAnsiTheme="minorHAnsi" w:cstheme="minorBidi"/>
          <w:color w:val="auto"/>
          <w:szCs w:val="22"/>
        </w:rPr>
      </w:pPr>
      <w:hyperlink w:anchor="_Toc119916345" w:history="1">
        <w:r w:rsidR="004529BD" w:rsidRPr="0014326B">
          <w:rPr>
            <w:rStyle w:val="Hyperlink"/>
          </w:rPr>
          <w:t>What is BNPL?</w:t>
        </w:r>
        <w:r w:rsidR="004529BD">
          <w:rPr>
            <w:webHidden/>
          </w:rPr>
          <w:tab/>
        </w:r>
        <w:r w:rsidR="004529BD">
          <w:rPr>
            <w:webHidden/>
          </w:rPr>
          <w:fldChar w:fldCharType="begin"/>
        </w:r>
        <w:r w:rsidR="004529BD">
          <w:rPr>
            <w:webHidden/>
          </w:rPr>
          <w:instrText xml:space="preserve"> PAGEREF _Toc119916345 \h </w:instrText>
        </w:r>
        <w:r w:rsidR="004529BD">
          <w:rPr>
            <w:webHidden/>
          </w:rPr>
        </w:r>
        <w:r w:rsidR="004529BD">
          <w:rPr>
            <w:webHidden/>
          </w:rPr>
          <w:fldChar w:fldCharType="separate"/>
        </w:r>
        <w:r w:rsidR="002067B3">
          <w:rPr>
            <w:webHidden/>
          </w:rPr>
          <w:t>7</w:t>
        </w:r>
        <w:r w:rsidR="004529BD">
          <w:rPr>
            <w:webHidden/>
          </w:rPr>
          <w:fldChar w:fldCharType="end"/>
        </w:r>
      </w:hyperlink>
    </w:p>
    <w:p w14:paraId="1ED02A0C" w14:textId="1FC86275" w:rsidR="004529BD" w:rsidRDefault="00967853">
      <w:pPr>
        <w:pStyle w:val="TOC2"/>
        <w:rPr>
          <w:rFonts w:asciiTheme="minorHAnsi" w:eastAsiaTheme="minorEastAsia" w:hAnsiTheme="minorHAnsi" w:cstheme="minorBidi"/>
          <w:color w:val="auto"/>
          <w:szCs w:val="22"/>
        </w:rPr>
      </w:pPr>
      <w:hyperlink w:anchor="_Toc119916346" w:history="1">
        <w:r w:rsidR="004529BD" w:rsidRPr="0014326B">
          <w:rPr>
            <w:rStyle w:val="Hyperlink"/>
          </w:rPr>
          <w:t>What consumer protections are there for BNPL products?</w:t>
        </w:r>
        <w:r w:rsidR="004529BD">
          <w:rPr>
            <w:webHidden/>
          </w:rPr>
          <w:tab/>
        </w:r>
        <w:r w:rsidR="004529BD">
          <w:rPr>
            <w:webHidden/>
          </w:rPr>
          <w:fldChar w:fldCharType="begin"/>
        </w:r>
        <w:r w:rsidR="004529BD">
          <w:rPr>
            <w:webHidden/>
          </w:rPr>
          <w:instrText xml:space="preserve"> PAGEREF _Toc119916346 \h </w:instrText>
        </w:r>
        <w:r w:rsidR="004529BD">
          <w:rPr>
            <w:webHidden/>
          </w:rPr>
        </w:r>
        <w:r w:rsidR="004529BD">
          <w:rPr>
            <w:webHidden/>
          </w:rPr>
          <w:fldChar w:fldCharType="separate"/>
        </w:r>
        <w:r w:rsidR="002067B3">
          <w:rPr>
            <w:webHidden/>
          </w:rPr>
          <w:t>8</w:t>
        </w:r>
        <w:r w:rsidR="004529BD">
          <w:rPr>
            <w:webHidden/>
          </w:rPr>
          <w:fldChar w:fldCharType="end"/>
        </w:r>
      </w:hyperlink>
    </w:p>
    <w:p w14:paraId="32E9CDC0" w14:textId="74EF4C3B" w:rsidR="004529BD" w:rsidRDefault="00967853">
      <w:pPr>
        <w:pStyle w:val="TOC3"/>
        <w:rPr>
          <w:rFonts w:asciiTheme="minorHAnsi" w:eastAsiaTheme="minorEastAsia" w:hAnsiTheme="minorHAnsi" w:cstheme="minorBidi"/>
          <w:szCs w:val="22"/>
        </w:rPr>
      </w:pPr>
      <w:hyperlink w:anchor="_Toc119916347" w:history="1">
        <w:r w:rsidR="004529BD" w:rsidRPr="0014326B">
          <w:rPr>
            <w:rStyle w:val="Hyperlink"/>
          </w:rPr>
          <w:t>Complaints handling and remediation</w:t>
        </w:r>
        <w:r w:rsidR="004529BD">
          <w:rPr>
            <w:webHidden/>
          </w:rPr>
          <w:tab/>
        </w:r>
        <w:r w:rsidR="004529BD">
          <w:rPr>
            <w:webHidden/>
          </w:rPr>
          <w:fldChar w:fldCharType="begin"/>
        </w:r>
        <w:r w:rsidR="004529BD">
          <w:rPr>
            <w:webHidden/>
          </w:rPr>
          <w:instrText xml:space="preserve"> PAGEREF _Toc119916347 \h </w:instrText>
        </w:r>
        <w:r w:rsidR="004529BD">
          <w:rPr>
            <w:webHidden/>
          </w:rPr>
        </w:r>
        <w:r w:rsidR="004529BD">
          <w:rPr>
            <w:webHidden/>
          </w:rPr>
          <w:fldChar w:fldCharType="separate"/>
        </w:r>
        <w:r w:rsidR="002067B3">
          <w:rPr>
            <w:webHidden/>
          </w:rPr>
          <w:t>8</w:t>
        </w:r>
        <w:r w:rsidR="004529BD">
          <w:rPr>
            <w:webHidden/>
          </w:rPr>
          <w:fldChar w:fldCharType="end"/>
        </w:r>
      </w:hyperlink>
    </w:p>
    <w:p w14:paraId="4E870BDA" w14:textId="5EE04741" w:rsidR="004529BD" w:rsidRDefault="00967853">
      <w:pPr>
        <w:pStyle w:val="TOC2"/>
        <w:rPr>
          <w:rFonts w:asciiTheme="minorHAnsi" w:eastAsiaTheme="minorEastAsia" w:hAnsiTheme="minorHAnsi" w:cstheme="minorBidi"/>
          <w:color w:val="auto"/>
          <w:szCs w:val="22"/>
        </w:rPr>
      </w:pPr>
      <w:hyperlink w:anchor="_Toc119916348" w:history="1">
        <w:r w:rsidR="004529BD" w:rsidRPr="0014326B">
          <w:rPr>
            <w:rStyle w:val="Hyperlink"/>
          </w:rPr>
          <w:t>What is the BNPL Industry Code of Practice?</w:t>
        </w:r>
        <w:r w:rsidR="004529BD">
          <w:rPr>
            <w:webHidden/>
          </w:rPr>
          <w:tab/>
        </w:r>
        <w:r w:rsidR="004529BD">
          <w:rPr>
            <w:webHidden/>
          </w:rPr>
          <w:fldChar w:fldCharType="begin"/>
        </w:r>
        <w:r w:rsidR="004529BD">
          <w:rPr>
            <w:webHidden/>
          </w:rPr>
          <w:instrText xml:space="preserve"> PAGEREF _Toc119916348 \h </w:instrText>
        </w:r>
        <w:r w:rsidR="004529BD">
          <w:rPr>
            <w:webHidden/>
          </w:rPr>
        </w:r>
        <w:r w:rsidR="004529BD">
          <w:rPr>
            <w:webHidden/>
          </w:rPr>
          <w:fldChar w:fldCharType="separate"/>
        </w:r>
        <w:r w:rsidR="002067B3">
          <w:rPr>
            <w:webHidden/>
          </w:rPr>
          <w:t>9</w:t>
        </w:r>
        <w:r w:rsidR="004529BD">
          <w:rPr>
            <w:webHidden/>
          </w:rPr>
          <w:fldChar w:fldCharType="end"/>
        </w:r>
      </w:hyperlink>
    </w:p>
    <w:p w14:paraId="2DDE8084" w14:textId="59A71DA5" w:rsidR="004529BD" w:rsidRDefault="00967853">
      <w:pPr>
        <w:pStyle w:val="TOC1"/>
        <w:rPr>
          <w:rFonts w:asciiTheme="minorHAnsi" w:eastAsiaTheme="minorEastAsia" w:hAnsiTheme="minorHAnsi" w:cstheme="minorBidi"/>
          <w:b w:val="0"/>
          <w:color w:val="auto"/>
        </w:rPr>
      </w:pPr>
      <w:hyperlink w:anchor="_Toc119916349" w:history="1">
        <w:r w:rsidR="004529BD" w:rsidRPr="0014326B">
          <w:rPr>
            <w:rStyle w:val="Hyperlink"/>
          </w:rPr>
          <w:t>Regulatory issues with BNPL</w:t>
        </w:r>
        <w:r w:rsidR="004529BD">
          <w:rPr>
            <w:webHidden/>
          </w:rPr>
          <w:tab/>
        </w:r>
        <w:r w:rsidR="004529BD">
          <w:rPr>
            <w:webHidden/>
          </w:rPr>
          <w:fldChar w:fldCharType="begin"/>
        </w:r>
        <w:r w:rsidR="004529BD">
          <w:rPr>
            <w:webHidden/>
          </w:rPr>
          <w:instrText xml:space="preserve"> PAGEREF _Toc119916349 \h </w:instrText>
        </w:r>
        <w:r w:rsidR="004529BD">
          <w:rPr>
            <w:webHidden/>
          </w:rPr>
        </w:r>
        <w:r w:rsidR="004529BD">
          <w:rPr>
            <w:webHidden/>
          </w:rPr>
          <w:fldChar w:fldCharType="separate"/>
        </w:r>
        <w:r w:rsidR="002067B3">
          <w:rPr>
            <w:webHidden/>
          </w:rPr>
          <w:t>11</w:t>
        </w:r>
        <w:r w:rsidR="004529BD">
          <w:rPr>
            <w:webHidden/>
          </w:rPr>
          <w:fldChar w:fldCharType="end"/>
        </w:r>
      </w:hyperlink>
    </w:p>
    <w:p w14:paraId="4BF50505" w14:textId="767AF135" w:rsidR="004529BD" w:rsidRDefault="00967853">
      <w:pPr>
        <w:pStyle w:val="TOC3"/>
        <w:rPr>
          <w:rFonts w:asciiTheme="minorHAnsi" w:eastAsiaTheme="minorEastAsia" w:hAnsiTheme="minorHAnsi" w:cstheme="minorBidi"/>
          <w:szCs w:val="22"/>
        </w:rPr>
      </w:pPr>
      <w:hyperlink w:anchor="_Toc119916350" w:history="1">
        <w:r w:rsidR="004529BD" w:rsidRPr="0014326B">
          <w:rPr>
            <w:rStyle w:val="Hyperlink"/>
          </w:rPr>
          <w:t>Unaffordable lending practices</w:t>
        </w:r>
        <w:r w:rsidR="004529BD">
          <w:rPr>
            <w:webHidden/>
          </w:rPr>
          <w:tab/>
        </w:r>
        <w:r w:rsidR="004529BD">
          <w:rPr>
            <w:webHidden/>
          </w:rPr>
          <w:fldChar w:fldCharType="begin"/>
        </w:r>
        <w:r w:rsidR="004529BD">
          <w:rPr>
            <w:webHidden/>
          </w:rPr>
          <w:instrText xml:space="preserve"> PAGEREF _Toc119916350 \h </w:instrText>
        </w:r>
        <w:r w:rsidR="004529BD">
          <w:rPr>
            <w:webHidden/>
          </w:rPr>
        </w:r>
        <w:r w:rsidR="004529BD">
          <w:rPr>
            <w:webHidden/>
          </w:rPr>
          <w:fldChar w:fldCharType="separate"/>
        </w:r>
        <w:r w:rsidR="002067B3">
          <w:rPr>
            <w:webHidden/>
          </w:rPr>
          <w:t>11</w:t>
        </w:r>
        <w:r w:rsidR="004529BD">
          <w:rPr>
            <w:webHidden/>
          </w:rPr>
          <w:fldChar w:fldCharType="end"/>
        </w:r>
      </w:hyperlink>
    </w:p>
    <w:p w14:paraId="11CE6C15" w14:textId="27DFD5A6" w:rsidR="004529BD" w:rsidRDefault="00967853">
      <w:pPr>
        <w:pStyle w:val="TOC3"/>
        <w:rPr>
          <w:rFonts w:asciiTheme="minorHAnsi" w:eastAsiaTheme="minorEastAsia" w:hAnsiTheme="minorHAnsi" w:cstheme="minorBidi"/>
          <w:szCs w:val="22"/>
        </w:rPr>
      </w:pPr>
      <w:hyperlink w:anchor="_Toc119916351" w:history="1">
        <w:r w:rsidR="004529BD" w:rsidRPr="0014326B">
          <w:rPr>
            <w:rStyle w:val="Hyperlink"/>
          </w:rPr>
          <w:t>Complaints handling and hardship assistance</w:t>
        </w:r>
        <w:r w:rsidR="004529BD">
          <w:rPr>
            <w:webHidden/>
          </w:rPr>
          <w:tab/>
        </w:r>
        <w:r w:rsidR="004529BD">
          <w:rPr>
            <w:webHidden/>
          </w:rPr>
          <w:fldChar w:fldCharType="begin"/>
        </w:r>
        <w:r w:rsidR="004529BD">
          <w:rPr>
            <w:webHidden/>
          </w:rPr>
          <w:instrText xml:space="preserve"> PAGEREF _Toc119916351 \h </w:instrText>
        </w:r>
        <w:r w:rsidR="004529BD">
          <w:rPr>
            <w:webHidden/>
          </w:rPr>
        </w:r>
        <w:r w:rsidR="004529BD">
          <w:rPr>
            <w:webHidden/>
          </w:rPr>
          <w:fldChar w:fldCharType="separate"/>
        </w:r>
        <w:r w:rsidR="002067B3">
          <w:rPr>
            <w:webHidden/>
          </w:rPr>
          <w:t>13</w:t>
        </w:r>
        <w:r w:rsidR="004529BD">
          <w:rPr>
            <w:webHidden/>
          </w:rPr>
          <w:fldChar w:fldCharType="end"/>
        </w:r>
      </w:hyperlink>
    </w:p>
    <w:p w14:paraId="37151E3F" w14:textId="07B63668" w:rsidR="004529BD" w:rsidRDefault="00967853">
      <w:pPr>
        <w:pStyle w:val="TOC3"/>
        <w:rPr>
          <w:rFonts w:asciiTheme="minorHAnsi" w:eastAsiaTheme="minorEastAsia" w:hAnsiTheme="minorHAnsi" w:cstheme="minorBidi"/>
          <w:szCs w:val="22"/>
        </w:rPr>
      </w:pPr>
      <w:hyperlink w:anchor="_Toc119916352" w:history="1">
        <w:r w:rsidR="004529BD" w:rsidRPr="0014326B">
          <w:rPr>
            <w:rStyle w:val="Hyperlink"/>
          </w:rPr>
          <w:t>Excessive consumer fees and charges, including default fees</w:t>
        </w:r>
        <w:r w:rsidR="004529BD">
          <w:rPr>
            <w:webHidden/>
          </w:rPr>
          <w:tab/>
        </w:r>
        <w:r w:rsidR="004529BD">
          <w:rPr>
            <w:webHidden/>
          </w:rPr>
          <w:fldChar w:fldCharType="begin"/>
        </w:r>
        <w:r w:rsidR="004529BD">
          <w:rPr>
            <w:webHidden/>
          </w:rPr>
          <w:instrText xml:space="preserve"> PAGEREF _Toc119916352 \h </w:instrText>
        </w:r>
        <w:r w:rsidR="004529BD">
          <w:rPr>
            <w:webHidden/>
          </w:rPr>
        </w:r>
        <w:r w:rsidR="004529BD">
          <w:rPr>
            <w:webHidden/>
          </w:rPr>
          <w:fldChar w:fldCharType="separate"/>
        </w:r>
        <w:r w:rsidR="002067B3">
          <w:rPr>
            <w:webHidden/>
          </w:rPr>
          <w:t>14</w:t>
        </w:r>
        <w:r w:rsidR="004529BD">
          <w:rPr>
            <w:webHidden/>
          </w:rPr>
          <w:fldChar w:fldCharType="end"/>
        </w:r>
      </w:hyperlink>
    </w:p>
    <w:p w14:paraId="40362EB4" w14:textId="05CB3906" w:rsidR="004529BD" w:rsidRDefault="00967853">
      <w:pPr>
        <w:pStyle w:val="TOC3"/>
        <w:rPr>
          <w:rFonts w:asciiTheme="minorHAnsi" w:eastAsiaTheme="minorEastAsia" w:hAnsiTheme="minorHAnsi" w:cstheme="minorBidi"/>
          <w:szCs w:val="22"/>
        </w:rPr>
      </w:pPr>
      <w:hyperlink w:anchor="_Toc119916353" w:history="1">
        <w:r w:rsidR="004529BD" w:rsidRPr="0014326B">
          <w:rPr>
            <w:rStyle w:val="Hyperlink"/>
          </w:rPr>
          <w:t>Non-participation in credit reporting</w:t>
        </w:r>
        <w:r w:rsidR="004529BD">
          <w:rPr>
            <w:webHidden/>
          </w:rPr>
          <w:tab/>
        </w:r>
        <w:r w:rsidR="004529BD">
          <w:rPr>
            <w:webHidden/>
          </w:rPr>
          <w:fldChar w:fldCharType="begin"/>
        </w:r>
        <w:r w:rsidR="004529BD">
          <w:rPr>
            <w:webHidden/>
          </w:rPr>
          <w:instrText xml:space="preserve"> PAGEREF _Toc119916353 \h </w:instrText>
        </w:r>
        <w:r w:rsidR="004529BD">
          <w:rPr>
            <w:webHidden/>
          </w:rPr>
        </w:r>
        <w:r w:rsidR="004529BD">
          <w:rPr>
            <w:webHidden/>
          </w:rPr>
          <w:fldChar w:fldCharType="separate"/>
        </w:r>
        <w:r w:rsidR="002067B3">
          <w:rPr>
            <w:webHidden/>
          </w:rPr>
          <w:t>15</w:t>
        </w:r>
        <w:r w:rsidR="004529BD">
          <w:rPr>
            <w:webHidden/>
          </w:rPr>
          <w:fldChar w:fldCharType="end"/>
        </w:r>
      </w:hyperlink>
    </w:p>
    <w:p w14:paraId="79AA84BB" w14:textId="0E71ABBA" w:rsidR="004529BD" w:rsidRDefault="00967853">
      <w:pPr>
        <w:pStyle w:val="TOC3"/>
        <w:rPr>
          <w:rFonts w:asciiTheme="minorHAnsi" w:eastAsiaTheme="minorEastAsia" w:hAnsiTheme="minorHAnsi" w:cstheme="minorBidi"/>
          <w:szCs w:val="22"/>
        </w:rPr>
      </w:pPr>
      <w:hyperlink w:anchor="_Toc119916354" w:history="1">
        <w:r w:rsidR="004529BD" w:rsidRPr="0014326B">
          <w:rPr>
            <w:rStyle w:val="Hyperlink"/>
          </w:rPr>
          <w:t>Lack of transparency – Product disclosure and warning requirements</w:t>
        </w:r>
        <w:r w:rsidR="004529BD">
          <w:rPr>
            <w:webHidden/>
          </w:rPr>
          <w:tab/>
        </w:r>
        <w:r w:rsidR="004529BD">
          <w:rPr>
            <w:webHidden/>
          </w:rPr>
          <w:fldChar w:fldCharType="begin"/>
        </w:r>
        <w:r w:rsidR="004529BD">
          <w:rPr>
            <w:webHidden/>
          </w:rPr>
          <w:instrText xml:space="preserve"> PAGEREF _Toc119916354 \h </w:instrText>
        </w:r>
        <w:r w:rsidR="004529BD">
          <w:rPr>
            <w:webHidden/>
          </w:rPr>
        </w:r>
        <w:r w:rsidR="004529BD">
          <w:rPr>
            <w:webHidden/>
          </w:rPr>
          <w:fldChar w:fldCharType="separate"/>
        </w:r>
        <w:r w:rsidR="002067B3">
          <w:rPr>
            <w:webHidden/>
          </w:rPr>
          <w:t>16</w:t>
        </w:r>
        <w:r w:rsidR="004529BD">
          <w:rPr>
            <w:webHidden/>
          </w:rPr>
          <w:fldChar w:fldCharType="end"/>
        </w:r>
      </w:hyperlink>
    </w:p>
    <w:p w14:paraId="1DB2F5DE" w14:textId="56BD40CA" w:rsidR="004529BD" w:rsidRDefault="00967853">
      <w:pPr>
        <w:pStyle w:val="TOC3"/>
        <w:rPr>
          <w:rFonts w:asciiTheme="minorHAnsi" w:eastAsiaTheme="minorEastAsia" w:hAnsiTheme="minorHAnsi" w:cstheme="minorBidi"/>
          <w:szCs w:val="22"/>
        </w:rPr>
      </w:pPr>
      <w:hyperlink w:anchor="_Toc119916355" w:history="1">
        <w:r w:rsidR="004529BD" w:rsidRPr="0014326B">
          <w:rPr>
            <w:rStyle w:val="Hyperlink"/>
          </w:rPr>
          <w:t>Unsolicited selling, advertising and using BNPL for essentials</w:t>
        </w:r>
        <w:r w:rsidR="004529BD">
          <w:rPr>
            <w:webHidden/>
          </w:rPr>
          <w:tab/>
        </w:r>
        <w:r w:rsidR="004529BD">
          <w:rPr>
            <w:webHidden/>
          </w:rPr>
          <w:fldChar w:fldCharType="begin"/>
        </w:r>
        <w:r w:rsidR="004529BD">
          <w:rPr>
            <w:webHidden/>
          </w:rPr>
          <w:instrText xml:space="preserve"> PAGEREF _Toc119916355 \h </w:instrText>
        </w:r>
        <w:r w:rsidR="004529BD">
          <w:rPr>
            <w:webHidden/>
          </w:rPr>
        </w:r>
        <w:r w:rsidR="004529BD">
          <w:rPr>
            <w:webHidden/>
          </w:rPr>
          <w:fldChar w:fldCharType="separate"/>
        </w:r>
        <w:r w:rsidR="002067B3">
          <w:rPr>
            <w:webHidden/>
          </w:rPr>
          <w:t>17</w:t>
        </w:r>
        <w:r w:rsidR="004529BD">
          <w:rPr>
            <w:webHidden/>
          </w:rPr>
          <w:fldChar w:fldCharType="end"/>
        </w:r>
      </w:hyperlink>
    </w:p>
    <w:p w14:paraId="758F09E8" w14:textId="7308A130" w:rsidR="004529BD" w:rsidRDefault="00967853">
      <w:pPr>
        <w:pStyle w:val="TOC3"/>
        <w:rPr>
          <w:rFonts w:asciiTheme="minorHAnsi" w:eastAsiaTheme="minorEastAsia" w:hAnsiTheme="minorHAnsi" w:cstheme="minorBidi"/>
          <w:szCs w:val="22"/>
        </w:rPr>
      </w:pPr>
      <w:hyperlink w:anchor="_Toc119916356" w:history="1">
        <w:r w:rsidR="004529BD" w:rsidRPr="0014326B">
          <w:rPr>
            <w:rStyle w:val="Hyperlink"/>
          </w:rPr>
          <w:t>Frictionless process, overselling, scams, and financial abuse</w:t>
        </w:r>
        <w:r w:rsidR="004529BD">
          <w:rPr>
            <w:webHidden/>
          </w:rPr>
          <w:tab/>
        </w:r>
        <w:r w:rsidR="004529BD">
          <w:rPr>
            <w:webHidden/>
          </w:rPr>
          <w:fldChar w:fldCharType="begin"/>
        </w:r>
        <w:r w:rsidR="004529BD">
          <w:rPr>
            <w:webHidden/>
          </w:rPr>
          <w:instrText xml:space="preserve"> PAGEREF _Toc119916356 \h </w:instrText>
        </w:r>
        <w:r w:rsidR="004529BD">
          <w:rPr>
            <w:webHidden/>
          </w:rPr>
        </w:r>
        <w:r w:rsidR="004529BD">
          <w:rPr>
            <w:webHidden/>
          </w:rPr>
          <w:fldChar w:fldCharType="separate"/>
        </w:r>
        <w:r w:rsidR="002067B3">
          <w:rPr>
            <w:webHidden/>
          </w:rPr>
          <w:t>17</w:t>
        </w:r>
        <w:r w:rsidR="004529BD">
          <w:rPr>
            <w:webHidden/>
          </w:rPr>
          <w:fldChar w:fldCharType="end"/>
        </w:r>
      </w:hyperlink>
    </w:p>
    <w:p w14:paraId="0B7BF555" w14:textId="3D793CF3" w:rsidR="004529BD" w:rsidRDefault="00967853">
      <w:pPr>
        <w:pStyle w:val="TOC3"/>
        <w:rPr>
          <w:rFonts w:asciiTheme="minorHAnsi" w:eastAsiaTheme="minorEastAsia" w:hAnsiTheme="minorHAnsi" w:cstheme="minorBidi"/>
          <w:szCs w:val="22"/>
        </w:rPr>
      </w:pPr>
      <w:hyperlink w:anchor="_Toc119916357" w:history="1">
        <w:r w:rsidR="004529BD" w:rsidRPr="0014326B">
          <w:rPr>
            <w:rStyle w:val="Hyperlink"/>
          </w:rPr>
          <w:t>Refunds, return of good and unauthorised transactions</w:t>
        </w:r>
        <w:r w:rsidR="004529BD">
          <w:rPr>
            <w:webHidden/>
          </w:rPr>
          <w:tab/>
        </w:r>
        <w:r w:rsidR="004529BD">
          <w:rPr>
            <w:webHidden/>
          </w:rPr>
          <w:fldChar w:fldCharType="begin"/>
        </w:r>
        <w:r w:rsidR="004529BD">
          <w:rPr>
            <w:webHidden/>
          </w:rPr>
          <w:instrText xml:space="preserve"> PAGEREF _Toc119916357 \h </w:instrText>
        </w:r>
        <w:r w:rsidR="004529BD">
          <w:rPr>
            <w:webHidden/>
          </w:rPr>
        </w:r>
        <w:r w:rsidR="004529BD">
          <w:rPr>
            <w:webHidden/>
          </w:rPr>
          <w:fldChar w:fldCharType="separate"/>
        </w:r>
        <w:r w:rsidR="002067B3">
          <w:rPr>
            <w:webHidden/>
          </w:rPr>
          <w:t>18</w:t>
        </w:r>
        <w:r w:rsidR="004529BD">
          <w:rPr>
            <w:webHidden/>
          </w:rPr>
          <w:fldChar w:fldCharType="end"/>
        </w:r>
      </w:hyperlink>
    </w:p>
    <w:p w14:paraId="2D7F6EA9" w14:textId="561DB9F9" w:rsidR="004529BD" w:rsidRDefault="00967853">
      <w:pPr>
        <w:pStyle w:val="TOC1"/>
        <w:rPr>
          <w:rFonts w:asciiTheme="minorHAnsi" w:eastAsiaTheme="minorEastAsia" w:hAnsiTheme="minorHAnsi" w:cstheme="minorBidi"/>
          <w:b w:val="0"/>
          <w:color w:val="auto"/>
        </w:rPr>
      </w:pPr>
      <w:hyperlink w:anchor="_Toc119916358" w:history="1">
        <w:r w:rsidR="004529BD" w:rsidRPr="0014326B">
          <w:rPr>
            <w:rStyle w:val="Hyperlink"/>
          </w:rPr>
          <w:t>Options for regulatory intervention</w:t>
        </w:r>
        <w:r w:rsidR="004529BD">
          <w:rPr>
            <w:webHidden/>
          </w:rPr>
          <w:tab/>
        </w:r>
        <w:r w:rsidR="004529BD">
          <w:rPr>
            <w:webHidden/>
          </w:rPr>
          <w:fldChar w:fldCharType="begin"/>
        </w:r>
        <w:r w:rsidR="004529BD">
          <w:rPr>
            <w:webHidden/>
          </w:rPr>
          <w:instrText xml:space="preserve"> PAGEREF _Toc119916358 \h </w:instrText>
        </w:r>
        <w:r w:rsidR="004529BD">
          <w:rPr>
            <w:webHidden/>
          </w:rPr>
        </w:r>
        <w:r w:rsidR="004529BD">
          <w:rPr>
            <w:webHidden/>
          </w:rPr>
          <w:fldChar w:fldCharType="separate"/>
        </w:r>
        <w:r w:rsidR="002067B3">
          <w:rPr>
            <w:webHidden/>
          </w:rPr>
          <w:t>19</w:t>
        </w:r>
        <w:r w:rsidR="004529BD">
          <w:rPr>
            <w:webHidden/>
          </w:rPr>
          <w:fldChar w:fldCharType="end"/>
        </w:r>
      </w:hyperlink>
    </w:p>
    <w:p w14:paraId="0CC50664" w14:textId="0769D667" w:rsidR="004529BD" w:rsidRDefault="00967853">
      <w:pPr>
        <w:pStyle w:val="TOC2"/>
        <w:rPr>
          <w:rFonts w:asciiTheme="minorHAnsi" w:eastAsiaTheme="minorEastAsia" w:hAnsiTheme="minorHAnsi" w:cstheme="minorBidi"/>
          <w:color w:val="auto"/>
          <w:szCs w:val="22"/>
        </w:rPr>
      </w:pPr>
      <w:hyperlink w:anchor="_Toc119916359" w:history="1">
        <w:r w:rsidR="004529BD" w:rsidRPr="0014326B">
          <w:rPr>
            <w:rStyle w:val="Hyperlink"/>
          </w:rPr>
          <w:t>Guiding principles for an approach to regulating BNPL</w:t>
        </w:r>
        <w:r w:rsidR="004529BD">
          <w:rPr>
            <w:webHidden/>
          </w:rPr>
          <w:tab/>
        </w:r>
        <w:r w:rsidR="004529BD">
          <w:rPr>
            <w:webHidden/>
          </w:rPr>
          <w:fldChar w:fldCharType="begin"/>
        </w:r>
        <w:r w:rsidR="004529BD">
          <w:rPr>
            <w:webHidden/>
          </w:rPr>
          <w:instrText xml:space="preserve"> PAGEREF _Toc119916359 \h </w:instrText>
        </w:r>
        <w:r w:rsidR="004529BD">
          <w:rPr>
            <w:webHidden/>
          </w:rPr>
        </w:r>
        <w:r w:rsidR="004529BD">
          <w:rPr>
            <w:webHidden/>
          </w:rPr>
          <w:fldChar w:fldCharType="separate"/>
        </w:r>
        <w:r w:rsidR="002067B3">
          <w:rPr>
            <w:webHidden/>
          </w:rPr>
          <w:t>19</w:t>
        </w:r>
        <w:r w:rsidR="004529BD">
          <w:rPr>
            <w:webHidden/>
          </w:rPr>
          <w:fldChar w:fldCharType="end"/>
        </w:r>
      </w:hyperlink>
    </w:p>
    <w:p w14:paraId="7D92D841" w14:textId="3FA48D36" w:rsidR="004529BD" w:rsidRDefault="00967853">
      <w:pPr>
        <w:pStyle w:val="TOC3"/>
        <w:rPr>
          <w:rFonts w:asciiTheme="minorHAnsi" w:eastAsiaTheme="minorEastAsia" w:hAnsiTheme="minorHAnsi" w:cstheme="minorBidi"/>
          <w:szCs w:val="22"/>
        </w:rPr>
      </w:pPr>
      <w:hyperlink w:anchor="_Toc119916360" w:history="1">
        <w:r w:rsidR="004529BD" w:rsidRPr="0014326B">
          <w:rPr>
            <w:rStyle w:val="Hyperlink"/>
          </w:rPr>
          <w:t>Option 1: Strengthening the BNPL Industry Code plus an affordability test</w:t>
        </w:r>
        <w:r w:rsidR="004529BD">
          <w:rPr>
            <w:webHidden/>
          </w:rPr>
          <w:tab/>
        </w:r>
        <w:r w:rsidR="004529BD">
          <w:rPr>
            <w:webHidden/>
          </w:rPr>
          <w:fldChar w:fldCharType="begin"/>
        </w:r>
        <w:r w:rsidR="004529BD">
          <w:rPr>
            <w:webHidden/>
          </w:rPr>
          <w:instrText xml:space="preserve"> PAGEREF _Toc119916360 \h </w:instrText>
        </w:r>
        <w:r w:rsidR="004529BD">
          <w:rPr>
            <w:webHidden/>
          </w:rPr>
        </w:r>
        <w:r w:rsidR="004529BD">
          <w:rPr>
            <w:webHidden/>
          </w:rPr>
          <w:fldChar w:fldCharType="separate"/>
        </w:r>
        <w:r w:rsidR="002067B3">
          <w:rPr>
            <w:webHidden/>
          </w:rPr>
          <w:t>20</w:t>
        </w:r>
        <w:r w:rsidR="004529BD">
          <w:rPr>
            <w:webHidden/>
          </w:rPr>
          <w:fldChar w:fldCharType="end"/>
        </w:r>
      </w:hyperlink>
    </w:p>
    <w:p w14:paraId="057F4315" w14:textId="32648EDB" w:rsidR="004529BD" w:rsidRDefault="00967853">
      <w:pPr>
        <w:pStyle w:val="TOC3"/>
        <w:rPr>
          <w:rFonts w:asciiTheme="minorHAnsi" w:eastAsiaTheme="minorEastAsia" w:hAnsiTheme="minorHAnsi" w:cstheme="minorBidi"/>
          <w:szCs w:val="22"/>
        </w:rPr>
      </w:pPr>
      <w:hyperlink w:anchor="_Toc119916361" w:history="1">
        <w:r w:rsidR="004529BD" w:rsidRPr="0014326B">
          <w:rPr>
            <w:rStyle w:val="Hyperlink"/>
          </w:rPr>
          <w:t>Option 2: Limited BNPL regulation under the Credit Act, including licensing and scalable unsuitability test</w:t>
        </w:r>
        <w:r w:rsidR="004529BD">
          <w:rPr>
            <w:webHidden/>
          </w:rPr>
          <w:tab/>
        </w:r>
        <w:r w:rsidR="004529BD">
          <w:rPr>
            <w:webHidden/>
          </w:rPr>
          <w:fldChar w:fldCharType="begin"/>
        </w:r>
        <w:r w:rsidR="004529BD">
          <w:rPr>
            <w:webHidden/>
          </w:rPr>
          <w:instrText xml:space="preserve"> PAGEREF _Toc119916361 \h </w:instrText>
        </w:r>
        <w:r w:rsidR="004529BD">
          <w:rPr>
            <w:webHidden/>
          </w:rPr>
        </w:r>
        <w:r w:rsidR="004529BD">
          <w:rPr>
            <w:webHidden/>
          </w:rPr>
          <w:fldChar w:fldCharType="separate"/>
        </w:r>
        <w:r w:rsidR="002067B3">
          <w:rPr>
            <w:webHidden/>
          </w:rPr>
          <w:t>21</w:t>
        </w:r>
        <w:r w:rsidR="004529BD">
          <w:rPr>
            <w:webHidden/>
          </w:rPr>
          <w:fldChar w:fldCharType="end"/>
        </w:r>
      </w:hyperlink>
    </w:p>
    <w:p w14:paraId="7E3D2DB4" w14:textId="006068EE" w:rsidR="004529BD" w:rsidRDefault="00967853">
      <w:pPr>
        <w:pStyle w:val="TOC3"/>
        <w:rPr>
          <w:rFonts w:asciiTheme="minorHAnsi" w:eastAsiaTheme="minorEastAsia" w:hAnsiTheme="minorHAnsi" w:cstheme="minorBidi"/>
          <w:szCs w:val="22"/>
        </w:rPr>
      </w:pPr>
      <w:hyperlink w:anchor="_Toc119916362" w:history="1">
        <w:r w:rsidR="004529BD" w:rsidRPr="0014326B">
          <w:rPr>
            <w:rStyle w:val="Hyperlink"/>
          </w:rPr>
          <w:t>Option 3: Regulation of BNPL under the Credit Act</w:t>
        </w:r>
        <w:r w:rsidR="004529BD">
          <w:rPr>
            <w:webHidden/>
          </w:rPr>
          <w:tab/>
        </w:r>
        <w:r w:rsidR="004529BD">
          <w:rPr>
            <w:webHidden/>
          </w:rPr>
          <w:fldChar w:fldCharType="begin"/>
        </w:r>
        <w:r w:rsidR="004529BD">
          <w:rPr>
            <w:webHidden/>
          </w:rPr>
          <w:instrText xml:space="preserve"> PAGEREF _Toc119916362 \h </w:instrText>
        </w:r>
        <w:r w:rsidR="004529BD">
          <w:rPr>
            <w:webHidden/>
          </w:rPr>
        </w:r>
        <w:r w:rsidR="004529BD">
          <w:rPr>
            <w:webHidden/>
          </w:rPr>
          <w:fldChar w:fldCharType="separate"/>
        </w:r>
        <w:r w:rsidR="002067B3">
          <w:rPr>
            <w:webHidden/>
          </w:rPr>
          <w:t>22</w:t>
        </w:r>
        <w:r w:rsidR="004529BD">
          <w:rPr>
            <w:webHidden/>
          </w:rPr>
          <w:fldChar w:fldCharType="end"/>
        </w:r>
      </w:hyperlink>
    </w:p>
    <w:p w14:paraId="0C0F519F" w14:textId="3B9F87A0" w:rsidR="004529BD" w:rsidRDefault="00967853">
      <w:pPr>
        <w:pStyle w:val="TOC3"/>
        <w:rPr>
          <w:rFonts w:asciiTheme="minorHAnsi" w:eastAsiaTheme="minorEastAsia" w:hAnsiTheme="minorHAnsi" w:cstheme="minorBidi"/>
          <w:szCs w:val="22"/>
        </w:rPr>
      </w:pPr>
      <w:hyperlink w:anchor="_Toc119916363" w:history="1">
        <w:r w:rsidR="004529BD" w:rsidRPr="0014326B">
          <w:rPr>
            <w:rStyle w:val="Hyperlink"/>
          </w:rPr>
          <w:t>Supplementary reforms to support a new BNPL regulatory framework</w:t>
        </w:r>
        <w:r w:rsidR="004529BD">
          <w:rPr>
            <w:webHidden/>
          </w:rPr>
          <w:tab/>
        </w:r>
        <w:r w:rsidR="004529BD">
          <w:rPr>
            <w:webHidden/>
          </w:rPr>
          <w:fldChar w:fldCharType="begin"/>
        </w:r>
        <w:r w:rsidR="004529BD">
          <w:rPr>
            <w:webHidden/>
          </w:rPr>
          <w:instrText xml:space="preserve"> PAGEREF _Toc119916363 \h </w:instrText>
        </w:r>
        <w:r w:rsidR="004529BD">
          <w:rPr>
            <w:webHidden/>
          </w:rPr>
        </w:r>
        <w:r w:rsidR="004529BD">
          <w:rPr>
            <w:webHidden/>
          </w:rPr>
          <w:fldChar w:fldCharType="separate"/>
        </w:r>
        <w:r w:rsidR="002067B3">
          <w:rPr>
            <w:webHidden/>
          </w:rPr>
          <w:t>23</w:t>
        </w:r>
        <w:r w:rsidR="004529BD">
          <w:rPr>
            <w:webHidden/>
          </w:rPr>
          <w:fldChar w:fldCharType="end"/>
        </w:r>
      </w:hyperlink>
    </w:p>
    <w:p w14:paraId="42BB04B9" w14:textId="400ED519" w:rsidR="004529BD" w:rsidRDefault="00967853">
      <w:pPr>
        <w:pStyle w:val="TOC1"/>
        <w:rPr>
          <w:rFonts w:asciiTheme="minorHAnsi" w:eastAsiaTheme="minorEastAsia" w:hAnsiTheme="minorHAnsi" w:cstheme="minorBidi"/>
          <w:b w:val="0"/>
          <w:color w:val="auto"/>
        </w:rPr>
      </w:pPr>
      <w:hyperlink w:anchor="_Toc119916364" w:history="1">
        <w:r w:rsidR="004529BD" w:rsidRPr="0014326B">
          <w:rPr>
            <w:rStyle w:val="Hyperlink"/>
          </w:rPr>
          <w:t>Bilateral consultations and next steps</w:t>
        </w:r>
        <w:r w:rsidR="004529BD">
          <w:rPr>
            <w:webHidden/>
          </w:rPr>
          <w:tab/>
        </w:r>
        <w:r w:rsidR="004529BD">
          <w:rPr>
            <w:webHidden/>
          </w:rPr>
          <w:fldChar w:fldCharType="begin"/>
        </w:r>
        <w:r w:rsidR="004529BD">
          <w:rPr>
            <w:webHidden/>
          </w:rPr>
          <w:instrText xml:space="preserve"> PAGEREF _Toc119916364 \h </w:instrText>
        </w:r>
        <w:r w:rsidR="004529BD">
          <w:rPr>
            <w:webHidden/>
          </w:rPr>
        </w:r>
        <w:r w:rsidR="004529BD">
          <w:rPr>
            <w:webHidden/>
          </w:rPr>
          <w:fldChar w:fldCharType="separate"/>
        </w:r>
        <w:r w:rsidR="002067B3">
          <w:rPr>
            <w:webHidden/>
          </w:rPr>
          <w:t>24</w:t>
        </w:r>
        <w:r w:rsidR="004529BD">
          <w:rPr>
            <w:webHidden/>
          </w:rPr>
          <w:fldChar w:fldCharType="end"/>
        </w:r>
      </w:hyperlink>
    </w:p>
    <w:p w14:paraId="1BB0FD62" w14:textId="117C9B19" w:rsidR="004529BD" w:rsidRDefault="00967853">
      <w:pPr>
        <w:pStyle w:val="TOC1"/>
        <w:rPr>
          <w:rFonts w:asciiTheme="minorHAnsi" w:eastAsiaTheme="minorEastAsia" w:hAnsiTheme="minorHAnsi" w:cstheme="minorBidi"/>
          <w:b w:val="0"/>
          <w:color w:val="auto"/>
        </w:rPr>
      </w:pPr>
      <w:hyperlink w:anchor="_Toc119916365" w:history="1">
        <w:r w:rsidR="004529BD" w:rsidRPr="0014326B">
          <w:rPr>
            <w:rStyle w:val="Hyperlink"/>
          </w:rPr>
          <w:t>Attachment A – Additional information</w:t>
        </w:r>
        <w:r w:rsidR="004529BD">
          <w:rPr>
            <w:webHidden/>
          </w:rPr>
          <w:tab/>
        </w:r>
        <w:r w:rsidR="004529BD">
          <w:rPr>
            <w:webHidden/>
          </w:rPr>
          <w:fldChar w:fldCharType="begin"/>
        </w:r>
        <w:r w:rsidR="004529BD">
          <w:rPr>
            <w:webHidden/>
          </w:rPr>
          <w:instrText xml:space="preserve"> PAGEREF _Toc119916365 \h </w:instrText>
        </w:r>
        <w:r w:rsidR="004529BD">
          <w:rPr>
            <w:webHidden/>
          </w:rPr>
        </w:r>
        <w:r w:rsidR="004529BD">
          <w:rPr>
            <w:webHidden/>
          </w:rPr>
          <w:fldChar w:fldCharType="separate"/>
        </w:r>
        <w:r w:rsidR="002067B3">
          <w:rPr>
            <w:webHidden/>
          </w:rPr>
          <w:t>25</w:t>
        </w:r>
        <w:r w:rsidR="004529BD">
          <w:rPr>
            <w:webHidden/>
          </w:rPr>
          <w:fldChar w:fldCharType="end"/>
        </w:r>
      </w:hyperlink>
    </w:p>
    <w:p w14:paraId="6FF559B6" w14:textId="40C20BCF" w:rsidR="004529BD" w:rsidRDefault="00967853">
      <w:pPr>
        <w:pStyle w:val="TOC3"/>
        <w:rPr>
          <w:rFonts w:asciiTheme="minorHAnsi" w:eastAsiaTheme="minorEastAsia" w:hAnsiTheme="minorHAnsi" w:cstheme="minorBidi"/>
          <w:szCs w:val="22"/>
        </w:rPr>
      </w:pPr>
      <w:hyperlink w:anchor="_Toc119916366" w:history="1">
        <w:r w:rsidR="004529BD" w:rsidRPr="0014326B">
          <w:rPr>
            <w:rStyle w:val="Hyperlink"/>
          </w:rPr>
          <w:t>Emergence of BNPL in Australia</w:t>
        </w:r>
        <w:r w:rsidR="004529BD">
          <w:rPr>
            <w:webHidden/>
          </w:rPr>
          <w:tab/>
        </w:r>
        <w:r w:rsidR="004529BD">
          <w:rPr>
            <w:webHidden/>
          </w:rPr>
          <w:fldChar w:fldCharType="begin"/>
        </w:r>
        <w:r w:rsidR="004529BD">
          <w:rPr>
            <w:webHidden/>
          </w:rPr>
          <w:instrText xml:space="preserve"> PAGEREF _Toc119916366 \h </w:instrText>
        </w:r>
        <w:r w:rsidR="004529BD">
          <w:rPr>
            <w:webHidden/>
          </w:rPr>
        </w:r>
        <w:r w:rsidR="004529BD">
          <w:rPr>
            <w:webHidden/>
          </w:rPr>
          <w:fldChar w:fldCharType="separate"/>
        </w:r>
        <w:r w:rsidR="002067B3">
          <w:rPr>
            <w:webHidden/>
          </w:rPr>
          <w:t>25</w:t>
        </w:r>
        <w:r w:rsidR="004529BD">
          <w:rPr>
            <w:webHidden/>
          </w:rPr>
          <w:fldChar w:fldCharType="end"/>
        </w:r>
      </w:hyperlink>
    </w:p>
    <w:p w14:paraId="327F9567" w14:textId="4CB475C1" w:rsidR="004529BD" w:rsidRDefault="00967853">
      <w:pPr>
        <w:pStyle w:val="TOC3"/>
        <w:rPr>
          <w:rFonts w:asciiTheme="minorHAnsi" w:eastAsiaTheme="minorEastAsia" w:hAnsiTheme="minorHAnsi" w:cstheme="minorBidi"/>
          <w:szCs w:val="22"/>
        </w:rPr>
      </w:pPr>
      <w:hyperlink w:anchor="_Toc119916367" w:history="1">
        <w:r w:rsidR="004529BD" w:rsidRPr="0014326B">
          <w:rPr>
            <w:rStyle w:val="Hyperlink"/>
          </w:rPr>
          <w:t>BNPL business models</w:t>
        </w:r>
        <w:r w:rsidR="004529BD">
          <w:rPr>
            <w:webHidden/>
          </w:rPr>
          <w:tab/>
        </w:r>
        <w:r w:rsidR="004529BD">
          <w:rPr>
            <w:webHidden/>
          </w:rPr>
          <w:fldChar w:fldCharType="begin"/>
        </w:r>
        <w:r w:rsidR="004529BD">
          <w:rPr>
            <w:webHidden/>
          </w:rPr>
          <w:instrText xml:space="preserve"> PAGEREF _Toc119916367 \h </w:instrText>
        </w:r>
        <w:r w:rsidR="004529BD">
          <w:rPr>
            <w:webHidden/>
          </w:rPr>
        </w:r>
        <w:r w:rsidR="004529BD">
          <w:rPr>
            <w:webHidden/>
          </w:rPr>
          <w:fldChar w:fldCharType="separate"/>
        </w:r>
        <w:r w:rsidR="002067B3">
          <w:rPr>
            <w:webHidden/>
          </w:rPr>
          <w:t>26</w:t>
        </w:r>
        <w:r w:rsidR="004529BD">
          <w:rPr>
            <w:webHidden/>
          </w:rPr>
          <w:fldChar w:fldCharType="end"/>
        </w:r>
      </w:hyperlink>
    </w:p>
    <w:p w14:paraId="639354AD" w14:textId="69F7E3F8" w:rsidR="004529BD" w:rsidRDefault="00967853">
      <w:pPr>
        <w:pStyle w:val="TOC1"/>
        <w:rPr>
          <w:rFonts w:asciiTheme="minorHAnsi" w:eastAsiaTheme="minorEastAsia" w:hAnsiTheme="minorHAnsi" w:cstheme="minorBidi"/>
          <w:b w:val="0"/>
          <w:color w:val="auto"/>
        </w:rPr>
      </w:pPr>
      <w:hyperlink w:anchor="_Toc119916368" w:history="1">
        <w:r w:rsidR="004529BD" w:rsidRPr="0014326B">
          <w:rPr>
            <w:rStyle w:val="Hyperlink"/>
          </w:rPr>
          <w:t>Attachment B – International developments</w:t>
        </w:r>
        <w:r w:rsidR="004529BD">
          <w:rPr>
            <w:webHidden/>
          </w:rPr>
          <w:tab/>
        </w:r>
        <w:r w:rsidR="004529BD">
          <w:rPr>
            <w:webHidden/>
          </w:rPr>
          <w:fldChar w:fldCharType="begin"/>
        </w:r>
        <w:r w:rsidR="004529BD">
          <w:rPr>
            <w:webHidden/>
          </w:rPr>
          <w:instrText xml:space="preserve"> PAGEREF _Toc119916368 \h </w:instrText>
        </w:r>
        <w:r w:rsidR="004529BD">
          <w:rPr>
            <w:webHidden/>
          </w:rPr>
        </w:r>
        <w:r w:rsidR="004529BD">
          <w:rPr>
            <w:webHidden/>
          </w:rPr>
          <w:fldChar w:fldCharType="separate"/>
        </w:r>
        <w:r w:rsidR="002067B3">
          <w:rPr>
            <w:webHidden/>
          </w:rPr>
          <w:t>28</w:t>
        </w:r>
        <w:r w:rsidR="004529BD">
          <w:rPr>
            <w:webHidden/>
          </w:rPr>
          <w:fldChar w:fldCharType="end"/>
        </w:r>
      </w:hyperlink>
    </w:p>
    <w:p w14:paraId="765A34D3" w14:textId="26245CE5"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7DA98AB8" w14:textId="5B3F0DC3" w:rsidR="000E0B74" w:rsidRDefault="000E0B74" w:rsidP="00354FBB">
      <w:pPr>
        <w:pStyle w:val="Heading1"/>
      </w:pPr>
      <w:bookmarkStart w:id="1" w:name="_Toc119916341"/>
      <w:bookmarkStart w:id="2" w:name="_Toc432067103"/>
      <w:r>
        <w:lastRenderedPageBreak/>
        <w:t xml:space="preserve">Consultation </w:t>
      </w:r>
      <w:r w:rsidR="00B35648">
        <w:t>p</w:t>
      </w:r>
      <w:r>
        <w:t>rocess</w:t>
      </w:r>
      <w:bookmarkEnd w:id="1"/>
    </w:p>
    <w:p w14:paraId="6C3BAFA6" w14:textId="77777777" w:rsidR="000E0B74" w:rsidRDefault="000E0B74" w:rsidP="000E0B74">
      <w:pPr>
        <w:pStyle w:val="Heading2"/>
      </w:pPr>
      <w:bookmarkStart w:id="3" w:name="_Toc119916342"/>
      <w:r>
        <w:t>Request for feedback and comments</w:t>
      </w:r>
      <w:bookmarkEnd w:id="3"/>
    </w:p>
    <w:p w14:paraId="3188A71D" w14:textId="3102EEC2" w:rsidR="000E0B74" w:rsidRDefault="02C7DCB4" w:rsidP="00257AEE">
      <w:pPr>
        <w:pStyle w:val="Heading3noTOC"/>
      </w:pPr>
      <w:r>
        <w:t xml:space="preserve">Closing date for submissions: </w:t>
      </w:r>
      <w:r w:rsidR="0F32ED5F" w:rsidRPr="00C7101D">
        <w:t>23</w:t>
      </w:r>
      <w:r w:rsidR="38908BCB" w:rsidRPr="00C7101D">
        <w:t xml:space="preserve"> December 2022</w:t>
      </w:r>
    </w:p>
    <w:tbl>
      <w:tblPr>
        <w:tblStyle w:val="TableGrid"/>
        <w:tblW w:w="0" w:type="auto"/>
        <w:tblLook w:val="04A0" w:firstRow="1" w:lastRow="0" w:firstColumn="1" w:lastColumn="0" w:noHBand="0" w:noVBand="1"/>
      </w:tblPr>
      <w:tblGrid>
        <w:gridCol w:w="1515"/>
        <w:gridCol w:w="7555"/>
      </w:tblGrid>
      <w:tr w:rsidR="000E0B74" w:rsidRPr="00B85F47" w14:paraId="30E9B76C"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627FDFFF"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5EC11905" w14:textId="5EC4ABAF" w:rsidR="000E0B74" w:rsidRPr="001A794D" w:rsidRDefault="00B4572B" w:rsidP="00516785">
            <w:pPr>
              <w:spacing w:before="96" w:after="96"/>
              <w:rPr>
                <w:sz w:val="22"/>
                <w:szCs w:val="22"/>
              </w:rPr>
            </w:pPr>
            <w:r w:rsidRPr="001A794D">
              <w:rPr>
                <w:rFonts w:cs="Arial"/>
                <w:sz w:val="22"/>
                <w:szCs w:val="22"/>
              </w:rPr>
              <w:t>CreditReforms@</w:t>
            </w:r>
            <w:r w:rsidR="005974C4" w:rsidRPr="001A794D">
              <w:rPr>
                <w:rFonts w:cs="Arial"/>
                <w:sz w:val="22"/>
                <w:szCs w:val="22"/>
              </w:rPr>
              <w:t>T</w:t>
            </w:r>
            <w:r w:rsidRPr="001A794D">
              <w:rPr>
                <w:rFonts w:cs="Arial"/>
                <w:sz w:val="22"/>
                <w:szCs w:val="22"/>
              </w:rPr>
              <w:t>reasury.gov.au</w:t>
            </w:r>
          </w:p>
        </w:tc>
      </w:tr>
      <w:tr w:rsidR="000E0B74" w:rsidRPr="00B85F47" w14:paraId="1A98D055" w14:textId="77777777" w:rsidTr="00B85F47">
        <w:tc>
          <w:tcPr>
            <w:tcW w:w="1526" w:type="dxa"/>
          </w:tcPr>
          <w:p w14:paraId="112E8593" w14:textId="77777777" w:rsidR="000E0B74" w:rsidRPr="00B85F47" w:rsidRDefault="000E0B74" w:rsidP="0017089D">
            <w:pPr>
              <w:rPr>
                <w:sz w:val="22"/>
                <w:szCs w:val="22"/>
              </w:rPr>
            </w:pPr>
            <w:r w:rsidRPr="00B85F47">
              <w:rPr>
                <w:sz w:val="22"/>
                <w:szCs w:val="22"/>
              </w:rPr>
              <w:t>Mail</w:t>
            </w:r>
          </w:p>
          <w:p w14:paraId="40C71BFD" w14:textId="77777777" w:rsidR="008D7F38" w:rsidRPr="00B85F47" w:rsidRDefault="008D7F38" w:rsidP="0017089D">
            <w:pPr>
              <w:rPr>
                <w:sz w:val="22"/>
                <w:szCs w:val="22"/>
              </w:rPr>
            </w:pPr>
          </w:p>
          <w:p w14:paraId="31898C9B" w14:textId="77777777" w:rsidR="008D7F38" w:rsidRPr="00B85F47" w:rsidRDefault="008D7F38" w:rsidP="0017089D">
            <w:pPr>
              <w:rPr>
                <w:sz w:val="22"/>
                <w:szCs w:val="22"/>
              </w:rPr>
            </w:pPr>
          </w:p>
        </w:tc>
        <w:tc>
          <w:tcPr>
            <w:tcW w:w="7654" w:type="dxa"/>
          </w:tcPr>
          <w:p w14:paraId="04E3EC08" w14:textId="257DFBD1" w:rsidR="000E0B74" w:rsidRPr="001A794D" w:rsidRDefault="00B3326A" w:rsidP="0017089D">
            <w:pPr>
              <w:pStyle w:val="SingleParagraph"/>
              <w:rPr>
                <w:rFonts w:cs="Arial"/>
                <w:sz w:val="22"/>
                <w:szCs w:val="22"/>
              </w:rPr>
            </w:pPr>
            <w:r>
              <w:rPr>
                <w:rFonts w:cs="Arial"/>
                <w:sz w:val="22"/>
                <w:szCs w:val="22"/>
              </w:rPr>
              <w:t>Consumer Credit Unit</w:t>
            </w:r>
          </w:p>
          <w:p w14:paraId="36E29A97" w14:textId="694E5F80" w:rsidR="000E0B74" w:rsidRPr="001A794D" w:rsidRDefault="00A32E6A" w:rsidP="0017089D">
            <w:pPr>
              <w:pStyle w:val="SingleParagraph"/>
              <w:rPr>
                <w:rFonts w:cs="Arial"/>
                <w:sz w:val="22"/>
                <w:szCs w:val="22"/>
              </w:rPr>
            </w:pPr>
            <w:r w:rsidRPr="001A794D">
              <w:rPr>
                <w:rFonts w:cs="Arial"/>
                <w:sz w:val="22"/>
                <w:szCs w:val="22"/>
              </w:rPr>
              <w:t>Financial System Division</w:t>
            </w:r>
          </w:p>
          <w:p w14:paraId="2E5168BA" w14:textId="77777777" w:rsidR="000E0B74" w:rsidRPr="001A794D" w:rsidRDefault="000E0B74" w:rsidP="0017089D">
            <w:pPr>
              <w:pStyle w:val="SingleParagraph"/>
              <w:rPr>
                <w:rFonts w:cs="Arial"/>
                <w:sz w:val="22"/>
                <w:szCs w:val="22"/>
              </w:rPr>
            </w:pPr>
            <w:r w:rsidRPr="001A794D">
              <w:rPr>
                <w:rFonts w:cs="Arial"/>
                <w:sz w:val="22"/>
                <w:szCs w:val="22"/>
              </w:rPr>
              <w:t>The Treasury</w:t>
            </w:r>
          </w:p>
          <w:p w14:paraId="042B6132" w14:textId="77777777" w:rsidR="000E0B74" w:rsidRPr="001A794D" w:rsidRDefault="000E0B74" w:rsidP="0017089D">
            <w:pPr>
              <w:pStyle w:val="SingleParagraph"/>
              <w:rPr>
                <w:rFonts w:cs="Arial"/>
                <w:sz w:val="22"/>
                <w:szCs w:val="22"/>
              </w:rPr>
            </w:pPr>
            <w:r w:rsidRPr="001A794D">
              <w:rPr>
                <w:rFonts w:cs="Arial"/>
                <w:sz w:val="22"/>
                <w:szCs w:val="22"/>
              </w:rPr>
              <w:t>Langton Crescent</w:t>
            </w:r>
          </w:p>
          <w:p w14:paraId="0F3C626E" w14:textId="77777777" w:rsidR="000E0B74" w:rsidRPr="00B85F47" w:rsidRDefault="000E0B74" w:rsidP="0017089D">
            <w:pPr>
              <w:pStyle w:val="SingleParagraph"/>
              <w:rPr>
                <w:sz w:val="22"/>
                <w:szCs w:val="22"/>
              </w:rPr>
            </w:pPr>
            <w:r w:rsidRPr="001A794D">
              <w:rPr>
                <w:sz w:val="22"/>
                <w:szCs w:val="22"/>
              </w:rPr>
              <w:t>PARKES ACT 2600</w:t>
            </w:r>
          </w:p>
        </w:tc>
      </w:tr>
      <w:tr w:rsidR="000E0B74" w:rsidRPr="00B85F47" w14:paraId="2F457D85" w14:textId="77777777" w:rsidTr="00B85F47">
        <w:tc>
          <w:tcPr>
            <w:tcW w:w="1526" w:type="dxa"/>
          </w:tcPr>
          <w:p w14:paraId="737D1375" w14:textId="77777777" w:rsidR="000E0B74" w:rsidRPr="00B85F47" w:rsidRDefault="000E0B74" w:rsidP="0017089D">
            <w:pPr>
              <w:rPr>
                <w:sz w:val="22"/>
                <w:szCs w:val="22"/>
              </w:rPr>
            </w:pPr>
            <w:r w:rsidRPr="00B85F47">
              <w:rPr>
                <w:sz w:val="22"/>
                <w:szCs w:val="22"/>
              </w:rPr>
              <w:t>Enquiries</w:t>
            </w:r>
          </w:p>
        </w:tc>
        <w:tc>
          <w:tcPr>
            <w:tcW w:w="7654" w:type="dxa"/>
          </w:tcPr>
          <w:p w14:paraId="206073C1" w14:textId="126FBCB5" w:rsidR="000E0B74" w:rsidRPr="00D40BB3" w:rsidRDefault="000E0B74" w:rsidP="0017089D">
            <w:pPr>
              <w:rPr>
                <w:sz w:val="22"/>
                <w:szCs w:val="22"/>
              </w:rPr>
            </w:pPr>
            <w:r w:rsidRPr="00D40BB3">
              <w:rPr>
                <w:rFonts w:cs="Arial"/>
                <w:sz w:val="22"/>
                <w:szCs w:val="22"/>
              </w:rPr>
              <w:t xml:space="preserve">Enquiries </w:t>
            </w:r>
            <w:r w:rsidR="00072F00" w:rsidRPr="00D40BB3">
              <w:rPr>
                <w:rFonts w:cs="Arial"/>
                <w:sz w:val="22"/>
                <w:szCs w:val="22"/>
              </w:rPr>
              <w:t>should be sent</w:t>
            </w:r>
            <w:r w:rsidRPr="00D40BB3">
              <w:rPr>
                <w:rFonts w:cs="Arial"/>
                <w:sz w:val="22"/>
                <w:szCs w:val="22"/>
              </w:rPr>
              <w:t xml:space="preserve"> to </w:t>
            </w:r>
            <w:r w:rsidR="00A03F10" w:rsidRPr="00D40BB3">
              <w:rPr>
                <w:rFonts w:cs="Arial"/>
                <w:sz w:val="22"/>
                <w:szCs w:val="22"/>
                <w:u w:val="single"/>
              </w:rPr>
              <w:t>CreditReforms@</w:t>
            </w:r>
            <w:r w:rsidR="001A794D" w:rsidRPr="00D40BB3">
              <w:rPr>
                <w:rFonts w:cs="Arial"/>
                <w:sz w:val="22"/>
                <w:szCs w:val="22"/>
                <w:u w:val="single"/>
              </w:rPr>
              <w:t>T</w:t>
            </w:r>
            <w:r w:rsidR="00A03F10" w:rsidRPr="00D40BB3">
              <w:rPr>
                <w:rFonts w:cs="Arial"/>
                <w:sz w:val="22"/>
                <w:szCs w:val="22"/>
                <w:u w:val="single"/>
              </w:rPr>
              <w:t>reasury.gov.au</w:t>
            </w:r>
          </w:p>
        </w:tc>
      </w:tr>
      <w:tr w:rsidR="000E0B74" w:rsidRPr="00B85F47" w14:paraId="0E5B1299" w14:textId="77777777" w:rsidTr="00B85F47">
        <w:tc>
          <w:tcPr>
            <w:tcW w:w="1526" w:type="dxa"/>
          </w:tcPr>
          <w:p w14:paraId="17ED18F5" w14:textId="14CB1FEF" w:rsidR="000E0B74" w:rsidRPr="00B85F47" w:rsidRDefault="000E0B74" w:rsidP="0017089D">
            <w:pPr>
              <w:rPr>
                <w:sz w:val="22"/>
                <w:szCs w:val="22"/>
              </w:rPr>
            </w:pPr>
          </w:p>
        </w:tc>
        <w:tc>
          <w:tcPr>
            <w:tcW w:w="7654" w:type="dxa"/>
          </w:tcPr>
          <w:p w14:paraId="7DE326F9" w14:textId="1B0A972B" w:rsidR="000E0B74" w:rsidRPr="00B85F47" w:rsidRDefault="000E0B74" w:rsidP="0017089D">
            <w:pPr>
              <w:rPr>
                <w:sz w:val="22"/>
                <w:szCs w:val="22"/>
              </w:rPr>
            </w:pPr>
          </w:p>
        </w:tc>
      </w:tr>
      <w:bookmarkEnd w:id="2"/>
    </w:tbl>
    <w:p w14:paraId="56E54009" w14:textId="77777777" w:rsidR="00E10D39" w:rsidRDefault="00E10D39" w:rsidP="0007102C"/>
    <w:p w14:paraId="48C24009" w14:textId="2B493530" w:rsidR="008D7F38" w:rsidRPr="008D7F38" w:rsidRDefault="002374F0" w:rsidP="008D7F38">
      <w:r>
        <w:t>This is an options paper for public consideration. Feedback on the options outlined in this paper will inform any future government policy and supporting legislation.</w:t>
      </w:r>
    </w:p>
    <w:p w14:paraId="5F1F83AB" w14:textId="77777777" w:rsidR="00E10D39" w:rsidRDefault="00E10D39">
      <w:pPr>
        <w:spacing w:before="0" w:after="160" w:line="259" w:lineRule="auto"/>
        <w:rPr>
          <w:rFonts w:cs="Arial"/>
          <w:color w:val="004A7F"/>
          <w:kern w:val="32"/>
          <w:sz w:val="48"/>
          <w:szCs w:val="36"/>
        </w:rPr>
      </w:pPr>
      <w:r>
        <w:br w:type="page"/>
      </w:r>
    </w:p>
    <w:p w14:paraId="40854A23" w14:textId="2BE1F872" w:rsidR="00EB7117" w:rsidRDefault="00EB7117" w:rsidP="0068659E">
      <w:pPr>
        <w:pStyle w:val="Heading1"/>
      </w:pPr>
      <w:bookmarkStart w:id="4" w:name="_Toc119916343"/>
      <w:r>
        <w:lastRenderedPageBreak/>
        <w:t>Executive Summary</w:t>
      </w:r>
      <w:bookmarkEnd w:id="4"/>
      <w:r>
        <w:t xml:space="preserve"> </w:t>
      </w:r>
    </w:p>
    <w:p w14:paraId="404D0252" w14:textId="2E3E4669" w:rsidR="008E15EA" w:rsidRDefault="006F619F" w:rsidP="006F619F">
      <w:pPr>
        <w:pStyle w:val="Bullet"/>
      </w:pPr>
      <w:r>
        <w:t xml:space="preserve">On 12 July 2022, </w:t>
      </w:r>
      <w:r w:rsidR="008D6AE8">
        <w:t xml:space="preserve">the </w:t>
      </w:r>
      <w:r>
        <w:t xml:space="preserve">Assistant Treasurer and Minister for Financial Services, </w:t>
      </w:r>
      <w:r w:rsidR="00A30BBC">
        <w:br/>
      </w:r>
      <w:r>
        <w:t>the Hon Stephen Jones MP, announced the Australian Government</w:t>
      </w:r>
      <w:r w:rsidR="007D1F4E">
        <w:t>’s</w:t>
      </w:r>
      <w:r>
        <w:t xml:space="preserve"> intention to publicly consult on </w:t>
      </w:r>
      <w:r w:rsidR="007D1F4E">
        <w:t>improving the regulation of consumer credit in Australia</w:t>
      </w:r>
      <w:r w:rsidR="00985B9A">
        <w:t xml:space="preserve">. </w:t>
      </w:r>
    </w:p>
    <w:p w14:paraId="149C1799" w14:textId="59001B64" w:rsidR="006F619F" w:rsidRDefault="00865CF8" w:rsidP="006F619F">
      <w:pPr>
        <w:pStyle w:val="Bullet"/>
      </w:pPr>
      <w:r>
        <w:t>T</w:t>
      </w:r>
      <w:r w:rsidR="00985B9A">
        <w:t xml:space="preserve">his consultation </w:t>
      </w:r>
      <w:r w:rsidR="00432CAC">
        <w:t xml:space="preserve">paper </w:t>
      </w:r>
      <w:r w:rsidR="0075409E">
        <w:t>examine</w:t>
      </w:r>
      <w:r w:rsidR="00AE0BFB">
        <w:t>s</w:t>
      </w:r>
      <w:r w:rsidR="006F619F">
        <w:t xml:space="preserve"> the regulatory challenges of emerging financial products</w:t>
      </w:r>
      <w:r w:rsidR="00EA598B">
        <w:t xml:space="preserve">, with </w:t>
      </w:r>
      <w:r w:rsidR="00317B78">
        <w:br/>
      </w:r>
      <w:r w:rsidR="00EA598B">
        <w:t>a particular focus on buy now, pay later (BNPL)</w:t>
      </w:r>
      <w:r w:rsidR="00C9197D">
        <w:t xml:space="preserve"> and the </w:t>
      </w:r>
      <w:r w:rsidR="009416FE">
        <w:t xml:space="preserve">appropriate </w:t>
      </w:r>
      <w:r w:rsidR="00093A12">
        <w:t>regulatory appr</w:t>
      </w:r>
      <w:r w:rsidR="009416FE">
        <w:t xml:space="preserve">oach </w:t>
      </w:r>
      <w:r w:rsidR="00C9197D">
        <w:t>to</w:t>
      </w:r>
      <w:r w:rsidR="009416FE">
        <w:t xml:space="preserve"> maintain the benefits of </w:t>
      </w:r>
      <w:r w:rsidR="00317B78">
        <w:t xml:space="preserve">accessing </w:t>
      </w:r>
      <w:r w:rsidR="009416FE">
        <w:t xml:space="preserve">credit while ensuring consumers are adequately protected. </w:t>
      </w:r>
    </w:p>
    <w:p w14:paraId="7241B45C" w14:textId="69D09891" w:rsidR="009416FE" w:rsidRDefault="009416FE" w:rsidP="00A95EA7">
      <w:pPr>
        <w:pStyle w:val="Bullet"/>
        <w:numPr>
          <w:ilvl w:val="0"/>
          <w:numId w:val="0"/>
        </w:numPr>
      </w:pPr>
      <w:r>
        <w:rPr>
          <w:i/>
        </w:rPr>
        <w:t xml:space="preserve">Credit provision and the role of </w:t>
      </w:r>
      <w:r w:rsidRPr="00D94A3C">
        <w:rPr>
          <w:i/>
        </w:rPr>
        <w:t>BNPL</w:t>
      </w:r>
    </w:p>
    <w:p w14:paraId="36B33082" w14:textId="14DD70C2" w:rsidR="00B32179" w:rsidRDefault="00B32179" w:rsidP="00B32179">
      <w:pPr>
        <w:pStyle w:val="Bullet"/>
      </w:pPr>
      <w:r w:rsidRPr="00AF2721">
        <w:t xml:space="preserve">Safe </w:t>
      </w:r>
      <w:r>
        <w:t xml:space="preserve">and well-regulated markets for consumer credit products are necessary for an efficient financial system. Credit products allow consumers to smooth the up-front cost of purchasing a good or service over a period of time for a fee or charge. </w:t>
      </w:r>
    </w:p>
    <w:p w14:paraId="7C0139C2" w14:textId="537171F0" w:rsidR="008E5023" w:rsidRPr="008E5023" w:rsidRDefault="00A1635E" w:rsidP="008E5023">
      <w:pPr>
        <w:pStyle w:val="Bullet"/>
      </w:pPr>
      <w:r>
        <w:t>N</w:t>
      </w:r>
      <w:r w:rsidR="008E5023">
        <w:t xml:space="preserve">ew credit products such as BNPL </w:t>
      </w:r>
      <w:r w:rsidR="00F36282">
        <w:t xml:space="preserve">can </w:t>
      </w:r>
      <w:r w:rsidR="008E5023">
        <w:t xml:space="preserve">offer </w:t>
      </w:r>
      <w:r w:rsidR="006A45AE">
        <w:t xml:space="preserve">consumers </w:t>
      </w:r>
      <w:r w:rsidR="008E5023">
        <w:t>a cheaper and easier-to-access form of credit</w:t>
      </w:r>
      <w:r w:rsidR="008E5023" w:rsidRPr="00F2526F">
        <w:t xml:space="preserve"> </w:t>
      </w:r>
      <w:r w:rsidR="00E63588">
        <w:t xml:space="preserve">when compared to </w:t>
      </w:r>
      <w:r w:rsidR="008E5023">
        <w:t xml:space="preserve">traditional forms of credit such as credit cards, payday loans and consumer leases. </w:t>
      </w:r>
      <w:r w:rsidR="008E5023" w:rsidRPr="008E5023">
        <w:t>BNPL has a range of benefits to both consumers and the economy, such as:</w:t>
      </w:r>
    </w:p>
    <w:p w14:paraId="5611B7CB" w14:textId="27382970" w:rsidR="008E5023" w:rsidRPr="008E5023" w:rsidRDefault="005C4BE1" w:rsidP="008E5023">
      <w:pPr>
        <w:pStyle w:val="Dash"/>
        <w:spacing w:line="276" w:lineRule="auto"/>
      </w:pPr>
      <w:r>
        <w:t>i</w:t>
      </w:r>
      <w:r w:rsidR="008E5023" w:rsidRPr="008E5023">
        <w:t>mproving financial inclusion by being cheaper and more convenient to consumers than many other competing products;</w:t>
      </w:r>
    </w:p>
    <w:p w14:paraId="00C4CB61" w14:textId="561E56BF" w:rsidR="008E5023" w:rsidRPr="008E5023" w:rsidRDefault="008E5023" w:rsidP="008E5023">
      <w:pPr>
        <w:pStyle w:val="Dash"/>
        <w:spacing w:line="276" w:lineRule="auto"/>
      </w:pPr>
      <w:r w:rsidRPr="008E5023">
        <w:t xml:space="preserve">increasing competitive pressure on traditional forms of credit; and </w:t>
      </w:r>
    </w:p>
    <w:p w14:paraId="18BAF98B" w14:textId="64F2CA08" w:rsidR="008E5023" w:rsidRDefault="008E5023" w:rsidP="008E5023">
      <w:pPr>
        <w:pStyle w:val="Dash"/>
        <w:spacing w:line="276" w:lineRule="auto"/>
      </w:pPr>
      <w:r w:rsidRPr="008E5023">
        <w:t>driving increased business for merchants because consumers can access additional credit to spend on goods and services.</w:t>
      </w:r>
    </w:p>
    <w:p w14:paraId="4A536DF7" w14:textId="77777777" w:rsidR="00294F3E" w:rsidRPr="00D94A3C" w:rsidRDefault="00294F3E" w:rsidP="00D94A3C">
      <w:pPr>
        <w:pStyle w:val="Bullet"/>
        <w:numPr>
          <w:ilvl w:val="0"/>
          <w:numId w:val="0"/>
        </w:numPr>
        <w:rPr>
          <w:i/>
        </w:rPr>
      </w:pPr>
      <w:r w:rsidRPr="00D94A3C">
        <w:rPr>
          <w:i/>
        </w:rPr>
        <w:t>The Regulation of BNPL in Australia</w:t>
      </w:r>
    </w:p>
    <w:p w14:paraId="4D772E68" w14:textId="4BDD5B25" w:rsidR="009D1C20" w:rsidRDefault="009D1C20" w:rsidP="00C60D38">
      <w:pPr>
        <w:pStyle w:val="Bullet"/>
      </w:pPr>
      <w:r>
        <w:t xml:space="preserve">BNPL is not regulated under the </w:t>
      </w:r>
      <w:r w:rsidRPr="00D94A3C">
        <w:rPr>
          <w:i/>
        </w:rPr>
        <w:t>National Consumer Credit Protection Act 2009</w:t>
      </w:r>
      <w:r>
        <w:t xml:space="preserve"> (the Credit Act), because it typically falls under the exemptions available to certain types of credit in </w:t>
      </w:r>
      <w:r w:rsidR="002104DF">
        <w:t xml:space="preserve">Schedule 1 of the </w:t>
      </w:r>
      <w:r>
        <w:t xml:space="preserve">Credit Act </w:t>
      </w:r>
      <w:r w:rsidR="002104DF">
        <w:t>(the</w:t>
      </w:r>
      <w:r>
        <w:t xml:space="preserve"> National Credit Code</w:t>
      </w:r>
      <w:r w:rsidR="002104DF">
        <w:t>)</w:t>
      </w:r>
      <w:r>
        <w:t xml:space="preserve">. </w:t>
      </w:r>
    </w:p>
    <w:p w14:paraId="703C1AFA" w14:textId="6850FB5E" w:rsidR="009D1C20" w:rsidRDefault="3DE16B3C" w:rsidP="00D94A3C">
      <w:pPr>
        <w:pStyle w:val="Dash"/>
        <w:spacing w:line="276" w:lineRule="auto"/>
      </w:pPr>
      <w:r>
        <w:t>BNPL</w:t>
      </w:r>
      <w:r w:rsidR="16B92DCA">
        <w:t xml:space="preserve"> product</w:t>
      </w:r>
      <w:r w:rsidR="5E2E0C44">
        <w:t xml:space="preserve">s that operate </w:t>
      </w:r>
      <w:r>
        <w:t>within these exemptions</w:t>
      </w:r>
      <w:r w:rsidR="03087A20">
        <w:t xml:space="preserve"> are not subject to </w:t>
      </w:r>
      <w:r w:rsidR="6391E1EA">
        <w:t xml:space="preserve">responsible lending standards or other </w:t>
      </w:r>
      <w:r w:rsidR="03087A20">
        <w:t xml:space="preserve">requirements of the </w:t>
      </w:r>
      <w:r>
        <w:t>Credit Act</w:t>
      </w:r>
      <w:r w:rsidR="03087A20">
        <w:t>,</w:t>
      </w:r>
      <w:r w:rsidR="7B985048">
        <w:t xml:space="preserve"> </w:t>
      </w:r>
      <w:r>
        <w:t>and BNPL providers do not need an Australian Credit Licen</w:t>
      </w:r>
      <w:r w:rsidR="240735C5">
        <w:t>s</w:t>
      </w:r>
      <w:r>
        <w:t>e</w:t>
      </w:r>
      <w:r w:rsidR="00913903">
        <w:t xml:space="preserve"> (ACL)</w:t>
      </w:r>
      <w:r>
        <w:t xml:space="preserve">. </w:t>
      </w:r>
    </w:p>
    <w:p w14:paraId="18D5FB0F" w14:textId="7D743589" w:rsidR="00870E42" w:rsidRDefault="00150D66" w:rsidP="00F203AF">
      <w:pPr>
        <w:pStyle w:val="Bullet"/>
      </w:pPr>
      <w:r>
        <w:t>Th</w:t>
      </w:r>
      <w:r w:rsidR="000F5822">
        <w:t xml:space="preserve">ough these </w:t>
      </w:r>
      <w:r w:rsidR="00192381">
        <w:t>exemptions</w:t>
      </w:r>
      <w:r w:rsidR="000F5822">
        <w:t xml:space="preserve"> have supported the growth of BNPL, </w:t>
      </w:r>
      <w:r w:rsidR="00064DD0">
        <w:t>the</w:t>
      </w:r>
      <w:r w:rsidR="001C55B1">
        <w:t>y</w:t>
      </w:r>
      <w:r w:rsidR="00064DD0">
        <w:t xml:space="preserve"> </w:t>
      </w:r>
      <w:r w:rsidR="000F5822">
        <w:t xml:space="preserve">were not </w:t>
      </w:r>
      <w:r w:rsidR="001C55B1">
        <w:t>designed</w:t>
      </w:r>
      <w:r w:rsidR="000F5822">
        <w:t xml:space="preserve"> with </w:t>
      </w:r>
      <w:r w:rsidR="001C55B1">
        <w:t>that outcome in mind.</w:t>
      </w:r>
      <w:r w:rsidR="000F5822">
        <w:t xml:space="preserve"> </w:t>
      </w:r>
      <w:r w:rsidR="00941626">
        <w:t xml:space="preserve">This </w:t>
      </w:r>
      <w:r w:rsidR="001C55B1">
        <w:t xml:space="preserve">unintended regulatory gap </w:t>
      </w:r>
      <w:r w:rsidR="00304B4D">
        <w:t>creat</w:t>
      </w:r>
      <w:r w:rsidR="00BA1BC4">
        <w:t>es</w:t>
      </w:r>
      <w:r w:rsidR="00304B4D">
        <w:t xml:space="preserve"> the potential </w:t>
      </w:r>
      <w:r w:rsidR="008A422F">
        <w:t xml:space="preserve">for </w:t>
      </w:r>
      <w:r w:rsidR="00333762">
        <w:t>consumer harm</w:t>
      </w:r>
      <w:r w:rsidR="008A422F">
        <w:t xml:space="preserve"> due to the absence of key protect</w:t>
      </w:r>
      <w:r w:rsidR="0064079B">
        <w:t>i</w:t>
      </w:r>
      <w:r w:rsidR="008A422F">
        <w:t>ons</w:t>
      </w:r>
      <w:r w:rsidR="008563EB">
        <w:t>.</w:t>
      </w:r>
    </w:p>
    <w:p w14:paraId="46485535" w14:textId="365A8022" w:rsidR="00A64515" w:rsidRDefault="009E13B2" w:rsidP="00A64515">
      <w:pPr>
        <w:pStyle w:val="Bullet"/>
      </w:pPr>
      <w:r>
        <w:t xml:space="preserve">Australia is not alone in </w:t>
      </w:r>
      <w:r w:rsidR="008A17EF">
        <w:t>addressing the regulatory environment for</w:t>
      </w:r>
      <w:r>
        <w:t xml:space="preserve"> BNPL.</w:t>
      </w:r>
      <w:r w:rsidR="0057480E">
        <w:t xml:space="preserve"> T</w:t>
      </w:r>
      <w:r>
        <w:t xml:space="preserve">he </w:t>
      </w:r>
      <w:r w:rsidR="00461984">
        <w:t xml:space="preserve">United Kingdom </w:t>
      </w:r>
      <w:r>
        <w:t xml:space="preserve">and New Zealand governments </w:t>
      </w:r>
      <w:r w:rsidR="00ED37A9">
        <w:t>are</w:t>
      </w:r>
      <w:r>
        <w:t xml:space="preserve"> </w:t>
      </w:r>
      <w:r w:rsidR="0057480E">
        <w:t xml:space="preserve">both </w:t>
      </w:r>
      <w:r w:rsidR="00ED37A9">
        <w:t>considering</w:t>
      </w:r>
      <w:r w:rsidR="0057480E">
        <w:t xml:space="preserve"> their </w:t>
      </w:r>
      <w:r w:rsidR="00BC214B">
        <w:t>regulatory frameworks in the context of</w:t>
      </w:r>
      <w:r w:rsidR="00492C63">
        <w:t xml:space="preserve"> the </w:t>
      </w:r>
      <w:r w:rsidR="003A6572">
        <w:t>growing</w:t>
      </w:r>
      <w:r w:rsidR="00BC214B">
        <w:t xml:space="preserve"> BNPL</w:t>
      </w:r>
      <w:r w:rsidR="003A6572">
        <w:t xml:space="preserve"> sector. </w:t>
      </w:r>
    </w:p>
    <w:p w14:paraId="5DDFB479" w14:textId="78CDCF5D" w:rsidR="0027411E" w:rsidRPr="00D94A3C" w:rsidRDefault="00C45A1B" w:rsidP="00A64515">
      <w:pPr>
        <w:pStyle w:val="Bullet"/>
        <w:numPr>
          <w:ilvl w:val="0"/>
          <w:numId w:val="0"/>
        </w:numPr>
        <w:rPr>
          <w:i/>
        </w:rPr>
      </w:pPr>
      <w:r>
        <w:rPr>
          <w:i/>
          <w:iCs/>
        </w:rPr>
        <w:t>Regulatory i</w:t>
      </w:r>
      <w:r w:rsidR="0027411E">
        <w:rPr>
          <w:i/>
          <w:iCs/>
        </w:rPr>
        <w:t>ssue</w:t>
      </w:r>
      <w:r>
        <w:rPr>
          <w:i/>
          <w:iCs/>
        </w:rPr>
        <w:t>s</w:t>
      </w:r>
      <w:r w:rsidR="0027411E">
        <w:rPr>
          <w:i/>
          <w:iCs/>
        </w:rPr>
        <w:t xml:space="preserve"> in the BNPL </w:t>
      </w:r>
      <w:r>
        <w:rPr>
          <w:i/>
          <w:iCs/>
        </w:rPr>
        <w:t>sector</w:t>
      </w:r>
    </w:p>
    <w:p w14:paraId="49791ACE" w14:textId="04C5870C" w:rsidR="008C6D18" w:rsidRDefault="008C6D18" w:rsidP="00E1503D">
      <w:pPr>
        <w:pStyle w:val="Bullet"/>
      </w:pPr>
      <w:r>
        <w:t xml:space="preserve">Treasury has </w:t>
      </w:r>
      <w:r w:rsidR="003C481F">
        <w:t xml:space="preserve">recently </w:t>
      </w:r>
      <w:r>
        <w:t>undertak</w:t>
      </w:r>
      <w:r w:rsidR="003C481F">
        <w:t>en</w:t>
      </w:r>
      <w:r>
        <w:t xml:space="preserve"> targeted consultations with a range of consumer groups, BNPL </w:t>
      </w:r>
      <w:r w:rsidR="002104DF">
        <w:t>providers</w:t>
      </w:r>
      <w:r w:rsidR="002104DF">
        <w:rPr>
          <w:rStyle w:val="CommentReference"/>
        </w:rPr>
        <w:t xml:space="preserve">, </w:t>
      </w:r>
      <w:r>
        <w:t xml:space="preserve">retailers, financial services peak bodies and regulators to identify the impacts of BNPL to inform the development of regulatory options for public consideration. </w:t>
      </w:r>
    </w:p>
    <w:p w14:paraId="1A1DA118" w14:textId="342B84FD" w:rsidR="00FF579D" w:rsidRDefault="00C4599D" w:rsidP="003F4CE2">
      <w:pPr>
        <w:pStyle w:val="Bullet"/>
      </w:pPr>
      <w:r>
        <w:lastRenderedPageBreak/>
        <w:t>These discussions have identified the</w:t>
      </w:r>
      <w:r w:rsidR="006D5C16">
        <w:t xml:space="preserve"> </w:t>
      </w:r>
      <w:r w:rsidR="009F3752">
        <w:t xml:space="preserve">relatively </w:t>
      </w:r>
      <w:r w:rsidR="006D5C16">
        <w:t>looser regulatory environment combined with the rapid growth of</w:t>
      </w:r>
      <w:r w:rsidR="000364F2">
        <w:t xml:space="preserve"> the</w:t>
      </w:r>
      <w:r w:rsidR="00691DD9">
        <w:t xml:space="preserve"> BNPL</w:t>
      </w:r>
      <w:r w:rsidR="006D5C16">
        <w:t xml:space="preserve"> industry</w:t>
      </w:r>
      <w:r w:rsidR="00691DD9">
        <w:t xml:space="preserve"> </w:t>
      </w:r>
      <w:r w:rsidR="006D5C16">
        <w:t>may be contributing to poor consumer outcomes</w:t>
      </w:r>
      <w:r w:rsidR="00FF579D">
        <w:t xml:space="preserve">. </w:t>
      </w:r>
      <w:r w:rsidR="005C2754">
        <w:br/>
      </w:r>
      <w:r w:rsidR="00C45A1B">
        <w:t xml:space="preserve">Some of the regulatory issues </w:t>
      </w:r>
      <w:r w:rsidR="0080714E">
        <w:t xml:space="preserve">stakeholders </w:t>
      </w:r>
      <w:r w:rsidR="00E105AA">
        <w:t xml:space="preserve">raised with </w:t>
      </w:r>
      <w:r w:rsidR="00C45A1B">
        <w:t xml:space="preserve">Treasury include: </w:t>
      </w:r>
    </w:p>
    <w:p w14:paraId="1B095162" w14:textId="5FAE732F" w:rsidR="00554343" w:rsidRPr="00D94A3C" w:rsidRDefault="00B03046" w:rsidP="00B03046">
      <w:pPr>
        <w:pStyle w:val="Dash"/>
      </w:pPr>
      <w:r w:rsidRPr="00457771">
        <w:rPr>
          <w:b/>
          <w:bCs/>
        </w:rPr>
        <w:t>Unaffordable or inappropriate lending practices</w:t>
      </w:r>
      <w:r w:rsidRPr="00C5153E">
        <w:t xml:space="preserve"> </w:t>
      </w:r>
      <w:r w:rsidRPr="00D94A3C">
        <w:t xml:space="preserve">are contributing to </w:t>
      </w:r>
      <w:r w:rsidR="00F03F37" w:rsidRPr="00D94A3C">
        <w:t xml:space="preserve">financial stress and hardship, and other types of consumer harm. </w:t>
      </w:r>
    </w:p>
    <w:p w14:paraId="5CFEA184" w14:textId="6D1EA275" w:rsidR="00B03046" w:rsidRPr="00D94A3C" w:rsidRDefault="00554343" w:rsidP="00B03046">
      <w:pPr>
        <w:pStyle w:val="Dash"/>
      </w:pPr>
      <w:r w:rsidRPr="00457771">
        <w:rPr>
          <w:b/>
          <w:bCs/>
        </w:rPr>
        <w:t>Poor complaints handling processes</w:t>
      </w:r>
      <w:r w:rsidRPr="00D94A3C">
        <w:t xml:space="preserve"> and the lack of hardship assistance</w:t>
      </w:r>
      <w:r w:rsidR="00404110" w:rsidRPr="00D94A3C">
        <w:t xml:space="preserve"> for consumers</w:t>
      </w:r>
      <w:r w:rsidR="008F59C8">
        <w:t xml:space="preserve"> </w:t>
      </w:r>
      <w:r w:rsidR="00FB297E">
        <w:t xml:space="preserve">leads </w:t>
      </w:r>
      <w:r w:rsidR="00F92CD3">
        <w:t>to delayed or unsatisfactory remediation</w:t>
      </w:r>
      <w:r w:rsidR="004C6512">
        <w:t>.</w:t>
      </w:r>
    </w:p>
    <w:p w14:paraId="431ED7B2" w14:textId="4A66F352" w:rsidR="00404110" w:rsidRDefault="007B480D" w:rsidP="00B03046">
      <w:pPr>
        <w:pStyle w:val="Dash"/>
      </w:pPr>
      <w:r w:rsidRPr="00D94A3C">
        <w:rPr>
          <w:b/>
        </w:rPr>
        <w:t xml:space="preserve">Excessive </w:t>
      </w:r>
      <w:r w:rsidR="00A97271" w:rsidRPr="00D94A3C">
        <w:rPr>
          <w:b/>
        </w:rPr>
        <w:t xml:space="preserve">or disproportionate </w:t>
      </w:r>
      <w:r w:rsidRPr="00D94A3C">
        <w:rPr>
          <w:b/>
        </w:rPr>
        <w:t>consumer fees and charges</w:t>
      </w:r>
      <w:r>
        <w:t xml:space="preserve"> including default fees</w:t>
      </w:r>
      <w:r w:rsidR="00EA002A">
        <w:t xml:space="preserve"> relative to the </w:t>
      </w:r>
      <w:r w:rsidR="004C6512">
        <w:t>size of the consumer’s debt</w:t>
      </w:r>
      <w:r w:rsidR="00991965">
        <w:t xml:space="preserve">. </w:t>
      </w:r>
    </w:p>
    <w:p w14:paraId="1630FD11" w14:textId="340AAAAA" w:rsidR="00991965" w:rsidRDefault="00557B1A" w:rsidP="00B03046">
      <w:pPr>
        <w:pStyle w:val="Dash"/>
      </w:pPr>
      <w:r>
        <w:rPr>
          <w:b/>
        </w:rPr>
        <w:t>N</w:t>
      </w:r>
      <w:r w:rsidR="00D52922" w:rsidRPr="00D94A3C">
        <w:rPr>
          <w:b/>
        </w:rPr>
        <w:t>on-participation in Australia’s credit reporting framework</w:t>
      </w:r>
      <w:r w:rsidR="00DE60D0">
        <w:t xml:space="preserve"> </w:t>
      </w:r>
      <w:r w:rsidR="008E1589">
        <w:t xml:space="preserve">means </w:t>
      </w:r>
      <w:r w:rsidR="00253F28">
        <w:t xml:space="preserve">some </w:t>
      </w:r>
      <w:r w:rsidR="00B93159">
        <w:t xml:space="preserve">BNPL credit information is not available </w:t>
      </w:r>
      <w:r w:rsidR="00B819C6">
        <w:t>for use</w:t>
      </w:r>
      <w:r w:rsidR="004C4E82">
        <w:t xml:space="preserve"> in credit checks</w:t>
      </w:r>
      <w:r w:rsidR="00662D4E">
        <w:t xml:space="preserve"> by other lenders. </w:t>
      </w:r>
    </w:p>
    <w:p w14:paraId="7AD5217E" w14:textId="6FC6C406" w:rsidR="003A3595" w:rsidRDefault="003A3595" w:rsidP="00B03046">
      <w:pPr>
        <w:pStyle w:val="Dash"/>
      </w:pPr>
      <w:r w:rsidRPr="00D94A3C">
        <w:rPr>
          <w:b/>
        </w:rPr>
        <w:t xml:space="preserve">Poor </w:t>
      </w:r>
      <w:r w:rsidR="00E77144" w:rsidRPr="00D94A3C">
        <w:rPr>
          <w:b/>
        </w:rPr>
        <w:t xml:space="preserve">product disclosure </w:t>
      </w:r>
      <w:r w:rsidR="008125FF" w:rsidRPr="00D94A3C">
        <w:rPr>
          <w:b/>
        </w:rPr>
        <w:t>practices</w:t>
      </w:r>
      <w:r w:rsidR="008125FF">
        <w:t xml:space="preserve"> and a lack of </w:t>
      </w:r>
      <w:r w:rsidR="00E77144">
        <w:t>warnin</w:t>
      </w:r>
      <w:r w:rsidR="00677E47">
        <w:t xml:space="preserve">g </w:t>
      </w:r>
      <w:r w:rsidR="00EB4101">
        <w:t xml:space="preserve">requirements </w:t>
      </w:r>
      <w:r w:rsidR="006F3CB9">
        <w:t>mean</w:t>
      </w:r>
      <w:r w:rsidR="00A33781">
        <w:t>s</w:t>
      </w:r>
      <w:r w:rsidR="00EE5261">
        <w:t xml:space="preserve"> consumers do not have sufficient information to make informed choices about BNPL products. </w:t>
      </w:r>
    </w:p>
    <w:p w14:paraId="0D741724" w14:textId="5640126F" w:rsidR="00EE5261" w:rsidRPr="00D94A3C" w:rsidRDefault="00DA479B" w:rsidP="00B03046">
      <w:pPr>
        <w:pStyle w:val="Dash"/>
      </w:pPr>
      <w:r w:rsidRPr="00D94A3C">
        <w:rPr>
          <w:b/>
        </w:rPr>
        <w:t>Unsolicited selling</w:t>
      </w:r>
      <w:r>
        <w:t xml:space="preserve"> and advertising practices targeting consumers</w:t>
      </w:r>
      <w:r w:rsidR="00392518">
        <w:t xml:space="preserve"> at the </w:t>
      </w:r>
      <w:r w:rsidR="004C6512">
        <w:t>shop checkout</w:t>
      </w:r>
      <w:r w:rsidR="00392518">
        <w:t xml:space="preserve"> or </w:t>
      </w:r>
      <w:r w:rsidR="008618A8">
        <w:t xml:space="preserve">encouraging the use of BNPL for essentials such as groceries or utilities. </w:t>
      </w:r>
    </w:p>
    <w:p w14:paraId="32BD8F48" w14:textId="48CF2EF0" w:rsidR="006141ED" w:rsidRDefault="00866158" w:rsidP="00B03046">
      <w:pPr>
        <w:pStyle w:val="Dash"/>
      </w:pPr>
      <w:r w:rsidRPr="00D94A3C">
        <w:rPr>
          <w:b/>
        </w:rPr>
        <w:t xml:space="preserve">Frictionless </w:t>
      </w:r>
      <w:r w:rsidR="002104DF">
        <w:rPr>
          <w:b/>
        </w:rPr>
        <w:t>sign-up to</w:t>
      </w:r>
      <w:r w:rsidR="002104DF">
        <w:rPr>
          <w:rStyle w:val="CommentReference"/>
        </w:rPr>
        <w:t xml:space="preserve"> </w:t>
      </w:r>
      <w:r w:rsidR="003E45E1" w:rsidRPr="00D94A3C">
        <w:rPr>
          <w:b/>
        </w:rPr>
        <w:t xml:space="preserve">BNPL </w:t>
      </w:r>
      <w:r w:rsidR="006750E4" w:rsidRPr="00D94A3C">
        <w:rPr>
          <w:b/>
        </w:rPr>
        <w:t>products</w:t>
      </w:r>
      <w:r w:rsidR="006750E4">
        <w:t xml:space="preserve"> </w:t>
      </w:r>
      <w:r w:rsidR="00ED6302">
        <w:t xml:space="preserve">enhances </w:t>
      </w:r>
      <w:r w:rsidR="008F6790">
        <w:t xml:space="preserve">other </w:t>
      </w:r>
      <w:r w:rsidR="00F250E9">
        <w:t xml:space="preserve">consumer harms, such as </w:t>
      </w:r>
      <w:r w:rsidR="006750E4">
        <w:t>scamming</w:t>
      </w:r>
      <w:r w:rsidR="008F6790">
        <w:t xml:space="preserve">, </w:t>
      </w:r>
      <w:r w:rsidR="00BB3D2E">
        <w:t>overselling,</w:t>
      </w:r>
      <w:r w:rsidR="008F6790">
        <w:t xml:space="preserve"> and financial </w:t>
      </w:r>
      <w:r w:rsidR="00F250E9">
        <w:t xml:space="preserve">abuse. </w:t>
      </w:r>
    </w:p>
    <w:p w14:paraId="578A37BC" w14:textId="1EA4BB91" w:rsidR="00BE26BE" w:rsidRDefault="00C406DF" w:rsidP="00D94A3C">
      <w:pPr>
        <w:pStyle w:val="Dash"/>
      </w:pPr>
      <w:r w:rsidRPr="00D94A3C">
        <w:rPr>
          <w:b/>
        </w:rPr>
        <w:t>Inadequate reverse charging provisions</w:t>
      </w:r>
      <w:r>
        <w:t xml:space="preserve"> </w:t>
      </w:r>
      <w:r w:rsidR="003841FC">
        <w:t xml:space="preserve">when </w:t>
      </w:r>
      <w:r>
        <w:t>a good purchased with a BNPL product is returned to the merchant</w:t>
      </w:r>
      <w:r w:rsidR="00585BFA">
        <w:t xml:space="preserve">. </w:t>
      </w:r>
    </w:p>
    <w:p w14:paraId="6BD6DE28" w14:textId="698F3D21" w:rsidR="00DC2359" w:rsidRPr="00D94A3C" w:rsidRDefault="00DC2359" w:rsidP="00013E6B">
      <w:pPr>
        <w:spacing w:line="276" w:lineRule="auto"/>
        <w:rPr>
          <w:i/>
        </w:rPr>
      </w:pPr>
      <w:r>
        <w:rPr>
          <w:i/>
          <w:iCs/>
        </w:rPr>
        <w:t>Options for regulatory intervention</w:t>
      </w:r>
    </w:p>
    <w:p w14:paraId="19A4949B" w14:textId="1CFDA6D9" w:rsidR="0039462D" w:rsidRPr="00687E19" w:rsidRDefault="00793763" w:rsidP="00D94A3C">
      <w:pPr>
        <w:pStyle w:val="Bullet"/>
      </w:pPr>
      <w:r w:rsidRPr="00687E19">
        <w:t>Informed by the regulatory issue</w:t>
      </w:r>
      <w:r w:rsidR="00751C03" w:rsidRPr="00687E19">
        <w:t>s</w:t>
      </w:r>
      <w:r w:rsidRPr="00687E19">
        <w:t xml:space="preserve"> identified by stakeholders</w:t>
      </w:r>
      <w:r w:rsidR="0039462D" w:rsidRPr="00687E19">
        <w:t>, this</w:t>
      </w:r>
      <w:r w:rsidR="00D760B1" w:rsidRPr="00687E19">
        <w:t xml:space="preserve"> paper </w:t>
      </w:r>
      <w:r w:rsidR="0039462D" w:rsidRPr="00687E19">
        <w:t xml:space="preserve">puts forward </w:t>
      </w:r>
      <w:r w:rsidR="00C52C04" w:rsidRPr="00687E19">
        <w:t xml:space="preserve">for public consideration </w:t>
      </w:r>
      <w:r w:rsidR="0039462D" w:rsidRPr="00687E19">
        <w:t xml:space="preserve">three </w:t>
      </w:r>
      <w:r w:rsidR="00751C03" w:rsidRPr="00687E19">
        <w:t xml:space="preserve">broad </w:t>
      </w:r>
      <w:r w:rsidR="0039462D" w:rsidRPr="00687E19">
        <w:t xml:space="preserve">options </w:t>
      </w:r>
      <w:r w:rsidR="00751C03" w:rsidRPr="00687E19">
        <w:t xml:space="preserve">of varying levels of regulatory intervention: </w:t>
      </w:r>
    </w:p>
    <w:p w14:paraId="035A45FE" w14:textId="18FDB309" w:rsidR="001047BD" w:rsidRPr="00EE1BFE" w:rsidRDefault="001047BD" w:rsidP="00D94A3C">
      <w:pPr>
        <w:pStyle w:val="Dash"/>
      </w:pPr>
      <w:r w:rsidRPr="00D94A3C">
        <w:rPr>
          <w:b/>
          <w:bCs/>
        </w:rPr>
        <w:t xml:space="preserve">Option 1: </w:t>
      </w:r>
      <w:r w:rsidR="00F43B9E">
        <w:rPr>
          <w:b/>
          <w:bCs/>
        </w:rPr>
        <w:t>Strengthening the</w:t>
      </w:r>
      <w:r w:rsidR="00795CB9" w:rsidRPr="00D94A3C">
        <w:rPr>
          <w:b/>
          <w:bCs/>
        </w:rPr>
        <w:t xml:space="preserve"> </w:t>
      </w:r>
      <w:r w:rsidRPr="00D94A3C">
        <w:rPr>
          <w:b/>
          <w:bCs/>
        </w:rPr>
        <w:t xml:space="preserve">BNPL </w:t>
      </w:r>
      <w:r w:rsidR="00F43B9E">
        <w:rPr>
          <w:b/>
          <w:bCs/>
        </w:rPr>
        <w:t>I</w:t>
      </w:r>
      <w:r w:rsidRPr="00D94A3C">
        <w:rPr>
          <w:b/>
          <w:bCs/>
        </w:rPr>
        <w:t xml:space="preserve">ndustry Code </w:t>
      </w:r>
      <w:r w:rsidR="00F43B9E">
        <w:rPr>
          <w:b/>
          <w:bCs/>
        </w:rPr>
        <w:t>plus an affordability test</w:t>
      </w:r>
      <w:r w:rsidR="008405F2" w:rsidRPr="00D94A3C">
        <w:rPr>
          <w:b/>
          <w:bCs/>
        </w:rPr>
        <w:t>.</w:t>
      </w:r>
      <w:r w:rsidR="008405F2">
        <w:t xml:space="preserve"> </w:t>
      </w:r>
      <w:r w:rsidR="00460F18">
        <w:t xml:space="preserve">This option </w:t>
      </w:r>
      <w:r w:rsidR="00C46573">
        <w:t>will impose a bespoke affordability assessment for BNPL providers under the Credit Act and address any other regulatory gaps in</w:t>
      </w:r>
      <w:r w:rsidR="004D3F88">
        <w:t xml:space="preserve"> a strengthened Industry</w:t>
      </w:r>
      <w:r w:rsidR="00C46573">
        <w:t xml:space="preserve"> Code to make it fit-for-purpose.</w:t>
      </w:r>
    </w:p>
    <w:p w14:paraId="47E846AE" w14:textId="7637C688" w:rsidR="001047BD" w:rsidRPr="00EE1BFE" w:rsidRDefault="001047BD" w:rsidP="00D94A3C">
      <w:pPr>
        <w:pStyle w:val="Dash"/>
      </w:pPr>
      <w:r w:rsidRPr="00D94A3C">
        <w:rPr>
          <w:b/>
        </w:rPr>
        <w:t xml:space="preserve">Option 2: </w:t>
      </w:r>
      <w:r w:rsidR="005071FA" w:rsidRPr="00D94A3C">
        <w:rPr>
          <w:b/>
        </w:rPr>
        <w:t xml:space="preserve">Limited </w:t>
      </w:r>
      <w:r w:rsidR="004A3D19">
        <w:rPr>
          <w:b/>
          <w:bCs/>
        </w:rPr>
        <w:t xml:space="preserve">BNPL </w:t>
      </w:r>
      <w:r w:rsidR="00F91503" w:rsidRPr="00D94A3C">
        <w:rPr>
          <w:b/>
        </w:rPr>
        <w:t>r</w:t>
      </w:r>
      <w:r w:rsidR="00CF2079" w:rsidRPr="00D94A3C">
        <w:rPr>
          <w:b/>
        </w:rPr>
        <w:t>egulati</w:t>
      </w:r>
      <w:r w:rsidR="00F91503" w:rsidRPr="00D94A3C">
        <w:rPr>
          <w:b/>
        </w:rPr>
        <w:t>on</w:t>
      </w:r>
      <w:r w:rsidRPr="00D94A3C">
        <w:rPr>
          <w:b/>
        </w:rPr>
        <w:t xml:space="preserve"> under the Credit Act</w:t>
      </w:r>
      <w:r w:rsidR="006E67C4" w:rsidRPr="00D94A3C">
        <w:rPr>
          <w:b/>
        </w:rPr>
        <w:t>.</w:t>
      </w:r>
      <w:r w:rsidR="006E67C4">
        <w:t xml:space="preserve"> This approach would </w:t>
      </w:r>
      <w:r w:rsidR="00013647">
        <w:t xml:space="preserve">require BNPL providers to </w:t>
      </w:r>
      <w:r w:rsidR="00DB1D5C">
        <w:t>obtain and maintain an ACL</w:t>
      </w:r>
      <w:r w:rsidR="00B32395">
        <w:t xml:space="preserve">, plus </w:t>
      </w:r>
      <w:r w:rsidR="00AD6AD4">
        <w:t xml:space="preserve">introduce </w:t>
      </w:r>
      <w:r w:rsidR="00C46573">
        <w:t>modified</w:t>
      </w:r>
      <w:r w:rsidRPr="00573126">
        <w:t xml:space="preserve"> </w:t>
      </w:r>
      <w:r w:rsidR="00F050F6">
        <w:t>R</w:t>
      </w:r>
      <w:r w:rsidR="00417FED">
        <w:t xml:space="preserve">esponsible </w:t>
      </w:r>
      <w:r w:rsidR="00F050F6">
        <w:t>L</w:t>
      </w:r>
      <w:r w:rsidR="00417FED">
        <w:t xml:space="preserve">ending </w:t>
      </w:r>
      <w:r w:rsidR="00F050F6">
        <w:t>O</w:t>
      </w:r>
      <w:r w:rsidR="00417FED">
        <w:t xml:space="preserve">bligations </w:t>
      </w:r>
      <w:r w:rsidR="00F050F6">
        <w:t xml:space="preserve">(RLOs) </w:t>
      </w:r>
      <w:r w:rsidR="0054712D">
        <w:t>under the Credit Act</w:t>
      </w:r>
      <w:r w:rsidR="00772A81">
        <w:t xml:space="preserve"> to determine unsuitability</w:t>
      </w:r>
      <w:r w:rsidR="00AF5AB2">
        <w:t>, combined with a strengthened Industry Code.</w:t>
      </w:r>
    </w:p>
    <w:p w14:paraId="11D8DE64" w14:textId="74D7A0AE" w:rsidR="001047BD" w:rsidRPr="00EE1BFE" w:rsidRDefault="001047BD" w:rsidP="00D94A3C">
      <w:pPr>
        <w:pStyle w:val="Dash"/>
      </w:pPr>
      <w:r w:rsidRPr="00D94A3C">
        <w:rPr>
          <w:b/>
        </w:rPr>
        <w:t xml:space="preserve">Option 3: </w:t>
      </w:r>
      <w:r w:rsidRPr="00D94A3C">
        <w:rPr>
          <w:b/>
          <w:bCs/>
        </w:rPr>
        <w:t>Regulation</w:t>
      </w:r>
      <w:r w:rsidRPr="00D94A3C">
        <w:rPr>
          <w:b/>
        </w:rPr>
        <w:t xml:space="preserve"> of BNPL under the Credit Act</w:t>
      </w:r>
      <w:r w:rsidR="000E0EC1" w:rsidRPr="00D94A3C">
        <w:rPr>
          <w:b/>
        </w:rPr>
        <w:t xml:space="preserve">, with full </w:t>
      </w:r>
      <w:r w:rsidR="00C54F58">
        <w:rPr>
          <w:b/>
        </w:rPr>
        <w:t>RLOs</w:t>
      </w:r>
      <w:r w:rsidR="000E0EC1" w:rsidRPr="00EE1BFE">
        <w:t xml:space="preserve">. </w:t>
      </w:r>
      <w:r w:rsidR="000E07A5">
        <w:t>Under this option</w:t>
      </w:r>
      <w:r w:rsidR="004D3F88">
        <w:t>,</w:t>
      </w:r>
      <w:r w:rsidR="000E07A5">
        <w:t xml:space="preserve"> </w:t>
      </w:r>
      <w:r w:rsidR="004D3F88">
        <w:t xml:space="preserve">BNPL providers would </w:t>
      </w:r>
      <w:r w:rsidR="00C54F58">
        <w:t>need</w:t>
      </w:r>
      <w:r w:rsidR="004D3F88">
        <w:t xml:space="preserve"> to</w:t>
      </w:r>
      <w:r w:rsidR="00E165CB">
        <w:t xml:space="preserve"> obtain and maintain a</w:t>
      </w:r>
      <w:r w:rsidR="00913903">
        <w:t>n ACL</w:t>
      </w:r>
      <w:r w:rsidR="00853872">
        <w:t>. T</w:t>
      </w:r>
      <w:r w:rsidR="00560048">
        <w:t xml:space="preserve">he existing </w:t>
      </w:r>
      <w:r w:rsidR="00F050F6">
        <w:t>RLOs</w:t>
      </w:r>
      <w:r w:rsidR="00560048">
        <w:t xml:space="preserve"> </w:t>
      </w:r>
      <w:r w:rsidR="00720C06">
        <w:t>in the Credit Act</w:t>
      </w:r>
      <w:r w:rsidR="004626B9">
        <w:t xml:space="preserve"> will be applied to all BNPL credit</w:t>
      </w:r>
      <w:r w:rsidR="00470B3F">
        <w:t xml:space="preserve">, including </w:t>
      </w:r>
      <w:r w:rsidR="00D45C9E">
        <w:t xml:space="preserve">requirements around </w:t>
      </w:r>
      <w:r w:rsidR="00B36E63">
        <w:t xml:space="preserve">reasonable inquiries </w:t>
      </w:r>
      <w:r w:rsidR="004F7D77">
        <w:t xml:space="preserve">into </w:t>
      </w:r>
      <w:r w:rsidR="00291BC0">
        <w:t>a consumer’s financial situation</w:t>
      </w:r>
      <w:r w:rsidR="00606E55">
        <w:t xml:space="preserve"> and taking reasonable steps to verify this information</w:t>
      </w:r>
      <w:r w:rsidR="00720C06">
        <w:t xml:space="preserve">. </w:t>
      </w:r>
    </w:p>
    <w:p w14:paraId="74141568" w14:textId="5DA6A84D" w:rsidR="00AA23C3" w:rsidRDefault="007E08E9" w:rsidP="004F5CA4">
      <w:pPr>
        <w:rPr>
          <w:i/>
          <w:iCs/>
        </w:rPr>
      </w:pPr>
      <w:r>
        <w:rPr>
          <w:i/>
          <w:iCs/>
        </w:rPr>
        <w:t>Next steps</w:t>
      </w:r>
    </w:p>
    <w:p w14:paraId="14F1BB53" w14:textId="20CAA08D" w:rsidR="000521E7" w:rsidRPr="003937ED" w:rsidRDefault="006744C3" w:rsidP="005C4BE1">
      <w:pPr>
        <w:pStyle w:val="Bullet"/>
      </w:pPr>
      <w:r w:rsidRPr="000521E7">
        <w:t xml:space="preserve">Submissions </w:t>
      </w:r>
      <w:r w:rsidR="00E8795F">
        <w:t>received during</w:t>
      </w:r>
      <w:r w:rsidR="00E8795F" w:rsidRPr="000521E7">
        <w:t xml:space="preserve"> </w:t>
      </w:r>
      <w:r w:rsidRPr="000521E7">
        <w:t xml:space="preserve">this consultation process will inform a </w:t>
      </w:r>
      <w:r w:rsidR="00EA371D" w:rsidRPr="000521E7">
        <w:t xml:space="preserve">future </w:t>
      </w:r>
      <w:r w:rsidRPr="000521E7">
        <w:t xml:space="preserve">government decision </w:t>
      </w:r>
      <w:r w:rsidR="00EA371D" w:rsidRPr="000521E7">
        <w:t xml:space="preserve">on the regulatory framework for BNPL in Australia. Treasury anticipates </w:t>
      </w:r>
      <w:r w:rsidR="00DE599E" w:rsidRPr="000521E7">
        <w:t xml:space="preserve">undertaking </w:t>
      </w:r>
      <w:r w:rsidR="009466D9" w:rsidRPr="000521E7">
        <w:t xml:space="preserve">further targeted consultations </w:t>
      </w:r>
      <w:r w:rsidR="000D69DB" w:rsidRPr="000521E7">
        <w:t xml:space="preserve">with </w:t>
      </w:r>
      <w:r w:rsidR="00DE599E" w:rsidRPr="000521E7">
        <w:t xml:space="preserve">stakeholders to refine </w:t>
      </w:r>
      <w:r w:rsidR="007C7668" w:rsidRPr="000521E7">
        <w:t>these options</w:t>
      </w:r>
      <w:r w:rsidR="00043C1B" w:rsidRPr="000521E7">
        <w:t xml:space="preserve"> ahead of any government decision</w:t>
      </w:r>
      <w:r w:rsidR="00E531F6">
        <w:t xml:space="preserve">. </w:t>
      </w:r>
    </w:p>
    <w:p w14:paraId="570B0E43" w14:textId="7F0F9C72" w:rsidR="000E0B74" w:rsidRDefault="00C4526C" w:rsidP="00354FBB">
      <w:pPr>
        <w:pStyle w:val="Heading1"/>
      </w:pPr>
      <w:bookmarkStart w:id="5" w:name="_Toc119916344"/>
      <w:r>
        <w:lastRenderedPageBreak/>
        <w:t xml:space="preserve">The regulation of </w:t>
      </w:r>
      <w:r w:rsidR="009B2EB6">
        <w:t xml:space="preserve">BNPL </w:t>
      </w:r>
      <w:r w:rsidR="00061135">
        <w:t>in Australia</w:t>
      </w:r>
      <w:bookmarkEnd w:id="5"/>
    </w:p>
    <w:p w14:paraId="69C26957" w14:textId="42402A33" w:rsidR="00A43A7E" w:rsidRPr="00D94A3C" w:rsidRDefault="00A43A7E" w:rsidP="002E44F5">
      <w:pPr>
        <w:spacing w:line="276" w:lineRule="auto"/>
      </w:pPr>
      <w:bookmarkStart w:id="6" w:name="_Toc306887371"/>
      <w:bookmarkStart w:id="7" w:name="_Toc432064635"/>
      <w:r w:rsidRPr="00D94A3C">
        <w:t>Historically,</w:t>
      </w:r>
      <w:r w:rsidRPr="00D94A3C" w:rsidDel="00A61CD8">
        <w:t xml:space="preserve"> </w:t>
      </w:r>
      <w:r w:rsidRPr="00D94A3C">
        <w:t xml:space="preserve">credit regulation </w:t>
      </w:r>
      <w:r w:rsidR="00A61CD8" w:rsidRPr="00D94A3C">
        <w:t xml:space="preserve">in Australia </w:t>
      </w:r>
      <w:r w:rsidRPr="00D94A3C">
        <w:t xml:space="preserve">focused on protecting consumers from deceptive </w:t>
      </w:r>
      <w:r w:rsidR="00354FC2">
        <w:t xml:space="preserve">or </w:t>
      </w:r>
      <w:r w:rsidRPr="00D94A3C">
        <w:t>predatory lending practices and being charged excessively high fees</w:t>
      </w:r>
      <w:r w:rsidR="009A54FA">
        <w:t xml:space="preserve">. </w:t>
      </w:r>
      <w:r w:rsidR="00D9135F">
        <w:t>It</w:t>
      </w:r>
      <w:r w:rsidRPr="00D94A3C">
        <w:t xml:space="preserve"> had little consideration for whether the credit itself was affordable. This is reflected in</w:t>
      </w:r>
      <w:r w:rsidRPr="00D94A3C" w:rsidDel="00A61CD8">
        <w:t xml:space="preserve"> </w:t>
      </w:r>
      <w:r w:rsidRPr="00D94A3C">
        <w:t>the Credit Act</w:t>
      </w:r>
      <w:r w:rsidR="00A61CD8" w:rsidRPr="00D94A3C">
        <w:t>, which</w:t>
      </w:r>
      <w:r w:rsidRPr="00D94A3C">
        <w:t xml:space="preserve"> does not apply to low-cost continuing credit and low-cost short-term credit products.</w:t>
      </w:r>
      <w:r w:rsidRPr="00D94A3C">
        <w:rPr>
          <w:rStyle w:val="FootnoteReference"/>
        </w:rPr>
        <w:footnoteReference w:id="2"/>
      </w:r>
      <w:r w:rsidRPr="00D94A3C">
        <w:t xml:space="preserve"> It was not until 2009 that credit regulation sought to prevent unaffordable lending </w:t>
      </w:r>
      <w:r w:rsidR="006145BF">
        <w:t>beyond</w:t>
      </w:r>
      <w:r w:rsidRPr="00D94A3C">
        <w:t xml:space="preserve"> ensuring potential borrowers </w:t>
      </w:r>
      <w:r w:rsidR="006145BF">
        <w:t>had enough information</w:t>
      </w:r>
      <w:r w:rsidRPr="00D94A3C">
        <w:t xml:space="preserve"> to make their own decisions.</w:t>
      </w:r>
    </w:p>
    <w:p w14:paraId="397C88BC" w14:textId="35963C46" w:rsidR="00A43A7E" w:rsidRPr="00D94A3C" w:rsidRDefault="00A43A7E" w:rsidP="002E44F5">
      <w:pPr>
        <w:spacing w:line="276" w:lineRule="auto"/>
      </w:pPr>
      <w:r w:rsidRPr="00D94A3C">
        <w:t xml:space="preserve">In recent years, </w:t>
      </w:r>
      <w:r w:rsidR="00324518">
        <w:t>advancements</w:t>
      </w:r>
      <w:r w:rsidR="0044460D">
        <w:t xml:space="preserve"> in</w:t>
      </w:r>
      <w:r w:rsidR="0044460D" w:rsidRPr="0044460D">
        <w:t xml:space="preserve"> </w:t>
      </w:r>
      <w:r w:rsidR="0044460D">
        <w:t>technology</w:t>
      </w:r>
      <w:r w:rsidR="00DF205A">
        <w:t xml:space="preserve"> ha</w:t>
      </w:r>
      <w:r w:rsidR="009455DE">
        <w:t>ve</w:t>
      </w:r>
      <w:r w:rsidRPr="00D94A3C">
        <w:t xml:space="preserve"> enabled credit businesses to build a profitable market for free or low-cost credit and credit-like arrangements</w:t>
      </w:r>
      <w:r w:rsidR="005F5630" w:rsidRPr="00D94A3C">
        <w:t xml:space="preserve"> </w:t>
      </w:r>
      <w:r w:rsidR="006A5952">
        <w:t>fitting</w:t>
      </w:r>
      <w:r w:rsidR="005F5630" w:rsidRPr="00D94A3C">
        <w:t xml:space="preserve"> within the</w:t>
      </w:r>
      <w:r w:rsidR="00933D33">
        <w:t xml:space="preserve"> low-cost continuing and short-term credit</w:t>
      </w:r>
      <w:r w:rsidR="005F5630" w:rsidRPr="00D94A3C">
        <w:t xml:space="preserve"> exemptions</w:t>
      </w:r>
      <w:r w:rsidRPr="00D94A3C">
        <w:t xml:space="preserve">. Some consumer groups argue advancements in technology and </w:t>
      </w:r>
      <w:r w:rsidR="007B109D">
        <w:t>new</w:t>
      </w:r>
      <w:r w:rsidR="007B109D" w:rsidRPr="00D94A3C">
        <w:t xml:space="preserve"> </w:t>
      </w:r>
      <w:r w:rsidRPr="00D94A3C">
        <w:t xml:space="preserve">business models have outgrown credit regulations and have called for the </w:t>
      </w:r>
      <w:r w:rsidR="005F5630" w:rsidRPr="00D94A3C">
        <w:t xml:space="preserve">Australian </w:t>
      </w:r>
      <w:r w:rsidRPr="00D94A3C">
        <w:t xml:space="preserve">Government to review the scope of </w:t>
      </w:r>
      <w:r w:rsidR="00F471D8" w:rsidRPr="00D94A3C">
        <w:t xml:space="preserve">credit </w:t>
      </w:r>
      <w:r w:rsidRPr="00D94A3C">
        <w:t xml:space="preserve">regulation, including key definitions and exemptions. Types of consumer credit </w:t>
      </w:r>
      <w:r w:rsidR="00843C91">
        <w:t>falling</w:t>
      </w:r>
      <w:r w:rsidRPr="00D94A3C">
        <w:t xml:space="preserve"> outside of the current scope of Credit Act</w:t>
      </w:r>
      <w:r w:rsidRPr="00D94A3C" w:rsidDel="00F471D8">
        <w:t xml:space="preserve"> </w:t>
      </w:r>
      <w:r w:rsidRPr="00D94A3C">
        <w:t>include (but are not limited to):</w:t>
      </w:r>
    </w:p>
    <w:p w14:paraId="79965CE6" w14:textId="098333DE" w:rsidR="00A43A7E" w:rsidRPr="00D94A3C" w:rsidRDefault="00A43A7E" w:rsidP="002E44F5">
      <w:pPr>
        <w:pStyle w:val="Bullet"/>
        <w:numPr>
          <w:ilvl w:val="0"/>
          <w:numId w:val="16"/>
        </w:numPr>
      </w:pPr>
      <w:r w:rsidRPr="00D94A3C">
        <w:t>BNPL</w:t>
      </w:r>
      <w:r w:rsidDel="00DA1A65">
        <w:t>;</w:t>
      </w:r>
    </w:p>
    <w:p w14:paraId="1876E422" w14:textId="09698C64" w:rsidR="00A43A7E" w:rsidRPr="00D94A3C" w:rsidRDefault="00A43A7E" w:rsidP="002E44F5">
      <w:pPr>
        <w:pStyle w:val="Bullet"/>
        <w:numPr>
          <w:ilvl w:val="0"/>
          <w:numId w:val="16"/>
        </w:numPr>
      </w:pPr>
      <w:r w:rsidRPr="00D94A3C">
        <w:t>Wage advance products;</w:t>
      </w:r>
    </w:p>
    <w:p w14:paraId="241ABA81" w14:textId="313B8968" w:rsidR="00A43A7E" w:rsidRDefault="00A43A7E" w:rsidP="002E44F5">
      <w:pPr>
        <w:pStyle w:val="Bullet"/>
        <w:numPr>
          <w:ilvl w:val="0"/>
          <w:numId w:val="16"/>
        </w:numPr>
      </w:pPr>
      <w:r w:rsidRPr="00D94A3C">
        <w:t>Certain types of bridging finance to fund deposits on new residential properties;</w:t>
      </w:r>
    </w:p>
    <w:p w14:paraId="61854609" w14:textId="541333A5" w:rsidR="00DA1A65" w:rsidRPr="00D94A3C" w:rsidRDefault="00FC6170" w:rsidP="002E44F5">
      <w:pPr>
        <w:pStyle w:val="Bullet"/>
        <w:numPr>
          <w:ilvl w:val="0"/>
          <w:numId w:val="16"/>
        </w:numPr>
      </w:pPr>
      <w:r w:rsidRPr="00D94A3C">
        <w:t xml:space="preserve">Certain types of </w:t>
      </w:r>
      <w:r w:rsidR="00DA1A65" w:rsidRPr="00D94A3C">
        <w:t>invoicing facilities and in-house instalment payment plans</w:t>
      </w:r>
      <w:r w:rsidR="00E560E7">
        <w:t>;</w:t>
      </w:r>
    </w:p>
    <w:p w14:paraId="3071ABA6" w14:textId="77777777" w:rsidR="00A43A7E" w:rsidRPr="00D94A3C" w:rsidRDefault="00A43A7E" w:rsidP="002E44F5">
      <w:pPr>
        <w:pStyle w:val="Bullet"/>
        <w:numPr>
          <w:ilvl w:val="0"/>
          <w:numId w:val="16"/>
        </w:numPr>
      </w:pPr>
      <w:r w:rsidRPr="00D94A3C">
        <w:t>Certain types of finance for marketing costs for the sale of residential property; and</w:t>
      </w:r>
    </w:p>
    <w:p w14:paraId="13D2CF68" w14:textId="77777777" w:rsidR="00A43A7E" w:rsidRPr="00D94A3C" w:rsidRDefault="00A43A7E" w:rsidP="002E44F5">
      <w:pPr>
        <w:pStyle w:val="Bullet"/>
        <w:numPr>
          <w:ilvl w:val="0"/>
          <w:numId w:val="16"/>
        </w:numPr>
      </w:pPr>
      <w:r w:rsidRPr="00D94A3C">
        <w:t>Certain loans for rent payments and rental bonds.</w:t>
      </w:r>
    </w:p>
    <w:p w14:paraId="77E82CF0" w14:textId="14C4D1D9" w:rsidR="00C45854" w:rsidRDefault="002770A3" w:rsidP="00D94A3C">
      <w:pPr>
        <w:spacing w:line="276" w:lineRule="auto"/>
      </w:pPr>
      <w:r>
        <w:t xml:space="preserve">These products are </w:t>
      </w:r>
      <w:r w:rsidR="00BF7874">
        <w:t xml:space="preserve">‘credit’ in the ordinary sense of the </w:t>
      </w:r>
      <w:r w:rsidR="003237FB">
        <w:t>wor</w:t>
      </w:r>
      <w:r w:rsidR="00071509">
        <w:t>d</w:t>
      </w:r>
      <w:r w:rsidR="003237FB">
        <w:t xml:space="preserve">, however </w:t>
      </w:r>
      <w:r w:rsidR="00147FCE">
        <w:t>they fall under exemptions included in the Credit Act</w:t>
      </w:r>
      <w:r w:rsidR="00432E9B">
        <w:t xml:space="preserve">. </w:t>
      </w:r>
      <w:r w:rsidR="6476E7A1" w:rsidRPr="00D94A3C">
        <w:t>The rapid growth of the BNPL sector</w:t>
      </w:r>
      <w:r w:rsidR="1A11D9FF" w:rsidRPr="00D94A3C">
        <w:t xml:space="preserve"> via these exemptions has </w:t>
      </w:r>
      <w:r w:rsidR="00D53FAB">
        <w:t xml:space="preserve">seen the risk profile of these products change and </w:t>
      </w:r>
      <w:r w:rsidR="00D53FAB" w:rsidRPr="00D94A3C">
        <w:t>highlight</w:t>
      </w:r>
      <w:r w:rsidR="00D53FAB">
        <w:t>s</w:t>
      </w:r>
      <w:r w:rsidR="00D53FAB" w:rsidRPr="00D94A3C">
        <w:t xml:space="preserve"> </w:t>
      </w:r>
      <w:r w:rsidR="1A11D9FF" w:rsidRPr="00D94A3C">
        <w:t xml:space="preserve">the need to reconsider the current </w:t>
      </w:r>
      <w:r w:rsidR="2CB6EC08" w:rsidRPr="00D94A3C">
        <w:t xml:space="preserve">regulatory framework for credit. </w:t>
      </w:r>
      <w:r w:rsidR="6476E7A1" w:rsidRPr="002E44F5">
        <w:t xml:space="preserve">In Australia, BNPL </w:t>
      </w:r>
      <w:r w:rsidR="019D1F1B">
        <w:t xml:space="preserve">transactions </w:t>
      </w:r>
      <w:r w:rsidR="0AA563A7">
        <w:t>accounted for</w:t>
      </w:r>
      <w:r w:rsidR="019D1F1B">
        <w:t xml:space="preserve"> approximately 2</w:t>
      </w:r>
      <w:r w:rsidR="00D84921">
        <w:t> </w:t>
      </w:r>
      <w:r w:rsidR="019D1F1B">
        <w:t>per</w:t>
      </w:r>
      <w:r w:rsidR="00D84921">
        <w:t> </w:t>
      </w:r>
      <w:r w:rsidR="019D1F1B">
        <w:t>cent</w:t>
      </w:r>
      <w:r w:rsidR="6476E7A1" w:rsidRPr="002E44F5">
        <w:t xml:space="preserve"> of </w:t>
      </w:r>
      <w:r w:rsidR="019D1F1B">
        <w:t>Australian card purchases</w:t>
      </w:r>
      <w:r w:rsidR="74648B3F">
        <w:t xml:space="preserve"> during the</w:t>
      </w:r>
      <w:r w:rsidR="7F54A035">
        <w:t xml:space="preserve"> </w:t>
      </w:r>
      <w:r w:rsidR="74648B3F">
        <w:t>2022</w:t>
      </w:r>
      <w:r w:rsidR="74648B3F" w:rsidRPr="002E44F5">
        <w:t xml:space="preserve"> </w:t>
      </w:r>
      <w:r w:rsidR="6476E7A1" w:rsidRPr="002E44F5">
        <w:t>financial year.</w:t>
      </w:r>
      <w:r w:rsidR="00C45854" w:rsidRPr="002E44F5">
        <w:rPr>
          <w:rStyle w:val="FootnoteReference"/>
          <w:sz w:val="22"/>
          <w:szCs w:val="22"/>
        </w:rPr>
        <w:footnoteReference w:id="3"/>
      </w:r>
      <w:r w:rsidR="6476E7A1" w:rsidRPr="002E44F5">
        <w:t xml:space="preserve"> Low value BNPL products that provide </w:t>
      </w:r>
      <w:r w:rsidR="0054660C">
        <w:t xml:space="preserve">a </w:t>
      </w:r>
      <w:r w:rsidR="6476E7A1" w:rsidRPr="002E44F5">
        <w:t xml:space="preserve">spending limit </w:t>
      </w:r>
      <w:r w:rsidR="001B57B4">
        <w:t xml:space="preserve">of </w:t>
      </w:r>
      <w:r w:rsidR="6476E7A1" w:rsidRPr="002E44F5">
        <w:t xml:space="preserve">typically less than $2,000 are </w:t>
      </w:r>
      <w:r w:rsidR="00147FCE">
        <w:t xml:space="preserve">most popular </w:t>
      </w:r>
      <w:r w:rsidR="6476E7A1" w:rsidRPr="002E44F5">
        <w:t>in Australia. A small proportion of the BNPL market offers products with spending limits of up to $30,000 for solar and renewable energy home upgrades.</w:t>
      </w:r>
      <w:r w:rsidR="6476E7A1">
        <w:t xml:space="preserve"> </w:t>
      </w:r>
    </w:p>
    <w:p w14:paraId="79339B4D" w14:textId="33CBD56C" w:rsidR="00CF398F" w:rsidRPr="00B669DB" w:rsidRDefault="00D84921" w:rsidP="003D5EE3">
      <w:pPr>
        <w:pStyle w:val="Bullet"/>
        <w:numPr>
          <w:ilvl w:val="0"/>
          <w:numId w:val="0"/>
        </w:numPr>
      </w:pPr>
      <w:r>
        <w:rPr>
          <w:szCs w:val="22"/>
        </w:rPr>
        <w:t xml:space="preserve">The Reserve Bank of Australia’s Payments System Board </w:t>
      </w:r>
      <w:r w:rsidR="00C45854" w:rsidRPr="00380DBC">
        <w:rPr>
          <w:szCs w:val="22"/>
        </w:rPr>
        <w:t xml:space="preserve">reported </w:t>
      </w:r>
      <w:r>
        <w:rPr>
          <w:szCs w:val="22"/>
        </w:rPr>
        <w:t>approximately 7</w:t>
      </w:r>
      <w:r w:rsidR="00C45854" w:rsidRPr="00380DBC">
        <w:rPr>
          <w:szCs w:val="22"/>
        </w:rPr>
        <w:t xml:space="preserve"> million active </w:t>
      </w:r>
      <w:r w:rsidR="00610DAC" w:rsidRPr="00380DBC">
        <w:rPr>
          <w:szCs w:val="22"/>
        </w:rPr>
        <w:t xml:space="preserve">BNPL </w:t>
      </w:r>
      <w:r w:rsidR="00C45854" w:rsidRPr="00380DBC">
        <w:rPr>
          <w:szCs w:val="22"/>
        </w:rPr>
        <w:t xml:space="preserve">accounts in the </w:t>
      </w:r>
      <w:r>
        <w:rPr>
          <w:szCs w:val="22"/>
        </w:rPr>
        <w:t>2021-22</w:t>
      </w:r>
      <w:r w:rsidR="00C45854" w:rsidRPr="00380DBC">
        <w:rPr>
          <w:szCs w:val="22"/>
        </w:rPr>
        <w:t xml:space="preserve"> financial year and $</w:t>
      </w:r>
      <w:r>
        <w:rPr>
          <w:szCs w:val="22"/>
        </w:rPr>
        <w:t>16</w:t>
      </w:r>
      <w:r w:rsidR="00C45854" w:rsidRPr="00380DBC">
        <w:rPr>
          <w:szCs w:val="22"/>
        </w:rPr>
        <w:t xml:space="preserve"> billion in transactions, </w:t>
      </w:r>
      <w:r w:rsidR="00834599">
        <w:rPr>
          <w:szCs w:val="22"/>
        </w:rPr>
        <w:t>an increase of approximately 37</w:t>
      </w:r>
      <w:r w:rsidR="00C45854" w:rsidRPr="00380DBC">
        <w:rPr>
          <w:szCs w:val="22"/>
        </w:rPr>
        <w:t xml:space="preserve"> per cent on the </w:t>
      </w:r>
      <w:r w:rsidR="008735F9">
        <w:rPr>
          <w:szCs w:val="22"/>
        </w:rPr>
        <w:t>previous</w:t>
      </w:r>
      <w:r w:rsidR="00C45854" w:rsidRPr="00380DBC">
        <w:rPr>
          <w:szCs w:val="22"/>
        </w:rPr>
        <w:t xml:space="preserve"> financial year.</w:t>
      </w:r>
      <w:r w:rsidR="00834599">
        <w:rPr>
          <w:rStyle w:val="FootnoteReference"/>
          <w:szCs w:val="22"/>
        </w:rPr>
        <w:footnoteReference w:id="4"/>
      </w:r>
      <w:r w:rsidR="00C45854" w:rsidRPr="00C3779B">
        <w:t xml:space="preserve"> </w:t>
      </w:r>
      <w:r w:rsidR="00C45854">
        <w:t xml:space="preserve">While BNPL products can be a means of providing credit to </w:t>
      </w:r>
      <w:r w:rsidR="00BE1062">
        <w:t>both</w:t>
      </w:r>
      <w:r w:rsidR="00C45854">
        <w:t xml:space="preserve"> consumers and businesses, this paper is focused on credit provided to consumers. </w:t>
      </w:r>
      <w:r w:rsidR="00C45854" w:rsidRPr="00380DBC">
        <w:rPr>
          <w:szCs w:val="22"/>
        </w:rPr>
        <w:t xml:space="preserve">More information on consumer take up is at </w:t>
      </w:r>
      <w:r w:rsidR="00C45854" w:rsidRPr="00380DBC">
        <w:rPr>
          <w:b/>
          <w:bCs/>
          <w:szCs w:val="22"/>
        </w:rPr>
        <w:t>Attachment A</w:t>
      </w:r>
      <w:r w:rsidR="00C45854" w:rsidRPr="00380DBC">
        <w:rPr>
          <w:szCs w:val="22"/>
        </w:rPr>
        <w:t xml:space="preserve">. </w:t>
      </w:r>
      <w:bookmarkEnd w:id="6"/>
      <w:bookmarkEnd w:id="7"/>
    </w:p>
    <w:p w14:paraId="1C88FD08" w14:textId="5A806092" w:rsidR="00F92778" w:rsidRDefault="007F2F1C" w:rsidP="00D94A3C">
      <w:pPr>
        <w:pStyle w:val="Heading2"/>
      </w:pPr>
      <w:bookmarkStart w:id="8" w:name="_Toc119916345"/>
      <w:r>
        <w:lastRenderedPageBreak/>
        <w:t>What is BNPL?</w:t>
      </w:r>
      <w:bookmarkEnd w:id="8"/>
      <w:r>
        <w:t xml:space="preserve"> </w:t>
      </w:r>
    </w:p>
    <w:p w14:paraId="7E2C929E" w14:textId="51D397C6" w:rsidR="008E5023" w:rsidRDefault="008E5023" w:rsidP="000A4B4F">
      <w:pPr>
        <w:pStyle w:val="Bullet"/>
        <w:numPr>
          <w:ilvl w:val="0"/>
          <w:numId w:val="0"/>
        </w:numPr>
        <w:rPr>
          <w:szCs w:val="22"/>
        </w:rPr>
      </w:pPr>
      <w:r w:rsidRPr="00B669DB">
        <w:rPr>
          <w:szCs w:val="22"/>
        </w:rPr>
        <w:t>BNPL products are an alternative to more traditional forms of credit</w:t>
      </w:r>
      <w:r w:rsidR="003E0C0A">
        <w:rPr>
          <w:szCs w:val="22"/>
        </w:rPr>
        <w:t>. They allow</w:t>
      </w:r>
      <w:r w:rsidRPr="00B669DB">
        <w:rPr>
          <w:szCs w:val="22"/>
        </w:rPr>
        <w:t xml:space="preserve"> consumers to budget their spending by paying off </w:t>
      </w:r>
      <w:r w:rsidR="00CC5953" w:rsidRPr="00B669DB">
        <w:rPr>
          <w:szCs w:val="22"/>
        </w:rPr>
        <w:t>goods</w:t>
      </w:r>
      <w:r w:rsidR="00CC5953">
        <w:rPr>
          <w:szCs w:val="22"/>
        </w:rPr>
        <w:t xml:space="preserve"> and services</w:t>
      </w:r>
      <w:r w:rsidR="00CC5953" w:rsidRPr="00B669DB">
        <w:rPr>
          <w:szCs w:val="22"/>
        </w:rPr>
        <w:t xml:space="preserve"> </w:t>
      </w:r>
      <w:r w:rsidRPr="00B669DB">
        <w:rPr>
          <w:szCs w:val="22"/>
        </w:rPr>
        <w:t xml:space="preserve">in instalments at a </w:t>
      </w:r>
      <w:r w:rsidR="00DF74F3">
        <w:rPr>
          <w:szCs w:val="22"/>
        </w:rPr>
        <w:t xml:space="preserve">comparatively </w:t>
      </w:r>
      <w:r w:rsidRPr="00B669DB">
        <w:rPr>
          <w:szCs w:val="22"/>
        </w:rPr>
        <w:t xml:space="preserve">cheaper rate than a credit card or payday loan. </w:t>
      </w:r>
    </w:p>
    <w:tbl>
      <w:tblPr>
        <w:tblStyle w:val="TableGridLight"/>
        <w:tblpPr w:leftFromText="180" w:rightFromText="180" w:vertAnchor="text" w:tblpY="168"/>
        <w:tblW w:w="0" w:type="auto"/>
        <w:tblLook w:val="04A0" w:firstRow="1" w:lastRow="0" w:firstColumn="1" w:lastColumn="0" w:noHBand="0" w:noVBand="1"/>
      </w:tblPr>
      <w:tblGrid>
        <w:gridCol w:w="9060"/>
      </w:tblGrid>
      <w:tr w:rsidR="00DF74F3" w14:paraId="485D3358" w14:textId="77777777" w:rsidTr="00DF74F3">
        <w:tc>
          <w:tcPr>
            <w:tcW w:w="9060" w:type="dxa"/>
            <w:tcBorders>
              <w:top w:val="single" w:sz="4" w:space="0" w:color="auto"/>
              <w:left w:val="single" w:sz="4" w:space="0" w:color="auto"/>
              <w:bottom w:val="single" w:sz="4" w:space="0" w:color="auto"/>
              <w:right w:val="single" w:sz="4" w:space="0" w:color="auto"/>
            </w:tcBorders>
          </w:tcPr>
          <w:p w14:paraId="3DA86156" w14:textId="77777777" w:rsidR="00DF74F3" w:rsidRPr="00D94A3C" w:rsidRDefault="00DF74F3" w:rsidP="00DF74F3">
            <w:pPr>
              <w:rPr>
                <w:b/>
              </w:rPr>
            </w:pPr>
            <w:r w:rsidRPr="00D94A3C">
              <w:rPr>
                <w:b/>
              </w:rPr>
              <w:t>Buy now, pay later arrangements:</w:t>
            </w:r>
          </w:p>
          <w:p w14:paraId="7FAB0099" w14:textId="77777777" w:rsidR="00DF74F3" w:rsidRDefault="00DF74F3" w:rsidP="00DF74F3">
            <w:pPr>
              <w:pStyle w:val="Bullet"/>
              <w:numPr>
                <w:ilvl w:val="0"/>
                <w:numId w:val="16"/>
              </w:numPr>
              <w:spacing w:before="0"/>
            </w:pPr>
            <w:r>
              <w:t>involve a third-party financing entity,</w:t>
            </w:r>
          </w:p>
          <w:p w14:paraId="5E42DE0C" w14:textId="6E2A41E0" w:rsidR="00DF74F3" w:rsidRDefault="00DF74F3" w:rsidP="00DF74F3">
            <w:pPr>
              <w:pStyle w:val="Bullet"/>
              <w:numPr>
                <w:ilvl w:val="0"/>
                <w:numId w:val="16"/>
              </w:numPr>
              <w:spacing w:before="0"/>
            </w:pPr>
            <w:r>
              <w:t>provide consumers finance which can be used to pay for purchases of goods</w:t>
            </w:r>
            <w:r w:rsidR="00F70B46">
              <w:t xml:space="preserve">, </w:t>
            </w:r>
            <w:r>
              <w:t>services and bills,</w:t>
            </w:r>
          </w:p>
          <w:p w14:paraId="464D64ED" w14:textId="70069240" w:rsidR="00DF74F3" w:rsidRDefault="00DF74F3" w:rsidP="00DF74F3">
            <w:pPr>
              <w:pStyle w:val="Bullet"/>
              <w:numPr>
                <w:ilvl w:val="0"/>
                <w:numId w:val="16"/>
              </w:numPr>
              <w:spacing w:before="0"/>
            </w:pPr>
            <w:r>
              <w:t xml:space="preserve">do </w:t>
            </w:r>
            <w:r w:rsidR="00891CD0" w:rsidRPr="0018395C">
              <w:t>not</w:t>
            </w:r>
            <w:r>
              <w:t xml:space="preserve"> provide consumers cash, </w:t>
            </w:r>
          </w:p>
          <w:p w14:paraId="2225A786" w14:textId="77777777" w:rsidR="00DF74F3" w:rsidRDefault="00DF74F3" w:rsidP="00DF74F3">
            <w:pPr>
              <w:pStyle w:val="Bullet"/>
              <w:numPr>
                <w:ilvl w:val="0"/>
                <w:numId w:val="16"/>
              </w:numPr>
              <w:spacing w:before="0"/>
            </w:pPr>
            <w:r>
              <w:t>may charge consumers low fixed fees for using the finance,</w:t>
            </w:r>
          </w:p>
          <w:p w14:paraId="199887D7" w14:textId="080B7EDA" w:rsidR="00DF74F3" w:rsidRDefault="00DF74F3" w:rsidP="00DF74F3">
            <w:pPr>
              <w:pStyle w:val="Bullet"/>
              <w:numPr>
                <w:ilvl w:val="0"/>
                <w:numId w:val="16"/>
              </w:numPr>
              <w:spacing w:before="0"/>
            </w:pPr>
            <w:r>
              <w:t>charge merchants service fees for accepting BNPL,</w:t>
            </w:r>
          </w:p>
          <w:p w14:paraId="0B9FF383" w14:textId="4B0887BB" w:rsidR="00DF74F3" w:rsidRDefault="00DF74F3" w:rsidP="00DF74F3">
            <w:pPr>
              <w:pStyle w:val="Bullet"/>
              <w:numPr>
                <w:ilvl w:val="0"/>
                <w:numId w:val="16"/>
              </w:numPr>
              <w:spacing w:before="0"/>
            </w:pPr>
            <w:r>
              <w:t>do</w:t>
            </w:r>
            <w:r w:rsidR="00891CD0">
              <w:rPr>
                <w:b/>
                <w:bCs/>
              </w:rPr>
              <w:t xml:space="preserve"> </w:t>
            </w:r>
            <w:r w:rsidR="00891CD0" w:rsidRPr="0018395C">
              <w:t>not</w:t>
            </w:r>
            <w:r>
              <w:t xml:space="preserve"> charge interest on the finance used,</w:t>
            </w:r>
          </w:p>
          <w:p w14:paraId="124DA91B" w14:textId="77777777" w:rsidR="00DF74F3" w:rsidRDefault="00DF74F3" w:rsidP="00DF74F3">
            <w:pPr>
              <w:pStyle w:val="Bullet"/>
              <w:numPr>
                <w:ilvl w:val="0"/>
                <w:numId w:val="16"/>
              </w:numPr>
              <w:spacing w:before="0"/>
            </w:pPr>
            <w:r>
              <w:t>pay the merchants the value of the purchase upfront, less any fees, and collect repayments from consumers in instalments.</w:t>
            </w:r>
          </w:p>
        </w:tc>
      </w:tr>
    </w:tbl>
    <w:p w14:paraId="0F1AE795" w14:textId="4C256818" w:rsidR="000A4B4F" w:rsidRDefault="000A4B4F" w:rsidP="000A4B4F">
      <w:pPr>
        <w:pStyle w:val="Bullet"/>
        <w:numPr>
          <w:ilvl w:val="0"/>
          <w:numId w:val="0"/>
        </w:numPr>
      </w:pPr>
      <w:r>
        <w:t xml:space="preserve">While the Credit Act is the primary legislation </w:t>
      </w:r>
      <w:r w:rsidR="00D90E02">
        <w:t xml:space="preserve">governing </w:t>
      </w:r>
      <w:r>
        <w:t xml:space="preserve">consumer credit products, not all </w:t>
      </w:r>
      <w:r w:rsidR="004D3113">
        <w:t xml:space="preserve">financial </w:t>
      </w:r>
      <w:r>
        <w:t xml:space="preserve">products that may be considered </w:t>
      </w:r>
      <w:r w:rsidRPr="0018395C">
        <w:t xml:space="preserve">credit </w:t>
      </w:r>
      <w:r w:rsidRPr="004D3113">
        <w:t>according</w:t>
      </w:r>
      <w:r w:rsidRPr="0077423B">
        <w:t xml:space="preserve"> to its ordinary meaning </w:t>
      </w:r>
      <w:r>
        <w:t>are</w:t>
      </w:r>
      <w:r w:rsidRPr="00BB79BE">
        <w:t xml:space="preserve"> subject</w:t>
      </w:r>
      <w:r>
        <w:t xml:space="preserve"> to the Act. </w:t>
      </w:r>
      <w:r w:rsidR="00F168A3">
        <w:br/>
      </w:r>
      <w:r>
        <w:t>The Credit Act only applies to credit provided under a credit contract where:</w:t>
      </w:r>
    </w:p>
    <w:p w14:paraId="1632FA8D" w14:textId="1EFAE2ED" w:rsidR="000A4B4F" w:rsidRDefault="00B233F6" w:rsidP="000A4B4F">
      <w:pPr>
        <w:pStyle w:val="Bullet"/>
        <w:numPr>
          <w:ilvl w:val="0"/>
          <w:numId w:val="16"/>
        </w:numPr>
      </w:pPr>
      <w:r>
        <w:t>there is a deferral of a debt</w:t>
      </w:r>
      <w:r w:rsidR="00FE29FA">
        <w:t xml:space="preserve"> or a payment of a debt</w:t>
      </w:r>
      <w:r w:rsidR="000A4B4F">
        <w:t>;</w:t>
      </w:r>
    </w:p>
    <w:p w14:paraId="3CC2A846" w14:textId="12DC3BAD" w:rsidR="000A4B4F" w:rsidRDefault="000A4B4F" w:rsidP="000A4B4F">
      <w:pPr>
        <w:pStyle w:val="Bullet"/>
        <w:numPr>
          <w:ilvl w:val="0"/>
          <w:numId w:val="16"/>
        </w:numPr>
      </w:pPr>
      <w:r>
        <w:t xml:space="preserve">the credit is provided to a natural person or a strata corporation; </w:t>
      </w:r>
    </w:p>
    <w:p w14:paraId="12BE4FFD" w14:textId="77777777" w:rsidR="000A4B4F" w:rsidRDefault="000A4B4F" w:rsidP="000A4B4F">
      <w:pPr>
        <w:pStyle w:val="Bullet"/>
        <w:numPr>
          <w:ilvl w:val="0"/>
          <w:numId w:val="16"/>
        </w:numPr>
      </w:pPr>
      <w:r>
        <w:t>the credit is predominantly for personal domestic or household use, or for purposes relating to investment properties; and</w:t>
      </w:r>
    </w:p>
    <w:p w14:paraId="2A0F461F" w14:textId="77777777" w:rsidR="000A4B4F" w:rsidRPr="0031362C" w:rsidRDefault="000A4B4F" w:rsidP="000A4B4F">
      <w:pPr>
        <w:pStyle w:val="Bullet"/>
        <w:numPr>
          <w:ilvl w:val="0"/>
          <w:numId w:val="16"/>
        </w:numPr>
      </w:pPr>
      <w:r>
        <w:t xml:space="preserve">there is, or may be, a charge for providing the credit. </w:t>
      </w:r>
    </w:p>
    <w:p w14:paraId="7F2AB760" w14:textId="0E8FC5AE" w:rsidR="000A4B4F" w:rsidRDefault="004D16AF" w:rsidP="00760D00">
      <w:pPr>
        <w:pStyle w:val="Bullet"/>
        <w:numPr>
          <w:ilvl w:val="0"/>
          <w:numId w:val="0"/>
        </w:numPr>
      </w:pPr>
      <w:r>
        <w:t>This means credit products and services, such as invoicing services and BNPL products that do not charge any fees (excluding late or missed payment fees</w:t>
      </w:r>
      <w:r>
        <w:rPr>
          <w:rStyle w:val="FootnoteReference"/>
        </w:rPr>
        <w:footnoteReference w:id="5"/>
      </w:r>
      <w:r>
        <w:t xml:space="preserve">), </w:t>
      </w:r>
      <w:r w:rsidR="000F1AFC">
        <w:t>fall outside the regulatory scope of the</w:t>
      </w:r>
      <w:r w:rsidR="006274BE">
        <w:t xml:space="preserve"> Credit</w:t>
      </w:r>
      <w:r w:rsidR="000F1AFC">
        <w:t xml:space="preserve"> Act. </w:t>
      </w:r>
      <w:r>
        <w:t xml:space="preserve">Afterpay and StepPay are examples of BNPL products that are not considered credit to which the Credit Act applies. </w:t>
      </w:r>
    </w:p>
    <w:p w14:paraId="080A914C" w14:textId="77777777" w:rsidR="00274269" w:rsidRPr="007F1267" w:rsidRDefault="00274269" w:rsidP="00274269">
      <w:pPr>
        <w:rPr>
          <w:i/>
          <w:iCs/>
        </w:rPr>
      </w:pPr>
      <w:r w:rsidRPr="007F1267">
        <w:rPr>
          <w:i/>
          <w:iCs/>
        </w:rPr>
        <w:t>Interest free and low fixed fee continuing credit exemption</w:t>
      </w:r>
    </w:p>
    <w:p w14:paraId="1874D5C5" w14:textId="44E47F4B" w:rsidR="00274269" w:rsidRDefault="00274269" w:rsidP="00274269">
      <w:pPr>
        <w:pStyle w:val="Bullet"/>
        <w:numPr>
          <w:ilvl w:val="0"/>
          <w:numId w:val="0"/>
        </w:numPr>
      </w:pPr>
      <w:r>
        <w:t>BNPL products typically operate under the</w:t>
      </w:r>
      <w:r w:rsidDel="00274269">
        <w:t xml:space="preserve"> </w:t>
      </w:r>
      <w:r>
        <w:t>exemption for interest-free continuing credit contracts</w:t>
      </w:r>
      <w:r>
        <w:rPr>
          <w:rStyle w:val="FootnoteReference"/>
        </w:rPr>
        <w:footnoteReference w:id="6"/>
      </w:r>
      <w:r>
        <w:t xml:space="preserve"> that</w:t>
      </w:r>
      <w:r w:rsidRPr="00F027FD">
        <w:rPr>
          <w:rFonts w:cstheme="minorHAnsi"/>
        </w:rPr>
        <w:t xml:space="preserve"> </w:t>
      </w:r>
      <w:r w:rsidRPr="00B3760A">
        <w:rPr>
          <w:rFonts w:cstheme="minorHAnsi"/>
        </w:rPr>
        <w:t xml:space="preserve">only charge </w:t>
      </w:r>
      <w:r>
        <w:rPr>
          <w:rFonts w:cstheme="minorHAnsi"/>
        </w:rPr>
        <w:t xml:space="preserve">periodic or other fixed </w:t>
      </w:r>
      <w:r w:rsidRPr="00B3760A">
        <w:rPr>
          <w:rFonts w:cstheme="minorHAnsi"/>
        </w:rPr>
        <w:t>consumers fees for the provision of credit below prescribed fee caps</w:t>
      </w:r>
      <w:r>
        <w:rPr>
          <w:rFonts w:cstheme="minorHAnsi"/>
        </w:rPr>
        <w:t xml:space="preserve"> of $200 in the first 12-months and $125 for any subsequent 12-month period thereafter.</w:t>
      </w:r>
      <w:r>
        <w:rPr>
          <w:rStyle w:val="FootnoteReference"/>
          <w:rFonts w:cstheme="minorHAnsi"/>
        </w:rPr>
        <w:footnoteReference w:id="7"/>
      </w:r>
      <w:r>
        <w:t xml:space="preserve"> Most BNPL products charge service fees, such as account establishment fees and account keeping fees, in a way </w:t>
      </w:r>
      <w:r w:rsidR="001122FA">
        <w:t>allowing</w:t>
      </w:r>
      <w:r>
        <w:t xml:space="preserve"> them to operate under this exemption in the Credit Act. Examples of BNPL products </w:t>
      </w:r>
      <w:r w:rsidR="006A597E">
        <w:t>operating</w:t>
      </w:r>
      <w:r>
        <w:t xml:space="preserve"> under this exemption are ZipPay and Humm – Small things.</w:t>
      </w:r>
    </w:p>
    <w:p w14:paraId="75FCF5F7" w14:textId="77777777" w:rsidR="00E715E2" w:rsidRPr="004873DA" w:rsidRDefault="00E715E2" w:rsidP="00D94A3C">
      <w:pPr>
        <w:pStyle w:val="Heading2"/>
      </w:pPr>
      <w:bookmarkStart w:id="9" w:name="_Toc119916346"/>
      <w:r w:rsidRPr="004873DA">
        <w:lastRenderedPageBreak/>
        <w:t>What consumer protections are there for BNPL products?</w:t>
      </w:r>
      <w:bookmarkEnd w:id="9"/>
      <w:r w:rsidRPr="004873DA">
        <w:t xml:space="preserve"> </w:t>
      </w:r>
    </w:p>
    <w:p w14:paraId="0D8042B7" w14:textId="3FDD319E" w:rsidR="00F5022F" w:rsidRPr="00B95C73" w:rsidRDefault="00753750" w:rsidP="00F5022F">
      <w:pPr>
        <w:pStyle w:val="Bullet"/>
        <w:numPr>
          <w:ilvl w:val="0"/>
          <w:numId w:val="0"/>
        </w:numPr>
      </w:pPr>
      <w:r>
        <w:t xml:space="preserve">The exemptions from </w:t>
      </w:r>
      <w:r w:rsidR="002D2F56">
        <w:t>the</w:t>
      </w:r>
      <w:r w:rsidR="00404D23">
        <w:t xml:space="preserve"> </w:t>
      </w:r>
      <w:r w:rsidR="00A06B58">
        <w:t>Credit Act</w:t>
      </w:r>
      <w:r w:rsidR="00ED2816">
        <w:t xml:space="preserve"> mean </w:t>
      </w:r>
      <w:r w:rsidR="008214A0">
        <w:t>RLOs do not apply to BNPL</w:t>
      </w:r>
      <w:r w:rsidR="0090264E">
        <w:t xml:space="preserve"> products</w:t>
      </w:r>
      <w:r w:rsidR="008214A0">
        <w:t xml:space="preserve">. </w:t>
      </w:r>
      <w:r w:rsidR="00F5022F">
        <w:t xml:space="preserve">The RLOs require providers to assess </w:t>
      </w:r>
      <w:r w:rsidR="00F5022F" w:rsidRPr="00B95C73">
        <w:t xml:space="preserve">whether a credit product or credit limit increase is </w:t>
      </w:r>
      <w:r w:rsidR="009F54FD">
        <w:t xml:space="preserve">not </w:t>
      </w:r>
      <w:r w:rsidR="00F5022F" w:rsidRPr="00B95C73">
        <w:t>unsuitable</w:t>
      </w:r>
      <w:r w:rsidR="00F5022F">
        <w:t xml:space="preserve"> for a consumer by gathering </w:t>
      </w:r>
      <w:r w:rsidR="00222680">
        <w:t xml:space="preserve">and considering </w:t>
      </w:r>
      <w:r w:rsidR="00F5022F" w:rsidRPr="00B95C73">
        <w:t>information about the consumer</w:t>
      </w:r>
      <w:r w:rsidR="00F5022F">
        <w:t>’s financial circumstances, as well as</w:t>
      </w:r>
      <w:r w:rsidR="00F5022F" w:rsidRPr="00B95C73">
        <w:t xml:space="preserve"> taking reasonable steps to verify that information.</w:t>
      </w:r>
      <w:r w:rsidR="008214A0">
        <w:rPr>
          <w:rStyle w:val="FootnoteReference"/>
        </w:rPr>
        <w:footnoteReference w:id="8"/>
      </w:r>
      <w:r w:rsidR="00F5022F">
        <w:t xml:space="preserve"> Under the</w:t>
      </w:r>
      <w:r w:rsidR="00F5022F" w:rsidDel="00343F79">
        <w:t xml:space="preserve"> </w:t>
      </w:r>
      <w:r w:rsidR="00F5022F">
        <w:t>unsuitability</w:t>
      </w:r>
      <w:r w:rsidR="00343F79">
        <w:t xml:space="preserve"> test</w:t>
      </w:r>
      <w:r w:rsidR="00F5022F">
        <w:t xml:space="preserve">, a credit product is unsuitable for a person, if it is likely: </w:t>
      </w:r>
    </w:p>
    <w:p w14:paraId="0C8C19F6" w14:textId="77777777" w:rsidR="00F5022F" w:rsidRPr="00B95C73" w:rsidRDefault="00F5022F" w:rsidP="0090264E">
      <w:pPr>
        <w:pStyle w:val="Bullet"/>
      </w:pPr>
      <w:r w:rsidRPr="00B95C73">
        <w:t>the consumer will be unable to comply with their financial obligations;</w:t>
      </w:r>
      <w:r>
        <w:t xml:space="preserve"> or</w:t>
      </w:r>
    </w:p>
    <w:p w14:paraId="75CC9DAC" w14:textId="77777777" w:rsidR="00F5022F" w:rsidRPr="00B95C73" w:rsidRDefault="00F5022F" w:rsidP="0090264E">
      <w:pPr>
        <w:pStyle w:val="Bullet"/>
      </w:pPr>
      <w:r w:rsidRPr="00B95C73">
        <w:t>the consumer will only be able to apply with their financial obligations with substantial hardship;</w:t>
      </w:r>
      <w:r>
        <w:t xml:space="preserve"> or</w:t>
      </w:r>
    </w:p>
    <w:p w14:paraId="45C9CF3D" w14:textId="15D230FF" w:rsidR="00F5022F" w:rsidRDefault="00F5022F" w:rsidP="0090264E">
      <w:pPr>
        <w:pStyle w:val="Bullet"/>
      </w:pPr>
      <w:r w:rsidRPr="00B95C73">
        <w:t>the product will not meet the consumer’s requirements or objectives.</w:t>
      </w:r>
    </w:p>
    <w:p w14:paraId="0C50E672" w14:textId="769FE643" w:rsidR="003030A2" w:rsidRDefault="005E7808" w:rsidP="005E7808">
      <w:pPr>
        <w:pStyle w:val="Bullet"/>
        <w:numPr>
          <w:ilvl w:val="0"/>
          <w:numId w:val="0"/>
        </w:numPr>
      </w:pPr>
      <w:r>
        <w:t xml:space="preserve">While BNPL products are exempt from </w:t>
      </w:r>
      <w:r w:rsidR="00150BCD">
        <w:t xml:space="preserve">certain </w:t>
      </w:r>
      <w:r w:rsidR="0009315E">
        <w:t>consumer protections in the Credit Act</w:t>
      </w:r>
      <w:r w:rsidR="00EC1C23">
        <w:t>,</w:t>
      </w:r>
      <w:r w:rsidR="0009315E">
        <w:t xml:space="preserve"> such as</w:t>
      </w:r>
      <w:r w:rsidR="0090264E">
        <w:t xml:space="preserve"> the </w:t>
      </w:r>
      <w:r w:rsidR="009528ED">
        <w:t>RLOs</w:t>
      </w:r>
      <w:r w:rsidR="008F5E3F">
        <w:t xml:space="preserve">, they </w:t>
      </w:r>
      <w:r w:rsidR="00B10847">
        <w:t>do exist within</w:t>
      </w:r>
      <w:r w:rsidR="00930B03">
        <w:t xml:space="preserve"> </w:t>
      </w:r>
      <w:r w:rsidR="00A12721">
        <w:t>the broader</w:t>
      </w:r>
      <w:r w:rsidR="00930B03">
        <w:t xml:space="preserve"> regulatory framework </w:t>
      </w:r>
      <w:r w:rsidR="00005995">
        <w:t>covering</w:t>
      </w:r>
      <w:r w:rsidR="00930B03">
        <w:t xml:space="preserve"> </w:t>
      </w:r>
      <w:r w:rsidR="00471456">
        <w:t>financial products</w:t>
      </w:r>
      <w:r w:rsidR="00BA1992">
        <w:t xml:space="preserve">. </w:t>
      </w:r>
      <w:r w:rsidR="009E49F3">
        <w:br/>
      </w:r>
      <w:r w:rsidR="003030A2">
        <w:t>The</w:t>
      </w:r>
      <w:r w:rsidR="009E49F3">
        <w:t xml:space="preserve"> Australian</w:t>
      </w:r>
      <w:r w:rsidR="003030A2">
        <w:t xml:space="preserve"> regulatory framework for BNPL includes: </w:t>
      </w:r>
    </w:p>
    <w:p w14:paraId="0E54A679" w14:textId="30EBCC37" w:rsidR="003030A2" w:rsidRPr="004047D9" w:rsidRDefault="0072561D" w:rsidP="0090264E">
      <w:pPr>
        <w:pStyle w:val="Bullet"/>
      </w:pPr>
      <w:r>
        <w:rPr>
          <w:b/>
          <w:iCs/>
        </w:rPr>
        <w:t xml:space="preserve">The </w:t>
      </w:r>
      <w:r w:rsidR="006A777A" w:rsidRPr="00D94A3C">
        <w:rPr>
          <w:b/>
          <w:i/>
        </w:rPr>
        <w:t xml:space="preserve">Australian Securities and Investments Commission Act 2001 </w:t>
      </w:r>
      <w:r w:rsidR="006A777A" w:rsidRPr="00D94A3C">
        <w:rPr>
          <w:b/>
        </w:rPr>
        <w:t xml:space="preserve">(the ASIC Act) </w:t>
      </w:r>
      <w:r w:rsidR="006A777A">
        <w:t xml:space="preserve">provides </w:t>
      </w:r>
      <w:r w:rsidR="003030A2" w:rsidRPr="006A777A">
        <w:t xml:space="preserve">general financial services consumer protections (e.g., misleading and deceptive conduct) </w:t>
      </w:r>
      <w:r w:rsidR="006A777A">
        <w:t xml:space="preserve">that apply to all </w:t>
      </w:r>
      <w:r w:rsidR="004D24E4">
        <w:t>financial products regulated by ASIC</w:t>
      </w:r>
      <w:r w:rsidR="0019154E">
        <w:t>,</w:t>
      </w:r>
      <w:r w:rsidR="004D24E4">
        <w:t xml:space="preserve"> including BNPL. </w:t>
      </w:r>
    </w:p>
    <w:p w14:paraId="6B9BBFC4" w14:textId="5BCCE55D" w:rsidR="003030A2" w:rsidRDefault="004D24E4" w:rsidP="0090264E">
      <w:pPr>
        <w:pStyle w:val="Bullet"/>
      </w:pPr>
      <w:r>
        <w:rPr>
          <w:b/>
          <w:bCs/>
        </w:rPr>
        <w:t>Some parts of</w:t>
      </w:r>
      <w:r w:rsidR="003030A2" w:rsidDel="004D24E4">
        <w:rPr>
          <w:b/>
        </w:rPr>
        <w:t xml:space="preserve"> </w:t>
      </w:r>
      <w:r w:rsidR="003030A2" w:rsidRPr="00D94A3C">
        <w:rPr>
          <w:b/>
        </w:rPr>
        <w:t xml:space="preserve">Chapter 7 of the </w:t>
      </w:r>
      <w:r w:rsidR="003030A2" w:rsidRPr="00D94A3C">
        <w:rPr>
          <w:b/>
          <w:i/>
        </w:rPr>
        <w:t xml:space="preserve">Corporations Act 2001 </w:t>
      </w:r>
      <w:r w:rsidR="003030A2" w:rsidRPr="00D94A3C">
        <w:rPr>
          <w:b/>
        </w:rPr>
        <w:t>(Corporations Act)</w:t>
      </w:r>
      <w:r w:rsidR="003030A2">
        <w:t>, including</w:t>
      </w:r>
      <w:r w:rsidR="003030A2" w:rsidRPr="00B3760A">
        <w:t xml:space="preserve"> the </w:t>
      </w:r>
      <w:r w:rsidR="00ED12B1">
        <w:br/>
      </w:r>
      <w:r w:rsidR="003030A2" w:rsidRPr="00B3760A">
        <w:t>Design and Distribution Obligations (DDO)</w:t>
      </w:r>
      <w:r w:rsidR="003030A2">
        <w:t xml:space="preserve"> and</w:t>
      </w:r>
      <w:r w:rsidR="003030A2" w:rsidRPr="00B3760A">
        <w:t xml:space="preserve"> the Product Intervention Powers (PIP)</w:t>
      </w:r>
      <w:r w:rsidR="003030A2">
        <w:t>.</w:t>
      </w:r>
    </w:p>
    <w:p w14:paraId="7079D15A" w14:textId="4E6A6F74" w:rsidR="003030A2" w:rsidRPr="006D7FA1" w:rsidRDefault="006D7FA1" w:rsidP="0090264E">
      <w:pPr>
        <w:pStyle w:val="Bullet"/>
      </w:pPr>
      <w:r w:rsidRPr="00D94A3C">
        <w:rPr>
          <w:b/>
        </w:rPr>
        <w:t xml:space="preserve">Schedule 2 to the </w:t>
      </w:r>
      <w:r w:rsidRPr="00D94A3C">
        <w:rPr>
          <w:b/>
          <w:i/>
        </w:rPr>
        <w:t>Competition and Consumer Act 2010</w:t>
      </w:r>
      <w:r w:rsidR="00D25899">
        <w:rPr>
          <w:b/>
          <w:bCs/>
          <w:i/>
          <w:iCs/>
        </w:rPr>
        <w:t xml:space="preserve"> </w:t>
      </w:r>
      <w:r w:rsidR="00D25899" w:rsidRPr="009854E6">
        <w:rPr>
          <w:b/>
          <w:bCs/>
        </w:rPr>
        <w:t>(the Australian Consumer Law)</w:t>
      </w:r>
      <w:r w:rsidRPr="00D94A3C">
        <w:t xml:space="preserve">, </w:t>
      </w:r>
      <w:r w:rsidR="00ED12B1">
        <w:br/>
      </w:r>
      <w:r w:rsidR="00DE2056">
        <w:t xml:space="preserve">which </w:t>
      </w:r>
      <w:r w:rsidR="009242DA">
        <w:t xml:space="preserve">covers some BNPL provider conduct not covered by the ASIC Act, </w:t>
      </w:r>
      <w:r w:rsidRPr="00D94A3C">
        <w:t>including provisions around false or misleading presentation, unsolicited supplies, pricing and information standards.</w:t>
      </w:r>
    </w:p>
    <w:p w14:paraId="128A8A1E" w14:textId="44B97878" w:rsidR="008C4957" w:rsidRPr="00256F68" w:rsidRDefault="0072561D" w:rsidP="0090264E">
      <w:pPr>
        <w:pStyle w:val="Bullet"/>
      </w:pPr>
      <w:r>
        <w:rPr>
          <w:b/>
          <w:bCs/>
        </w:rPr>
        <w:t xml:space="preserve">The </w:t>
      </w:r>
      <w:r w:rsidR="00256F68" w:rsidRPr="00D94A3C">
        <w:rPr>
          <w:b/>
          <w:bCs/>
          <w:i/>
          <w:iCs/>
        </w:rPr>
        <w:t>Anti</w:t>
      </w:r>
      <w:r w:rsidR="00256F68" w:rsidRPr="00D94A3C">
        <w:rPr>
          <w:b/>
          <w:i/>
        </w:rPr>
        <w:t xml:space="preserve">-Money Laundering and Counter-Terrorism Financing Act 2006 </w:t>
      </w:r>
      <w:r w:rsidR="00256F68" w:rsidRPr="00D94A3C">
        <w:rPr>
          <w:b/>
        </w:rPr>
        <w:t>(AML/CTF Act)</w:t>
      </w:r>
      <w:r w:rsidR="00256F68" w:rsidRPr="00D94A3C">
        <w:t xml:space="preserve">, </w:t>
      </w:r>
      <w:r w:rsidR="00ED12B1">
        <w:br/>
      </w:r>
      <w:r w:rsidR="001D3A2D" w:rsidRPr="00D94A3C">
        <w:t>includ</w:t>
      </w:r>
      <w:r w:rsidR="001D3A2D">
        <w:t xml:space="preserve">es </w:t>
      </w:r>
      <w:r w:rsidR="00256F68" w:rsidRPr="00D94A3C">
        <w:t xml:space="preserve">obligations to conduct customer identification and verification procedures, </w:t>
      </w:r>
      <w:r w:rsidR="003C1715">
        <w:t xml:space="preserve">record </w:t>
      </w:r>
      <w:r w:rsidR="00256F68" w:rsidRPr="00D94A3C">
        <w:t xml:space="preserve">keeping, reporting suspicious matters, and providing periodic compliance </w:t>
      </w:r>
      <w:r w:rsidR="00256F68" w:rsidRPr="00256F68">
        <w:t>reports</w:t>
      </w:r>
      <w:r w:rsidR="003030A2" w:rsidRPr="00256F68">
        <w:t>.</w:t>
      </w:r>
      <w:r w:rsidR="005916DB" w:rsidRPr="00D94A3C">
        <w:t xml:space="preserve"> </w:t>
      </w:r>
      <w:r w:rsidR="00256F68">
        <w:t>The AML/CTF Act also</w:t>
      </w:r>
      <w:r w:rsidR="00256F68" w:rsidRPr="00D94A3C">
        <w:t xml:space="preserve"> require</w:t>
      </w:r>
      <w:r w:rsidR="00256F68">
        <w:t>s reporting entities</w:t>
      </w:r>
      <w:r w:rsidR="00256F68" w:rsidRPr="00D94A3C">
        <w:t xml:space="preserve"> to have an AML/CTF framework in place covering money laundering and terrorism financial risk assessments. </w:t>
      </w:r>
    </w:p>
    <w:p w14:paraId="416E6A47" w14:textId="579709AD" w:rsidR="003429B2" w:rsidRDefault="003429B2" w:rsidP="00D94A3C">
      <w:pPr>
        <w:pStyle w:val="Heading3"/>
      </w:pPr>
      <w:bookmarkStart w:id="10" w:name="_Toc119916347"/>
      <w:r>
        <w:t>Complaints handling and remediation</w:t>
      </w:r>
      <w:bookmarkEnd w:id="10"/>
      <w:r>
        <w:t xml:space="preserve"> </w:t>
      </w:r>
    </w:p>
    <w:p w14:paraId="7F684ED7" w14:textId="06F05CC7" w:rsidR="008378B4" w:rsidRDefault="00B01F1D" w:rsidP="008C4957">
      <w:pPr>
        <w:pStyle w:val="Bullet"/>
        <w:numPr>
          <w:ilvl w:val="0"/>
          <w:numId w:val="0"/>
        </w:numPr>
      </w:pPr>
      <w:r w:rsidRPr="00D94A3C">
        <w:t xml:space="preserve">BNPL </w:t>
      </w:r>
      <w:r w:rsidR="005336BE">
        <w:t>consumers</w:t>
      </w:r>
      <w:r>
        <w:t xml:space="preserve"> </w:t>
      </w:r>
      <w:r w:rsidRPr="00D94A3C">
        <w:t>can raise concerns to ASIC and the Australian Competition and Consumer Commission</w:t>
      </w:r>
      <w:r w:rsidR="006214EA" w:rsidRPr="005336BE">
        <w:t xml:space="preserve"> (ACCC)</w:t>
      </w:r>
      <w:r w:rsidR="00FB1693" w:rsidRPr="005336BE">
        <w:rPr>
          <w:rStyle w:val="FootnoteReference"/>
        </w:rPr>
        <w:footnoteReference w:id="9"/>
      </w:r>
      <w:r w:rsidR="00FB1693" w:rsidRPr="005336BE">
        <w:t xml:space="preserve"> </w:t>
      </w:r>
      <w:r w:rsidR="005336BE" w:rsidRPr="00D94A3C">
        <w:t>about provider</w:t>
      </w:r>
      <w:r w:rsidR="00F24A78" w:rsidRPr="005336BE">
        <w:t xml:space="preserve"> misconduct</w:t>
      </w:r>
      <w:r w:rsidRPr="00D94A3C">
        <w:t xml:space="preserve">, and through the Australian Financial Complaints Authority (AFCA) </w:t>
      </w:r>
      <w:r w:rsidR="004A644A">
        <w:t>– an independent external dispute resolution service,</w:t>
      </w:r>
      <w:r w:rsidRPr="00D94A3C">
        <w:t xml:space="preserve"> i</w:t>
      </w:r>
      <w:r w:rsidR="00200B9E">
        <w:t>f</w:t>
      </w:r>
      <w:r w:rsidRPr="00D94A3C">
        <w:t xml:space="preserve"> the</w:t>
      </w:r>
      <w:r w:rsidR="00200B9E">
        <w:t>ir</w:t>
      </w:r>
      <w:r w:rsidRPr="00D94A3C">
        <w:t xml:space="preserve"> </w:t>
      </w:r>
      <w:r w:rsidR="00004BFB" w:rsidRPr="00D94A3C">
        <w:t>BNPL provider</w:t>
      </w:r>
      <w:r w:rsidRPr="00D94A3C">
        <w:t xml:space="preserve"> is </w:t>
      </w:r>
      <w:r w:rsidR="00F00A9C">
        <w:t>a</w:t>
      </w:r>
      <w:r w:rsidRPr="00D94A3C">
        <w:t xml:space="preserve"> member of AFCA.</w:t>
      </w:r>
      <w:r w:rsidR="00374F6E" w:rsidRPr="00D94A3C">
        <w:t xml:space="preserve"> </w:t>
      </w:r>
      <w:r w:rsidR="00C81D9E" w:rsidRPr="00D94A3C" w:rsidDel="00004BFB">
        <w:t>AFCA</w:t>
      </w:r>
      <w:r w:rsidR="00AA2224" w:rsidRPr="00D94A3C" w:rsidDel="008C4957">
        <w:t xml:space="preserve"> </w:t>
      </w:r>
      <w:r w:rsidR="00AA2224" w:rsidRPr="00D94A3C">
        <w:t xml:space="preserve">can provide consumers </w:t>
      </w:r>
      <w:r w:rsidR="008C4957">
        <w:t xml:space="preserve">access to </w:t>
      </w:r>
      <w:r w:rsidR="00AA2224" w:rsidRPr="00D94A3C">
        <w:t>financial compensation,</w:t>
      </w:r>
      <w:r w:rsidR="008C4957">
        <w:t xml:space="preserve"> the</w:t>
      </w:r>
      <w:r w:rsidR="00AA2224" w:rsidDel="008C4957">
        <w:t xml:space="preserve"> </w:t>
      </w:r>
      <w:r w:rsidR="00AA2224" w:rsidRPr="00D94A3C">
        <w:t xml:space="preserve">voiding, varying, or reinstating </w:t>
      </w:r>
      <w:r w:rsidR="004D069A">
        <w:t>of</w:t>
      </w:r>
      <w:r w:rsidR="00C81D9E" w:rsidRPr="00D94A3C">
        <w:t xml:space="preserve"> </w:t>
      </w:r>
      <w:r w:rsidR="00AA2224" w:rsidRPr="00D94A3C">
        <w:t>contract</w:t>
      </w:r>
      <w:r w:rsidR="004D069A">
        <w:t>s</w:t>
      </w:r>
      <w:r w:rsidR="00AA2224" w:rsidRPr="00D94A3C">
        <w:t xml:space="preserve">, </w:t>
      </w:r>
      <w:r w:rsidR="001938FD">
        <w:t xml:space="preserve">and </w:t>
      </w:r>
      <w:r w:rsidR="00226BBE" w:rsidRPr="00D94A3C">
        <w:t>p</w:t>
      </w:r>
      <w:r w:rsidR="00AA2224" w:rsidRPr="00D94A3C">
        <w:t xml:space="preserve">rivacy </w:t>
      </w:r>
      <w:r w:rsidR="00226BBE" w:rsidRPr="00D94A3C">
        <w:t>related remedies or</w:t>
      </w:r>
      <w:r w:rsidR="00AA2224" w:rsidRPr="00D94A3C">
        <w:t xml:space="preserve"> formal apolog</w:t>
      </w:r>
      <w:r w:rsidR="00226BBE" w:rsidRPr="00D94A3C">
        <w:t>ies</w:t>
      </w:r>
      <w:r w:rsidR="00AA2224" w:rsidRPr="00D94A3C">
        <w:t>.</w:t>
      </w:r>
      <w:r w:rsidR="00AA2224" w:rsidRPr="0090264E">
        <w:rPr>
          <w:vertAlign w:val="superscript"/>
        </w:rPr>
        <w:footnoteReference w:id="10"/>
      </w:r>
      <w:r w:rsidR="00AA2224" w:rsidRPr="00D94A3C">
        <w:t xml:space="preserve"> </w:t>
      </w:r>
    </w:p>
    <w:p w14:paraId="0A4E9D1C" w14:textId="23508B5F" w:rsidR="00AA2224" w:rsidRDefault="00AA2224" w:rsidP="008C4957">
      <w:pPr>
        <w:pStyle w:val="Bullet"/>
        <w:numPr>
          <w:ilvl w:val="0"/>
          <w:numId w:val="0"/>
        </w:numPr>
      </w:pPr>
      <w:r w:rsidRPr="00D94A3C">
        <w:lastRenderedPageBreak/>
        <w:t xml:space="preserve">In cases of financial difficulty, </w:t>
      </w:r>
      <w:r w:rsidR="00A748C4">
        <w:t>contracts may be varied to</w:t>
      </w:r>
      <w:r w:rsidR="00A748C4" w:rsidRPr="00D94A3C">
        <w:t xml:space="preserve"> </w:t>
      </w:r>
      <w:r w:rsidR="00A748C4">
        <w:t xml:space="preserve">extend </w:t>
      </w:r>
      <w:r w:rsidRPr="00D94A3C">
        <w:t>the contract period, postpon</w:t>
      </w:r>
      <w:r w:rsidR="00A748C4">
        <w:t xml:space="preserve">e </w:t>
      </w:r>
      <w:r w:rsidRPr="00D94A3C">
        <w:t>repayments for a specified period</w:t>
      </w:r>
      <w:r w:rsidR="00E44315">
        <w:t xml:space="preserve"> and</w:t>
      </w:r>
      <w:r w:rsidR="00A4471F">
        <w:t xml:space="preserve"> </w:t>
      </w:r>
      <w:r w:rsidRPr="00D94A3C">
        <w:t>chang</w:t>
      </w:r>
      <w:r w:rsidR="00A748C4">
        <w:t>e</w:t>
      </w:r>
      <w:r w:rsidRPr="00D94A3C">
        <w:t xml:space="preserve"> payment arrangements or reduc</w:t>
      </w:r>
      <w:r w:rsidR="00A748C4">
        <w:t>e</w:t>
      </w:r>
      <w:r w:rsidRPr="00D94A3C">
        <w:t xml:space="preserve"> loan interest rates.</w:t>
      </w:r>
      <w:r w:rsidRPr="0090264E">
        <w:rPr>
          <w:vertAlign w:val="superscript"/>
        </w:rPr>
        <w:footnoteReference w:id="11"/>
      </w:r>
      <w:r w:rsidR="00DF0721" w:rsidRPr="00485853">
        <w:rPr>
          <w:vertAlign w:val="superscript"/>
        </w:rPr>
        <w:t xml:space="preserve"> </w:t>
      </w:r>
      <w:r w:rsidR="003435C1">
        <w:t>However, A</w:t>
      </w:r>
      <w:r w:rsidR="00DF0721" w:rsidRPr="00D94A3C">
        <w:t xml:space="preserve">FCA cannot </w:t>
      </w:r>
      <w:r w:rsidR="00AF47C4">
        <w:t xml:space="preserve">make a ruling against </w:t>
      </w:r>
      <w:r w:rsidR="00DF0721" w:rsidRPr="00D94A3C">
        <w:t xml:space="preserve">BNPL providers </w:t>
      </w:r>
      <w:r w:rsidR="00AF47C4">
        <w:t xml:space="preserve">in relation </w:t>
      </w:r>
      <w:r w:rsidR="00DF0721" w:rsidRPr="00D94A3C">
        <w:t xml:space="preserve">to </w:t>
      </w:r>
      <w:r w:rsidR="00AF47C4">
        <w:t xml:space="preserve">the </w:t>
      </w:r>
      <w:r w:rsidR="00DF0721" w:rsidRPr="00D94A3C">
        <w:t xml:space="preserve">obligations of </w:t>
      </w:r>
      <w:r w:rsidR="00AF47C4">
        <w:t>the Credit Act</w:t>
      </w:r>
      <w:r w:rsidR="00DD49C7" w:rsidRPr="002B3846">
        <w:t xml:space="preserve">, </w:t>
      </w:r>
      <w:r w:rsidR="00DD49C7" w:rsidRPr="0018395C">
        <w:t>such as the assessment of the credit risk posed by a borrower</w:t>
      </w:r>
      <w:r w:rsidR="00DD49C7" w:rsidRPr="002B3846">
        <w:t>,</w:t>
      </w:r>
      <w:r w:rsidR="00DF0721" w:rsidRPr="002B3846">
        <w:t xml:space="preserve"> and it cannot</w:t>
      </w:r>
      <w:r w:rsidR="00DF0721" w:rsidRPr="00D94A3C">
        <w:t xml:space="preserve"> determine that a consumer should have their debt waived.</w:t>
      </w:r>
      <w:r w:rsidR="00501EB9">
        <w:t xml:space="preserve"> This issue also applies to other credit products.</w:t>
      </w:r>
    </w:p>
    <w:p w14:paraId="3D18FFCD" w14:textId="4D6FDAE6" w:rsidR="00F64991" w:rsidRPr="008D3893" w:rsidRDefault="00377E6E" w:rsidP="00D94A3C">
      <w:pPr>
        <w:pStyle w:val="Heading2"/>
      </w:pPr>
      <w:bookmarkStart w:id="11" w:name="_Toc119916348"/>
      <w:r>
        <w:t>What is the BNPL Industry Code of Practice</w:t>
      </w:r>
      <w:r w:rsidR="00167702">
        <w:t>?</w:t>
      </w:r>
      <w:bookmarkEnd w:id="11"/>
    </w:p>
    <w:p w14:paraId="201BB3E7" w14:textId="3C7FB9E9" w:rsidR="00403FDA" w:rsidRDefault="008E7DBB" w:rsidP="00BB18F2">
      <w:pPr>
        <w:spacing w:line="276" w:lineRule="auto"/>
      </w:pPr>
      <w:r>
        <w:t xml:space="preserve">Industry self-regulation </w:t>
      </w:r>
      <w:r w:rsidR="004D5EFB">
        <w:t xml:space="preserve">can </w:t>
      </w:r>
      <w:r>
        <w:t>pla</w:t>
      </w:r>
      <w:r w:rsidR="00321E5E">
        <w:t>y</w:t>
      </w:r>
      <w:r>
        <w:t xml:space="preserve"> a role in setting best business practice standards and often </w:t>
      </w:r>
      <w:r w:rsidR="00827282">
        <w:t>establish</w:t>
      </w:r>
      <w:r w:rsidR="004D5EFB">
        <w:t>es</w:t>
      </w:r>
      <w:r w:rsidR="00827282">
        <w:t xml:space="preserve"> conditions</w:t>
      </w:r>
      <w:r>
        <w:t xml:space="preserve"> that go above what is required under the law. </w:t>
      </w:r>
      <w:r w:rsidR="00BB18F2">
        <w:t xml:space="preserve">The Australian Financial Industry Association (AFIA) developed the </w:t>
      </w:r>
      <w:r w:rsidR="00F043D2">
        <w:t xml:space="preserve">BNPL </w:t>
      </w:r>
      <w:r w:rsidR="00436BF7">
        <w:t>I</w:t>
      </w:r>
      <w:r>
        <w:t>ndustry Code, which came into effect from 1 March 2021.</w:t>
      </w:r>
      <w:r w:rsidR="00F01D90">
        <w:t xml:space="preserve"> </w:t>
      </w:r>
      <w:r w:rsidR="007E54C7">
        <w:t>Adherence to</w:t>
      </w:r>
      <w:r w:rsidR="0037638B">
        <w:t xml:space="preserve"> the Industry Code is</w:t>
      </w:r>
      <w:r w:rsidR="007E54C7">
        <w:t xml:space="preserve"> monitored by its Code Compliance Committee </w:t>
      </w:r>
      <w:r w:rsidR="00A94DEF">
        <w:t>and AFCA has regard to commitments made by signatories in its handling of complaints.</w:t>
      </w:r>
      <w:r>
        <w:t xml:space="preserve"> </w:t>
      </w:r>
    </w:p>
    <w:p w14:paraId="42EF342B" w14:textId="4B1189D2" w:rsidR="00BB18F2" w:rsidRDefault="00BB18F2" w:rsidP="00BB18F2">
      <w:pPr>
        <w:spacing w:line="276" w:lineRule="auto"/>
      </w:pPr>
      <w:r>
        <w:t xml:space="preserve">To date, nine BNPL providers are signatories of the </w:t>
      </w:r>
      <w:r w:rsidR="00547656">
        <w:t xml:space="preserve">Industry </w:t>
      </w:r>
      <w:r>
        <w:t xml:space="preserve">Code – Afterpay, Brighte, Humm, Klarna, Latitude, Openpay, Payright, Plenti and Zip. AFIA claims that the Industry Code </w:t>
      </w:r>
      <w:r w:rsidRPr="00153A50">
        <w:t>covered 95 per cent of all BNPL accounts</w:t>
      </w:r>
      <w:r w:rsidR="00AA73B1">
        <w:t xml:space="preserve"> as of June 2022</w:t>
      </w:r>
      <w:r>
        <w:t>.</w:t>
      </w:r>
      <w:r>
        <w:rPr>
          <w:rStyle w:val="FootnoteReference"/>
        </w:rPr>
        <w:footnoteReference w:id="12"/>
      </w:r>
      <w:r w:rsidR="00AD78AD">
        <w:t xml:space="preserve"> The</w:t>
      </w:r>
      <w:r>
        <w:t xml:space="preserve"> Commonwealth Bank of Australia, PayPal, and </w:t>
      </w:r>
      <w:r w:rsidR="00B46F12">
        <w:t xml:space="preserve">some </w:t>
      </w:r>
      <w:r>
        <w:t xml:space="preserve">smaller BNPL </w:t>
      </w:r>
      <w:r w:rsidR="00B46F12">
        <w:t xml:space="preserve">providers </w:t>
      </w:r>
      <w:r>
        <w:t xml:space="preserve">are not signatories to the Industry Code. Key features of the Industry Code include: </w:t>
      </w:r>
    </w:p>
    <w:p w14:paraId="0CF87F9B" w14:textId="161D7E95" w:rsidR="00BB18F2" w:rsidRPr="00D94A3C" w:rsidRDefault="007C2D7C" w:rsidP="00BB18F2">
      <w:pPr>
        <w:pStyle w:val="Bullet"/>
      </w:pPr>
      <w:r w:rsidRPr="00D94A3C">
        <w:rPr>
          <w:b/>
        </w:rPr>
        <w:t xml:space="preserve">Tiered suitability </w:t>
      </w:r>
      <w:r w:rsidR="00020839" w:rsidRPr="00D94A3C">
        <w:rPr>
          <w:b/>
        </w:rPr>
        <w:t xml:space="preserve">assessments </w:t>
      </w:r>
      <w:r w:rsidR="00485853">
        <w:t>–</w:t>
      </w:r>
      <w:r w:rsidR="00FE7721">
        <w:t xml:space="preserve"> </w:t>
      </w:r>
      <w:r w:rsidR="00FE7721">
        <w:rPr>
          <w:color w:val="000000"/>
        </w:rPr>
        <w:t>For transactions above</w:t>
      </w:r>
      <w:r w:rsidR="00FE7721" w:rsidRPr="00A52513">
        <w:rPr>
          <w:color w:val="000000"/>
        </w:rPr>
        <w:t xml:space="preserve"> $2</w:t>
      </w:r>
      <w:r w:rsidR="00FE7721">
        <w:rPr>
          <w:color w:val="000000"/>
        </w:rPr>
        <w:t>,</w:t>
      </w:r>
      <w:r w:rsidR="00FE7721" w:rsidRPr="00A52513">
        <w:rPr>
          <w:color w:val="000000"/>
        </w:rPr>
        <w:t>000, the</w:t>
      </w:r>
      <w:r w:rsidR="00FE7721">
        <w:rPr>
          <w:color w:val="000000"/>
        </w:rPr>
        <w:t xml:space="preserve"> Industry</w:t>
      </w:r>
      <w:r w:rsidR="00FE7721" w:rsidRPr="00A52513">
        <w:rPr>
          <w:color w:val="000000"/>
        </w:rPr>
        <w:t xml:space="preserve"> </w:t>
      </w:r>
      <w:r w:rsidR="00FE7721">
        <w:rPr>
          <w:color w:val="000000"/>
        </w:rPr>
        <w:t>Code requires providers</w:t>
      </w:r>
      <w:r w:rsidR="00FE7721" w:rsidRPr="00A52513">
        <w:rPr>
          <w:color w:val="000000"/>
        </w:rPr>
        <w:t xml:space="preserve"> to check either customer data or third</w:t>
      </w:r>
      <w:r w:rsidR="00FE7721">
        <w:rPr>
          <w:color w:val="000000"/>
        </w:rPr>
        <w:t>-</w:t>
      </w:r>
      <w:r w:rsidR="00FE7721" w:rsidRPr="00A52513">
        <w:rPr>
          <w:color w:val="000000"/>
        </w:rPr>
        <w:t xml:space="preserve">party </w:t>
      </w:r>
      <w:r w:rsidR="00FE7721">
        <w:rPr>
          <w:color w:val="000000"/>
        </w:rPr>
        <w:t xml:space="preserve">sourced </w:t>
      </w:r>
      <w:r w:rsidR="00FE7721" w:rsidRPr="00A52513">
        <w:rPr>
          <w:color w:val="000000"/>
        </w:rPr>
        <w:t>data</w:t>
      </w:r>
      <w:r w:rsidR="00FE7721">
        <w:rPr>
          <w:color w:val="000000"/>
        </w:rPr>
        <w:t xml:space="preserve">, such as a credit check. </w:t>
      </w:r>
      <w:r w:rsidR="00237F4B">
        <w:rPr>
          <w:color w:val="000000"/>
        </w:rPr>
        <w:br/>
      </w:r>
      <w:r w:rsidR="00FE7721">
        <w:rPr>
          <w:color w:val="000000"/>
        </w:rPr>
        <w:t>F</w:t>
      </w:r>
      <w:r w:rsidR="00FE7721" w:rsidRPr="00A52513">
        <w:rPr>
          <w:color w:val="000000"/>
        </w:rPr>
        <w:t xml:space="preserve">or amounts over $15,000, a check of </w:t>
      </w:r>
      <w:r w:rsidR="00FE7721" w:rsidRPr="002801CD">
        <w:rPr>
          <w:color w:val="000000"/>
        </w:rPr>
        <w:t>both</w:t>
      </w:r>
      <w:r w:rsidR="00FE7721">
        <w:rPr>
          <w:color w:val="000000"/>
        </w:rPr>
        <w:t xml:space="preserve"> </w:t>
      </w:r>
      <w:r w:rsidR="00FE7721" w:rsidRPr="00A52513">
        <w:rPr>
          <w:color w:val="000000"/>
        </w:rPr>
        <w:t>customer data and third</w:t>
      </w:r>
      <w:r w:rsidR="00FE7721">
        <w:rPr>
          <w:color w:val="000000"/>
        </w:rPr>
        <w:t>-</w:t>
      </w:r>
      <w:r w:rsidR="00FE7721" w:rsidRPr="00A52513">
        <w:rPr>
          <w:color w:val="000000"/>
        </w:rPr>
        <w:t xml:space="preserve">party </w:t>
      </w:r>
      <w:r w:rsidR="00FE7721">
        <w:rPr>
          <w:color w:val="000000"/>
        </w:rPr>
        <w:t xml:space="preserve">sourced </w:t>
      </w:r>
      <w:r w:rsidR="00FE7721" w:rsidRPr="00A52513">
        <w:rPr>
          <w:color w:val="000000"/>
        </w:rPr>
        <w:t>data is required.</w:t>
      </w:r>
      <w:r w:rsidR="00237F4B" w:rsidRPr="00A52513">
        <w:rPr>
          <w:rStyle w:val="FootnoteReference"/>
          <w:color w:val="000000"/>
        </w:rPr>
        <w:footnoteReference w:id="13"/>
      </w:r>
      <w:r w:rsidR="00237F4B" w:rsidRPr="00A52513">
        <w:rPr>
          <w:color w:val="000000"/>
        </w:rPr>
        <w:t xml:space="preserve"> </w:t>
      </w:r>
    </w:p>
    <w:p w14:paraId="1D9A4283" w14:textId="027107C2" w:rsidR="00237F4B" w:rsidRPr="00D94A3C" w:rsidRDefault="001F1F9F" w:rsidP="00BB18F2">
      <w:pPr>
        <w:pStyle w:val="Bullet"/>
        <w:rPr>
          <w:b/>
        </w:rPr>
      </w:pPr>
      <w:r w:rsidRPr="00D94A3C">
        <w:rPr>
          <w:b/>
        </w:rPr>
        <w:t xml:space="preserve">Complaint handling </w:t>
      </w:r>
      <w:r w:rsidR="00485853">
        <w:rPr>
          <w:b/>
          <w:bCs/>
        </w:rPr>
        <w:t>–</w:t>
      </w:r>
      <w:r>
        <w:rPr>
          <w:b/>
          <w:bCs/>
        </w:rPr>
        <w:t xml:space="preserve"> </w:t>
      </w:r>
      <w:r w:rsidRPr="00A52513">
        <w:rPr>
          <w:color w:val="000000"/>
        </w:rPr>
        <w:t xml:space="preserve">The </w:t>
      </w:r>
      <w:r>
        <w:rPr>
          <w:color w:val="000000"/>
        </w:rPr>
        <w:t xml:space="preserve">Industry </w:t>
      </w:r>
      <w:r w:rsidRPr="00A52513">
        <w:rPr>
          <w:color w:val="000000"/>
        </w:rPr>
        <w:t xml:space="preserve">Code </w:t>
      </w:r>
      <w:r>
        <w:rPr>
          <w:color w:val="000000"/>
        </w:rPr>
        <w:t xml:space="preserve">mirrors the Credit Act by requiring </w:t>
      </w:r>
      <w:r w:rsidR="00430E7C">
        <w:rPr>
          <w:color w:val="000000"/>
        </w:rPr>
        <w:t>signatories to implement</w:t>
      </w:r>
      <w:r>
        <w:rPr>
          <w:color w:val="000000"/>
        </w:rPr>
        <w:t xml:space="preserve"> internal dispute resolution procedures that meet the ASIC standard on dispute resolution</w:t>
      </w:r>
      <w:r>
        <w:rPr>
          <w:rStyle w:val="FootnoteReference"/>
          <w:color w:val="000000"/>
        </w:rPr>
        <w:footnoteReference w:id="14"/>
      </w:r>
      <w:r w:rsidRPr="003E0E82">
        <w:rPr>
          <w:color w:val="000000"/>
        </w:rPr>
        <w:t xml:space="preserve"> </w:t>
      </w:r>
      <w:r>
        <w:rPr>
          <w:color w:val="000000"/>
        </w:rPr>
        <w:t xml:space="preserve">and </w:t>
      </w:r>
      <w:r w:rsidRPr="00A52513">
        <w:rPr>
          <w:color w:val="000000"/>
        </w:rPr>
        <w:t xml:space="preserve">to be members of </w:t>
      </w:r>
      <w:r>
        <w:rPr>
          <w:color w:val="000000"/>
        </w:rPr>
        <w:t>AFCA.</w:t>
      </w:r>
      <w:r w:rsidRPr="00A52513">
        <w:rPr>
          <w:rStyle w:val="FootnoteReference"/>
          <w:color w:val="000000"/>
        </w:rPr>
        <w:footnoteReference w:id="15"/>
      </w:r>
      <w:r>
        <w:rPr>
          <w:color w:val="000000"/>
        </w:rPr>
        <w:t xml:space="preserve"> The Industry Code also required provide</w:t>
      </w:r>
      <w:r w:rsidR="00F0267B">
        <w:rPr>
          <w:color w:val="000000"/>
        </w:rPr>
        <w:t>r</w:t>
      </w:r>
      <w:r>
        <w:rPr>
          <w:color w:val="000000"/>
        </w:rPr>
        <w:t xml:space="preserve">s to have </w:t>
      </w:r>
      <w:r w:rsidRPr="00A52513">
        <w:rPr>
          <w:color w:val="000000"/>
        </w:rPr>
        <w:t>a transparent and accessible complaints policy</w:t>
      </w:r>
      <w:r>
        <w:rPr>
          <w:color w:val="000000"/>
        </w:rPr>
        <w:t>.</w:t>
      </w:r>
      <w:r w:rsidR="009A57E6">
        <w:rPr>
          <w:rStyle w:val="FootnoteReference"/>
          <w:color w:val="000000"/>
        </w:rPr>
        <w:footnoteReference w:id="16"/>
      </w:r>
      <w:r>
        <w:rPr>
          <w:color w:val="000000"/>
        </w:rPr>
        <w:t xml:space="preserve"> </w:t>
      </w:r>
    </w:p>
    <w:p w14:paraId="4B64B67B" w14:textId="63FF82FE" w:rsidR="000B6BC6" w:rsidRPr="00D94A3C" w:rsidRDefault="000B6BC6" w:rsidP="00BB18F2">
      <w:pPr>
        <w:pStyle w:val="Bullet"/>
        <w:rPr>
          <w:b/>
        </w:rPr>
      </w:pPr>
      <w:r>
        <w:rPr>
          <w:b/>
          <w:bCs/>
        </w:rPr>
        <w:t xml:space="preserve">Hardship provisions </w:t>
      </w:r>
      <w:r w:rsidR="00485853">
        <w:rPr>
          <w:b/>
          <w:bCs/>
        </w:rPr>
        <w:t>–</w:t>
      </w:r>
      <w:r>
        <w:rPr>
          <w:b/>
          <w:bCs/>
        </w:rPr>
        <w:t xml:space="preserve"> </w:t>
      </w:r>
      <w:r w:rsidRPr="00A52513">
        <w:rPr>
          <w:color w:val="000000"/>
        </w:rPr>
        <w:t xml:space="preserve">The </w:t>
      </w:r>
      <w:r>
        <w:rPr>
          <w:color w:val="000000"/>
        </w:rPr>
        <w:t xml:space="preserve">Industry </w:t>
      </w:r>
      <w:r w:rsidRPr="00A52513">
        <w:rPr>
          <w:color w:val="000000"/>
        </w:rPr>
        <w:t xml:space="preserve">Code </w:t>
      </w:r>
      <w:r>
        <w:rPr>
          <w:color w:val="000000"/>
        </w:rPr>
        <w:t xml:space="preserve">mirrors the Credit Act by requiring commitment to offer consumers </w:t>
      </w:r>
      <w:r w:rsidRPr="00A52513">
        <w:rPr>
          <w:color w:val="000000"/>
        </w:rPr>
        <w:t>financial hardship assistance</w:t>
      </w:r>
      <w:r w:rsidR="00051886">
        <w:rPr>
          <w:color w:val="000000"/>
        </w:rPr>
        <w:t>.</w:t>
      </w:r>
      <w:r w:rsidRPr="00A52513">
        <w:rPr>
          <w:rStyle w:val="FootnoteReference"/>
          <w:color w:val="000000"/>
        </w:rPr>
        <w:footnoteReference w:id="17"/>
      </w:r>
      <w:r w:rsidRPr="00A52513">
        <w:rPr>
          <w:color w:val="000000"/>
        </w:rPr>
        <w:t xml:space="preserve"> </w:t>
      </w:r>
      <w:r w:rsidR="00051886">
        <w:rPr>
          <w:color w:val="000000"/>
        </w:rPr>
        <w:t>This includes</w:t>
      </w:r>
      <w:r w:rsidRPr="00A52513">
        <w:rPr>
          <w:color w:val="000000"/>
        </w:rPr>
        <w:t xml:space="preserve"> discuss</w:t>
      </w:r>
      <w:r>
        <w:rPr>
          <w:color w:val="000000"/>
        </w:rPr>
        <w:t>ing</w:t>
      </w:r>
      <w:r w:rsidRPr="00A52513">
        <w:rPr>
          <w:color w:val="000000"/>
        </w:rPr>
        <w:t xml:space="preserve"> </w:t>
      </w:r>
      <w:r w:rsidR="000D588A">
        <w:rPr>
          <w:color w:val="000000"/>
        </w:rPr>
        <w:t>contract variation</w:t>
      </w:r>
      <w:r w:rsidRPr="00A52513">
        <w:rPr>
          <w:color w:val="000000"/>
        </w:rPr>
        <w:t xml:space="preserve"> options available </w:t>
      </w:r>
      <w:r w:rsidR="00E36EA7">
        <w:rPr>
          <w:color w:val="000000"/>
        </w:rPr>
        <w:t>to</w:t>
      </w:r>
      <w:r w:rsidR="00E36EA7" w:rsidRPr="00A52513">
        <w:rPr>
          <w:color w:val="000000"/>
        </w:rPr>
        <w:t xml:space="preserve"> </w:t>
      </w:r>
      <w:r w:rsidRPr="00A52513">
        <w:rPr>
          <w:color w:val="000000"/>
        </w:rPr>
        <w:t>consumers</w:t>
      </w:r>
      <w:r w:rsidR="00E92B6C">
        <w:rPr>
          <w:rStyle w:val="CommentReference"/>
          <w:sz w:val="22"/>
          <w:szCs w:val="22"/>
        </w:rPr>
        <w:t>,</w:t>
      </w:r>
      <w:r w:rsidR="00A4238A" w:rsidRPr="009350B9">
        <w:rPr>
          <w:rStyle w:val="CommentReference"/>
          <w:sz w:val="22"/>
          <w:szCs w:val="22"/>
        </w:rPr>
        <w:t xml:space="preserve"> as well as</w:t>
      </w:r>
      <w:r>
        <w:rPr>
          <w:rStyle w:val="CommentReference"/>
        </w:rPr>
        <w:t xml:space="preserve"> </w:t>
      </w:r>
      <w:r w:rsidRPr="00A52513">
        <w:rPr>
          <w:color w:val="000000"/>
        </w:rPr>
        <w:t>consider</w:t>
      </w:r>
      <w:r>
        <w:rPr>
          <w:color w:val="000000"/>
        </w:rPr>
        <w:t>ing</w:t>
      </w:r>
      <w:r w:rsidRPr="00A52513">
        <w:rPr>
          <w:color w:val="000000"/>
        </w:rPr>
        <w:t xml:space="preserve"> hardship request</w:t>
      </w:r>
      <w:r w:rsidR="008B5572">
        <w:rPr>
          <w:color w:val="000000"/>
        </w:rPr>
        <w:t>s</w:t>
      </w:r>
      <w:r w:rsidRPr="00A52513">
        <w:rPr>
          <w:color w:val="000000"/>
        </w:rPr>
        <w:t xml:space="preserve"> and provid</w:t>
      </w:r>
      <w:r>
        <w:rPr>
          <w:color w:val="000000"/>
        </w:rPr>
        <w:t>ing</w:t>
      </w:r>
      <w:r w:rsidRPr="00A52513">
        <w:rPr>
          <w:color w:val="000000"/>
        </w:rPr>
        <w:t xml:space="preserve"> </w:t>
      </w:r>
      <w:r w:rsidR="008B5572">
        <w:rPr>
          <w:color w:val="000000"/>
        </w:rPr>
        <w:t xml:space="preserve">requisite </w:t>
      </w:r>
      <w:r w:rsidRPr="00A52513">
        <w:rPr>
          <w:color w:val="000000"/>
        </w:rPr>
        <w:t>information within 21 calendar days</w:t>
      </w:r>
      <w:r>
        <w:rPr>
          <w:color w:val="000000"/>
        </w:rPr>
        <w:t xml:space="preserve"> </w:t>
      </w:r>
      <w:r w:rsidR="0016107B">
        <w:rPr>
          <w:color w:val="000000"/>
        </w:rPr>
        <w:t xml:space="preserve">of </w:t>
      </w:r>
      <w:r>
        <w:rPr>
          <w:color w:val="000000"/>
        </w:rPr>
        <w:t>receipt</w:t>
      </w:r>
      <w:r w:rsidRPr="00A52513">
        <w:rPr>
          <w:color w:val="000000"/>
        </w:rPr>
        <w:t>.</w:t>
      </w:r>
    </w:p>
    <w:p w14:paraId="59F95C5A" w14:textId="280E15C6" w:rsidR="000B6BC6" w:rsidRPr="00D94A3C" w:rsidRDefault="000B6BC6" w:rsidP="00BB18F2">
      <w:pPr>
        <w:pStyle w:val="Bullet"/>
        <w:rPr>
          <w:b/>
        </w:rPr>
      </w:pPr>
      <w:r>
        <w:rPr>
          <w:b/>
          <w:bCs/>
        </w:rPr>
        <w:t xml:space="preserve">Disclosure obligations </w:t>
      </w:r>
      <w:r w:rsidR="00485853">
        <w:rPr>
          <w:b/>
          <w:bCs/>
        </w:rPr>
        <w:t>–</w:t>
      </w:r>
      <w:r>
        <w:rPr>
          <w:b/>
          <w:bCs/>
        </w:rPr>
        <w:t xml:space="preserve"> </w:t>
      </w:r>
      <w:r w:rsidR="00403FDA">
        <w:t>The Industry Code requires BNPL providers to provide information about schedule</w:t>
      </w:r>
      <w:r w:rsidR="00900750">
        <w:t>d payments</w:t>
      </w:r>
      <w:r w:rsidR="00403FDA">
        <w:t>, late payments, and changes to product terms and conditions.</w:t>
      </w:r>
    </w:p>
    <w:p w14:paraId="126DAB27" w14:textId="3D7E8A4A" w:rsidR="00502A90" w:rsidRPr="00E25D52" w:rsidRDefault="00502A90" w:rsidP="00D94A3C">
      <w:pPr>
        <w:pStyle w:val="Bullet"/>
      </w:pPr>
      <w:r>
        <w:rPr>
          <w:b/>
          <w:bCs/>
        </w:rPr>
        <w:t xml:space="preserve">Reasonable practices – </w:t>
      </w:r>
      <w:r w:rsidR="00485853">
        <w:t>T</w:t>
      </w:r>
      <w:r w:rsidRPr="00D94A3C">
        <w:t xml:space="preserve">he </w:t>
      </w:r>
      <w:r>
        <w:t>Industry Code requires missed or late payment fees charged by its signatories to be fair, reasonable, and capped.</w:t>
      </w:r>
      <w:r>
        <w:rPr>
          <w:rStyle w:val="FootnoteReference"/>
        </w:rPr>
        <w:footnoteReference w:id="18"/>
      </w:r>
      <w:r>
        <w:t xml:space="preserve"> </w:t>
      </w:r>
      <w:r w:rsidR="00693C77">
        <w:t>C</w:t>
      </w:r>
      <w:r w:rsidDel="005D536C">
        <w:t>onsumers</w:t>
      </w:r>
      <w:r w:rsidR="00693C77">
        <w:t xml:space="preserve"> must be provided</w:t>
      </w:r>
      <w:r w:rsidDel="005D536C">
        <w:t xml:space="preserve"> timely reminders of the repayment obligation</w:t>
      </w:r>
      <w:r w:rsidR="00693C77">
        <w:t xml:space="preserve"> to help avoid arrears and related charges</w:t>
      </w:r>
      <w:r w:rsidDel="005D536C">
        <w:t>.</w:t>
      </w:r>
    </w:p>
    <w:p w14:paraId="24AC97DE" w14:textId="5B6C948C" w:rsidR="00E10E09" w:rsidRPr="00D94A3C" w:rsidRDefault="008D1810" w:rsidP="00D94A3C">
      <w:pPr>
        <w:pStyle w:val="Bullet"/>
        <w:rPr>
          <w:b/>
        </w:rPr>
      </w:pPr>
      <w:r>
        <w:rPr>
          <w:b/>
          <w:bCs/>
        </w:rPr>
        <w:lastRenderedPageBreak/>
        <w:t xml:space="preserve">Minimum standards for merchant and retail partners </w:t>
      </w:r>
      <w:r w:rsidR="00485853">
        <w:rPr>
          <w:b/>
          <w:bCs/>
        </w:rPr>
        <w:t>–</w:t>
      </w:r>
      <w:r>
        <w:rPr>
          <w:b/>
          <w:bCs/>
        </w:rPr>
        <w:t xml:space="preserve"> </w:t>
      </w:r>
      <w:r w:rsidR="00A72277">
        <w:rPr>
          <w:color w:val="000000"/>
        </w:rPr>
        <w:t>BNPL providers must take reasonable steps to ensure merchants are not engaging in unsolicited marketing or unlawfully selling</w:t>
      </w:r>
      <w:r w:rsidR="00B452DB">
        <w:rPr>
          <w:color w:val="000000"/>
        </w:rPr>
        <w:t xml:space="preserve"> of</w:t>
      </w:r>
      <w:r w:rsidR="00A72277">
        <w:rPr>
          <w:color w:val="000000"/>
        </w:rPr>
        <w:t xml:space="preserve"> its </w:t>
      </w:r>
      <w:r w:rsidR="00A72277" w:rsidRPr="00A52513">
        <w:rPr>
          <w:color w:val="000000"/>
        </w:rPr>
        <w:t>products and services.</w:t>
      </w:r>
      <w:r w:rsidR="00850703">
        <w:rPr>
          <w:color w:val="000000"/>
        </w:rPr>
        <w:t xml:space="preserve"> The unsolicited sale of credit cards (including increase of credit limits) and debit cards are prohibited under the Credit Act, the ASIC Act, and the Australian consumer law.</w:t>
      </w:r>
    </w:p>
    <w:p w14:paraId="0B241B42" w14:textId="1CEB385E" w:rsidR="0097095E" w:rsidRPr="00484E98" w:rsidRDefault="00BB18F2" w:rsidP="0097095E">
      <w:pPr>
        <w:spacing w:line="276" w:lineRule="auto"/>
      </w:pPr>
      <w:r>
        <w:t>T</w:t>
      </w:r>
      <w:r w:rsidR="006B331F">
        <w:t>he Industry Code is not law and is not enforceable</w:t>
      </w:r>
      <w:r w:rsidR="003F11F8">
        <w:t>.</w:t>
      </w:r>
      <w:r w:rsidR="006B331F">
        <w:t xml:space="preserve"> </w:t>
      </w:r>
      <w:r w:rsidR="003F11F8">
        <w:t>T</w:t>
      </w:r>
      <w:r w:rsidR="00483A0C">
        <w:t xml:space="preserve">he failure of Industry Code signatories to comply </w:t>
      </w:r>
      <w:r w:rsidR="003D5A55">
        <w:t>with i</w:t>
      </w:r>
      <w:r w:rsidR="00C01460">
        <w:t>t</w:t>
      </w:r>
      <w:r w:rsidR="003D5A55">
        <w:t xml:space="preserve">s </w:t>
      </w:r>
      <w:r w:rsidR="00C01460">
        <w:t>obligations</w:t>
      </w:r>
      <w:r w:rsidR="00483A0C">
        <w:t xml:space="preserve"> does not attract penalties. </w:t>
      </w:r>
      <w:r w:rsidR="009A2549">
        <w:t>I</w:t>
      </w:r>
      <w:r w:rsidR="002112D8">
        <w:t xml:space="preserve">n 2021, the </w:t>
      </w:r>
      <w:r w:rsidR="00A82EF2">
        <w:t xml:space="preserve">Australian </w:t>
      </w:r>
      <w:r w:rsidR="002112D8">
        <w:t>Government established</w:t>
      </w:r>
      <w:r w:rsidR="00625F57">
        <w:t xml:space="preserve"> a regime</w:t>
      </w:r>
      <w:r w:rsidR="00403727">
        <w:t xml:space="preserve"> allow</w:t>
      </w:r>
      <w:r w:rsidR="00625F57">
        <w:t>ing</w:t>
      </w:r>
      <w:r w:rsidR="002112D8">
        <w:t xml:space="preserve"> industry </w:t>
      </w:r>
      <w:r w:rsidR="00625F57">
        <w:t xml:space="preserve">bodies </w:t>
      </w:r>
      <w:r w:rsidR="002112D8">
        <w:t xml:space="preserve">to apply to ASIC to </w:t>
      </w:r>
      <w:r w:rsidR="00625F57">
        <w:t>have</w:t>
      </w:r>
      <w:r w:rsidR="00FA01A8">
        <w:t xml:space="preserve"> certain </w:t>
      </w:r>
      <w:r w:rsidR="002112D8">
        <w:t xml:space="preserve">provisions </w:t>
      </w:r>
      <w:r w:rsidR="002B3D8F">
        <w:t>of an</w:t>
      </w:r>
      <w:r w:rsidR="002112D8">
        <w:t xml:space="preserve"> industry </w:t>
      </w:r>
      <w:r w:rsidR="002B3D8F">
        <w:t>code</w:t>
      </w:r>
      <w:r w:rsidR="00403727">
        <w:rPr>
          <w:rStyle w:val="FootnoteReference"/>
        </w:rPr>
        <w:footnoteReference w:id="19"/>
      </w:r>
      <w:r w:rsidR="002112D8">
        <w:t xml:space="preserve"> enforceable by ASIC</w:t>
      </w:r>
      <w:r w:rsidR="0073706A">
        <w:t>.</w:t>
      </w:r>
      <w:r w:rsidR="00272C97">
        <w:t xml:space="preserve"> However, the current Industry Code is not </w:t>
      </w:r>
      <w:r w:rsidR="00DD3633">
        <w:t xml:space="preserve">ASIC enforceable. </w:t>
      </w:r>
    </w:p>
    <w:p w14:paraId="4B8F47DE" w14:textId="79B7DFFF" w:rsidR="00FB4CA1" w:rsidRPr="00D94A3C" w:rsidRDefault="00875717" w:rsidP="00D94A3C">
      <w:pPr>
        <w:pStyle w:val="Heading1"/>
        <w:rPr>
          <w:rStyle w:val="Heading2Char"/>
          <w:color w:val="5D779D" w:themeColor="accent3"/>
          <w:sz w:val="44"/>
          <w:szCs w:val="36"/>
        </w:rPr>
      </w:pPr>
      <w:r w:rsidDel="00215282">
        <w:br w:type="column"/>
      </w:r>
      <w:bookmarkStart w:id="12" w:name="_Toc119916349"/>
      <w:r w:rsidR="00BE7437" w:rsidRPr="00207310">
        <w:rPr>
          <w:rStyle w:val="Heading2Char"/>
          <w:iCs w:val="0"/>
          <w:color w:val="5D779D" w:themeColor="accent3"/>
          <w:sz w:val="44"/>
          <w:szCs w:val="36"/>
        </w:rPr>
        <w:lastRenderedPageBreak/>
        <w:t xml:space="preserve">Regulatory </w:t>
      </w:r>
      <w:r w:rsidR="00FF044F">
        <w:rPr>
          <w:rStyle w:val="Heading2Char"/>
          <w:iCs w:val="0"/>
          <w:color w:val="5D779D" w:themeColor="accent3"/>
          <w:sz w:val="44"/>
          <w:szCs w:val="36"/>
        </w:rPr>
        <w:t>i</w:t>
      </w:r>
      <w:r w:rsidR="00BE7437" w:rsidRPr="00207310">
        <w:rPr>
          <w:rStyle w:val="Heading2Char"/>
          <w:iCs w:val="0"/>
          <w:color w:val="5D779D" w:themeColor="accent3"/>
          <w:sz w:val="44"/>
          <w:szCs w:val="36"/>
        </w:rPr>
        <w:t xml:space="preserve">ssues with </w:t>
      </w:r>
      <w:r w:rsidR="00A1745F">
        <w:rPr>
          <w:rStyle w:val="Heading2Char"/>
          <w:iCs w:val="0"/>
          <w:color w:val="5D779D" w:themeColor="accent3"/>
          <w:sz w:val="44"/>
          <w:szCs w:val="36"/>
        </w:rPr>
        <w:t>BNPL</w:t>
      </w:r>
      <w:bookmarkEnd w:id="12"/>
    </w:p>
    <w:p w14:paraId="4506F17D" w14:textId="4E1D4B00" w:rsidR="007C091A" w:rsidRDefault="00450769" w:rsidP="0006495B">
      <w:pPr>
        <w:pStyle w:val="Bullet"/>
        <w:numPr>
          <w:ilvl w:val="0"/>
          <w:numId w:val="0"/>
        </w:numPr>
        <w:rPr>
          <w:rFonts w:cstheme="minorHAnsi"/>
        </w:rPr>
      </w:pPr>
      <w:r>
        <w:rPr>
          <w:rFonts w:cstheme="minorHAnsi"/>
        </w:rPr>
        <w:t xml:space="preserve">Treasury </w:t>
      </w:r>
      <w:r w:rsidR="00050A7E">
        <w:rPr>
          <w:rFonts w:cstheme="minorHAnsi"/>
        </w:rPr>
        <w:t>continues to monitor</w:t>
      </w:r>
      <w:r w:rsidR="00C10D7E">
        <w:rPr>
          <w:rFonts w:cstheme="minorHAnsi"/>
        </w:rPr>
        <w:t xml:space="preserve"> the</w:t>
      </w:r>
      <w:r w:rsidR="00860946">
        <w:rPr>
          <w:rFonts w:cstheme="minorHAnsi"/>
        </w:rPr>
        <w:t xml:space="preserve"> </w:t>
      </w:r>
      <w:r w:rsidR="00C10D7E">
        <w:rPr>
          <w:rFonts w:cstheme="minorHAnsi"/>
        </w:rPr>
        <w:t xml:space="preserve">BNPL </w:t>
      </w:r>
      <w:r w:rsidR="00860946">
        <w:rPr>
          <w:rFonts w:cstheme="minorHAnsi"/>
        </w:rPr>
        <w:t xml:space="preserve">market </w:t>
      </w:r>
      <w:r w:rsidR="00C10D7E">
        <w:rPr>
          <w:rFonts w:cstheme="minorHAnsi"/>
        </w:rPr>
        <w:t>a</w:t>
      </w:r>
      <w:r w:rsidR="00860946">
        <w:rPr>
          <w:rFonts w:cstheme="minorHAnsi"/>
        </w:rPr>
        <w:t>nd</w:t>
      </w:r>
      <w:r>
        <w:rPr>
          <w:rFonts w:cstheme="minorHAnsi"/>
        </w:rPr>
        <w:t xml:space="preserve"> </w:t>
      </w:r>
      <w:r w:rsidR="00C10D7E">
        <w:rPr>
          <w:rFonts w:cstheme="minorHAnsi"/>
        </w:rPr>
        <w:t xml:space="preserve">has </w:t>
      </w:r>
      <w:r w:rsidR="00970A63">
        <w:rPr>
          <w:rFonts w:cstheme="minorHAnsi"/>
        </w:rPr>
        <w:t>formally</w:t>
      </w:r>
      <w:r w:rsidR="00996483" w:rsidRPr="00996483" w:rsidDel="00970A63">
        <w:rPr>
          <w:rFonts w:cstheme="minorHAnsi"/>
        </w:rPr>
        <w:t xml:space="preserve"> </w:t>
      </w:r>
      <w:r w:rsidR="00970A63" w:rsidRPr="00996483">
        <w:rPr>
          <w:rFonts w:cstheme="minorHAnsi"/>
        </w:rPr>
        <w:t>consult</w:t>
      </w:r>
      <w:r w:rsidR="00970A63">
        <w:rPr>
          <w:rFonts w:cstheme="minorHAnsi"/>
        </w:rPr>
        <w:t>ed</w:t>
      </w:r>
      <w:r w:rsidR="00996483" w:rsidRPr="00996483">
        <w:rPr>
          <w:rFonts w:cstheme="minorHAnsi"/>
        </w:rPr>
        <w:t xml:space="preserve"> with </w:t>
      </w:r>
      <w:r w:rsidR="005D6A04">
        <w:rPr>
          <w:rFonts w:cstheme="minorHAnsi"/>
        </w:rPr>
        <w:t>around 20</w:t>
      </w:r>
      <w:r w:rsidR="00996483" w:rsidRPr="00996483">
        <w:rPr>
          <w:rFonts w:cstheme="minorHAnsi"/>
        </w:rPr>
        <w:t xml:space="preserve"> consumer groups</w:t>
      </w:r>
      <w:r>
        <w:rPr>
          <w:rFonts w:cstheme="minorHAnsi"/>
        </w:rPr>
        <w:t xml:space="preserve">, </w:t>
      </w:r>
      <w:r w:rsidR="00996483" w:rsidRPr="00996483">
        <w:rPr>
          <w:rFonts w:cstheme="minorHAnsi"/>
        </w:rPr>
        <w:t>industry</w:t>
      </w:r>
      <w:r>
        <w:rPr>
          <w:rFonts w:cstheme="minorHAnsi"/>
        </w:rPr>
        <w:t xml:space="preserve"> associations,</w:t>
      </w:r>
      <w:r w:rsidR="00737574">
        <w:rPr>
          <w:rFonts w:cstheme="minorHAnsi"/>
        </w:rPr>
        <w:t xml:space="preserve"> regulators,</w:t>
      </w:r>
      <w:r>
        <w:rPr>
          <w:rFonts w:cstheme="minorHAnsi"/>
        </w:rPr>
        <w:t xml:space="preserve"> BNPL providers and </w:t>
      </w:r>
      <w:r w:rsidR="0042640B">
        <w:rPr>
          <w:rFonts w:cstheme="minorHAnsi"/>
        </w:rPr>
        <w:t>other financial firms</w:t>
      </w:r>
      <w:r w:rsidR="003F3C32">
        <w:rPr>
          <w:rFonts w:cstheme="minorHAnsi"/>
        </w:rPr>
        <w:t xml:space="preserve">, </w:t>
      </w:r>
      <w:r w:rsidR="00C10D7E">
        <w:rPr>
          <w:rFonts w:cstheme="minorHAnsi"/>
        </w:rPr>
        <w:t>on the regulatory arrangement</w:t>
      </w:r>
      <w:r w:rsidR="00D96C03">
        <w:rPr>
          <w:rFonts w:cstheme="minorHAnsi"/>
        </w:rPr>
        <w:t>s</w:t>
      </w:r>
      <w:r w:rsidR="00C10D7E">
        <w:rPr>
          <w:rFonts w:cstheme="minorHAnsi"/>
        </w:rPr>
        <w:t xml:space="preserve"> for BNPL.</w:t>
      </w:r>
      <w:r w:rsidR="004D3DBE">
        <w:rPr>
          <w:rFonts w:cstheme="minorHAnsi"/>
        </w:rPr>
        <w:t xml:space="preserve"> </w:t>
      </w:r>
      <w:r w:rsidR="00263E86">
        <w:rPr>
          <w:rFonts w:cstheme="minorHAnsi"/>
        </w:rPr>
        <w:t xml:space="preserve">These conversations </w:t>
      </w:r>
      <w:r w:rsidR="00C44393">
        <w:rPr>
          <w:rFonts w:cstheme="minorHAnsi"/>
        </w:rPr>
        <w:t>are</w:t>
      </w:r>
      <w:r w:rsidR="00E5704D">
        <w:rPr>
          <w:rFonts w:cstheme="minorHAnsi"/>
        </w:rPr>
        <w:t xml:space="preserve"> </w:t>
      </w:r>
      <w:r w:rsidR="00263E86">
        <w:rPr>
          <w:rFonts w:cstheme="minorHAnsi"/>
        </w:rPr>
        <w:t xml:space="preserve">in addition to </w:t>
      </w:r>
      <w:r w:rsidR="00C44393">
        <w:rPr>
          <w:rFonts w:cstheme="minorHAnsi"/>
        </w:rPr>
        <w:t>Treasury’s</w:t>
      </w:r>
      <w:r w:rsidR="00932297">
        <w:rPr>
          <w:rFonts w:cstheme="minorHAnsi"/>
        </w:rPr>
        <w:t xml:space="preserve"> ongoing</w:t>
      </w:r>
      <w:r w:rsidR="00263E86">
        <w:rPr>
          <w:rFonts w:cstheme="minorHAnsi"/>
        </w:rPr>
        <w:t xml:space="preserve"> stakeholder engagement activities with the financial services sector</w:t>
      </w:r>
      <w:r w:rsidR="00E5704D">
        <w:rPr>
          <w:rFonts w:cstheme="minorHAnsi"/>
        </w:rPr>
        <w:t xml:space="preserve"> where BNPL is regularly discussed</w:t>
      </w:r>
      <w:r w:rsidR="00C10D7E">
        <w:rPr>
          <w:rFonts w:cstheme="minorHAnsi"/>
        </w:rPr>
        <w:t>.</w:t>
      </w:r>
      <w:r w:rsidR="004D3DBE">
        <w:rPr>
          <w:rFonts w:cstheme="minorHAnsi"/>
        </w:rPr>
        <w:t xml:space="preserve"> </w:t>
      </w:r>
    </w:p>
    <w:p w14:paraId="1CA33E22" w14:textId="6703E448" w:rsidR="008A336B" w:rsidRDefault="00D14039" w:rsidP="0006495B">
      <w:pPr>
        <w:pStyle w:val="Bullet"/>
        <w:numPr>
          <w:ilvl w:val="0"/>
          <w:numId w:val="0"/>
        </w:numPr>
      </w:pPr>
      <w:r>
        <w:rPr>
          <w:rFonts w:cstheme="minorHAnsi"/>
        </w:rPr>
        <w:t xml:space="preserve">The issues outlined below summarise what Treasury </w:t>
      </w:r>
      <w:r w:rsidR="0084444C">
        <w:rPr>
          <w:rFonts w:cstheme="minorHAnsi"/>
        </w:rPr>
        <w:t>learn</w:t>
      </w:r>
      <w:r w:rsidR="002E13BF">
        <w:rPr>
          <w:rFonts w:cstheme="minorHAnsi"/>
        </w:rPr>
        <w:t>ed</w:t>
      </w:r>
      <w:r>
        <w:rPr>
          <w:rFonts w:cstheme="minorHAnsi"/>
        </w:rPr>
        <w:t xml:space="preserve"> during this process</w:t>
      </w:r>
      <w:r w:rsidR="00936F23">
        <w:rPr>
          <w:rFonts w:cstheme="minorHAnsi"/>
        </w:rPr>
        <w:t>, and where possible is supported by</w:t>
      </w:r>
      <w:r w:rsidR="00377084">
        <w:rPr>
          <w:rFonts w:cstheme="minorHAnsi"/>
        </w:rPr>
        <w:t xml:space="preserve"> </w:t>
      </w:r>
      <w:r w:rsidR="00076DA4">
        <w:rPr>
          <w:rFonts w:cstheme="minorHAnsi"/>
        </w:rPr>
        <w:t xml:space="preserve">the </w:t>
      </w:r>
      <w:r w:rsidR="00322529">
        <w:rPr>
          <w:rFonts w:cstheme="minorHAnsi"/>
        </w:rPr>
        <w:t xml:space="preserve">available </w:t>
      </w:r>
      <w:r w:rsidR="009B1662">
        <w:rPr>
          <w:rFonts w:cstheme="minorHAnsi"/>
        </w:rPr>
        <w:t>data</w:t>
      </w:r>
      <w:r w:rsidR="00377084">
        <w:rPr>
          <w:rFonts w:cstheme="minorHAnsi"/>
        </w:rPr>
        <w:t xml:space="preserve">. </w:t>
      </w:r>
      <w:r w:rsidR="00ED7E74">
        <w:rPr>
          <w:rFonts w:cstheme="minorHAnsi"/>
        </w:rPr>
        <w:t>As a result, t</w:t>
      </w:r>
      <w:r w:rsidR="00ED7E74">
        <w:t>he evidence base for the issues identified below var</w:t>
      </w:r>
      <w:r w:rsidR="00881FC0">
        <w:t>y</w:t>
      </w:r>
      <w:r w:rsidR="00ED7E74">
        <w:t xml:space="preserve">, </w:t>
      </w:r>
      <w:r w:rsidR="002558D4">
        <w:t>with some</w:t>
      </w:r>
      <w:r w:rsidR="00ED7E74">
        <w:t xml:space="preserve"> </w:t>
      </w:r>
      <w:r w:rsidR="00881FC0">
        <w:t xml:space="preserve">issues </w:t>
      </w:r>
      <w:r w:rsidR="00ED7E74">
        <w:t xml:space="preserve">limited to anecdotal evidence, </w:t>
      </w:r>
      <w:r w:rsidR="00881FC0">
        <w:t xml:space="preserve">while </w:t>
      </w:r>
      <w:r w:rsidR="00ED7E74">
        <w:t xml:space="preserve">others are supported by </w:t>
      </w:r>
      <w:r w:rsidR="002558D4">
        <w:t>limited</w:t>
      </w:r>
      <w:r w:rsidR="00ED7E74">
        <w:t xml:space="preserve"> data</w:t>
      </w:r>
      <w:r w:rsidR="00F64EC8">
        <w:t>.</w:t>
      </w:r>
      <w:r w:rsidR="00ED7E74">
        <w:t xml:space="preserve"> </w:t>
      </w:r>
      <w:r w:rsidR="00F64EC8">
        <w:t>The</w:t>
      </w:r>
      <w:r w:rsidR="00ED7E74">
        <w:t xml:space="preserve"> data </w:t>
      </w:r>
      <w:r w:rsidR="00B96355">
        <w:t xml:space="preserve">quality </w:t>
      </w:r>
      <w:r w:rsidR="00915E6E">
        <w:t xml:space="preserve">and consistency </w:t>
      </w:r>
      <w:r w:rsidR="00F64EC8">
        <w:t xml:space="preserve">also vary </w:t>
      </w:r>
      <w:r w:rsidR="00065E3E">
        <w:t>from issue to issue</w:t>
      </w:r>
      <w:r w:rsidR="00ED7E74">
        <w:t xml:space="preserve">. </w:t>
      </w:r>
    </w:p>
    <w:p w14:paraId="0B9F7364" w14:textId="64A1DC5F" w:rsidR="00422A92" w:rsidRDefault="002050CE" w:rsidP="00422A92">
      <w:pPr>
        <w:pStyle w:val="Bullet"/>
        <w:numPr>
          <w:ilvl w:val="0"/>
          <w:numId w:val="0"/>
        </w:numPr>
        <w:rPr>
          <w:rFonts w:cstheme="minorHAnsi"/>
        </w:rPr>
      </w:pPr>
      <w:r>
        <w:t>C</w:t>
      </w:r>
      <w:r w:rsidR="008A336B">
        <w:t xml:space="preserve">onsultation </w:t>
      </w:r>
      <w:r w:rsidR="00747012">
        <w:t xml:space="preserve">participants placed a </w:t>
      </w:r>
      <w:r w:rsidR="009C597B">
        <w:rPr>
          <w:rFonts w:cstheme="minorHAnsi"/>
        </w:rPr>
        <w:t xml:space="preserve">significant focus on </w:t>
      </w:r>
      <w:r w:rsidR="00AC716E">
        <w:rPr>
          <w:rFonts w:cstheme="minorHAnsi"/>
        </w:rPr>
        <w:t xml:space="preserve">the </w:t>
      </w:r>
      <w:r w:rsidR="009C597B">
        <w:rPr>
          <w:rFonts w:cstheme="minorHAnsi"/>
        </w:rPr>
        <w:t>harms</w:t>
      </w:r>
      <w:r w:rsidR="00AC716E">
        <w:rPr>
          <w:rFonts w:cstheme="minorHAnsi"/>
        </w:rPr>
        <w:t xml:space="preserve"> consumers may experience from BNPL products</w:t>
      </w:r>
      <w:r w:rsidR="00B75202">
        <w:rPr>
          <w:rFonts w:cstheme="minorHAnsi"/>
        </w:rPr>
        <w:t xml:space="preserve">. However, </w:t>
      </w:r>
      <w:r w:rsidR="009E7DAE">
        <w:rPr>
          <w:rFonts w:cstheme="minorHAnsi"/>
        </w:rPr>
        <w:t xml:space="preserve">these issues </w:t>
      </w:r>
      <w:r w:rsidR="00017623">
        <w:rPr>
          <w:rFonts w:cstheme="minorHAnsi"/>
        </w:rPr>
        <w:t>should be understood in the context of the benefits BNPL can bring to consumers</w:t>
      </w:r>
      <w:r w:rsidR="009801F4">
        <w:rPr>
          <w:rFonts w:cstheme="minorHAnsi"/>
        </w:rPr>
        <w:t>, such as income smoothing and bringing forward the consumption of goods</w:t>
      </w:r>
      <w:r w:rsidR="00017623">
        <w:rPr>
          <w:rFonts w:cstheme="minorHAnsi"/>
        </w:rPr>
        <w:t xml:space="preserve">. </w:t>
      </w:r>
      <w:r w:rsidR="00BF6508">
        <w:rPr>
          <w:rFonts w:cstheme="minorHAnsi"/>
        </w:rPr>
        <w:t>The</w:t>
      </w:r>
      <w:r w:rsidR="00422A92">
        <w:rPr>
          <w:rFonts w:cstheme="minorHAnsi"/>
        </w:rPr>
        <w:t xml:space="preserve"> BNPL industry is not homogenous</w:t>
      </w:r>
      <w:r w:rsidR="00050678">
        <w:rPr>
          <w:rFonts w:cstheme="minorHAnsi"/>
        </w:rPr>
        <w:t>,</w:t>
      </w:r>
      <w:r w:rsidR="00422A92">
        <w:rPr>
          <w:rFonts w:cstheme="minorHAnsi"/>
        </w:rPr>
        <w:t xml:space="preserve"> and </w:t>
      </w:r>
      <w:r w:rsidR="00C53E27">
        <w:rPr>
          <w:rFonts w:cstheme="minorHAnsi"/>
        </w:rPr>
        <w:t xml:space="preserve">different providers offer </w:t>
      </w:r>
      <w:r w:rsidR="00422A92">
        <w:rPr>
          <w:rFonts w:cstheme="minorHAnsi"/>
        </w:rPr>
        <w:t xml:space="preserve">a range of diverse products. As a result, the nature and severity of the issues </w:t>
      </w:r>
      <w:r w:rsidR="00C53E27">
        <w:rPr>
          <w:rFonts w:cstheme="minorHAnsi"/>
        </w:rPr>
        <w:t xml:space="preserve">vary </w:t>
      </w:r>
      <w:r w:rsidR="00422A92">
        <w:rPr>
          <w:rFonts w:cstheme="minorHAnsi"/>
        </w:rPr>
        <w:t>from product to product</w:t>
      </w:r>
      <w:r>
        <w:rPr>
          <w:rFonts w:cstheme="minorHAnsi"/>
        </w:rPr>
        <w:t>, and from provider to provider</w:t>
      </w:r>
      <w:r w:rsidR="00422A92">
        <w:rPr>
          <w:rFonts w:cstheme="minorHAnsi"/>
        </w:rPr>
        <w:t xml:space="preserve">. </w:t>
      </w:r>
    </w:p>
    <w:p w14:paraId="2A4CACFA" w14:textId="5E9E7AA1" w:rsidR="009E7DAE" w:rsidRDefault="00422A92" w:rsidP="0006495B">
      <w:pPr>
        <w:pStyle w:val="Bullet"/>
        <w:numPr>
          <w:ilvl w:val="0"/>
          <w:numId w:val="0"/>
        </w:numPr>
        <w:rPr>
          <w:rFonts w:cstheme="minorHAnsi"/>
        </w:rPr>
      </w:pPr>
      <w:r>
        <w:t xml:space="preserve">Treasury welcomes stakeholders </w:t>
      </w:r>
      <w:r w:rsidR="006958E3">
        <w:t>providing</w:t>
      </w:r>
      <w:r>
        <w:t xml:space="preserve"> </w:t>
      </w:r>
      <w:r w:rsidR="005911B4">
        <w:t xml:space="preserve">supporting </w:t>
      </w:r>
      <w:r w:rsidRPr="00C30365">
        <w:t xml:space="preserve">analysis </w:t>
      </w:r>
      <w:r>
        <w:t>and</w:t>
      </w:r>
      <w:r w:rsidRPr="00C30365">
        <w:t xml:space="preserve"> evidence </w:t>
      </w:r>
      <w:r w:rsidR="005911B4">
        <w:t xml:space="preserve">(including data) </w:t>
      </w:r>
      <w:r w:rsidRPr="00C30365">
        <w:t xml:space="preserve">of consumer </w:t>
      </w:r>
      <w:r>
        <w:t>impacts</w:t>
      </w:r>
      <w:r w:rsidR="005911B4">
        <w:t xml:space="preserve"> (both positive and negative)</w:t>
      </w:r>
      <w:r>
        <w:t xml:space="preserve"> arising </w:t>
      </w:r>
      <w:r w:rsidR="00847154">
        <w:t>from</w:t>
      </w:r>
      <w:r w:rsidR="00AC66A2">
        <w:t xml:space="preserve"> BNPL products</w:t>
      </w:r>
      <w:r w:rsidR="00ED7E74">
        <w:t xml:space="preserve"> in their submissions</w:t>
      </w:r>
      <w:r>
        <w:t>.</w:t>
      </w:r>
      <w:r w:rsidR="00420E9F">
        <w:t xml:space="preserve"> </w:t>
      </w:r>
    </w:p>
    <w:p w14:paraId="5869EC32" w14:textId="390E4073" w:rsidR="00B36F05" w:rsidRDefault="00576E02" w:rsidP="00760D00">
      <w:pPr>
        <w:pStyle w:val="Heading3"/>
      </w:pPr>
      <w:bookmarkStart w:id="13" w:name="_Toc119916350"/>
      <w:r>
        <w:t>Unaffordable lending practices</w:t>
      </w:r>
      <w:bookmarkEnd w:id="13"/>
    </w:p>
    <w:p w14:paraId="0A98F45E" w14:textId="4A3BAFAC" w:rsidR="00070670" w:rsidRPr="00070670" w:rsidRDefault="009B2543" w:rsidP="00760D00">
      <w:pPr>
        <w:pStyle w:val="Heading4"/>
      </w:pPr>
      <w:r>
        <w:t>Some v</w:t>
      </w:r>
      <w:r w:rsidR="009813EC">
        <w:t xml:space="preserve">ulnerable BNPL </w:t>
      </w:r>
      <w:r w:rsidR="002E6D4A">
        <w:t xml:space="preserve">consumers </w:t>
      </w:r>
      <w:r w:rsidR="009813EC">
        <w:t xml:space="preserve">are cutting back </w:t>
      </w:r>
      <w:r>
        <w:t xml:space="preserve">on </w:t>
      </w:r>
      <w:r w:rsidR="009813EC">
        <w:t>essential</w:t>
      </w:r>
      <w:r w:rsidR="00C70D83">
        <w:t>s</w:t>
      </w:r>
      <w:r w:rsidR="009813EC">
        <w:t xml:space="preserve"> to pay BNPL debt</w:t>
      </w:r>
      <w:r w:rsidR="00070670" w:rsidRPr="00070670">
        <w:t xml:space="preserve"> </w:t>
      </w:r>
    </w:p>
    <w:p w14:paraId="69C46303" w14:textId="59F5C940" w:rsidR="007A1462" w:rsidRDefault="0066756F" w:rsidP="002F5D97">
      <w:pPr>
        <w:pStyle w:val="Bullet"/>
        <w:numPr>
          <w:ilvl w:val="0"/>
          <w:numId w:val="0"/>
        </w:numPr>
      </w:pPr>
      <w:r>
        <w:t>S</w:t>
      </w:r>
      <w:r w:rsidR="00F723F4">
        <w:t xml:space="preserve">ome </w:t>
      </w:r>
      <w:r w:rsidR="00F723F4" w:rsidRPr="009D0940">
        <w:t xml:space="preserve">consumers </w:t>
      </w:r>
      <w:r w:rsidR="001C1E73">
        <w:t xml:space="preserve">who use BNPL </w:t>
      </w:r>
      <w:r w:rsidR="00F723F4">
        <w:t>experienc</w:t>
      </w:r>
      <w:r w:rsidR="00E37CE7">
        <w:t>e increased levels of</w:t>
      </w:r>
      <w:r w:rsidR="00F723F4" w:rsidRPr="009D0940">
        <w:t xml:space="preserve"> financial stress</w:t>
      </w:r>
      <w:r w:rsidR="001C1E73">
        <w:t xml:space="preserve"> and negative outcomes</w:t>
      </w:r>
      <w:r w:rsidR="006F5E95">
        <w:t xml:space="preserve">, including </w:t>
      </w:r>
      <w:r w:rsidR="001C1E73">
        <w:t xml:space="preserve">missed </w:t>
      </w:r>
      <w:r w:rsidR="006F5E95">
        <w:t>BNPL</w:t>
      </w:r>
      <w:r w:rsidR="001C1E73">
        <w:t xml:space="preserve"> repayments and </w:t>
      </w:r>
      <w:r w:rsidR="000943F2">
        <w:t xml:space="preserve">additional </w:t>
      </w:r>
      <w:r w:rsidR="000954F9">
        <w:t>fees</w:t>
      </w:r>
      <w:r w:rsidR="009B17AD">
        <w:t>,</w:t>
      </w:r>
      <w:r w:rsidR="000954F9">
        <w:t xml:space="preserve"> </w:t>
      </w:r>
      <w:r w:rsidR="00F723F4">
        <w:t>miss</w:t>
      </w:r>
      <w:r w:rsidR="001C1E73">
        <w:t>ed</w:t>
      </w:r>
      <w:r w:rsidR="00F723F4">
        <w:t xml:space="preserve"> or </w:t>
      </w:r>
      <w:r w:rsidR="006F5E95">
        <w:t xml:space="preserve">late payments for non-BNPL </w:t>
      </w:r>
      <w:r w:rsidR="00F723F4">
        <w:t xml:space="preserve">bills, </w:t>
      </w:r>
      <w:r w:rsidR="006F5E95">
        <w:t>reduced expenditure on essential items such as groceries</w:t>
      </w:r>
      <w:r w:rsidR="00F723F4">
        <w:t xml:space="preserve">, </w:t>
      </w:r>
      <w:r w:rsidR="009B17AD">
        <w:t>or</w:t>
      </w:r>
      <w:r w:rsidR="00F723F4">
        <w:t xml:space="preserve"> </w:t>
      </w:r>
      <w:r w:rsidR="0016215E">
        <w:t xml:space="preserve">the need to take </w:t>
      </w:r>
      <w:r w:rsidR="00F723F4">
        <w:t xml:space="preserve">out additional </w:t>
      </w:r>
      <w:r w:rsidR="006F5E95">
        <w:t>and potentially</w:t>
      </w:r>
      <w:r w:rsidR="00F723F4">
        <w:t xml:space="preserve"> more expensive credit to repay BNPL debts.</w:t>
      </w:r>
      <w:r w:rsidR="006B2896">
        <w:t xml:space="preserve"> </w:t>
      </w:r>
      <w:r w:rsidR="007829C2">
        <w:t xml:space="preserve">Treasury notes these issues </w:t>
      </w:r>
      <w:r w:rsidR="009E6FA1">
        <w:t>also</w:t>
      </w:r>
      <w:r w:rsidR="007829C2">
        <w:t xml:space="preserve"> apply to non-BNPL credit products. </w:t>
      </w:r>
    </w:p>
    <w:p w14:paraId="6ED20BC1" w14:textId="4E00AB65" w:rsidR="00E91D69" w:rsidRDefault="002401EA" w:rsidP="00760D00">
      <w:pPr>
        <w:pStyle w:val="Bullet"/>
        <w:numPr>
          <w:ilvl w:val="0"/>
          <w:numId w:val="0"/>
        </w:numPr>
      </w:pPr>
      <w:r>
        <w:t xml:space="preserve">ASIC’s </w:t>
      </w:r>
      <w:r w:rsidR="00532CFB">
        <w:t>C</w:t>
      </w:r>
      <w:r>
        <w:t xml:space="preserve">onsumer </w:t>
      </w:r>
      <w:r w:rsidR="00532CFB">
        <w:t>M</w:t>
      </w:r>
      <w:r>
        <w:t xml:space="preserve">onitor </w:t>
      </w:r>
      <w:r w:rsidR="00532CFB">
        <w:t xml:space="preserve">monthly survey </w:t>
      </w:r>
      <w:r w:rsidR="007829C2">
        <w:t>report</w:t>
      </w:r>
      <w:r w:rsidDel="007829C2">
        <w:t xml:space="preserve"> </w:t>
      </w:r>
      <w:r w:rsidR="00532CFB">
        <w:t xml:space="preserve">for quarter 1 of 2022, </w:t>
      </w:r>
      <w:r>
        <w:t xml:space="preserve">found </w:t>
      </w:r>
      <w:r w:rsidRPr="00F61CB7">
        <w:rPr>
          <w:rFonts w:cstheme="minorHAnsi"/>
        </w:rPr>
        <w:t>19</w:t>
      </w:r>
      <w:r w:rsidRPr="00194633">
        <w:t xml:space="preserve"> </w:t>
      </w:r>
      <w:r w:rsidRPr="009D0940">
        <w:t>per cent</w:t>
      </w:r>
      <w:r w:rsidRPr="00F61CB7">
        <w:rPr>
          <w:rFonts w:cstheme="minorHAnsi"/>
        </w:rPr>
        <w:t xml:space="preserve"> of BNPL consumers surveyed cut back</w:t>
      </w:r>
      <w:r w:rsidR="00E37CE7">
        <w:rPr>
          <w:rFonts w:cstheme="minorHAnsi"/>
        </w:rPr>
        <w:t xml:space="preserve"> or </w:t>
      </w:r>
      <w:r w:rsidRPr="00F61CB7">
        <w:rPr>
          <w:rFonts w:cstheme="minorHAnsi"/>
        </w:rPr>
        <w:t>went without essentials to make BNPL repayments on time</w:t>
      </w:r>
      <w:r>
        <w:rPr>
          <w:rFonts w:cstheme="minorHAnsi"/>
        </w:rPr>
        <w:t>.</w:t>
      </w:r>
      <w:r>
        <w:t xml:space="preserve"> </w:t>
      </w:r>
      <w:r w:rsidR="002F5D97">
        <w:t>Chart 1</w:t>
      </w:r>
      <w:r w:rsidR="00A75B95">
        <w:t xml:space="preserve"> </w:t>
      </w:r>
      <w:r w:rsidR="00482263">
        <w:t>shows</w:t>
      </w:r>
      <w:r w:rsidR="00F723F4">
        <w:t xml:space="preserve"> a </w:t>
      </w:r>
      <w:r w:rsidR="002F5D97">
        <w:t xml:space="preserve">relationship </w:t>
      </w:r>
      <w:r w:rsidR="00F723F4">
        <w:t xml:space="preserve">between users of </w:t>
      </w:r>
      <w:r w:rsidR="002F5D97">
        <w:t xml:space="preserve">certain credit </w:t>
      </w:r>
      <w:r w:rsidR="00F723F4">
        <w:t xml:space="preserve">products and </w:t>
      </w:r>
      <w:r w:rsidR="004352E4">
        <w:t xml:space="preserve">increased </w:t>
      </w:r>
      <w:r w:rsidR="00F723F4">
        <w:t>financial stress.</w:t>
      </w:r>
      <w:r w:rsidR="002F5D97">
        <w:rPr>
          <w:rStyle w:val="FootnoteReference"/>
        </w:rPr>
        <w:footnoteReference w:id="20"/>
      </w:r>
      <w:r w:rsidR="004352E4">
        <w:t xml:space="preserve"> </w:t>
      </w:r>
      <w:r w:rsidR="00192C51">
        <w:t>It</w:t>
      </w:r>
      <w:r w:rsidR="00F723F4" w:rsidRPr="009D0940" w:rsidDel="00C30139">
        <w:t xml:space="preserve"> </w:t>
      </w:r>
      <w:r w:rsidR="00C30139">
        <w:t>shows</w:t>
      </w:r>
      <w:r w:rsidR="00F723F4" w:rsidRPr="009D0940">
        <w:t xml:space="preserve"> 23</w:t>
      </w:r>
      <w:r w:rsidR="00F723F4">
        <w:t> </w:t>
      </w:r>
      <w:r w:rsidR="00F723F4" w:rsidRPr="009D0940">
        <w:t xml:space="preserve">per cent of BNPL users experienced one of the </w:t>
      </w:r>
      <w:r w:rsidR="007C5113" w:rsidRPr="007C5113">
        <w:t>Household Income and Labour Dynamics in Australia (HILDA)</w:t>
      </w:r>
      <w:r w:rsidR="000E3581">
        <w:t xml:space="preserve"> </w:t>
      </w:r>
      <w:r w:rsidR="00F723F4" w:rsidRPr="009D0940">
        <w:t>financial stress indicators</w:t>
      </w:r>
      <w:r w:rsidR="00397211">
        <w:t>;</w:t>
      </w:r>
      <w:r w:rsidR="00F723F4">
        <w:rPr>
          <w:rStyle w:val="FootnoteReference"/>
        </w:rPr>
        <w:footnoteReference w:id="21"/>
      </w:r>
      <w:r w:rsidR="00F723F4" w:rsidRPr="009D0940">
        <w:t xml:space="preserve"> and 19 per cent experienced two or more stress indicators.</w:t>
      </w:r>
      <w:r w:rsidR="00F723F4">
        <w:t xml:space="preserve"> </w:t>
      </w:r>
    </w:p>
    <w:p w14:paraId="6F741859" w14:textId="337CC3F2" w:rsidR="00210D44" w:rsidRDefault="00210D44" w:rsidP="00210D44">
      <w:pPr>
        <w:pStyle w:val="Bullet"/>
        <w:numPr>
          <w:ilvl w:val="0"/>
          <w:numId w:val="0"/>
        </w:numPr>
      </w:pPr>
      <w:r>
        <w:t xml:space="preserve">A similar proportion of BNPL </w:t>
      </w:r>
      <w:r w:rsidRPr="00E91D69">
        <w:t xml:space="preserve">users </w:t>
      </w:r>
      <w:r>
        <w:t>experienced</w:t>
      </w:r>
      <w:r w:rsidRPr="00E91D69">
        <w:t xml:space="preserve"> </w:t>
      </w:r>
      <w:r>
        <w:t>two or more</w:t>
      </w:r>
      <w:r w:rsidRPr="00E91D69">
        <w:t xml:space="preserve"> financial stress indicators as </w:t>
      </w:r>
      <w:r w:rsidR="00B84F85">
        <w:t>recipients of</w:t>
      </w:r>
      <w:r w:rsidRPr="00E91D69">
        <w:t xml:space="preserve"> </w:t>
      </w:r>
      <w:r>
        <w:t xml:space="preserve">regulated </w:t>
      </w:r>
      <w:r w:rsidRPr="00E91D69">
        <w:t>car finance and personal loans above $5,000</w:t>
      </w:r>
      <w:r>
        <w:t xml:space="preserve"> – respectively </w:t>
      </w:r>
      <w:r w:rsidRPr="00E91D69">
        <w:t>20</w:t>
      </w:r>
      <w:r>
        <w:t> </w:t>
      </w:r>
      <w:r w:rsidRPr="009D0940">
        <w:t>per cent</w:t>
      </w:r>
      <w:r w:rsidRPr="00E91D69">
        <w:t xml:space="preserve"> and 17</w:t>
      </w:r>
      <w:r w:rsidRPr="00194633">
        <w:t xml:space="preserve"> </w:t>
      </w:r>
      <w:r w:rsidRPr="009D0940">
        <w:t>per cent</w:t>
      </w:r>
      <w:r>
        <w:t xml:space="preserve"> of relevant consumers</w:t>
      </w:r>
      <w:r w:rsidRPr="00E91D69">
        <w:t xml:space="preserve">. </w:t>
      </w:r>
      <w:r>
        <w:t xml:space="preserve">Fewer </w:t>
      </w:r>
      <w:r w:rsidRPr="00E91D69">
        <w:t xml:space="preserve">BNPL </w:t>
      </w:r>
      <w:r>
        <w:t>users reported experiencing two or more</w:t>
      </w:r>
      <w:r w:rsidRPr="00E91D69">
        <w:t xml:space="preserve"> financial stress indicators than </w:t>
      </w:r>
      <w:r>
        <w:t xml:space="preserve">consumers of regulated </w:t>
      </w:r>
      <w:r w:rsidRPr="00E91D69">
        <w:t xml:space="preserve">consumer leases and </w:t>
      </w:r>
      <w:r>
        <w:t xml:space="preserve">SACCs – respectively </w:t>
      </w:r>
      <w:r w:rsidRPr="00E91D69">
        <w:t>28</w:t>
      </w:r>
      <w:r w:rsidRPr="00194633">
        <w:t xml:space="preserve"> </w:t>
      </w:r>
      <w:r w:rsidRPr="009D0940">
        <w:t>per cent</w:t>
      </w:r>
      <w:r w:rsidRPr="00E91D69">
        <w:t xml:space="preserve"> and 34</w:t>
      </w:r>
      <w:r w:rsidRPr="00194633">
        <w:t xml:space="preserve"> </w:t>
      </w:r>
      <w:r w:rsidRPr="009D0940">
        <w:t>per cent</w:t>
      </w:r>
      <w:r w:rsidRPr="00E91D69">
        <w:t xml:space="preserve">. </w:t>
      </w:r>
      <w:r>
        <w:t xml:space="preserve">More than twice as many </w:t>
      </w:r>
      <w:r w:rsidRPr="00E91D69">
        <w:t xml:space="preserve">BNPL </w:t>
      </w:r>
      <w:r>
        <w:t>users experienced two or more</w:t>
      </w:r>
      <w:r w:rsidRPr="00E91D69">
        <w:t xml:space="preserve"> financial stress indicators </w:t>
      </w:r>
      <w:r>
        <w:t xml:space="preserve">than </w:t>
      </w:r>
      <w:r w:rsidRPr="00E91D69">
        <w:t>credit card</w:t>
      </w:r>
      <w:r>
        <w:t xml:space="preserve"> users – </w:t>
      </w:r>
      <w:r w:rsidRPr="00E91D69">
        <w:t>8</w:t>
      </w:r>
      <w:r w:rsidRPr="00194633">
        <w:t xml:space="preserve"> </w:t>
      </w:r>
      <w:r w:rsidRPr="009D0940">
        <w:t>per cent</w:t>
      </w:r>
      <w:r w:rsidRPr="00E91D69">
        <w:t xml:space="preserve">. </w:t>
      </w:r>
    </w:p>
    <w:p w14:paraId="62AEDA13" w14:textId="09475C6E" w:rsidR="00777053" w:rsidRDefault="00777053" w:rsidP="003D5EE3">
      <w:pPr>
        <w:spacing w:before="0" w:after="160" w:line="259" w:lineRule="auto"/>
      </w:pPr>
      <w:r w:rsidRPr="00777053">
        <w:rPr>
          <w:b/>
          <w:bCs/>
        </w:rPr>
        <w:lastRenderedPageBreak/>
        <w:t xml:space="preserve">Chart </w:t>
      </w:r>
      <w:r w:rsidR="0021777F">
        <w:rPr>
          <w:b/>
          <w:bCs/>
        </w:rPr>
        <w:t>1</w:t>
      </w:r>
      <w:r>
        <w:t>: Number of stress indicators of users of credit products (Q1 2022)</w:t>
      </w:r>
    </w:p>
    <w:p w14:paraId="2B2C8C27" w14:textId="765A0206" w:rsidR="00777053" w:rsidRDefault="00777053" w:rsidP="00777053">
      <w:pPr>
        <w:pStyle w:val="Bullet"/>
        <w:numPr>
          <w:ilvl w:val="0"/>
          <w:numId w:val="0"/>
        </w:numPr>
        <w:spacing w:before="0"/>
      </w:pPr>
      <w:r w:rsidRPr="00777053">
        <w:rPr>
          <w:noProof/>
        </w:rPr>
        <w:drawing>
          <wp:inline distT="0" distB="0" distL="0" distR="0" wp14:anchorId="77DD9C0D" wp14:editId="3896973C">
            <wp:extent cx="5759450" cy="3486150"/>
            <wp:effectExtent l="0" t="0" r="0" b="0"/>
            <wp:docPr id="13" name="Chart 13">
              <a:extLst xmlns:a="http://schemas.openxmlformats.org/drawingml/2006/main">
                <a:ext uri="{FF2B5EF4-FFF2-40B4-BE49-F238E27FC236}">
                  <a16:creationId xmlns:a16="http://schemas.microsoft.com/office/drawing/2014/main" id="{6CAAF21A-2DA4-4F71-99CA-C89DE894D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DDBF53" w14:textId="161DC7D7" w:rsidR="00261F3F" w:rsidRDefault="00564779" w:rsidP="00493AB8">
      <w:pPr>
        <w:pStyle w:val="Bullet"/>
        <w:numPr>
          <w:ilvl w:val="0"/>
          <w:numId w:val="0"/>
        </w:numPr>
      </w:pPr>
      <w:r>
        <w:t xml:space="preserve">Caution </w:t>
      </w:r>
      <w:r w:rsidR="00F47581">
        <w:t>should be applied</w:t>
      </w:r>
      <w:r>
        <w:t xml:space="preserve"> when interpreting this data. </w:t>
      </w:r>
      <w:r w:rsidR="0038008B">
        <w:t xml:space="preserve">These findings may </w:t>
      </w:r>
      <w:r w:rsidR="00552612">
        <w:t xml:space="preserve">be a </w:t>
      </w:r>
      <w:r w:rsidR="0038008B">
        <w:t xml:space="preserve">better </w:t>
      </w:r>
      <w:r w:rsidR="00552612">
        <w:t xml:space="preserve">indicator of the financial situation of consumers of these products rather than </w:t>
      </w:r>
      <w:r w:rsidR="00507826">
        <w:t xml:space="preserve">financial stress these products may cause. </w:t>
      </w:r>
      <w:r w:rsidR="00992DAC">
        <w:t xml:space="preserve">While </w:t>
      </w:r>
      <w:r w:rsidR="007479C3">
        <w:t xml:space="preserve">some </w:t>
      </w:r>
      <w:r w:rsidR="002C584F">
        <w:t xml:space="preserve">BNPL </w:t>
      </w:r>
      <w:r w:rsidR="009078A5">
        <w:t xml:space="preserve">users </w:t>
      </w:r>
      <w:r w:rsidR="00D06C7E">
        <w:t xml:space="preserve">may </w:t>
      </w:r>
      <w:r w:rsidR="002C584F">
        <w:t xml:space="preserve">experience </w:t>
      </w:r>
      <w:r w:rsidR="007479C3">
        <w:t xml:space="preserve">increased </w:t>
      </w:r>
      <w:r w:rsidR="002C584F">
        <w:t xml:space="preserve">financial stress, </w:t>
      </w:r>
      <w:r w:rsidR="00F25F53">
        <w:t xml:space="preserve">it is unclear </w:t>
      </w:r>
      <w:r w:rsidR="009078A5">
        <w:t xml:space="preserve">the extent </w:t>
      </w:r>
      <w:r w:rsidR="00F25F53">
        <w:t xml:space="preserve">to which </w:t>
      </w:r>
      <w:r w:rsidR="00FA53FC">
        <w:t xml:space="preserve">BNPL debts </w:t>
      </w:r>
      <w:r w:rsidR="00F25F53">
        <w:t>contribute to a person’s financial stress and harm</w:t>
      </w:r>
      <w:r w:rsidR="004D7E05">
        <w:t xml:space="preserve">. </w:t>
      </w:r>
      <w:r w:rsidR="00B3579C">
        <w:t>For example,</w:t>
      </w:r>
      <w:r w:rsidR="00B3579C">
        <w:br/>
        <w:t>t</w:t>
      </w:r>
      <w:r w:rsidR="00261F3F">
        <w:t xml:space="preserve">he </w:t>
      </w:r>
      <w:r w:rsidR="00261F3F" w:rsidRPr="00443695">
        <w:t xml:space="preserve">Australian Financial Security Authority </w:t>
      </w:r>
      <w:r w:rsidR="00261F3F">
        <w:t xml:space="preserve">(AFSA) </w:t>
      </w:r>
      <w:r w:rsidR="00261F3F" w:rsidRPr="00443695">
        <w:t xml:space="preserve">found that in 2021, while </w:t>
      </w:r>
      <w:r w:rsidR="00914DE8">
        <w:t xml:space="preserve">around a third </w:t>
      </w:r>
      <w:r w:rsidR="00261F3F" w:rsidRPr="00443695">
        <w:t>of personal insolvencies</w:t>
      </w:r>
      <w:r w:rsidR="00914DE8">
        <w:t xml:space="preserve"> (</w:t>
      </w:r>
      <w:r w:rsidR="00914DE8" w:rsidRPr="00443695">
        <w:t>34.2</w:t>
      </w:r>
      <w:r w:rsidR="00914DE8" w:rsidRPr="00194633">
        <w:t xml:space="preserve"> </w:t>
      </w:r>
      <w:r w:rsidR="00914DE8" w:rsidRPr="009D0940">
        <w:t>per cent</w:t>
      </w:r>
      <w:r w:rsidR="00914DE8">
        <w:t>)</w:t>
      </w:r>
      <w:r w:rsidR="00261F3F" w:rsidRPr="00443695">
        <w:t xml:space="preserve"> had at least one BNPL debt, </w:t>
      </w:r>
      <w:r w:rsidR="00914DE8">
        <w:t>by value</w:t>
      </w:r>
      <w:r w:rsidR="00914DE8" w:rsidRPr="00443695">
        <w:t xml:space="preserve"> </w:t>
      </w:r>
      <w:r w:rsidR="00261F3F" w:rsidRPr="00443695">
        <w:t xml:space="preserve">BNPL debts </w:t>
      </w:r>
      <w:r w:rsidR="00914DE8">
        <w:t xml:space="preserve">only </w:t>
      </w:r>
      <w:r w:rsidR="00261F3F" w:rsidRPr="00443695">
        <w:t>represented 0.3</w:t>
      </w:r>
      <w:r w:rsidR="00FA53FC">
        <w:t> </w:t>
      </w:r>
      <w:r w:rsidR="00194633" w:rsidRPr="009D0940">
        <w:t>per</w:t>
      </w:r>
      <w:r w:rsidR="00FA53FC">
        <w:t> </w:t>
      </w:r>
      <w:r w:rsidR="00194633" w:rsidRPr="009D0940">
        <w:t>cent</w:t>
      </w:r>
      <w:r w:rsidR="00261F3F" w:rsidRPr="00443695">
        <w:t xml:space="preserve"> of all unsecured debt in personal insolvenc</w:t>
      </w:r>
      <w:r w:rsidR="00914DE8">
        <w:t>y cases</w:t>
      </w:r>
      <w:r w:rsidR="00F25F53">
        <w:t>.</w:t>
      </w:r>
      <w:r w:rsidR="00722A12">
        <w:rPr>
          <w:rStyle w:val="FootnoteReference"/>
        </w:rPr>
        <w:footnoteReference w:id="22"/>
      </w:r>
      <w:r w:rsidR="009078A5">
        <w:t xml:space="preserve"> </w:t>
      </w:r>
    </w:p>
    <w:p w14:paraId="76196112" w14:textId="6EAB3B55" w:rsidR="0020523D" w:rsidRDefault="00C70D83" w:rsidP="00760D00">
      <w:pPr>
        <w:pStyle w:val="Heading4"/>
      </w:pPr>
      <w:r>
        <w:t>C</w:t>
      </w:r>
      <w:r w:rsidR="0080625B">
        <w:t>heck</w:t>
      </w:r>
      <w:r>
        <w:t>ing</w:t>
      </w:r>
      <w:r w:rsidR="0080625B">
        <w:t xml:space="preserve"> whether consumer</w:t>
      </w:r>
      <w:r w:rsidR="00BE621D">
        <w:t>s</w:t>
      </w:r>
      <w:r w:rsidR="0080625B">
        <w:t xml:space="preserve"> can afford BNPL credit </w:t>
      </w:r>
    </w:p>
    <w:p w14:paraId="378185A4" w14:textId="3AC3EC8E" w:rsidR="00D322DA" w:rsidRDefault="00221E9E" w:rsidP="00BC4509">
      <w:pPr>
        <w:pStyle w:val="Bullet"/>
        <w:numPr>
          <w:ilvl w:val="0"/>
          <w:numId w:val="0"/>
        </w:numPr>
      </w:pPr>
      <w:r>
        <w:t xml:space="preserve">Consumer groups </w:t>
      </w:r>
      <w:r w:rsidR="0056030F">
        <w:t xml:space="preserve">and financial counsellors </w:t>
      </w:r>
      <w:r w:rsidR="002E6D4A">
        <w:t xml:space="preserve">advise </w:t>
      </w:r>
      <w:r>
        <w:t xml:space="preserve">the </w:t>
      </w:r>
      <w:r w:rsidR="005557B4">
        <w:t xml:space="preserve">exemption under the </w:t>
      </w:r>
      <w:r w:rsidR="001B23C2">
        <w:t xml:space="preserve">Credit Act </w:t>
      </w:r>
      <w:r w:rsidR="008D5886">
        <w:t>from</w:t>
      </w:r>
      <w:r w:rsidR="005557B4">
        <w:t xml:space="preserve"> conducting an</w:t>
      </w:r>
      <w:r w:rsidR="001B23C2">
        <w:t xml:space="preserve"> </w:t>
      </w:r>
      <w:r>
        <w:t>unsuitability assessment</w:t>
      </w:r>
      <w:r w:rsidR="00BB303B">
        <w:t xml:space="preserve"> </w:t>
      </w:r>
      <w:r>
        <w:t>allow</w:t>
      </w:r>
      <w:r w:rsidR="00025DEC">
        <w:t>s</w:t>
      </w:r>
      <w:r>
        <w:t xml:space="preserve"> </w:t>
      </w:r>
      <w:r w:rsidR="007D0010">
        <w:t xml:space="preserve">some </w:t>
      </w:r>
      <w:r>
        <w:t xml:space="preserve">BNPL providers to </w:t>
      </w:r>
      <w:r w:rsidR="00C420FA">
        <w:t>ignore</w:t>
      </w:r>
      <w:r>
        <w:t xml:space="preserve"> a consumer’s financial circumstance</w:t>
      </w:r>
      <w:r w:rsidR="00BF0437">
        <w:t>s</w:t>
      </w:r>
      <w:r>
        <w:t xml:space="preserve">, </w:t>
      </w:r>
      <w:r w:rsidR="00025DEC">
        <w:t>including</w:t>
      </w:r>
      <w:r>
        <w:t xml:space="preserve"> whether they have sufficient </w:t>
      </w:r>
      <w:r w:rsidR="00BF0437">
        <w:t xml:space="preserve">income </w:t>
      </w:r>
      <w:r>
        <w:t xml:space="preserve">to meet </w:t>
      </w:r>
      <w:r w:rsidR="0080625B">
        <w:t xml:space="preserve">the </w:t>
      </w:r>
      <w:r>
        <w:t xml:space="preserve">BNPL </w:t>
      </w:r>
      <w:r w:rsidR="0080625B">
        <w:t>repayment obligations</w:t>
      </w:r>
      <w:r w:rsidR="001D5E40">
        <w:t xml:space="preserve">, or whether they are </w:t>
      </w:r>
      <w:r w:rsidR="003B7379" w:rsidRPr="003B7379">
        <w:t>in default</w:t>
      </w:r>
      <w:r w:rsidR="0056030F">
        <w:t xml:space="preserve"> </w:t>
      </w:r>
      <w:r w:rsidR="00CB5773">
        <w:t xml:space="preserve">with </w:t>
      </w:r>
      <w:r w:rsidR="0056030F">
        <w:t>other credit products</w:t>
      </w:r>
      <w:r w:rsidR="003B7379" w:rsidRPr="003B7379">
        <w:t>.</w:t>
      </w:r>
      <w:r w:rsidR="00063879">
        <w:t xml:space="preserve"> S</w:t>
      </w:r>
      <w:r w:rsidR="00BC4509">
        <w:rPr>
          <w:szCs w:val="24"/>
        </w:rPr>
        <w:t xml:space="preserve">ome BNPL providers </w:t>
      </w:r>
      <w:r w:rsidR="00563010">
        <w:rPr>
          <w:szCs w:val="24"/>
        </w:rPr>
        <w:t>also</w:t>
      </w:r>
      <w:r w:rsidR="00BC4509">
        <w:rPr>
          <w:szCs w:val="24"/>
        </w:rPr>
        <w:t xml:space="preserve"> automatically </w:t>
      </w:r>
      <w:r w:rsidR="00063879">
        <w:rPr>
          <w:szCs w:val="24"/>
        </w:rPr>
        <w:t xml:space="preserve">increase </w:t>
      </w:r>
      <w:r w:rsidR="00BC4509">
        <w:rPr>
          <w:szCs w:val="24"/>
        </w:rPr>
        <w:t>a person’s spending limit</w:t>
      </w:r>
      <w:r w:rsidR="00906F17">
        <w:rPr>
          <w:szCs w:val="24"/>
        </w:rPr>
        <w:t>,</w:t>
      </w:r>
      <w:r w:rsidR="00BC4509">
        <w:rPr>
          <w:szCs w:val="24"/>
        </w:rPr>
        <w:t xml:space="preserve"> </w:t>
      </w:r>
      <w:r w:rsidR="00063879">
        <w:rPr>
          <w:szCs w:val="24"/>
        </w:rPr>
        <w:t>which can</w:t>
      </w:r>
      <w:r w:rsidR="00BC4509">
        <w:rPr>
          <w:szCs w:val="24"/>
        </w:rPr>
        <w:t xml:space="preserve"> lead</w:t>
      </w:r>
      <w:r w:rsidR="00063879">
        <w:rPr>
          <w:szCs w:val="24"/>
        </w:rPr>
        <w:t xml:space="preserve"> to</w:t>
      </w:r>
      <w:r w:rsidR="00BC4509">
        <w:rPr>
          <w:szCs w:val="24"/>
        </w:rPr>
        <w:t xml:space="preserve"> consumers </w:t>
      </w:r>
      <w:r w:rsidR="00063879">
        <w:rPr>
          <w:szCs w:val="24"/>
        </w:rPr>
        <w:t xml:space="preserve">having </w:t>
      </w:r>
      <w:r w:rsidR="00BC4509">
        <w:rPr>
          <w:szCs w:val="24"/>
        </w:rPr>
        <w:t>more debt</w:t>
      </w:r>
      <w:r w:rsidR="00BC4509">
        <w:t xml:space="preserve"> than they may have initially needed or wanted</w:t>
      </w:r>
      <w:r w:rsidR="00BC4509">
        <w:rPr>
          <w:szCs w:val="24"/>
        </w:rPr>
        <w:t>.</w:t>
      </w:r>
      <w:r w:rsidR="00BC4509">
        <w:rPr>
          <w:rStyle w:val="FootnoteReference"/>
          <w:szCs w:val="24"/>
        </w:rPr>
        <w:footnoteReference w:id="23"/>
      </w:r>
      <w:r w:rsidR="00BC4509">
        <w:t xml:space="preserve"> </w:t>
      </w:r>
    </w:p>
    <w:p w14:paraId="502B0DE6" w14:textId="77777777" w:rsidR="00975F07" w:rsidRDefault="00975F07" w:rsidP="00BC4509">
      <w:pPr>
        <w:pStyle w:val="Bullet"/>
        <w:numPr>
          <w:ilvl w:val="0"/>
          <w:numId w:val="0"/>
        </w:numPr>
      </w:pPr>
    </w:p>
    <w:p w14:paraId="7F7F579E" w14:textId="77777777" w:rsidR="00975F07" w:rsidRDefault="00975F07" w:rsidP="00BC4509">
      <w:pPr>
        <w:pStyle w:val="Bullet"/>
        <w:numPr>
          <w:ilvl w:val="0"/>
          <w:numId w:val="0"/>
        </w:numPr>
      </w:pPr>
    </w:p>
    <w:p w14:paraId="3354103E" w14:textId="77777777" w:rsidR="00975F07" w:rsidRDefault="00975F07" w:rsidP="00BC4509">
      <w:pPr>
        <w:pStyle w:val="Bullet"/>
        <w:numPr>
          <w:ilvl w:val="0"/>
          <w:numId w:val="0"/>
        </w:numPr>
      </w:pPr>
    </w:p>
    <w:p w14:paraId="54F59EA4" w14:textId="639C7007" w:rsidR="00015B02" w:rsidRPr="00BC4509" w:rsidRDefault="00DF6BF3" w:rsidP="00BC4509">
      <w:pPr>
        <w:pStyle w:val="Bullet"/>
        <w:numPr>
          <w:ilvl w:val="0"/>
          <w:numId w:val="0"/>
        </w:numPr>
      </w:pPr>
      <w:r>
        <w:lastRenderedPageBreak/>
        <w:t xml:space="preserve">In 2016, </w:t>
      </w:r>
      <w:r w:rsidR="00BC4509" w:rsidRPr="00493AB8">
        <w:t xml:space="preserve">credit limit increases on </w:t>
      </w:r>
      <w:r>
        <w:t>Credit Act</w:t>
      </w:r>
      <w:r w:rsidRPr="00493AB8">
        <w:t xml:space="preserve"> </w:t>
      </w:r>
      <w:r w:rsidR="00BC4509" w:rsidRPr="00493AB8">
        <w:t>regulated credit products such as credit cards</w:t>
      </w:r>
      <w:r>
        <w:t xml:space="preserve"> </w:t>
      </w:r>
      <w:r w:rsidR="00666A93">
        <w:t xml:space="preserve">were </w:t>
      </w:r>
      <w:r>
        <w:t>prohibited</w:t>
      </w:r>
      <w:r w:rsidR="00EF3BA2">
        <w:t>.</w:t>
      </w:r>
      <w:r w:rsidR="00BC4509" w:rsidRPr="00F81737">
        <w:t xml:space="preserve"> </w:t>
      </w:r>
      <w:r w:rsidR="00B44546" w:rsidRPr="004B2F86">
        <w:t>Some consumer groups have suggested a</w:t>
      </w:r>
      <w:r w:rsidR="00BC4509" w:rsidRPr="004B2F86">
        <w:t xml:space="preserve"> similar ban on unsolicited </w:t>
      </w:r>
      <w:r w:rsidR="00846973" w:rsidRPr="004B2F86">
        <w:t>BNPL</w:t>
      </w:r>
      <w:r w:rsidR="00BC4509" w:rsidRPr="004B2F86">
        <w:t xml:space="preserve"> limit increases </w:t>
      </w:r>
      <w:r w:rsidR="00155021" w:rsidRPr="004B2F86">
        <w:t xml:space="preserve">may be </w:t>
      </w:r>
      <w:r w:rsidR="00846973" w:rsidRPr="004B2F86">
        <w:t>appropriate</w:t>
      </w:r>
      <w:r w:rsidR="00A02C40" w:rsidRPr="004B2F86">
        <w:t xml:space="preserve">, noting many </w:t>
      </w:r>
      <w:r w:rsidR="00D322DA" w:rsidRPr="004B2F86">
        <w:t>BNPL</w:t>
      </w:r>
      <w:r w:rsidR="00A02C40" w:rsidRPr="004B2F86">
        <w:t xml:space="preserve"> providers provide a</w:t>
      </w:r>
      <w:r w:rsidR="00D322DA" w:rsidRPr="004B2F86">
        <w:t xml:space="preserve"> maximum </w:t>
      </w:r>
      <w:r w:rsidR="00A02C40" w:rsidRPr="004B2F86">
        <w:t xml:space="preserve">credit limit of </w:t>
      </w:r>
      <w:r w:rsidR="00D322DA" w:rsidRPr="004B2F86">
        <w:t>$2,000</w:t>
      </w:r>
      <w:r w:rsidR="004636C0" w:rsidRPr="004B2F86">
        <w:t>,</w:t>
      </w:r>
      <w:r w:rsidR="00D322DA" w:rsidRPr="004B2F86">
        <w:t xml:space="preserve"> </w:t>
      </w:r>
      <w:r w:rsidR="00A02C40" w:rsidRPr="004B2F86">
        <w:t>typically</w:t>
      </w:r>
      <w:r w:rsidR="00A02C40" w:rsidRPr="00383539">
        <w:t xml:space="preserve"> lower</w:t>
      </w:r>
      <w:r w:rsidR="00D322DA" w:rsidRPr="00383539">
        <w:t xml:space="preserve"> than the lowest available credit limit for </w:t>
      </w:r>
      <w:r w:rsidR="005A3AFE" w:rsidRPr="00383539">
        <w:t xml:space="preserve">some </w:t>
      </w:r>
      <w:r w:rsidR="00D322DA" w:rsidRPr="00383539">
        <w:t xml:space="preserve">credit cards. </w:t>
      </w:r>
      <w:r w:rsidR="00965107">
        <w:t>S</w:t>
      </w:r>
      <w:r w:rsidR="0034298B" w:rsidRPr="00383539">
        <w:t>ome BNPL providers have claimed that</w:t>
      </w:r>
      <w:r w:rsidR="0079433F" w:rsidRPr="00383539">
        <w:t xml:space="preserve"> u</w:t>
      </w:r>
      <w:r w:rsidR="00FD28A0" w:rsidRPr="00383539">
        <w:t xml:space="preserve">nsolicited credit limit increases may </w:t>
      </w:r>
      <w:r w:rsidR="007D2516" w:rsidRPr="00383539">
        <w:t xml:space="preserve">help consumers’ build confidence around using BNPL responsibly, as well as </w:t>
      </w:r>
      <w:r w:rsidR="00FD28A0" w:rsidRPr="00383539">
        <w:t>provid</w:t>
      </w:r>
      <w:r w:rsidR="007D2516" w:rsidRPr="00383539">
        <w:t>ing</w:t>
      </w:r>
      <w:r w:rsidR="00FD28A0" w:rsidRPr="00383539">
        <w:t xml:space="preserve"> consumers with an incentive to </w:t>
      </w:r>
      <w:r w:rsidR="00D322DA" w:rsidRPr="00383539">
        <w:t>use BNPL</w:t>
      </w:r>
      <w:r w:rsidR="00A02C40" w:rsidRPr="00383539">
        <w:t xml:space="preserve"> </w:t>
      </w:r>
      <w:r w:rsidR="007D2516" w:rsidRPr="00383539">
        <w:t>to demonstrate positive repayment history and</w:t>
      </w:r>
      <w:r w:rsidR="00184D83" w:rsidRPr="00383539">
        <w:t xml:space="preserve"> increase </w:t>
      </w:r>
      <w:r w:rsidR="00383539">
        <w:t>access to credit.</w:t>
      </w:r>
    </w:p>
    <w:p w14:paraId="1A4B344E" w14:textId="6A223D88" w:rsidR="007B2F96" w:rsidRPr="00700670" w:rsidRDefault="00302005" w:rsidP="00327EBC">
      <w:pPr>
        <w:pStyle w:val="Heading4"/>
      </w:pPr>
      <w:r>
        <w:t xml:space="preserve">Some </w:t>
      </w:r>
      <w:r w:rsidR="003E7E24">
        <w:t xml:space="preserve">BNPL </w:t>
      </w:r>
      <w:r w:rsidR="0029340C">
        <w:t xml:space="preserve">providers </w:t>
      </w:r>
      <w:r w:rsidR="00E56B64">
        <w:t>are managing</w:t>
      </w:r>
      <w:r w:rsidR="00344BBC">
        <w:t xml:space="preserve"> the risk of consumer harm </w:t>
      </w:r>
    </w:p>
    <w:p w14:paraId="66CF283D" w14:textId="1DEF4376" w:rsidR="00B87270" w:rsidRDefault="008C670F" w:rsidP="00B87270">
      <w:pPr>
        <w:pStyle w:val="Bullet"/>
        <w:numPr>
          <w:ilvl w:val="0"/>
          <w:numId w:val="0"/>
        </w:numPr>
      </w:pPr>
      <w:r>
        <w:t>Some</w:t>
      </w:r>
      <w:r w:rsidR="00B87270" w:rsidRPr="008153DD">
        <w:t xml:space="preserve"> </w:t>
      </w:r>
      <w:r w:rsidR="007A1462" w:rsidRPr="008153DD">
        <w:t xml:space="preserve">BNPL providers </w:t>
      </w:r>
      <w:r w:rsidR="003D7D81">
        <w:t xml:space="preserve">advise they </w:t>
      </w:r>
      <w:r w:rsidR="007A1462">
        <w:t xml:space="preserve">have implemented various </w:t>
      </w:r>
      <w:r w:rsidR="00B87270" w:rsidRPr="008153DD">
        <w:t xml:space="preserve">risk management practices </w:t>
      </w:r>
      <w:r w:rsidR="0099546A">
        <w:t>benefit</w:t>
      </w:r>
      <w:r w:rsidR="00302005">
        <w:t>ing</w:t>
      </w:r>
      <w:r w:rsidR="0099546A">
        <w:t xml:space="preserve"> consumers</w:t>
      </w:r>
      <w:r w:rsidR="00FE39E1">
        <w:t xml:space="preserve">, including credit checks, </w:t>
      </w:r>
      <w:r w:rsidR="00B87270" w:rsidRPr="008153DD">
        <w:t>consider</w:t>
      </w:r>
      <w:r w:rsidR="00FD21E2">
        <w:t>ing</w:t>
      </w:r>
      <w:r w:rsidR="00B87270" w:rsidRPr="008153DD">
        <w:t xml:space="preserve"> </w:t>
      </w:r>
      <w:r w:rsidR="00B87270">
        <w:t>banking</w:t>
      </w:r>
      <w:r w:rsidR="00B87270" w:rsidRPr="008153DD">
        <w:t xml:space="preserve"> account information, and providing low credit limits when a </w:t>
      </w:r>
      <w:r w:rsidR="00FD21E2">
        <w:t>consumer</w:t>
      </w:r>
      <w:r w:rsidR="00B87270" w:rsidRPr="008153DD">
        <w:t xml:space="preserve"> opens an account. </w:t>
      </w:r>
      <w:r w:rsidR="00FD21E2">
        <w:t>So</w:t>
      </w:r>
      <w:r w:rsidR="00B87270" w:rsidRPr="008153DD">
        <w:t xml:space="preserve">me BNPL providers use a consumer’s credit score as a proxy for the person’s creditworthiness and their ability to repay the loan. </w:t>
      </w:r>
      <w:r w:rsidR="006C08F1">
        <w:t>A</w:t>
      </w:r>
      <w:r w:rsidR="00B87270">
        <w:t xml:space="preserve"> </w:t>
      </w:r>
      <w:r w:rsidR="00B87270" w:rsidRPr="008153DD">
        <w:t xml:space="preserve">credit score </w:t>
      </w:r>
      <w:r w:rsidR="00B87270">
        <w:t>may be</w:t>
      </w:r>
      <w:r w:rsidR="00B87270" w:rsidRPr="008153DD">
        <w:t xml:space="preserve"> a good predictor of a </w:t>
      </w:r>
      <w:r w:rsidR="008C2759">
        <w:t>consumer</w:t>
      </w:r>
      <w:r w:rsidR="00B87270" w:rsidRPr="008153DD">
        <w:t xml:space="preserve"> defaulting in the future. </w:t>
      </w:r>
    </w:p>
    <w:p w14:paraId="461E09AA" w14:textId="21882B82" w:rsidR="007C0A2C" w:rsidRPr="001A12A7" w:rsidRDefault="00A421E5" w:rsidP="00BC7F09">
      <w:pPr>
        <w:pStyle w:val="Bullet"/>
        <w:numPr>
          <w:ilvl w:val="0"/>
          <w:numId w:val="0"/>
        </w:numPr>
      </w:pPr>
      <w:r>
        <w:t xml:space="preserve">Some BNPL </w:t>
      </w:r>
      <w:r w:rsidR="00FE089C">
        <w:t xml:space="preserve">providers </w:t>
      </w:r>
      <w:r w:rsidR="00B630B0">
        <w:t xml:space="preserve">limit potential consumer harms by </w:t>
      </w:r>
      <w:r w:rsidR="00231A32" w:rsidRPr="00A5186D">
        <w:t>restricting further use</w:t>
      </w:r>
      <w:r w:rsidR="00231A32">
        <w:t xml:space="preserve"> of the BNPL services </w:t>
      </w:r>
      <w:r w:rsidR="003C2C4F">
        <w:t>following missed payments</w:t>
      </w:r>
      <w:r w:rsidR="008C670F">
        <w:t xml:space="preserve">. </w:t>
      </w:r>
      <w:r w:rsidR="008837C7">
        <w:t>This, c</w:t>
      </w:r>
      <w:r w:rsidR="008C670F">
        <w:t xml:space="preserve">ombined with </w:t>
      </w:r>
      <w:r w:rsidR="00A5186D" w:rsidRPr="00A5186D">
        <w:t xml:space="preserve">low </w:t>
      </w:r>
      <w:r w:rsidR="00B630B0">
        <w:t xml:space="preserve">starting </w:t>
      </w:r>
      <w:r w:rsidR="00A5186D" w:rsidRPr="00A5186D">
        <w:t>spending limit</w:t>
      </w:r>
      <w:r w:rsidR="001B26FD">
        <w:t>s</w:t>
      </w:r>
      <w:r w:rsidR="00A5186D" w:rsidRPr="00A5186D">
        <w:t>, cap</w:t>
      </w:r>
      <w:r w:rsidR="008C670F">
        <w:t>ped</w:t>
      </w:r>
      <w:r w:rsidR="00A5186D" w:rsidRPr="00A5186D">
        <w:t xml:space="preserve"> </w:t>
      </w:r>
      <w:r w:rsidR="003C0B08">
        <w:t>late payment</w:t>
      </w:r>
      <w:r w:rsidR="00A5186D" w:rsidRPr="00A5186D">
        <w:t xml:space="preserve"> fees, </w:t>
      </w:r>
      <w:r w:rsidR="00231A32">
        <w:t xml:space="preserve">and </w:t>
      </w:r>
      <w:r w:rsidR="00B630B0">
        <w:t>no</w:t>
      </w:r>
      <w:r w:rsidR="00A5186D" w:rsidRPr="00A5186D">
        <w:t xml:space="preserve"> compound </w:t>
      </w:r>
      <w:r w:rsidR="00A75B95" w:rsidRPr="00A5186D">
        <w:t>interest</w:t>
      </w:r>
      <w:r w:rsidR="00302005">
        <w:t>,</w:t>
      </w:r>
      <w:r w:rsidR="00231A32">
        <w:t xml:space="preserve"> </w:t>
      </w:r>
      <w:r w:rsidR="00A5186D" w:rsidRPr="00A5186D">
        <w:t>mean</w:t>
      </w:r>
      <w:r w:rsidR="008837C7">
        <w:t>s</w:t>
      </w:r>
      <w:r w:rsidR="00A5186D" w:rsidRPr="00A5186D">
        <w:t xml:space="preserve"> the consequence of </w:t>
      </w:r>
      <w:r w:rsidR="00B87270">
        <w:t xml:space="preserve">default on </w:t>
      </w:r>
      <w:r w:rsidR="003B4A0D">
        <w:t xml:space="preserve">BNPL </w:t>
      </w:r>
      <w:r w:rsidR="00B87270">
        <w:t>debt</w:t>
      </w:r>
      <w:r w:rsidR="003B4A0D">
        <w:t xml:space="preserve"> is</w:t>
      </w:r>
      <w:r w:rsidR="00A5186D" w:rsidRPr="00A5186D">
        <w:t xml:space="preserve"> generally less significant </w:t>
      </w:r>
      <w:r w:rsidR="00B87270">
        <w:t>than</w:t>
      </w:r>
      <w:r w:rsidR="00A5186D" w:rsidRPr="00A5186D" w:rsidDel="00B87270">
        <w:t xml:space="preserve"> </w:t>
      </w:r>
      <w:r w:rsidR="00231A32">
        <w:t xml:space="preserve">regulated </w:t>
      </w:r>
      <w:r w:rsidR="00A5186D" w:rsidRPr="00A5186D">
        <w:t>credit products</w:t>
      </w:r>
      <w:r w:rsidR="00231A32">
        <w:t>, such as credit card</w:t>
      </w:r>
      <w:r w:rsidR="003B4A0D">
        <w:t>s</w:t>
      </w:r>
      <w:r w:rsidR="00A5186D" w:rsidRPr="00A5186D">
        <w:t>.</w:t>
      </w:r>
      <w:r w:rsidR="000E6A2E">
        <w:t xml:space="preserve"> </w:t>
      </w:r>
      <w:r w:rsidR="009172C0">
        <w:t>Consultation</w:t>
      </w:r>
      <w:r w:rsidR="00E625D9">
        <w:t xml:space="preserve">s </w:t>
      </w:r>
      <w:r w:rsidR="009172C0">
        <w:t>heard many BNPL providers</w:t>
      </w:r>
      <w:r w:rsidR="00A5186D" w:rsidRPr="009D505C">
        <w:t xml:space="preserve"> </w:t>
      </w:r>
      <w:r w:rsidR="00D16197" w:rsidRPr="00D94A3C">
        <w:t>in practice</w:t>
      </w:r>
      <w:r w:rsidR="00A5186D" w:rsidRPr="009D505C">
        <w:t xml:space="preserve"> </w:t>
      </w:r>
      <w:r w:rsidR="00A5186D" w:rsidRPr="00A5186D">
        <w:t xml:space="preserve">readily write-off bad debts and </w:t>
      </w:r>
      <w:r w:rsidR="009172C0">
        <w:t>generally</w:t>
      </w:r>
      <w:r w:rsidR="009172C0" w:rsidRPr="00A5186D">
        <w:t xml:space="preserve"> </w:t>
      </w:r>
      <w:r w:rsidR="00A5186D" w:rsidRPr="00A5186D">
        <w:t>do not report defaults to credit reporting bodies</w:t>
      </w:r>
      <w:r w:rsidR="00E625D9">
        <w:t>.</w:t>
      </w:r>
      <w:r w:rsidR="004C56EF">
        <w:t xml:space="preserve"> </w:t>
      </w:r>
      <w:r w:rsidR="00466D94">
        <w:t xml:space="preserve">It also heard that BNPL </w:t>
      </w:r>
      <w:r w:rsidR="004C56EF" w:rsidRPr="00A5186D">
        <w:t>provide</w:t>
      </w:r>
      <w:r w:rsidR="00466D94">
        <w:t>rs</w:t>
      </w:r>
      <w:r w:rsidR="00F12DE0">
        <w:t xml:space="preserve"> often gave</w:t>
      </w:r>
      <w:r w:rsidR="00466D94">
        <w:t xml:space="preserve"> </w:t>
      </w:r>
      <w:r w:rsidR="004C56EF" w:rsidRPr="00A5186D">
        <w:t>hardship assistance where requested</w:t>
      </w:r>
      <w:r w:rsidR="00466D94">
        <w:t>, though</w:t>
      </w:r>
      <w:r w:rsidR="00466D94" w:rsidRPr="00466D94">
        <w:t xml:space="preserve"> </w:t>
      </w:r>
      <w:r w:rsidR="00466D94">
        <w:t xml:space="preserve">consumer groups raised issues with </w:t>
      </w:r>
      <w:r w:rsidR="00365AFD">
        <w:t xml:space="preserve">the </w:t>
      </w:r>
      <w:r w:rsidR="00466D94">
        <w:t>quality of hardship assistance</w:t>
      </w:r>
      <w:r w:rsidR="00365AFD">
        <w:t>.</w:t>
      </w:r>
      <w:r w:rsidR="00E625D9">
        <w:t xml:space="preserve"> </w:t>
      </w:r>
    </w:p>
    <w:p w14:paraId="4269615B" w14:textId="41B0008D" w:rsidR="00106560" w:rsidRDefault="00A31648" w:rsidP="00106560">
      <w:pPr>
        <w:pStyle w:val="Heading3"/>
      </w:pPr>
      <w:bookmarkStart w:id="14" w:name="_Toc119916351"/>
      <w:r>
        <w:t>Complaints handling and hardship assistance</w:t>
      </w:r>
      <w:bookmarkEnd w:id="14"/>
    </w:p>
    <w:p w14:paraId="5FC8BEEB" w14:textId="1F06C8ED" w:rsidR="00106560" w:rsidRPr="00CD05F9" w:rsidRDefault="00CA0B34" w:rsidP="00106560">
      <w:pPr>
        <w:pStyle w:val="Heading4"/>
      </w:pPr>
      <w:r>
        <w:t>Some consumers</w:t>
      </w:r>
      <w:r w:rsidR="00DD43A2">
        <w:t xml:space="preserve"> </w:t>
      </w:r>
      <w:r w:rsidR="00723E0C">
        <w:t>complain</w:t>
      </w:r>
      <w:r>
        <w:t>ed</w:t>
      </w:r>
      <w:r w:rsidR="007D0CB2">
        <w:t xml:space="preserve"> of unsatisfactory complaint resolution</w:t>
      </w:r>
      <w:r w:rsidR="00013F12">
        <w:t xml:space="preserve"> </w:t>
      </w:r>
      <w:r w:rsidR="00690841">
        <w:t>and hardship support</w:t>
      </w:r>
    </w:p>
    <w:p w14:paraId="1D5DD77B" w14:textId="4A9895B3" w:rsidR="00CF2078" w:rsidRDefault="00EA3794" w:rsidP="00106560">
      <w:pPr>
        <w:spacing w:line="276" w:lineRule="auto"/>
      </w:pPr>
      <w:r>
        <w:t xml:space="preserve">Some consumer groups </w:t>
      </w:r>
      <w:r w:rsidR="00541F62">
        <w:t>advise</w:t>
      </w:r>
      <w:r>
        <w:t xml:space="preserve"> </w:t>
      </w:r>
      <w:r w:rsidR="005E58CC">
        <w:t>of</w:t>
      </w:r>
      <w:r w:rsidR="004B30F9" w:rsidRPr="007836B1">
        <w:t xml:space="preserve"> </w:t>
      </w:r>
      <w:r w:rsidR="004B30F9">
        <w:t>inconsistent or inadequate</w:t>
      </w:r>
      <w:r w:rsidR="004B30F9" w:rsidRPr="004B30F9">
        <w:t xml:space="preserve"> </w:t>
      </w:r>
      <w:r w:rsidR="004B30F9">
        <w:t>complaint handling procedures</w:t>
      </w:r>
      <w:r w:rsidR="00422BD9">
        <w:t xml:space="preserve">, </w:t>
      </w:r>
      <w:r w:rsidR="0099528E">
        <w:br/>
      </w:r>
      <w:r w:rsidR="00422BD9">
        <w:t xml:space="preserve">and that </w:t>
      </w:r>
      <w:r w:rsidR="004B30F9">
        <w:t xml:space="preserve">BNPL providers </w:t>
      </w:r>
      <w:r w:rsidR="004A644A">
        <w:t>do not</w:t>
      </w:r>
      <w:r>
        <w:t xml:space="preserve"> resolve complaints to a satisfactory standard </w:t>
      </w:r>
      <w:r w:rsidR="00033580">
        <w:t xml:space="preserve">or </w:t>
      </w:r>
      <w:r>
        <w:t>in a timely manner.</w:t>
      </w:r>
      <w:r w:rsidR="00827FFD">
        <w:t xml:space="preserve"> </w:t>
      </w:r>
      <w:r w:rsidR="009D50B3">
        <w:br/>
        <w:t>S</w:t>
      </w:r>
      <w:r w:rsidR="00573BC0" w:rsidRPr="00F93784">
        <w:t>ome</w:t>
      </w:r>
      <w:r w:rsidR="00573BC0" w:rsidRPr="00F93784" w:rsidDel="006C7EBB">
        <w:t xml:space="preserve"> consumer groups and financial counsellors </w:t>
      </w:r>
      <w:r w:rsidR="00573BC0" w:rsidRPr="00F93784">
        <w:t xml:space="preserve">advise of </w:t>
      </w:r>
      <w:r w:rsidR="00573BC0" w:rsidRPr="00F93784" w:rsidDel="006C7EBB">
        <w:t xml:space="preserve">inconsistent </w:t>
      </w:r>
      <w:r w:rsidR="00573BC0" w:rsidRPr="00F93784">
        <w:t xml:space="preserve">and unsatisfactory </w:t>
      </w:r>
      <w:r w:rsidR="00573BC0" w:rsidRPr="00F93784" w:rsidDel="006C7EBB">
        <w:t>approaches to hardship assistance</w:t>
      </w:r>
      <w:r w:rsidR="007848B3">
        <w:t xml:space="preserve"> by BNPL providers</w:t>
      </w:r>
      <w:r w:rsidR="00573BC0" w:rsidRPr="00F93784">
        <w:t xml:space="preserve">. </w:t>
      </w:r>
    </w:p>
    <w:p w14:paraId="21D44AC2" w14:textId="40ED964A" w:rsidR="00CF2078" w:rsidRDefault="00573BC0" w:rsidP="00CF2078">
      <w:pPr>
        <w:spacing w:line="276" w:lineRule="auto"/>
      </w:pPr>
      <w:r w:rsidRPr="00F93784">
        <w:t xml:space="preserve">For example, </w:t>
      </w:r>
      <w:r w:rsidR="00CF2078">
        <w:t xml:space="preserve">some BNPL providers do not provide an option for consumers to raise a complaint or request hardship assistance over the phone and instead direct consumers to use a smartphone app or email. Consumer groups found this makes it difficult to contact a provider to make a complaint or request hardship assistance. There is a possibility these concerns may also apply to credit licensees and regulated credit products. </w:t>
      </w:r>
    </w:p>
    <w:p w14:paraId="19723567" w14:textId="77777777" w:rsidR="002D0C40" w:rsidRDefault="00CF2078" w:rsidP="002D0C40">
      <w:pPr>
        <w:spacing w:before="0" w:after="160" w:line="259" w:lineRule="auto"/>
      </w:pPr>
      <w:r>
        <w:t>S</w:t>
      </w:r>
      <w:r w:rsidR="00337C0C">
        <w:t>ome consumer groups and financial counsellors told Treasury they faced</w:t>
      </w:r>
      <w:r w:rsidR="00B92BD0">
        <w:t xml:space="preserve"> </w:t>
      </w:r>
      <w:r w:rsidR="00BB2A38">
        <w:t>d</w:t>
      </w:r>
      <w:r w:rsidR="00337C0C">
        <w:t>ifficulty with some BNPL providers not recognising them as acting on</w:t>
      </w:r>
      <w:r>
        <w:t xml:space="preserve"> </w:t>
      </w:r>
      <w:r w:rsidR="00337C0C">
        <w:t xml:space="preserve">behalf of the consumer </w:t>
      </w:r>
      <w:r w:rsidR="007C2E98">
        <w:t xml:space="preserve">in the complaints process. </w:t>
      </w:r>
      <w:r w:rsidR="002D0C40">
        <w:br/>
      </w:r>
      <w:r w:rsidR="0091293C">
        <w:t>T</w:t>
      </w:r>
      <w:r w:rsidR="00106560">
        <w:t xml:space="preserve">he ASIC </w:t>
      </w:r>
      <w:r w:rsidR="009700D9">
        <w:t xml:space="preserve">dispute resolution </w:t>
      </w:r>
      <w:r w:rsidR="00106560">
        <w:t xml:space="preserve">standard provides that </w:t>
      </w:r>
      <w:r w:rsidR="002A0528">
        <w:t xml:space="preserve">lenders </w:t>
      </w:r>
      <w:r w:rsidR="00106560">
        <w:t xml:space="preserve">should be flexible </w:t>
      </w:r>
      <w:r w:rsidR="007C2E98">
        <w:t>with</w:t>
      </w:r>
      <w:r w:rsidR="00106560">
        <w:t xml:space="preserve"> how </w:t>
      </w:r>
      <w:r w:rsidR="002A0528">
        <w:t xml:space="preserve">they receive </w:t>
      </w:r>
      <w:r w:rsidR="00106560">
        <w:t xml:space="preserve">complaints and offer multiple </w:t>
      </w:r>
      <w:r w:rsidR="002A0528">
        <w:t>channels of communication</w:t>
      </w:r>
      <w:r w:rsidR="00106560">
        <w:t>—including telephone, email, letter, social media, in person, or online.</w:t>
      </w:r>
      <w:r w:rsidR="000935EE">
        <w:rPr>
          <w:rStyle w:val="FootnoteReference"/>
        </w:rPr>
        <w:footnoteReference w:id="24"/>
      </w:r>
      <w:r w:rsidR="00106560">
        <w:t xml:space="preserve"> </w:t>
      </w:r>
    </w:p>
    <w:p w14:paraId="00A0C75A" w14:textId="03817BAC" w:rsidR="002D0C40" w:rsidRDefault="00106560" w:rsidP="002D0C40">
      <w:pPr>
        <w:spacing w:before="0" w:after="160" w:line="259" w:lineRule="auto"/>
      </w:pPr>
      <w:r>
        <w:lastRenderedPageBreak/>
        <w:t xml:space="preserve">ASIC’s standard also requires complaints handling mechanisms to be adequately resourced so that it operates fairly, effectively, and efficiently. </w:t>
      </w:r>
      <w:r w:rsidR="00542925">
        <w:t xml:space="preserve">However, it does not explicitly require </w:t>
      </w:r>
      <w:r w:rsidR="002A0528">
        <w:t>lenders</w:t>
      </w:r>
      <w:r w:rsidR="00542925">
        <w:t xml:space="preserve"> to have a phone number for raising complaints or hardship applications.</w:t>
      </w:r>
      <w:r w:rsidR="002D0C40">
        <w:t xml:space="preserve"> BNPL providers advise they often approve most hardship assistance requests and provide relief similar to regulated credit providers such as payment deferrals, pausing fee charges, or debt and fee waivers.</w:t>
      </w:r>
    </w:p>
    <w:p w14:paraId="129BFDCE" w14:textId="77777777" w:rsidR="00632796" w:rsidRDefault="00632796" w:rsidP="00632796">
      <w:pPr>
        <w:spacing w:line="276" w:lineRule="auto"/>
      </w:pPr>
      <w:r>
        <w:t>A contributing factor may be the voluntary nature of the Industry Code which requires only signatories to be members of AFCA. Some of the complaints against BNPL providers may relate to activity aimed at reducing or minimising consumer harm. For example, consumers may complain about unexpected fees, unwanted</w:t>
      </w:r>
      <w:r w:rsidDel="004B1C45">
        <w:t xml:space="preserve"> </w:t>
      </w:r>
      <w:r>
        <w:t xml:space="preserve">credit limited increases, account lockouts following missed payments, or application refusals. </w:t>
      </w:r>
    </w:p>
    <w:p w14:paraId="44A07336" w14:textId="56B19B6A" w:rsidR="0083515F" w:rsidRDefault="00631C9C" w:rsidP="006B678B">
      <w:pPr>
        <w:pStyle w:val="Heading4"/>
      </w:pPr>
      <w:r>
        <w:t xml:space="preserve">AFCA </w:t>
      </w:r>
      <w:r w:rsidR="00324644">
        <w:t>receives</w:t>
      </w:r>
      <w:r w:rsidR="002C7C56">
        <w:t xml:space="preserve"> </w:t>
      </w:r>
      <w:r>
        <w:t xml:space="preserve">relatively </w:t>
      </w:r>
      <w:r w:rsidR="002C7C56">
        <w:t xml:space="preserve">few complaints about </w:t>
      </w:r>
      <w:r w:rsidR="00584ACC">
        <w:t xml:space="preserve">BNPL </w:t>
      </w:r>
    </w:p>
    <w:p w14:paraId="115C61FC" w14:textId="231A1AA7" w:rsidR="003009E4" w:rsidRDefault="00C420E0" w:rsidP="003009E4">
      <w:pPr>
        <w:spacing w:line="276" w:lineRule="auto"/>
      </w:pPr>
      <w:r>
        <w:t xml:space="preserve">Consumer groups advise that many vulnerable consumers are not raising complaints to AFCA, claiming that many consumers </w:t>
      </w:r>
      <w:r w:rsidR="00A96177">
        <w:t xml:space="preserve">do not </w:t>
      </w:r>
      <w:r>
        <w:t xml:space="preserve">know of AFCA </w:t>
      </w:r>
      <w:r w:rsidR="00A96177">
        <w:t xml:space="preserve">or </w:t>
      </w:r>
      <w:r>
        <w:t xml:space="preserve">how to raise a complaint. </w:t>
      </w:r>
      <w:r w:rsidR="00A62ED9">
        <w:t xml:space="preserve">During the </w:t>
      </w:r>
      <w:r w:rsidR="00A62ED9" w:rsidRPr="007A2B50">
        <w:t>2020</w:t>
      </w:r>
      <w:r w:rsidR="00A62ED9">
        <w:t>-2</w:t>
      </w:r>
      <w:r w:rsidR="00A62ED9" w:rsidRPr="007A2B50">
        <w:t>1</w:t>
      </w:r>
      <w:r w:rsidR="00A62ED9">
        <w:t xml:space="preserve"> financial year</w:t>
      </w:r>
      <w:r w:rsidR="00A62ED9" w:rsidRPr="007A2B50">
        <w:t xml:space="preserve">, </w:t>
      </w:r>
      <w:r w:rsidR="00A62ED9">
        <w:t xml:space="preserve">AFCA </w:t>
      </w:r>
      <w:r w:rsidR="00A62ED9" w:rsidRPr="007A2B50">
        <w:t xml:space="preserve">received 767 complaints </w:t>
      </w:r>
      <w:r w:rsidR="00A62ED9">
        <w:t xml:space="preserve">about </w:t>
      </w:r>
      <w:r w:rsidR="00A62ED9" w:rsidRPr="007A2B50">
        <w:t>BNPL</w:t>
      </w:r>
      <w:r w:rsidR="00A62ED9">
        <w:t xml:space="preserve"> products, representing only 0.01 per cent of the </w:t>
      </w:r>
      <w:r w:rsidR="00A96177">
        <w:br/>
      </w:r>
      <w:r w:rsidR="00A62ED9">
        <w:t>5.9 million active accounts during that period.</w:t>
      </w:r>
      <w:r w:rsidR="00A62ED9">
        <w:rPr>
          <w:rStyle w:val="FootnoteReference"/>
        </w:rPr>
        <w:footnoteReference w:id="25"/>
      </w:r>
      <w:r w:rsidR="00A62ED9">
        <w:t xml:space="preserve"> </w:t>
      </w:r>
      <w:r w:rsidR="003009E4">
        <w:t>This may be</w:t>
      </w:r>
      <w:r w:rsidR="00A62ED9">
        <w:t xml:space="preserve"> </w:t>
      </w:r>
      <w:r w:rsidR="00E52EB7">
        <w:t>due to</w:t>
      </w:r>
      <w:r w:rsidR="00A62ED9">
        <w:t xml:space="preserve"> </w:t>
      </w:r>
      <w:r w:rsidR="003009E4">
        <w:t>many BNPL providers resolv</w:t>
      </w:r>
      <w:r w:rsidR="00E52EB7">
        <w:t>ing</w:t>
      </w:r>
      <w:r w:rsidR="003009E4">
        <w:t xml:space="preserve"> complaints directly with the consumer, including by writing</w:t>
      </w:r>
      <w:r w:rsidR="00E52EB7">
        <w:t>-</w:t>
      </w:r>
      <w:r w:rsidR="003009E4">
        <w:t xml:space="preserve">off fees or outstanding debts before the matter is considered by AFCA. As a result, </w:t>
      </w:r>
      <w:r w:rsidR="00E20F13">
        <w:t>few</w:t>
      </w:r>
      <w:r w:rsidR="003009E4">
        <w:t xml:space="preserve"> complaints </w:t>
      </w:r>
      <w:r w:rsidR="00E20F13">
        <w:t>may progress to</w:t>
      </w:r>
      <w:r w:rsidR="003009E4">
        <w:t xml:space="preserve"> AFCA. </w:t>
      </w:r>
    </w:p>
    <w:p w14:paraId="4BCECE08" w14:textId="3E8594F0" w:rsidR="00210D44" w:rsidRDefault="00A62ED9" w:rsidP="003D5EE3">
      <w:pPr>
        <w:spacing w:line="276" w:lineRule="auto"/>
        <w:rPr>
          <w:rFonts w:ascii="Calibri" w:hAnsi="Calibri" w:cs="Arial"/>
          <w:b/>
          <w:color w:val="4D7861" w:themeColor="accent2"/>
          <w:kern w:val="32"/>
          <w:sz w:val="28"/>
          <w:szCs w:val="26"/>
        </w:rPr>
      </w:pPr>
      <w:r>
        <w:t xml:space="preserve">Data from ASIC’s </w:t>
      </w:r>
      <w:r w:rsidR="00675D1C">
        <w:t xml:space="preserve">Consumer Monitor </w:t>
      </w:r>
      <w:r>
        <w:t xml:space="preserve">suggests that on average, across the industry, only 52 per cent of consumer’s reported they knew about their rights to </w:t>
      </w:r>
      <w:r w:rsidRPr="005C546F">
        <w:t xml:space="preserve">make a complaint to an </w:t>
      </w:r>
      <w:r w:rsidR="0007475D">
        <w:t>EDR</w:t>
      </w:r>
      <w:r w:rsidRPr="005C546F">
        <w:t xml:space="preserve"> agency</w:t>
      </w:r>
      <w:r>
        <w:t xml:space="preserve">. </w:t>
      </w:r>
      <w:r w:rsidR="0025048B">
        <w:t>Consultation</w:t>
      </w:r>
      <w:r w:rsidR="00591C06">
        <w:t>s</w:t>
      </w:r>
      <w:r w:rsidR="0025048B">
        <w:t xml:space="preserve"> </w:t>
      </w:r>
      <w:r w:rsidR="00591C06">
        <w:t>also</w:t>
      </w:r>
      <w:r w:rsidR="0025048B">
        <w:t xml:space="preserve"> heard</w:t>
      </w:r>
      <w:r w:rsidR="0039494B">
        <w:t xml:space="preserve"> </w:t>
      </w:r>
      <w:r>
        <w:t>that some BNPL providers do not provide sufficient information to consumers</w:t>
      </w:r>
      <w:r w:rsidR="00106DEF">
        <w:t xml:space="preserve"> about AFCA </w:t>
      </w:r>
      <w:r w:rsidR="00190055">
        <w:t>for</w:t>
      </w:r>
      <w:r w:rsidR="00106DEF">
        <w:t xml:space="preserve"> the consumer to make a complaint if they wished</w:t>
      </w:r>
      <w:r w:rsidR="0039494B">
        <w:t>.</w:t>
      </w:r>
      <w:r w:rsidR="00190055">
        <w:t xml:space="preserve"> </w:t>
      </w:r>
      <w:r>
        <w:t>Some</w:t>
      </w:r>
      <w:r w:rsidR="00BB369C">
        <w:t xml:space="preserve"> co</w:t>
      </w:r>
      <w:r>
        <w:t>nsumers</w:t>
      </w:r>
      <w:r w:rsidR="00BB369C">
        <w:t xml:space="preserve"> </w:t>
      </w:r>
      <w:r w:rsidR="00190055">
        <w:t>may</w:t>
      </w:r>
      <w:r w:rsidR="00BB369C">
        <w:t xml:space="preserve"> avoid raising complaints in the</w:t>
      </w:r>
      <w:r>
        <w:t xml:space="preserve"> fear</w:t>
      </w:r>
      <w:r w:rsidR="00BB369C">
        <w:t xml:space="preserve"> of</w:t>
      </w:r>
      <w:r>
        <w:t xml:space="preserve"> losing access to </w:t>
      </w:r>
      <w:r w:rsidR="00C15C3E">
        <w:t xml:space="preserve">the </w:t>
      </w:r>
      <w:r>
        <w:t>BNPL account</w:t>
      </w:r>
      <w:r>
        <w:rPr>
          <w:rStyle w:val="FootnoteReference"/>
        </w:rPr>
        <w:footnoteReference w:id="26"/>
      </w:r>
      <w:r w:rsidR="00190055">
        <w:t xml:space="preserve"> or may be</w:t>
      </w:r>
      <w:r w:rsidR="008213D5">
        <w:t xml:space="preserve"> unwilling </w:t>
      </w:r>
      <w:r w:rsidR="005D2A6E">
        <w:t xml:space="preserve">to </w:t>
      </w:r>
      <w:r w:rsidR="009A7552">
        <w:t>complain</w:t>
      </w:r>
      <w:r w:rsidR="005D2A6E">
        <w:t xml:space="preserve"> </w:t>
      </w:r>
      <w:r w:rsidR="005062DC">
        <w:t xml:space="preserve">considering </w:t>
      </w:r>
      <w:r w:rsidR="00C96907">
        <w:t xml:space="preserve">the </w:t>
      </w:r>
      <w:r>
        <w:t>often</w:t>
      </w:r>
      <w:r w:rsidR="00B50529">
        <w:t>-</w:t>
      </w:r>
      <w:r>
        <w:t xml:space="preserve">low value </w:t>
      </w:r>
      <w:r w:rsidR="006658C5">
        <w:t xml:space="preserve">amount </w:t>
      </w:r>
      <w:r w:rsidR="00406A6A">
        <w:t xml:space="preserve">being </w:t>
      </w:r>
      <w:r>
        <w:t>disputed.</w:t>
      </w:r>
      <w:r w:rsidR="00210D44">
        <w:t xml:space="preserve"> </w:t>
      </w:r>
      <w:r w:rsidR="00344D65">
        <w:t xml:space="preserve">Additionally, </w:t>
      </w:r>
      <w:r w:rsidR="003009E4">
        <w:t xml:space="preserve">ASIC’s </w:t>
      </w:r>
      <w:r w:rsidR="004B2F86">
        <w:t>Consumer Monitor</w:t>
      </w:r>
      <w:r w:rsidR="004B2F86" w:rsidRPr="009D1F62">
        <w:t xml:space="preserve"> </w:t>
      </w:r>
      <w:r w:rsidR="003009E4">
        <w:t xml:space="preserve">found only </w:t>
      </w:r>
      <w:r w:rsidR="003009E4" w:rsidRPr="009D1F62">
        <w:t>3</w:t>
      </w:r>
      <w:r w:rsidR="003009E4">
        <w:t xml:space="preserve"> per cent</w:t>
      </w:r>
      <w:r w:rsidR="003009E4" w:rsidRPr="009D1F62">
        <w:t xml:space="preserve"> of BNPL users</w:t>
      </w:r>
      <w:r w:rsidR="003009E4">
        <w:t xml:space="preserve"> reported wanting to make a complaint about the product in</w:t>
      </w:r>
      <w:r w:rsidR="003009E4" w:rsidRPr="009D1F62">
        <w:t xml:space="preserve"> the</w:t>
      </w:r>
      <w:r w:rsidR="003009E4">
        <w:t xml:space="preserve"> prior</w:t>
      </w:r>
      <w:r w:rsidR="003009E4" w:rsidRPr="009D1F62">
        <w:t xml:space="preserve"> 6-month</w:t>
      </w:r>
      <w:r w:rsidR="003009E4">
        <w:t xml:space="preserve"> period.</w:t>
      </w:r>
      <w:r w:rsidR="003009E4">
        <w:rPr>
          <w:rStyle w:val="FootnoteReference"/>
        </w:rPr>
        <w:footnoteReference w:id="27"/>
      </w:r>
      <w:r w:rsidR="003009E4">
        <w:t xml:space="preserve"> </w:t>
      </w:r>
    </w:p>
    <w:p w14:paraId="62AAC7F4" w14:textId="6B663A13" w:rsidR="00106560" w:rsidRDefault="00106560" w:rsidP="00106560">
      <w:pPr>
        <w:pStyle w:val="Heading3"/>
      </w:pPr>
      <w:bookmarkStart w:id="15" w:name="_Toc119916352"/>
      <w:r>
        <w:t>Excessive consumer fees and charges, including default fees</w:t>
      </w:r>
      <w:bookmarkEnd w:id="15"/>
    </w:p>
    <w:p w14:paraId="4CC5C5AA" w14:textId="69654F78" w:rsidR="00106560" w:rsidRPr="004D5981" w:rsidRDefault="00CA0B34" w:rsidP="00106560">
      <w:pPr>
        <w:pStyle w:val="Heading4"/>
      </w:pPr>
      <w:r>
        <w:t xml:space="preserve">Some BNPL providers charge </w:t>
      </w:r>
      <w:r w:rsidR="00C004E6">
        <w:t xml:space="preserve">disproportionately </w:t>
      </w:r>
      <w:r w:rsidR="00106560">
        <w:t xml:space="preserve">high consumer fees </w:t>
      </w:r>
      <w:r w:rsidR="00C004E6">
        <w:t>relative</w:t>
      </w:r>
      <w:r w:rsidR="00106560">
        <w:t xml:space="preserve"> to </w:t>
      </w:r>
      <w:r>
        <w:t xml:space="preserve">the </w:t>
      </w:r>
      <w:r w:rsidR="00106560">
        <w:t>debt</w:t>
      </w:r>
    </w:p>
    <w:p w14:paraId="2732E92C" w14:textId="4C9AE5DC" w:rsidR="00210D44" w:rsidRDefault="001907F7" w:rsidP="001907F7">
      <w:pPr>
        <w:spacing w:line="276" w:lineRule="auto"/>
      </w:pPr>
      <w:r>
        <w:t xml:space="preserve">Many BNPL providers already operate under a legislated fee cap exemption in the Credit Act and charge fees less than $200 in the first year, and $125 each year thereafter (not including late payment fees) which often include </w:t>
      </w:r>
      <w:r w:rsidR="00106560">
        <w:t>fixed fee</w:t>
      </w:r>
      <w:r w:rsidR="004F4BCE">
        <w:t>s</w:t>
      </w:r>
      <w:r w:rsidR="00106560">
        <w:t xml:space="preserve"> for establishing and managing BNPL account</w:t>
      </w:r>
      <w:r w:rsidR="004F4BCE">
        <w:t>s</w:t>
      </w:r>
      <w:r w:rsidR="00106560">
        <w:t>.</w:t>
      </w:r>
      <w:r w:rsidR="00106560">
        <w:rPr>
          <w:rStyle w:val="FootnoteReference"/>
        </w:rPr>
        <w:footnoteReference w:id="28"/>
      </w:r>
      <w:r w:rsidR="00106560">
        <w:t xml:space="preserve"> </w:t>
      </w:r>
      <w:r w:rsidR="002C7C56">
        <w:t>Some of these fees</w:t>
      </w:r>
      <w:r w:rsidR="005D502B">
        <w:t xml:space="preserve">, in particular late payment fees, </w:t>
      </w:r>
      <w:r w:rsidR="002C7C56">
        <w:t>may be disproportionate compared to the value of the credit provided</w:t>
      </w:r>
      <w:r w:rsidR="00106560">
        <w:t xml:space="preserve">. </w:t>
      </w:r>
    </w:p>
    <w:p w14:paraId="6D3A31D4" w14:textId="6B6C1CBD" w:rsidR="00106560" w:rsidRDefault="00106560" w:rsidP="00106560">
      <w:pPr>
        <w:spacing w:line="276" w:lineRule="auto"/>
      </w:pPr>
      <w:r>
        <w:lastRenderedPageBreak/>
        <w:t>Curtin University research</w:t>
      </w:r>
      <w:r>
        <w:rPr>
          <w:rStyle w:val="FootnoteReference"/>
        </w:rPr>
        <w:footnoteReference w:id="29"/>
      </w:r>
      <w:r>
        <w:t xml:space="preserve"> found </w:t>
      </w:r>
      <w:r w:rsidR="005836DF">
        <w:t xml:space="preserve">falling behind on the payment schedule for </w:t>
      </w:r>
      <w:r>
        <w:t xml:space="preserve">a $40 purchase </w:t>
      </w:r>
      <w:r w:rsidR="005836DF">
        <w:t>on 10 fortnightly repayments would result in</w:t>
      </w:r>
      <w:r>
        <w:t xml:space="preserve"> an effective annual interest rate as high as 28.25 per cent for Afterpay, 29.32 per cent for ZIP</w:t>
      </w:r>
      <w:r w:rsidR="003A1783">
        <w:t>,</w:t>
      </w:r>
      <w:r>
        <w:t xml:space="preserve"> and 177.44 per cent for Humm – Little </w:t>
      </w:r>
      <w:r w:rsidR="00FC26E5">
        <w:t>t</w:t>
      </w:r>
      <w:r>
        <w:t>hings</w:t>
      </w:r>
      <w:r w:rsidR="005836DF">
        <w:t>. T</w:t>
      </w:r>
      <w:r>
        <w:t xml:space="preserve">he report also found that, with a larger purchase of $350, the effective annual interest rate is 14.61 per cent for ZIP and 12.05 per cent for Humm – Little things on 10 fortnightly repayments. </w:t>
      </w:r>
    </w:p>
    <w:p w14:paraId="1C3B3B40" w14:textId="6D70FA84" w:rsidR="00986053" w:rsidRDefault="007931AE" w:rsidP="003E676B">
      <w:pPr>
        <w:spacing w:line="276" w:lineRule="auto"/>
      </w:pPr>
      <w:r w:rsidRPr="005E616F">
        <w:t xml:space="preserve">By way of comparison, the </w:t>
      </w:r>
      <w:r w:rsidR="00106560" w:rsidRPr="005E616F">
        <w:t>Reserve Bank of Australia</w:t>
      </w:r>
      <w:r w:rsidRPr="005E616F">
        <w:t xml:space="preserve"> (RBA)</w:t>
      </w:r>
      <w:r w:rsidR="00106560" w:rsidRPr="005E616F">
        <w:t xml:space="preserve"> </w:t>
      </w:r>
      <w:r w:rsidRPr="005E616F">
        <w:t>found</w:t>
      </w:r>
      <w:r w:rsidR="00106560" w:rsidRPr="005E616F">
        <w:t xml:space="preserve"> the average annual credit card rate in Australia as of October 2021 was 19.94 per cent</w:t>
      </w:r>
      <w:r w:rsidR="00CA66CA" w:rsidRPr="00D94A3C">
        <w:rPr>
          <w:rStyle w:val="FootnoteReference"/>
        </w:rPr>
        <w:footnoteReference w:id="30"/>
      </w:r>
      <w:r w:rsidR="00106560" w:rsidRPr="005E616F">
        <w:t xml:space="preserve"> – although this </w:t>
      </w:r>
      <w:r w:rsidR="004F4BCE" w:rsidRPr="005E616F">
        <w:t>does not</w:t>
      </w:r>
      <w:r w:rsidR="00106560" w:rsidRPr="005E616F">
        <w:t xml:space="preserve"> </w:t>
      </w:r>
      <w:r w:rsidR="0083103A" w:rsidRPr="005E616F">
        <w:t>consider</w:t>
      </w:r>
      <w:r w:rsidR="00106560" w:rsidRPr="005E616F">
        <w:t xml:space="preserve"> </w:t>
      </w:r>
      <w:r w:rsidR="004F4BCE" w:rsidRPr="005E616F">
        <w:t xml:space="preserve">any annual </w:t>
      </w:r>
      <w:r w:rsidR="00106560" w:rsidRPr="005E616F">
        <w:t>fees. Similarly</w:t>
      </w:r>
      <w:r w:rsidR="00603A03">
        <w:t>,</w:t>
      </w:r>
      <w:r w:rsidR="00106560" w:rsidRPr="005E616F">
        <w:t xml:space="preserve"> high effective annual interest rate figures can result from using credit cards with high </w:t>
      </w:r>
      <w:r w:rsidR="00E944D5" w:rsidRPr="005E616F">
        <w:t xml:space="preserve">annual </w:t>
      </w:r>
      <w:r w:rsidR="00106560" w:rsidRPr="005E616F">
        <w:t>fees for only small purchases.</w:t>
      </w:r>
    </w:p>
    <w:p w14:paraId="7501B27D" w14:textId="3E92C145" w:rsidR="00106560" w:rsidRDefault="00106560" w:rsidP="00106560">
      <w:pPr>
        <w:spacing w:line="276" w:lineRule="auto"/>
      </w:pPr>
      <w:r>
        <w:t xml:space="preserve">The BNPL industry </w:t>
      </w:r>
      <w:r w:rsidR="00CA0C9F">
        <w:t>advise</w:t>
      </w:r>
      <w:r w:rsidR="00D8776C">
        <w:t xml:space="preserve"> </w:t>
      </w:r>
      <w:r>
        <w:t xml:space="preserve">they </w:t>
      </w:r>
      <w:r w:rsidR="17BDA933">
        <w:t>are</w:t>
      </w:r>
      <w:r>
        <w:t xml:space="preserve"> </w:t>
      </w:r>
      <w:r w:rsidR="2D4B1682">
        <w:t>address</w:t>
      </w:r>
      <w:r w:rsidR="5E6F7284">
        <w:t>ing</w:t>
      </w:r>
      <w:r>
        <w:t xml:space="preserve"> the</w:t>
      </w:r>
      <w:r w:rsidR="00D8776C">
        <w:t>se</w:t>
      </w:r>
      <w:r>
        <w:t xml:space="preserve"> concern</w:t>
      </w:r>
      <w:r w:rsidR="00D8776C">
        <w:t>s</w:t>
      </w:r>
      <w:r>
        <w:t xml:space="preserve"> </w:t>
      </w:r>
      <w:r w:rsidR="00D02D3A">
        <w:t xml:space="preserve">by </w:t>
      </w:r>
      <w:r w:rsidR="00484E98">
        <w:t xml:space="preserve">requiring signatories of the </w:t>
      </w:r>
      <w:r w:rsidR="00D02D3A">
        <w:t>I</w:t>
      </w:r>
      <w:r w:rsidR="00484E98">
        <w:t xml:space="preserve">ndustry Code to cap their late payment fees. </w:t>
      </w:r>
      <w:r w:rsidR="00435C52">
        <w:t>While some</w:t>
      </w:r>
      <w:r w:rsidR="00CA0C9F">
        <w:t xml:space="preserve"> </w:t>
      </w:r>
      <w:r>
        <w:t xml:space="preserve">BNPL providers have </w:t>
      </w:r>
      <w:r w:rsidR="00D02D3A">
        <w:t xml:space="preserve">set </w:t>
      </w:r>
      <w:r w:rsidR="00CA0C9F">
        <w:t>this</w:t>
      </w:r>
      <w:r w:rsidDel="00CA0C9F">
        <w:t xml:space="preserve"> </w:t>
      </w:r>
      <w:r>
        <w:t>cap</w:t>
      </w:r>
      <w:r w:rsidR="00435C52">
        <w:t xml:space="preserve">, </w:t>
      </w:r>
      <w:r w:rsidR="00CA0C9F">
        <w:t xml:space="preserve">and legislation may be needed if </w:t>
      </w:r>
      <w:r w:rsidR="007E1FED">
        <w:t>disproportionate late payment fees persist as an issue</w:t>
      </w:r>
      <w:r w:rsidR="00CA0C9F">
        <w:t>.</w:t>
      </w:r>
      <w:r>
        <w:t xml:space="preserve"> Some industry members </w:t>
      </w:r>
      <w:r w:rsidR="002C7D7E">
        <w:t>advise</w:t>
      </w:r>
      <w:r>
        <w:t xml:space="preserve"> a fee cap would set an industry standard on the fees BNPL providers charge</w:t>
      </w:r>
      <w:r w:rsidR="00072AAE">
        <w:t xml:space="preserve">, </w:t>
      </w:r>
      <w:r>
        <w:t>hinder</w:t>
      </w:r>
      <w:r w:rsidR="00072AAE">
        <w:t>ing</w:t>
      </w:r>
      <w:r>
        <w:t xml:space="preserve"> competition </w:t>
      </w:r>
      <w:r w:rsidR="00072AAE">
        <w:t>where all</w:t>
      </w:r>
      <w:r>
        <w:t xml:space="preserve"> providers will charge the maximum permitted amount. </w:t>
      </w:r>
    </w:p>
    <w:p w14:paraId="71A2F8B5" w14:textId="4A8D2990" w:rsidR="00B852CD" w:rsidRDefault="00F44C57" w:rsidP="00760D00">
      <w:pPr>
        <w:pStyle w:val="Heading3"/>
      </w:pPr>
      <w:bookmarkStart w:id="16" w:name="_Toc119916353"/>
      <w:r>
        <w:t xml:space="preserve">Non-participation in </w:t>
      </w:r>
      <w:r w:rsidR="006F111F">
        <w:t>credit reporting</w:t>
      </w:r>
      <w:bookmarkEnd w:id="16"/>
      <w:r w:rsidR="006F111F">
        <w:t xml:space="preserve"> </w:t>
      </w:r>
    </w:p>
    <w:p w14:paraId="3F1E7413" w14:textId="1B23AE85" w:rsidR="006C7C5F" w:rsidRPr="00B81F42" w:rsidRDefault="00CA0B34" w:rsidP="00760D00">
      <w:pPr>
        <w:pStyle w:val="Heading4"/>
      </w:pPr>
      <w:r>
        <w:t>Generally,</w:t>
      </w:r>
      <w:r w:rsidR="00626753">
        <w:t xml:space="preserve"> BNPL debts are </w:t>
      </w:r>
      <w:r>
        <w:t>not reported</w:t>
      </w:r>
      <w:r w:rsidR="00626753">
        <w:t xml:space="preserve"> to credit reporting bodies</w:t>
      </w:r>
    </w:p>
    <w:p w14:paraId="20752F1D" w14:textId="281F8EE6" w:rsidR="00DC2A64" w:rsidRDefault="0082759E" w:rsidP="00760D00">
      <w:pPr>
        <w:pStyle w:val="OutlineNumbered1"/>
        <w:numPr>
          <w:ilvl w:val="0"/>
          <w:numId w:val="0"/>
        </w:numPr>
        <w:spacing w:line="276" w:lineRule="auto"/>
        <w:rPr>
          <w:rFonts w:cs="Calibri Light"/>
          <w:szCs w:val="22"/>
        </w:rPr>
      </w:pPr>
      <w:r>
        <w:rPr>
          <w:rFonts w:cs="Calibri Light"/>
          <w:szCs w:val="22"/>
        </w:rPr>
        <w:t xml:space="preserve">Australia’s credit reporting system holds information about a person’s credit information, which can be used by credit reporting bodies to determine a person’s credit score. Many lenders commonly use the credit information held by credit reporting bodies to conduct unsuitability checks. </w:t>
      </w:r>
      <w:r w:rsidR="0026472C" w:rsidRPr="00B81F42">
        <w:rPr>
          <w:rFonts w:cs="Calibri Light"/>
          <w:szCs w:val="22"/>
        </w:rPr>
        <w:t xml:space="preserve">BNPL providers generally do not </w:t>
      </w:r>
      <w:r w:rsidR="008C0B59">
        <w:rPr>
          <w:rFonts w:cs="Calibri Light"/>
          <w:szCs w:val="22"/>
        </w:rPr>
        <w:t>report default information</w:t>
      </w:r>
      <w:r w:rsidR="008C0B59" w:rsidRPr="00B81F42">
        <w:rPr>
          <w:rFonts w:cs="Calibri Light"/>
          <w:szCs w:val="22"/>
        </w:rPr>
        <w:t xml:space="preserve"> </w:t>
      </w:r>
      <w:r w:rsidR="00101316">
        <w:rPr>
          <w:rFonts w:cs="Calibri Light"/>
          <w:szCs w:val="22"/>
        </w:rPr>
        <w:t>to</w:t>
      </w:r>
      <w:r w:rsidR="00101316" w:rsidRPr="00B81F42">
        <w:rPr>
          <w:rFonts w:cs="Calibri Light"/>
          <w:szCs w:val="22"/>
        </w:rPr>
        <w:t xml:space="preserve"> </w:t>
      </w:r>
      <w:r w:rsidR="0026472C" w:rsidRPr="00B81F42">
        <w:rPr>
          <w:rFonts w:cs="Calibri Light"/>
          <w:szCs w:val="22"/>
        </w:rPr>
        <w:t>the credit reporting system</w:t>
      </w:r>
      <w:r w:rsidR="008C0B59">
        <w:rPr>
          <w:rFonts w:cs="Calibri Light"/>
          <w:szCs w:val="22"/>
        </w:rPr>
        <w:t xml:space="preserve">, nor do they </w:t>
      </w:r>
      <w:r w:rsidR="00254056">
        <w:rPr>
          <w:rFonts w:cs="Calibri Light"/>
          <w:szCs w:val="22"/>
        </w:rPr>
        <w:t>report</w:t>
      </w:r>
      <w:r w:rsidR="00DE08A0">
        <w:rPr>
          <w:rFonts w:cs="Calibri Light"/>
          <w:szCs w:val="22"/>
        </w:rPr>
        <w:t xml:space="preserve"> </w:t>
      </w:r>
      <w:r w:rsidR="008C0B59">
        <w:rPr>
          <w:rFonts w:cs="Calibri Light"/>
          <w:szCs w:val="22"/>
        </w:rPr>
        <w:t>information</w:t>
      </w:r>
      <w:r w:rsidR="00DE08A0">
        <w:rPr>
          <w:rFonts w:cs="Calibri Light"/>
          <w:szCs w:val="22"/>
        </w:rPr>
        <w:t xml:space="preserve"> on </w:t>
      </w:r>
      <w:r w:rsidR="009750A7">
        <w:rPr>
          <w:rFonts w:cs="Calibri Light"/>
          <w:szCs w:val="22"/>
        </w:rPr>
        <w:t>credit limit</w:t>
      </w:r>
      <w:r w:rsidR="00DE08A0">
        <w:rPr>
          <w:rFonts w:cs="Calibri Light"/>
          <w:szCs w:val="22"/>
        </w:rPr>
        <w:t>s</w:t>
      </w:r>
      <w:r w:rsidR="009750A7">
        <w:rPr>
          <w:rFonts w:cs="Calibri Light"/>
          <w:szCs w:val="22"/>
        </w:rPr>
        <w:t>, repayment history,</w:t>
      </w:r>
      <w:r w:rsidR="00DE08A0">
        <w:rPr>
          <w:rFonts w:cs="Calibri Light"/>
          <w:szCs w:val="22"/>
        </w:rPr>
        <w:t xml:space="preserve"> and </w:t>
      </w:r>
      <w:r w:rsidR="009750A7">
        <w:rPr>
          <w:rFonts w:cs="Calibri Light"/>
          <w:szCs w:val="22"/>
        </w:rPr>
        <w:t>outstanding balance</w:t>
      </w:r>
      <w:r w:rsidR="00DE08A0">
        <w:rPr>
          <w:rFonts w:cs="Calibri Light"/>
          <w:szCs w:val="22"/>
        </w:rPr>
        <w:t>s</w:t>
      </w:r>
      <w:r w:rsidR="0026472C" w:rsidRPr="00B81F42">
        <w:rPr>
          <w:rFonts w:cs="Calibri Light"/>
          <w:szCs w:val="22"/>
        </w:rPr>
        <w:t xml:space="preserve">. </w:t>
      </w:r>
      <w:r w:rsidR="00713E17">
        <w:rPr>
          <w:rFonts w:cs="Calibri Light"/>
          <w:szCs w:val="22"/>
        </w:rPr>
        <w:t xml:space="preserve">As a result, there may be problematic </w:t>
      </w:r>
      <w:r w:rsidR="00713E17" w:rsidRPr="00970093">
        <w:rPr>
          <w:rFonts w:cs="Calibri Light"/>
          <w:szCs w:val="22"/>
        </w:rPr>
        <w:t>gap</w:t>
      </w:r>
      <w:r w:rsidR="00713E17">
        <w:rPr>
          <w:rFonts w:cs="Calibri Light"/>
          <w:szCs w:val="22"/>
        </w:rPr>
        <w:t>s in a person’s credit file due to the non-reporting of BNPL debts to the comprehensive credit reporting framework</w:t>
      </w:r>
      <w:r w:rsidR="00F20BA1">
        <w:rPr>
          <w:rFonts w:cs="Calibri Light"/>
          <w:szCs w:val="22"/>
        </w:rPr>
        <w:t>, noting that these amounts are typically small</w:t>
      </w:r>
      <w:r w:rsidR="00C86BBF">
        <w:rPr>
          <w:rFonts w:cs="Calibri Light"/>
          <w:szCs w:val="22"/>
        </w:rPr>
        <w:t>.</w:t>
      </w:r>
    </w:p>
    <w:p w14:paraId="70D16564" w14:textId="5CDAED63" w:rsidR="000A2C44" w:rsidRDefault="001559A7" w:rsidP="00760D00">
      <w:pPr>
        <w:pStyle w:val="OutlineNumbered1"/>
        <w:numPr>
          <w:ilvl w:val="0"/>
          <w:numId w:val="0"/>
        </w:numPr>
        <w:spacing w:line="276" w:lineRule="auto"/>
        <w:rPr>
          <w:rFonts w:cs="Calibri Light"/>
          <w:szCs w:val="22"/>
        </w:rPr>
      </w:pPr>
      <w:r>
        <w:rPr>
          <w:rFonts w:cs="Calibri Light"/>
          <w:szCs w:val="22"/>
        </w:rPr>
        <w:t>C</w:t>
      </w:r>
      <w:r w:rsidR="00DE08A0">
        <w:rPr>
          <w:rFonts w:cs="Calibri Light"/>
          <w:szCs w:val="22"/>
        </w:rPr>
        <w:t>urrently</w:t>
      </w:r>
      <w:r w:rsidR="00BE4F46">
        <w:rPr>
          <w:rFonts w:cs="Calibri Light"/>
          <w:szCs w:val="22"/>
        </w:rPr>
        <w:t>,</w:t>
      </w:r>
      <w:r w:rsidR="00DE08A0">
        <w:rPr>
          <w:rFonts w:cs="Calibri Light"/>
          <w:szCs w:val="22"/>
        </w:rPr>
        <w:t xml:space="preserve"> only Australia’s four major banks </w:t>
      </w:r>
      <w:r w:rsidR="000A2C44">
        <w:rPr>
          <w:rFonts w:cs="Calibri Light"/>
          <w:szCs w:val="22"/>
        </w:rPr>
        <w:t xml:space="preserve">need </w:t>
      </w:r>
      <w:r w:rsidR="00DE08A0">
        <w:rPr>
          <w:rFonts w:cs="Calibri Light"/>
          <w:szCs w:val="22"/>
        </w:rPr>
        <w:t xml:space="preserve">to provide their customers’ </w:t>
      </w:r>
      <w:r w:rsidR="006562DD">
        <w:rPr>
          <w:rFonts w:cs="Calibri Light"/>
          <w:szCs w:val="22"/>
        </w:rPr>
        <w:t xml:space="preserve">positive and negative </w:t>
      </w:r>
      <w:r w:rsidR="00DE08A0">
        <w:rPr>
          <w:rFonts w:cs="Calibri Light"/>
          <w:szCs w:val="22"/>
        </w:rPr>
        <w:t xml:space="preserve">credit information to the credit reporting </w:t>
      </w:r>
      <w:r w:rsidR="00C06AA6">
        <w:rPr>
          <w:rFonts w:cs="Calibri Light"/>
          <w:szCs w:val="22"/>
        </w:rPr>
        <w:t xml:space="preserve">system </w:t>
      </w:r>
      <w:r w:rsidR="00DE08A0">
        <w:rPr>
          <w:rFonts w:cs="Calibri Light"/>
          <w:szCs w:val="22"/>
        </w:rPr>
        <w:t>under the mandatory comprehensive credit reporting regime</w:t>
      </w:r>
      <w:r w:rsidR="00F04106">
        <w:rPr>
          <w:rFonts w:cs="Calibri Light"/>
          <w:szCs w:val="22"/>
        </w:rPr>
        <w:t xml:space="preserve">. </w:t>
      </w:r>
      <w:r w:rsidR="00065C58">
        <w:rPr>
          <w:rFonts w:cs="Calibri Light"/>
          <w:szCs w:val="22"/>
        </w:rPr>
        <w:t xml:space="preserve">Participation in Australia’s credit reporting framework </w:t>
      </w:r>
      <w:r w:rsidR="00AA4628">
        <w:rPr>
          <w:rFonts w:cs="Calibri Light"/>
          <w:szCs w:val="22"/>
        </w:rPr>
        <w:t xml:space="preserve">is voluntary for </w:t>
      </w:r>
      <w:r w:rsidR="001367D1">
        <w:rPr>
          <w:rFonts w:cs="Calibri Light"/>
          <w:szCs w:val="22"/>
        </w:rPr>
        <w:t xml:space="preserve">all </w:t>
      </w:r>
      <w:r w:rsidR="00AA4628">
        <w:rPr>
          <w:rFonts w:cs="Calibri Light"/>
          <w:szCs w:val="22"/>
        </w:rPr>
        <w:t xml:space="preserve">other </w:t>
      </w:r>
      <w:r w:rsidR="00C4679B">
        <w:rPr>
          <w:rFonts w:cs="Calibri Light"/>
          <w:szCs w:val="22"/>
        </w:rPr>
        <w:t xml:space="preserve">licensed </w:t>
      </w:r>
      <w:r w:rsidR="00AA4628">
        <w:rPr>
          <w:rFonts w:cs="Calibri Light"/>
          <w:szCs w:val="22"/>
        </w:rPr>
        <w:t>lenders</w:t>
      </w:r>
      <w:r w:rsidR="00CE1F52">
        <w:rPr>
          <w:rFonts w:cs="Calibri Light"/>
          <w:szCs w:val="22"/>
        </w:rPr>
        <w:t>,</w:t>
      </w:r>
      <w:r w:rsidR="001367D1">
        <w:rPr>
          <w:rFonts w:cs="Calibri Light"/>
          <w:szCs w:val="22"/>
        </w:rPr>
        <w:t xml:space="preserve"> including smaller banks, non-bank lenders, </w:t>
      </w:r>
      <w:r w:rsidR="00726A45">
        <w:rPr>
          <w:rFonts w:cs="Calibri Light"/>
          <w:szCs w:val="22"/>
        </w:rPr>
        <w:t>payday lenders</w:t>
      </w:r>
      <w:r w:rsidR="00C4679B">
        <w:rPr>
          <w:rFonts w:cs="Calibri Light"/>
          <w:szCs w:val="22"/>
        </w:rPr>
        <w:t>,</w:t>
      </w:r>
      <w:r w:rsidR="00067FA4">
        <w:rPr>
          <w:rFonts w:cs="Calibri Light"/>
          <w:szCs w:val="22"/>
        </w:rPr>
        <w:t xml:space="preserve"> and</w:t>
      </w:r>
      <w:r w:rsidR="00C4679B">
        <w:rPr>
          <w:rFonts w:cs="Calibri Light"/>
          <w:szCs w:val="22"/>
        </w:rPr>
        <w:t xml:space="preserve"> consumer lessors. There a</w:t>
      </w:r>
      <w:r w:rsidR="00CE1F52">
        <w:rPr>
          <w:rFonts w:cs="Calibri Light"/>
          <w:szCs w:val="22"/>
        </w:rPr>
        <w:t xml:space="preserve">re </w:t>
      </w:r>
      <w:r w:rsidR="001A6B72">
        <w:rPr>
          <w:rFonts w:cs="Calibri Light"/>
          <w:szCs w:val="22"/>
        </w:rPr>
        <w:t>further limitations</w:t>
      </w:r>
      <w:r w:rsidR="00897678">
        <w:rPr>
          <w:rFonts w:cs="Calibri Light"/>
          <w:szCs w:val="22"/>
        </w:rPr>
        <w:t xml:space="preserve"> </w:t>
      </w:r>
      <w:r w:rsidR="0042010A">
        <w:rPr>
          <w:rFonts w:cs="Calibri Light"/>
          <w:szCs w:val="22"/>
        </w:rPr>
        <w:t xml:space="preserve">on </w:t>
      </w:r>
      <w:r w:rsidR="00245FAD">
        <w:rPr>
          <w:rFonts w:cs="Calibri Light"/>
          <w:szCs w:val="22"/>
        </w:rPr>
        <w:t xml:space="preserve">the reporting of credit information for unlicensed credit providers under the </w:t>
      </w:r>
      <w:r w:rsidR="00245FAD" w:rsidRPr="00067FA4">
        <w:rPr>
          <w:rFonts w:cs="Calibri Light"/>
          <w:i/>
          <w:szCs w:val="22"/>
        </w:rPr>
        <w:t>Privacy Act</w:t>
      </w:r>
      <w:r w:rsidR="00067FA4" w:rsidRPr="00067FA4">
        <w:rPr>
          <w:rFonts w:cs="Calibri Light"/>
          <w:i/>
          <w:iCs/>
          <w:szCs w:val="22"/>
        </w:rPr>
        <w:t xml:space="preserve"> 1988</w:t>
      </w:r>
      <w:r w:rsidR="00245FAD">
        <w:rPr>
          <w:rFonts w:cs="Calibri Light"/>
          <w:szCs w:val="22"/>
        </w:rPr>
        <w:t>.</w:t>
      </w:r>
      <w:r w:rsidR="00343CAC">
        <w:rPr>
          <w:rFonts w:cs="Calibri Light"/>
          <w:szCs w:val="22"/>
        </w:rPr>
        <w:t xml:space="preserve"> </w:t>
      </w:r>
    </w:p>
    <w:p w14:paraId="039CB46B" w14:textId="1F3E06F1" w:rsidR="00210D44" w:rsidRDefault="005F5748" w:rsidP="00D94A3C">
      <w:pPr>
        <w:spacing w:line="276" w:lineRule="auto"/>
        <w:rPr>
          <w:rFonts w:cs="Calibri Light"/>
          <w:szCs w:val="22"/>
        </w:rPr>
      </w:pPr>
      <w:r>
        <w:rPr>
          <w:rFonts w:cs="Calibri Light"/>
          <w:szCs w:val="22"/>
        </w:rPr>
        <w:t xml:space="preserve">As a result, consumers </w:t>
      </w:r>
      <w:r w:rsidR="005C561A">
        <w:rPr>
          <w:rFonts w:cs="Calibri Light"/>
          <w:szCs w:val="22"/>
        </w:rPr>
        <w:t>and lenders miss out on some of the benefits of credit information</w:t>
      </w:r>
      <w:r w:rsidR="00A7485B">
        <w:rPr>
          <w:rFonts w:cs="Calibri Light"/>
          <w:szCs w:val="22"/>
        </w:rPr>
        <w:t xml:space="preserve"> reporting</w:t>
      </w:r>
      <w:r w:rsidR="005C561A">
        <w:rPr>
          <w:rFonts w:cs="Calibri Light"/>
          <w:szCs w:val="22"/>
        </w:rPr>
        <w:t xml:space="preserve">. For example, consumers </w:t>
      </w:r>
      <w:r w:rsidR="00FE1419">
        <w:rPr>
          <w:rFonts w:cs="Calibri Light"/>
          <w:szCs w:val="22"/>
        </w:rPr>
        <w:t xml:space="preserve">may find it harder to demonstrate they have good repayment history if BNPL providers </w:t>
      </w:r>
      <w:r w:rsidR="00B36D0B">
        <w:rPr>
          <w:rFonts w:cs="Calibri Light"/>
          <w:szCs w:val="22"/>
        </w:rPr>
        <w:t>can</w:t>
      </w:r>
      <w:r w:rsidR="00FE1419">
        <w:rPr>
          <w:rFonts w:cs="Calibri Light"/>
          <w:szCs w:val="22"/>
        </w:rPr>
        <w:t>not participate in comprehensive credit reporting</w:t>
      </w:r>
      <w:r w:rsidR="00C50663">
        <w:rPr>
          <w:rFonts w:cs="Calibri Light"/>
          <w:szCs w:val="22"/>
        </w:rPr>
        <w:t>, impacting their ability to access credit in the future</w:t>
      </w:r>
      <w:r w:rsidR="00410409">
        <w:rPr>
          <w:rFonts w:cs="Calibri Light"/>
          <w:szCs w:val="22"/>
        </w:rPr>
        <w:t xml:space="preserve"> (e.g.</w:t>
      </w:r>
      <w:r w:rsidR="006D0577">
        <w:rPr>
          <w:rFonts w:cs="Calibri Light"/>
          <w:szCs w:val="22"/>
        </w:rPr>
        <w:t>,</w:t>
      </w:r>
      <w:r w:rsidR="00C50663">
        <w:rPr>
          <w:rFonts w:cs="Calibri Light"/>
          <w:szCs w:val="22"/>
        </w:rPr>
        <w:t xml:space="preserve"> when applying for a mortgage</w:t>
      </w:r>
      <w:r w:rsidR="00410409">
        <w:rPr>
          <w:rFonts w:cs="Calibri Light"/>
          <w:szCs w:val="22"/>
        </w:rPr>
        <w:t>)</w:t>
      </w:r>
      <w:r w:rsidR="00FE1419">
        <w:rPr>
          <w:rFonts w:cs="Calibri Light"/>
          <w:szCs w:val="22"/>
        </w:rPr>
        <w:t xml:space="preserve">. </w:t>
      </w:r>
    </w:p>
    <w:p w14:paraId="24743FFE" w14:textId="77777777" w:rsidR="006F111F" w:rsidRDefault="006F111F" w:rsidP="00D94A3C">
      <w:pPr>
        <w:spacing w:line="276" w:lineRule="auto"/>
        <w:rPr>
          <w:rFonts w:cs="Calibri Light"/>
          <w:szCs w:val="22"/>
        </w:rPr>
      </w:pPr>
    </w:p>
    <w:p w14:paraId="3FAAC5B7" w14:textId="77777777" w:rsidR="006F111F" w:rsidRDefault="006F111F" w:rsidP="00D94A3C">
      <w:pPr>
        <w:spacing w:line="276" w:lineRule="auto"/>
        <w:rPr>
          <w:rFonts w:cs="Calibri Light"/>
          <w:szCs w:val="22"/>
        </w:rPr>
      </w:pPr>
    </w:p>
    <w:p w14:paraId="0B17E728" w14:textId="57227492" w:rsidR="00713E17" w:rsidRDefault="00A261E6" w:rsidP="00D94A3C">
      <w:pPr>
        <w:spacing w:line="276" w:lineRule="auto"/>
        <w:rPr>
          <w:rFonts w:cs="Calibri Light"/>
          <w:szCs w:val="22"/>
        </w:rPr>
      </w:pPr>
      <w:r>
        <w:rPr>
          <w:rFonts w:cs="Calibri Light"/>
          <w:szCs w:val="22"/>
        </w:rPr>
        <w:lastRenderedPageBreak/>
        <w:t>Similarly,</w:t>
      </w:r>
      <w:r w:rsidDel="00C50663">
        <w:rPr>
          <w:rFonts w:cs="Calibri Light"/>
          <w:szCs w:val="22"/>
        </w:rPr>
        <w:t xml:space="preserve"> </w:t>
      </w:r>
      <w:r w:rsidR="00C50663">
        <w:rPr>
          <w:rFonts w:cs="Calibri Light"/>
          <w:szCs w:val="22"/>
        </w:rPr>
        <w:t>BNPL providers (and other lenders) cannot see debts from other lenders, including other BNPL providers, as well as payday loans and consumer leases</w:t>
      </w:r>
      <w:r w:rsidR="00127045">
        <w:rPr>
          <w:rFonts w:cs="Calibri Light"/>
          <w:szCs w:val="22"/>
        </w:rPr>
        <w:t>,</w:t>
      </w:r>
      <w:r w:rsidR="00C50663">
        <w:rPr>
          <w:rFonts w:cs="Calibri Light"/>
          <w:szCs w:val="22"/>
        </w:rPr>
        <w:t xml:space="preserve"> </w:t>
      </w:r>
      <w:r w:rsidR="00713E17">
        <w:rPr>
          <w:rFonts w:cs="Calibri Light"/>
          <w:szCs w:val="22"/>
        </w:rPr>
        <w:t>limit</w:t>
      </w:r>
      <w:r w:rsidR="00127045">
        <w:rPr>
          <w:rFonts w:cs="Calibri Light"/>
          <w:szCs w:val="22"/>
        </w:rPr>
        <w:t>ing</w:t>
      </w:r>
      <w:r w:rsidR="00713E17">
        <w:rPr>
          <w:rFonts w:cs="Calibri Light"/>
          <w:szCs w:val="22"/>
        </w:rPr>
        <w:t xml:space="preserve"> their</w:t>
      </w:r>
      <w:r w:rsidR="00713E17" w:rsidRPr="00B81F42">
        <w:rPr>
          <w:rFonts w:cs="Calibri Light"/>
          <w:szCs w:val="22"/>
        </w:rPr>
        <w:t xml:space="preserve"> ability to conduct </w:t>
      </w:r>
      <w:r w:rsidR="00713E17">
        <w:rPr>
          <w:rFonts w:cs="Calibri Light"/>
          <w:szCs w:val="22"/>
        </w:rPr>
        <w:t>credit</w:t>
      </w:r>
      <w:r w:rsidR="00713E17" w:rsidRPr="00B81F42">
        <w:rPr>
          <w:rFonts w:cs="Calibri Light"/>
          <w:szCs w:val="22"/>
        </w:rPr>
        <w:t xml:space="preserve"> assessment</w:t>
      </w:r>
      <w:r w:rsidR="00713E17">
        <w:rPr>
          <w:rFonts w:cs="Calibri Light"/>
          <w:szCs w:val="22"/>
        </w:rPr>
        <w:t>s using this data</w:t>
      </w:r>
      <w:r w:rsidR="001E74AB">
        <w:rPr>
          <w:rFonts w:cs="Calibri Light"/>
          <w:szCs w:val="22"/>
        </w:rPr>
        <w:t xml:space="preserve">, </w:t>
      </w:r>
      <w:r w:rsidR="00657C6A">
        <w:rPr>
          <w:rFonts w:cs="Calibri Light"/>
          <w:szCs w:val="22"/>
        </w:rPr>
        <w:t>and appropriately provide credit to consumers</w:t>
      </w:r>
      <w:r w:rsidR="00713E17" w:rsidRPr="00B81F42">
        <w:rPr>
          <w:rFonts w:cs="Calibri Light"/>
          <w:szCs w:val="22"/>
        </w:rPr>
        <w:t>.</w:t>
      </w:r>
      <w:r w:rsidR="00800C20">
        <w:rPr>
          <w:rFonts w:cs="Calibri Light"/>
          <w:szCs w:val="22"/>
        </w:rPr>
        <w:t xml:space="preserve"> Australia’s credit reporting framework is required by law to be reviewed and a report provided to the relevant ministers by 1 October 2024. </w:t>
      </w:r>
      <w:r w:rsidR="00AA0299">
        <w:rPr>
          <w:rFonts w:cs="Calibri Light"/>
          <w:szCs w:val="22"/>
        </w:rPr>
        <w:t xml:space="preserve">This review could consider these and other matters. </w:t>
      </w:r>
    </w:p>
    <w:p w14:paraId="08492C4E" w14:textId="21C9F597" w:rsidR="00302ED2" w:rsidRDefault="005F6D38" w:rsidP="00302ED2">
      <w:pPr>
        <w:pStyle w:val="Heading4"/>
      </w:pPr>
      <w:r>
        <w:rPr>
          <w:rFonts w:cs="Calibri Light"/>
          <w:szCs w:val="22"/>
        </w:rPr>
        <w:t>A</w:t>
      </w:r>
      <w:r w:rsidR="00800C20">
        <w:rPr>
          <w:rFonts w:cs="Calibri Light"/>
          <w:szCs w:val="22"/>
        </w:rPr>
        <w:t xml:space="preserve">n </w:t>
      </w:r>
      <w:r w:rsidR="00301DE9">
        <w:rPr>
          <w:rFonts w:cs="Calibri Light"/>
          <w:szCs w:val="22"/>
        </w:rPr>
        <w:t>independent</w:t>
      </w:r>
      <w:r w:rsidR="00CF2740">
        <w:rPr>
          <w:rFonts w:cs="Calibri Light"/>
          <w:szCs w:val="22"/>
        </w:rPr>
        <w:t xml:space="preserve"> </w:t>
      </w:r>
      <w:r w:rsidR="00302ED2">
        <w:t xml:space="preserve">BNPL credit reporting </w:t>
      </w:r>
      <w:r w:rsidR="00143C2C">
        <w:t>database</w:t>
      </w:r>
      <w:r w:rsidR="00800C20">
        <w:t>?</w:t>
      </w:r>
    </w:p>
    <w:p w14:paraId="43DCD2B6" w14:textId="588D9BAA" w:rsidR="00BC4509" w:rsidRDefault="00BC4509" w:rsidP="00BC4509">
      <w:pPr>
        <w:pStyle w:val="Bullet"/>
        <w:numPr>
          <w:ilvl w:val="0"/>
          <w:numId w:val="0"/>
        </w:numPr>
      </w:pPr>
      <w:r>
        <w:rPr>
          <w:rFonts w:cs="Calibri Light"/>
          <w:szCs w:val="22"/>
        </w:rPr>
        <w:t xml:space="preserve">BNPL providers in New Zealand </w:t>
      </w:r>
      <w:r w:rsidR="00B66D7F">
        <w:rPr>
          <w:rFonts w:cs="Calibri Light"/>
          <w:szCs w:val="22"/>
        </w:rPr>
        <w:t xml:space="preserve">have </w:t>
      </w:r>
      <w:r>
        <w:rPr>
          <w:rFonts w:cs="Calibri Light"/>
          <w:szCs w:val="22"/>
        </w:rPr>
        <w:t xml:space="preserve">established a credit reporting-like BNPL database to address </w:t>
      </w:r>
      <w:r w:rsidR="00C102C5">
        <w:rPr>
          <w:rFonts w:cs="Calibri Light"/>
          <w:szCs w:val="22"/>
        </w:rPr>
        <w:t xml:space="preserve">the concerns of </w:t>
      </w:r>
      <w:r>
        <w:rPr>
          <w:rFonts w:cs="Calibri Light"/>
          <w:szCs w:val="22"/>
        </w:rPr>
        <w:t>vulnerable consumers signing up to multiple BNPL accounts.</w:t>
      </w:r>
      <w:r w:rsidRPr="00BC4509">
        <w:t xml:space="preserve"> </w:t>
      </w:r>
      <w:r w:rsidR="00AA0299">
        <w:t>This</w:t>
      </w:r>
      <w:r>
        <w:t xml:space="preserve"> database </w:t>
      </w:r>
      <w:r w:rsidR="00C102C5">
        <w:t>holds</w:t>
      </w:r>
      <w:r>
        <w:t xml:space="preserve"> information about </w:t>
      </w:r>
      <w:r w:rsidR="00AA0299">
        <w:t xml:space="preserve">BNPL </w:t>
      </w:r>
      <w:r w:rsidR="00A12636">
        <w:t xml:space="preserve">consumer </w:t>
      </w:r>
      <w:r>
        <w:t>default</w:t>
      </w:r>
      <w:r w:rsidR="00AA0299">
        <w:t xml:space="preserve">s </w:t>
      </w:r>
      <w:r>
        <w:t xml:space="preserve">and is designed to be used by BNPL providers to check </w:t>
      </w:r>
      <w:r w:rsidR="00A12636">
        <w:t>if prospective consumers are</w:t>
      </w:r>
      <w:r>
        <w:t xml:space="preserve"> not </w:t>
      </w:r>
      <w:r w:rsidR="00C102C5">
        <w:t xml:space="preserve">already </w:t>
      </w:r>
      <w:r w:rsidR="00A12636">
        <w:t>in</w:t>
      </w:r>
      <w:r w:rsidR="00C102C5">
        <w:t xml:space="preserve"> </w:t>
      </w:r>
      <w:r>
        <w:t>default with another BNPL product.</w:t>
      </w:r>
      <w:r w:rsidR="00A12636">
        <w:t xml:space="preserve"> A</w:t>
      </w:r>
      <w:r w:rsidR="00E923C5">
        <w:t> </w:t>
      </w:r>
      <w:r w:rsidR="00A12636">
        <w:t xml:space="preserve">similar approach could be </w:t>
      </w:r>
      <w:r w:rsidR="00872539">
        <w:t>progressed in Australia</w:t>
      </w:r>
      <w:r w:rsidR="009B7CA6">
        <w:t xml:space="preserve"> noting that this</w:t>
      </w:r>
      <w:r w:rsidR="000A4244">
        <w:t xml:space="preserve"> would not be the same as </w:t>
      </w:r>
      <w:r w:rsidR="00C24E28">
        <w:t xml:space="preserve">participating in the </w:t>
      </w:r>
      <w:r w:rsidR="000A4244">
        <w:t xml:space="preserve">comprehensive </w:t>
      </w:r>
      <w:r w:rsidR="00C24E28">
        <w:t>credit reporting regime</w:t>
      </w:r>
      <w:r w:rsidR="00B06B98">
        <w:t>. Further</w:t>
      </w:r>
      <w:r w:rsidR="00A303CC">
        <w:t>,</w:t>
      </w:r>
      <w:r w:rsidR="00B06B98">
        <w:t xml:space="preserve"> positive credit information would not be </w:t>
      </w:r>
      <w:r w:rsidR="0031503C">
        <w:t>reported,</w:t>
      </w:r>
      <w:r w:rsidR="00B06B98">
        <w:t xml:space="preserve"> and </w:t>
      </w:r>
      <w:r w:rsidR="00291F94">
        <w:t>the data would not be available to non-BNPL lenders</w:t>
      </w:r>
      <w:r w:rsidR="00B06B98">
        <w:t xml:space="preserve">, meaning the </w:t>
      </w:r>
      <w:r w:rsidR="003123F3">
        <w:t xml:space="preserve">impact of the database </w:t>
      </w:r>
      <w:r w:rsidR="00A303CC">
        <w:t>using th</w:t>
      </w:r>
      <w:r w:rsidR="006C7FC2">
        <w:t>is</w:t>
      </w:r>
      <w:r w:rsidR="00A303CC">
        <w:t xml:space="preserve"> approach may</w:t>
      </w:r>
      <w:r w:rsidR="003123F3">
        <w:t xml:space="preserve"> be limited. </w:t>
      </w:r>
    </w:p>
    <w:p w14:paraId="6883685F" w14:textId="77871DB8" w:rsidR="00776344" w:rsidRDefault="00613819" w:rsidP="00760D00">
      <w:pPr>
        <w:pStyle w:val="Heading3"/>
      </w:pPr>
      <w:bookmarkStart w:id="17" w:name="_Toc119916354"/>
      <w:r>
        <w:t xml:space="preserve">Lack of transparency </w:t>
      </w:r>
      <w:r w:rsidR="00267CB2">
        <w:t>–</w:t>
      </w:r>
      <w:r>
        <w:t xml:space="preserve"> </w:t>
      </w:r>
      <w:r w:rsidR="00CA1AF1">
        <w:t>Product disclosure</w:t>
      </w:r>
      <w:r w:rsidR="004539C8">
        <w:t xml:space="preserve"> and warning requirements</w:t>
      </w:r>
      <w:bookmarkEnd w:id="17"/>
    </w:p>
    <w:p w14:paraId="6B84BBA7" w14:textId="279C1361" w:rsidR="006B422D" w:rsidRDefault="00796B86" w:rsidP="00760D00">
      <w:pPr>
        <w:pStyle w:val="Bullet"/>
        <w:numPr>
          <w:ilvl w:val="0"/>
          <w:numId w:val="0"/>
        </w:numPr>
      </w:pPr>
      <w:r>
        <w:t>Some c</w:t>
      </w:r>
      <w:r w:rsidR="00967549">
        <w:t xml:space="preserve">onsumer groups </w:t>
      </w:r>
      <w:r w:rsidR="0065410C">
        <w:t>advise</w:t>
      </w:r>
      <w:r w:rsidR="00967549">
        <w:t xml:space="preserve"> the terms and conditions </w:t>
      </w:r>
      <w:r>
        <w:t xml:space="preserve">of </w:t>
      </w:r>
      <w:r w:rsidR="00967549">
        <w:t xml:space="preserve">BNPL contracts are not </w:t>
      </w:r>
      <w:r w:rsidR="007C2F60">
        <w:t xml:space="preserve">clear </w:t>
      </w:r>
      <w:r w:rsidR="00967549">
        <w:t>and difficult to understand</w:t>
      </w:r>
      <w:r w:rsidR="002C22A7">
        <w:t xml:space="preserve">. </w:t>
      </w:r>
      <w:r w:rsidR="005C19C7">
        <w:t>As a result, s</w:t>
      </w:r>
      <w:r w:rsidR="0065410C">
        <w:t>ome</w:t>
      </w:r>
      <w:r w:rsidR="00967549">
        <w:t xml:space="preserve"> consumers do not </w:t>
      </w:r>
      <w:r w:rsidR="00981206">
        <w:t xml:space="preserve">completely </w:t>
      </w:r>
      <w:r w:rsidR="00B156AF">
        <w:t xml:space="preserve">comprehend </w:t>
      </w:r>
      <w:r w:rsidR="00967549">
        <w:t>the total cost of using a BNPL product</w:t>
      </w:r>
      <w:r w:rsidR="00880E85">
        <w:t>, including the potential fees they may incur if they fail to meet repayment obligations</w:t>
      </w:r>
      <w:r w:rsidR="0037759B">
        <w:t xml:space="preserve">. </w:t>
      </w:r>
      <w:r w:rsidR="00B156AF">
        <w:t>T</w:t>
      </w:r>
      <w:r w:rsidR="00880E85">
        <w:t xml:space="preserve">he variety of </w:t>
      </w:r>
      <w:r w:rsidR="00515293">
        <w:t xml:space="preserve">BNPL </w:t>
      </w:r>
      <w:r w:rsidR="00880E85">
        <w:t xml:space="preserve">business models and fee structures </w:t>
      </w:r>
      <w:r w:rsidR="00B156AF">
        <w:t xml:space="preserve">may </w:t>
      </w:r>
      <w:r w:rsidR="00880E85">
        <w:t xml:space="preserve">make it difficult for consumers to compare BNPL products and determine the best option for them. </w:t>
      </w:r>
      <w:r w:rsidR="00515293">
        <w:t>This</w:t>
      </w:r>
      <w:r w:rsidR="003001BC">
        <w:t xml:space="preserve"> </w:t>
      </w:r>
      <w:r w:rsidR="00E2303B">
        <w:t xml:space="preserve">issue </w:t>
      </w:r>
      <w:r w:rsidR="00515293">
        <w:t>applies to many credit products and</w:t>
      </w:r>
      <w:r w:rsidR="003001BC" w:rsidDel="00515293">
        <w:t xml:space="preserve"> </w:t>
      </w:r>
      <w:r w:rsidR="0037759B">
        <w:t xml:space="preserve">is not </w:t>
      </w:r>
      <w:r w:rsidR="00E2303B">
        <w:t xml:space="preserve">limited to BNPL. </w:t>
      </w:r>
      <w:r w:rsidR="006B422D">
        <w:t>ASIC’s consumer monitor</w:t>
      </w:r>
      <w:r w:rsidR="00F66F58">
        <w:t xml:space="preserve"> </w:t>
      </w:r>
      <w:r w:rsidR="00515293">
        <w:t>found</w:t>
      </w:r>
      <w:r w:rsidR="006B422D" w:rsidRPr="00616468">
        <w:t xml:space="preserve"> </w:t>
      </w:r>
      <w:r w:rsidR="003D3285">
        <w:t xml:space="preserve">consumer understanding </w:t>
      </w:r>
      <w:r w:rsidR="006B422D" w:rsidRPr="00616468">
        <w:t xml:space="preserve">of BNPL fees and charges </w:t>
      </w:r>
      <w:r w:rsidR="008C053F">
        <w:t xml:space="preserve">improved slightly </w:t>
      </w:r>
      <w:r w:rsidR="006B422D" w:rsidRPr="00616468">
        <w:t>between 2020 and 2022</w:t>
      </w:r>
      <w:r w:rsidR="00DA7022">
        <w:t>,</w:t>
      </w:r>
      <w:r w:rsidR="00E2303B">
        <w:rPr>
          <w:rStyle w:val="FootnoteReference"/>
        </w:rPr>
        <w:footnoteReference w:id="31"/>
      </w:r>
      <w:r w:rsidR="006B422D" w:rsidRPr="00616468">
        <w:t xml:space="preserve"> </w:t>
      </w:r>
      <w:r w:rsidR="008C053F">
        <w:t>but 30 per cent of</w:t>
      </w:r>
      <w:r w:rsidR="006B422D">
        <w:t xml:space="preserve"> BNPL </w:t>
      </w:r>
      <w:r w:rsidR="005E1C3A">
        <w:t>users</w:t>
      </w:r>
      <w:r w:rsidR="005E1C3A" w:rsidRPr="00616468">
        <w:t xml:space="preserve"> </w:t>
      </w:r>
      <w:r w:rsidR="003D3285">
        <w:t xml:space="preserve">still </w:t>
      </w:r>
      <w:r w:rsidR="006B422D" w:rsidRPr="00616468">
        <w:t>do</w:t>
      </w:r>
      <w:r w:rsidR="00D56306">
        <w:t xml:space="preserve"> not</w:t>
      </w:r>
      <w:r w:rsidR="006B422D" w:rsidRPr="00616468">
        <w:t xml:space="preserve"> </w:t>
      </w:r>
      <w:r w:rsidR="006B422D">
        <w:t>understand</w:t>
      </w:r>
      <w:r w:rsidR="006B422D" w:rsidRPr="00616468">
        <w:t xml:space="preserve"> </w:t>
      </w:r>
      <w:r w:rsidR="00677C6F">
        <w:t>all</w:t>
      </w:r>
      <w:r w:rsidR="00872B7A">
        <w:t xml:space="preserve"> </w:t>
      </w:r>
      <w:r w:rsidR="006B422D" w:rsidRPr="00616468">
        <w:t xml:space="preserve">the fees and charges </w:t>
      </w:r>
      <w:r w:rsidR="00872B7A">
        <w:t>of</w:t>
      </w:r>
      <w:r w:rsidR="00872B7A" w:rsidRPr="00616468">
        <w:t xml:space="preserve"> </w:t>
      </w:r>
      <w:r w:rsidR="006B422D" w:rsidRPr="00616468">
        <w:t>their BNPL arrangements</w:t>
      </w:r>
      <w:r w:rsidR="005C5102">
        <w:t xml:space="preserve"> in 2022</w:t>
      </w:r>
      <w:r w:rsidR="006B422D">
        <w:t xml:space="preserve">. </w:t>
      </w:r>
    </w:p>
    <w:p w14:paraId="3DF15E05" w14:textId="241427A0" w:rsidR="00ED14CD" w:rsidRDefault="007A669C" w:rsidP="00760D00">
      <w:pPr>
        <w:spacing w:line="276" w:lineRule="auto"/>
      </w:pPr>
      <w:r>
        <w:t>T</w:t>
      </w:r>
      <w:r w:rsidR="006B422D">
        <w:t xml:space="preserve">he absence of </w:t>
      </w:r>
      <w:r w:rsidR="000F1D53">
        <w:t>a</w:t>
      </w:r>
      <w:r w:rsidR="006B422D">
        <w:t xml:space="preserve"> </w:t>
      </w:r>
      <w:r w:rsidR="00857DAF">
        <w:t xml:space="preserve">legislated set of </w:t>
      </w:r>
      <w:r w:rsidR="006B422D">
        <w:t>precontract</w:t>
      </w:r>
      <w:r w:rsidR="001F78E7">
        <w:t>ual</w:t>
      </w:r>
      <w:r w:rsidR="006B422D">
        <w:t xml:space="preserve"> information </w:t>
      </w:r>
      <w:r w:rsidR="00857DAF">
        <w:t xml:space="preserve">and warning </w:t>
      </w:r>
      <w:r w:rsidR="006B422D">
        <w:t>requirements</w:t>
      </w:r>
      <w:r w:rsidR="00655E4E">
        <w:t xml:space="preserve"> on terms</w:t>
      </w:r>
      <w:r w:rsidR="00325F1D">
        <w:t xml:space="preserve">, </w:t>
      </w:r>
      <w:r w:rsidR="00655E4E">
        <w:t>conditions and fees</w:t>
      </w:r>
      <w:r>
        <w:t xml:space="preserve"> may be contributing to </w:t>
      </w:r>
      <w:r w:rsidR="006B422D">
        <w:t>inconsisten</w:t>
      </w:r>
      <w:r>
        <w:t>t</w:t>
      </w:r>
      <w:r w:rsidR="006B422D">
        <w:t xml:space="preserve"> information </w:t>
      </w:r>
      <w:r>
        <w:t xml:space="preserve">quality </w:t>
      </w:r>
      <w:r w:rsidR="00857DAF">
        <w:t xml:space="preserve">and </w:t>
      </w:r>
      <w:r w:rsidR="008377F5">
        <w:t xml:space="preserve">availability. </w:t>
      </w:r>
      <w:r w:rsidR="00B66D69">
        <w:t>T</w:t>
      </w:r>
      <w:r w:rsidR="00ED14CD">
        <w:t xml:space="preserve">he BNPL industry </w:t>
      </w:r>
      <w:r w:rsidR="00B66D69">
        <w:t xml:space="preserve">advised it </w:t>
      </w:r>
      <w:r w:rsidR="004C30F0">
        <w:t xml:space="preserve">has </w:t>
      </w:r>
      <w:r w:rsidR="00ED14CD">
        <w:t>includ</w:t>
      </w:r>
      <w:r w:rsidR="004C30F0">
        <w:t>ed</w:t>
      </w:r>
      <w:r w:rsidR="00ED14CD">
        <w:t xml:space="preserve"> commitments in </w:t>
      </w:r>
      <w:r w:rsidR="00655E4E">
        <w:t xml:space="preserve">the </w:t>
      </w:r>
      <w:r w:rsidR="0027058B">
        <w:t>I</w:t>
      </w:r>
      <w:r w:rsidR="00ED14CD">
        <w:t xml:space="preserve">ndustry Code to </w:t>
      </w:r>
      <w:r w:rsidR="00B66D69">
        <w:t xml:space="preserve">provide </w:t>
      </w:r>
      <w:r w:rsidR="00ED14CD">
        <w:t>information in a clear and prominent manner about repayment schedules and fees.</w:t>
      </w:r>
      <w:r w:rsidR="00ED14CD">
        <w:rPr>
          <w:rStyle w:val="FootnoteReference"/>
        </w:rPr>
        <w:footnoteReference w:id="32"/>
      </w:r>
      <w:r w:rsidR="00ED14CD">
        <w:t xml:space="preserve"> </w:t>
      </w:r>
      <w:r w:rsidR="00E91E6D">
        <w:t xml:space="preserve">The </w:t>
      </w:r>
      <w:r w:rsidR="0027058B">
        <w:t>I</w:t>
      </w:r>
      <w:r w:rsidR="008F1C78">
        <w:t xml:space="preserve">ndustry </w:t>
      </w:r>
      <w:r w:rsidR="00E91E6D">
        <w:t xml:space="preserve">Code also contains commitments </w:t>
      </w:r>
      <w:r w:rsidR="0027058B">
        <w:t xml:space="preserve">for BNPL providers </w:t>
      </w:r>
      <w:r w:rsidR="00E91E6D">
        <w:t xml:space="preserve">to give </w:t>
      </w:r>
      <w:r w:rsidR="0032483E">
        <w:t xml:space="preserve">consumers </w:t>
      </w:r>
      <w:r w:rsidR="00E91E6D">
        <w:t xml:space="preserve">timely reminders of </w:t>
      </w:r>
      <w:r w:rsidR="0027058B">
        <w:t>their</w:t>
      </w:r>
      <w:r w:rsidR="00E91E6D">
        <w:t xml:space="preserve"> repayment obligations</w:t>
      </w:r>
      <w:r w:rsidR="008F1C78">
        <w:t>.</w:t>
      </w:r>
    </w:p>
    <w:p w14:paraId="0C03BCA8" w14:textId="77777777" w:rsidR="00964664" w:rsidRDefault="00964664">
      <w:pPr>
        <w:spacing w:before="0" w:after="160" w:line="259" w:lineRule="auto"/>
        <w:rPr>
          <w:rFonts w:ascii="Calibri" w:hAnsi="Calibri" w:cs="Arial"/>
          <w:b/>
          <w:color w:val="4D7861" w:themeColor="accent2"/>
          <w:kern w:val="32"/>
          <w:sz w:val="28"/>
          <w:szCs w:val="26"/>
        </w:rPr>
      </w:pPr>
      <w:r>
        <w:br w:type="page"/>
      </w:r>
    </w:p>
    <w:p w14:paraId="73C515DC" w14:textId="64E6F9A3" w:rsidR="00C240FF" w:rsidRDefault="00475A12" w:rsidP="00760D00">
      <w:pPr>
        <w:pStyle w:val="Heading3"/>
      </w:pPr>
      <w:bookmarkStart w:id="18" w:name="_Toc119916355"/>
      <w:r>
        <w:lastRenderedPageBreak/>
        <w:t>Unsolicited selling, ad</w:t>
      </w:r>
      <w:r w:rsidR="00C47E1B">
        <w:t>vertising and using BNPL for</w:t>
      </w:r>
      <w:r w:rsidR="00C240FF">
        <w:t xml:space="preserve"> essentials</w:t>
      </w:r>
      <w:bookmarkEnd w:id="18"/>
    </w:p>
    <w:p w14:paraId="7AA56663" w14:textId="2D9766E3" w:rsidR="00B94461" w:rsidRDefault="005E488A" w:rsidP="00760D00">
      <w:pPr>
        <w:pStyle w:val="Bullet"/>
        <w:numPr>
          <w:ilvl w:val="0"/>
          <w:numId w:val="0"/>
        </w:numPr>
      </w:pPr>
      <w:r>
        <w:t xml:space="preserve">Treasury understands </w:t>
      </w:r>
      <w:r w:rsidR="004A091B">
        <w:t xml:space="preserve">BNPL </w:t>
      </w:r>
      <w:r>
        <w:t xml:space="preserve">is </w:t>
      </w:r>
      <w:r w:rsidR="004A091B">
        <w:t xml:space="preserve">being advertised to </w:t>
      </w:r>
      <w:r w:rsidR="0040226B">
        <w:t xml:space="preserve">pay for </w:t>
      </w:r>
      <w:r w:rsidR="00C240FF">
        <w:t>essentials, such as groceries</w:t>
      </w:r>
      <w:r w:rsidR="0040226B">
        <w:t xml:space="preserve"> </w:t>
      </w:r>
      <w:r w:rsidR="009B5BE5">
        <w:t xml:space="preserve">and </w:t>
      </w:r>
      <w:r w:rsidR="00C240FF">
        <w:t xml:space="preserve">utility bills. </w:t>
      </w:r>
      <w:r w:rsidR="00B24A3A">
        <w:t xml:space="preserve">Many consumer groups and financial counsellors </w:t>
      </w:r>
      <w:r w:rsidR="00876B6E">
        <w:t>advise the</w:t>
      </w:r>
      <w:r w:rsidR="00B24A3A">
        <w:t xml:space="preserve"> </w:t>
      </w:r>
      <w:r w:rsidR="004A091B">
        <w:t xml:space="preserve">advertising of </w:t>
      </w:r>
      <w:r w:rsidR="00A722F3">
        <w:t xml:space="preserve">BNPL </w:t>
      </w:r>
      <w:r w:rsidR="004A091B">
        <w:t xml:space="preserve">products </w:t>
      </w:r>
      <w:r w:rsidR="008213D5">
        <w:t>encourages</w:t>
      </w:r>
      <w:r w:rsidR="00A722F3">
        <w:t xml:space="preserve"> vulnerable consumers to </w:t>
      </w:r>
      <w:r w:rsidR="004A091B">
        <w:t>use BNP</w:t>
      </w:r>
      <w:r w:rsidR="0039422B">
        <w:t>L</w:t>
      </w:r>
      <w:r w:rsidR="00744A6C">
        <w:t>, instead of other community support</w:t>
      </w:r>
      <w:r w:rsidR="00876B6E">
        <w:t xml:space="preserve"> available to them. For example, </w:t>
      </w:r>
      <w:r w:rsidR="009B5BE5">
        <w:t>utility companies</w:t>
      </w:r>
      <w:r w:rsidR="00876B6E">
        <w:t xml:space="preserve"> are encouraging </w:t>
      </w:r>
      <w:r w:rsidR="00541B06">
        <w:t xml:space="preserve">consumers </w:t>
      </w:r>
      <w:r w:rsidR="00744A6C">
        <w:t xml:space="preserve">to use </w:t>
      </w:r>
      <w:r w:rsidR="00876B6E">
        <w:t>BNPL</w:t>
      </w:r>
      <w:r w:rsidR="00744A6C">
        <w:t xml:space="preserve"> to</w:t>
      </w:r>
      <w:r w:rsidR="00541B06">
        <w:t xml:space="preserve"> pay </w:t>
      </w:r>
      <w:r w:rsidR="009B5BE5">
        <w:t xml:space="preserve">for </w:t>
      </w:r>
      <w:r w:rsidR="00541B06">
        <w:t xml:space="preserve">utility bills instead of </w:t>
      </w:r>
      <w:r w:rsidR="00557EB7">
        <w:t>payment plan</w:t>
      </w:r>
      <w:r w:rsidR="00876B6E">
        <w:t>s</w:t>
      </w:r>
      <w:r w:rsidR="00557EB7">
        <w:t xml:space="preserve"> </w:t>
      </w:r>
      <w:r w:rsidR="00327430">
        <w:t xml:space="preserve">that </w:t>
      </w:r>
      <w:r w:rsidR="00541B06">
        <w:t>utility compan</w:t>
      </w:r>
      <w:r w:rsidR="00557EB7">
        <w:t>ies</w:t>
      </w:r>
      <w:r w:rsidR="00327430">
        <w:t xml:space="preserve"> must </w:t>
      </w:r>
      <w:r w:rsidR="001D0ED3">
        <w:t>offer by law.</w:t>
      </w:r>
      <w:r w:rsidR="00744A6C">
        <w:rPr>
          <w:rStyle w:val="FootnoteReference"/>
        </w:rPr>
        <w:footnoteReference w:id="33"/>
      </w:r>
      <w:r w:rsidR="00D82A35">
        <w:t xml:space="preserve"> BNPL providers </w:t>
      </w:r>
      <w:r w:rsidR="00D63BA4">
        <w:t xml:space="preserve">are also </w:t>
      </w:r>
      <w:r w:rsidR="00D82A35">
        <w:t xml:space="preserve">advertising their products to consumers </w:t>
      </w:r>
      <w:r w:rsidR="004A091B">
        <w:t>in</w:t>
      </w:r>
      <w:r w:rsidR="00547D41">
        <w:t>-</w:t>
      </w:r>
      <w:r w:rsidR="004A091B">
        <w:t>person</w:t>
      </w:r>
      <w:r w:rsidR="00744A6C">
        <w:t>,</w:t>
      </w:r>
      <w:r w:rsidR="004A091B">
        <w:t xml:space="preserve"> </w:t>
      </w:r>
      <w:r w:rsidR="00D82A35">
        <w:t>at department store check-outs</w:t>
      </w:r>
      <w:r w:rsidR="00D8752D">
        <w:t>,</w:t>
      </w:r>
      <w:r w:rsidR="0039422B">
        <w:t xml:space="preserve"> </w:t>
      </w:r>
      <w:r w:rsidR="00D63BA4">
        <w:t>which may</w:t>
      </w:r>
      <w:r w:rsidR="0039422B">
        <w:t xml:space="preserve"> encourage consumers </w:t>
      </w:r>
      <w:r w:rsidR="00645EAE">
        <w:t>to spend more</w:t>
      </w:r>
      <w:r w:rsidR="00547D41">
        <w:t xml:space="preserve"> than they otherwise would</w:t>
      </w:r>
      <w:r w:rsidR="00645EAE">
        <w:t xml:space="preserve">. </w:t>
      </w:r>
    </w:p>
    <w:p w14:paraId="1A095BFC" w14:textId="32445018" w:rsidR="0019155B" w:rsidRDefault="006E23EB" w:rsidP="00760D00">
      <w:pPr>
        <w:pStyle w:val="Bullet"/>
        <w:numPr>
          <w:ilvl w:val="0"/>
          <w:numId w:val="0"/>
        </w:numPr>
      </w:pPr>
      <w:r>
        <w:t>Consumer groups advised</w:t>
      </w:r>
      <w:r w:rsidR="00F374F3">
        <w:t xml:space="preserve"> </w:t>
      </w:r>
      <w:r w:rsidR="00DD5E77">
        <w:t xml:space="preserve">some Indigenous communities </w:t>
      </w:r>
      <w:r w:rsidR="00475A12">
        <w:t xml:space="preserve">and other vulnerable consumers </w:t>
      </w:r>
      <w:r w:rsidR="00DD5E77">
        <w:t xml:space="preserve">were </w:t>
      </w:r>
      <w:r w:rsidR="00017E07">
        <w:t>using</w:t>
      </w:r>
      <w:r w:rsidR="00475A12">
        <w:t xml:space="preserve"> BNPL (and other credit </w:t>
      </w:r>
      <w:r w:rsidR="00017E07">
        <w:t>products</w:t>
      </w:r>
      <w:r w:rsidR="00475A12">
        <w:t xml:space="preserve">) </w:t>
      </w:r>
      <w:r w:rsidR="00BF0F28">
        <w:t xml:space="preserve">to purchase gift cards which are then used to </w:t>
      </w:r>
      <w:r w:rsidR="008E50EF">
        <w:t>purchase</w:t>
      </w:r>
      <w:r w:rsidR="00BF0F28">
        <w:t xml:space="preserve"> </w:t>
      </w:r>
      <w:r w:rsidR="00687183">
        <w:t>alcohol</w:t>
      </w:r>
      <w:r w:rsidR="00BF0F28">
        <w:t xml:space="preserve"> and essential groceries.</w:t>
      </w:r>
      <w:r w:rsidR="00752C09">
        <w:t xml:space="preserve"> </w:t>
      </w:r>
      <w:r w:rsidR="00645EAE">
        <w:t>The</w:t>
      </w:r>
      <w:r w:rsidR="00772547">
        <w:t xml:space="preserve"> </w:t>
      </w:r>
      <w:r w:rsidR="003A139E">
        <w:t xml:space="preserve">Industry Code does not permit using BNPL </w:t>
      </w:r>
      <w:r w:rsidR="00EF3751">
        <w:t>to purchase firearms or gambling services</w:t>
      </w:r>
      <w:r w:rsidR="00670C51">
        <w:t xml:space="preserve"> and</w:t>
      </w:r>
      <w:r w:rsidR="00475A12" w:rsidDel="00670C51">
        <w:t xml:space="preserve"> </w:t>
      </w:r>
      <w:r w:rsidR="005D0AE1">
        <w:t>commits its signatories</w:t>
      </w:r>
      <w:r w:rsidR="00772547">
        <w:t xml:space="preserve"> to take reasonable and appropriate </w:t>
      </w:r>
      <w:r w:rsidR="007C1B68">
        <w:t xml:space="preserve">steps </w:t>
      </w:r>
      <w:r w:rsidR="00772547">
        <w:t xml:space="preserve">to ensure its merchants are not providing BNPL products for </w:t>
      </w:r>
      <w:r w:rsidR="007C1B68">
        <w:t>these transactions</w:t>
      </w:r>
      <w:r w:rsidR="00772547">
        <w:t xml:space="preserve">. </w:t>
      </w:r>
      <w:r w:rsidR="0039069E">
        <w:t xml:space="preserve">The Industry Code </w:t>
      </w:r>
      <w:r w:rsidR="00772547">
        <w:t xml:space="preserve">is consistent with </w:t>
      </w:r>
      <w:r w:rsidR="002C4B31">
        <w:t xml:space="preserve">legislation </w:t>
      </w:r>
      <w:r w:rsidR="00B85D13">
        <w:t>prohibiting</w:t>
      </w:r>
      <w:r w:rsidR="00AB537E">
        <w:t xml:space="preserve"> </w:t>
      </w:r>
      <w:r w:rsidR="00537CD7">
        <w:t>using</w:t>
      </w:r>
      <w:r w:rsidR="00B94461">
        <w:t xml:space="preserve"> </w:t>
      </w:r>
      <w:r w:rsidR="00772547">
        <w:t>credit cards</w:t>
      </w:r>
      <w:r w:rsidR="00AB537E">
        <w:t xml:space="preserve"> for in-person wager</w:t>
      </w:r>
      <w:r w:rsidR="00632434">
        <w:t>ing</w:t>
      </w:r>
      <w:r w:rsidR="00772547">
        <w:t>.</w:t>
      </w:r>
    </w:p>
    <w:p w14:paraId="470A459C" w14:textId="238FC879" w:rsidR="00766230" w:rsidRDefault="00766230" w:rsidP="00760D00">
      <w:pPr>
        <w:pStyle w:val="Heading3"/>
      </w:pPr>
      <w:bookmarkStart w:id="19" w:name="_Toc119916356"/>
      <w:r>
        <w:t xml:space="preserve">Frictionless </w:t>
      </w:r>
      <w:r w:rsidR="00EB0F2A">
        <w:t>process,</w:t>
      </w:r>
      <w:r>
        <w:t xml:space="preserve"> overselling, scams</w:t>
      </w:r>
      <w:r w:rsidR="00EB0F2A">
        <w:t xml:space="preserve">, and </w:t>
      </w:r>
      <w:r w:rsidR="00B612D6">
        <w:t>financial abuse</w:t>
      </w:r>
      <w:bookmarkEnd w:id="19"/>
      <w:r w:rsidR="00B612D6">
        <w:t xml:space="preserve"> </w:t>
      </w:r>
    </w:p>
    <w:p w14:paraId="58A5B734" w14:textId="7803F69D" w:rsidR="00D543C1" w:rsidRDefault="00713970" w:rsidP="00760D00">
      <w:pPr>
        <w:pStyle w:val="Heading4"/>
      </w:pPr>
      <w:r>
        <w:t>Vulnerable consumers are being sold poor quality goods</w:t>
      </w:r>
      <w:r w:rsidR="0027380D">
        <w:t xml:space="preserve">, financed by </w:t>
      </w:r>
      <w:r>
        <w:t>BNPL</w:t>
      </w:r>
    </w:p>
    <w:p w14:paraId="723EFC56" w14:textId="1148B565" w:rsidR="00675E74" w:rsidRDefault="00A83218" w:rsidP="00D94A3C">
      <w:pPr>
        <w:spacing w:line="276" w:lineRule="auto"/>
      </w:pPr>
      <w:r>
        <w:rPr>
          <w:rFonts w:cstheme="minorHAnsi"/>
          <w:szCs w:val="24"/>
        </w:rPr>
        <w:t>Some c</w:t>
      </w:r>
      <w:r w:rsidR="00060AEC" w:rsidRPr="00C07BC8">
        <w:rPr>
          <w:rFonts w:cstheme="minorHAnsi"/>
          <w:szCs w:val="24"/>
        </w:rPr>
        <w:t>onsumer groups raised concern</w:t>
      </w:r>
      <w:r>
        <w:rPr>
          <w:rFonts w:cstheme="minorHAnsi"/>
          <w:szCs w:val="24"/>
        </w:rPr>
        <w:t>s</w:t>
      </w:r>
      <w:r w:rsidR="00060AEC" w:rsidRPr="00C07BC8">
        <w:rPr>
          <w:rFonts w:cstheme="minorHAnsi"/>
          <w:szCs w:val="24"/>
        </w:rPr>
        <w:t xml:space="preserve"> </w:t>
      </w:r>
      <w:r w:rsidR="00E649CD">
        <w:rPr>
          <w:rFonts w:cstheme="minorHAnsi"/>
          <w:szCs w:val="24"/>
        </w:rPr>
        <w:t>around</w:t>
      </w:r>
      <w:r w:rsidR="00E649CD" w:rsidRPr="00C07BC8">
        <w:rPr>
          <w:rFonts w:cstheme="minorHAnsi"/>
          <w:szCs w:val="24"/>
        </w:rPr>
        <w:t xml:space="preserve"> </w:t>
      </w:r>
      <w:r w:rsidR="00060AEC" w:rsidRPr="00C07BC8">
        <w:rPr>
          <w:rFonts w:cstheme="minorHAnsi"/>
          <w:szCs w:val="24"/>
        </w:rPr>
        <w:t xml:space="preserve">BNPL’s “frictionless” sign-up process </w:t>
      </w:r>
      <w:r w:rsidR="0022682F">
        <w:rPr>
          <w:rFonts w:cstheme="minorHAnsi"/>
          <w:szCs w:val="24"/>
        </w:rPr>
        <w:t xml:space="preserve">which </w:t>
      </w:r>
      <w:r w:rsidR="00060AEC" w:rsidRPr="004457F7">
        <w:rPr>
          <w:rFonts w:cstheme="minorHAnsi"/>
          <w:szCs w:val="24"/>
        </w:rPr>
        <w:t xml:space="preserve">may lead </w:t>
      </w:r>
      <w:r w:rsidR="00D543C1">
        <w:t xml:space="preserve">consumers to overspend and </w:t>
      </w:r>
      <w:r w:rsidR="00187C85">
        <w:t>buy goods</w:t>
      </w:r>
      <w:r w:rsidR="00060AEC" w:rsidRPr="004457F7">
        <w:rPr>
          <w:rFonts w:cstheme="minorHAnsi"/>
          <w:szCs w:val="24"/>
        </w:rPr>
        <w:t xml:space="preserve"> that they may not necessarily need or </w:t>
      </w:r>
      <w:r w:rsidR="000D604E">
        <w:rPr>
          <w:rFonts w:cstheme="minorHAnsi"/>
          <w:szCs w:val="24"/>
        </w:rPr>
        <w:t xml:space="preserve">really </w:t>
      </w:r>
      <w:r w:rsidR="00060AEC" w:rsidRPr="004457F7">
        <w:rPr>
          <w:rFonts w:cstheme="minorHAnsi"/>
          <w:szCs w:val="24"/>
        </w:rPr>
        <w:t>want</w:t>
      </w:r>
      <w:r w:rsidR="002B5176">
        <w:rPr>
          <w:rFonts w:cstheme="minorHAnsi"/>
          <w:szCs w:val="24"/>
        </w:rPr>
        <w:t xml:space="preserve"> because</w:t>
      </w:r>
      <w:r w:rsidR="000D1819" w:rsidRPr="00D94A3C">
        <w:t xml:space="preserve"> it </w:t>
      </w:r>
      <w:r w:rsidR="002B5176">
        <w:t xml:space="preserve">can </w:t>
      </w:r>
      <w:r w:rsidR="000D1819" w:rsidRPr="00D94A3C">
        <w:t xml:space="preserve">take only </w:t>
      </w:r>
      <w:r w:rsidR="002B5176">
        <w:t xml:space="preserve">a </w:t>
      </w:r>
      <w:r w:rsidR="000D1819" w:rsidRPr="00D94A3C">
        <w:t>few minutes to sign-up to BNPL</w:t>
      </w:r>
      <w:r w:rsidR="002B5176">
        <w:t xml:space="preserve"> credit</w:t>
      </w:r>
      <w:r w:rsidR="000D1819" w:rsidRPr="00D94A3C">
        <w:t xml:space="preserve">. </w:t>
      </w:r>
      <w:r w:rsidR="001C69AB">
        <w:t>Generally, c</w:t>
      </w:r>
      <w:r w:rsidR="001C69AB" w:rsidRPr="00D94A3C">
        <w:t xml:space="preserve">onsumers </w:t>
      </w:r>
      <w:r w:rsidR="000D1819" w:rsidRPr="00D94A3C">
        <w:t>are only asked to provide basic personal information, debit or credit card information, and a digital image of their ID.</w:t>
      </w:r>
      <w:r w:rsidR="000D1819" w:rsidRPr="00C07BC8">
        <w:rPr>
          <w:rFonts w:cstheme="minorHAnsi"/>
          <w:szCs w:val="24"/>
        </w:rPr>
        <w:t xml:space="preserve"> </w:t>
      </w:r>
      <w:r w:rsidR="00C35EEE">
        <w:t>Consultation</w:t>
      </w:r>
      <w:r w:rsidR="005F7256">
        <w:t>s</w:t>
      </w:r>
      <w:r w:rsidR="00C35EEE">
        <w:t xml:space="preserve"> </w:t>
      </w:r>
      <w:r w:rsidR="006730B9">
        <w:t>also</w:t>
      </w:r>
      <w:r w:rsidR="00C35EEE">
        <w:t xml:space="preserve"> heard</w:t>
      </w:r>
      <w:r w:rsidR="0037171C">
        <w:t xml:space="preserve"> that </w:t>
      </w:r>
      <w:r w:rsidR="00126274">
        <w:t xml:space="preserve">increasing </w:t>
      </w:r>
      <w:r w:rsidR="0037171C">
        <w:t>revenue of merchants accept</w:t>
      </w:r>
      <w:r w:rsidR="00126274">
        <w:t>ing</w:t>
      </w:r>
      <w:r w:rsidR="0037171C">
        <w:t xml:space="preserve"> BNPL </w:t>
      </w:r>
      <w:r w:rsidR="00C35EEE">
        <w:t>includes</w:t>
      </w:r>
      <w:r w:rsidR="0037171C">
        <w:t xml:space="preserve"> some consumers spending more than they can afford.</w:t>
      </w:r>
      <w:r w:rsidR="00675E74">
        <w:t xml:space="preserve"> </w:t>
      </w:r>
      <w:r w:rsidR="007A3A24">
        <w:rPr>
          <w:rFonts w:cstheme="minorHAnsi"/>
          <w:szCs w:val="24"/>
        </w:rPr>
        <w:t xml:space="preserve">Treasury also heard </w:t>
      </w:r>
      <w:r w:rsidR="00120759">
        <w:t xml:space="preserve">anecdotal evidence of pressure selling of </w:t>
      </w:r>
      <w:r w:rsidR="007A3A24">
        <w:t xml:space="preserve">low-quality </w:t>
      </w:r>
      <w:r w:rsidR="00120759">
        <w:t xml:space="preserve">solar panels </w:t>
      </w:r>
      <w:r w:rsidR="007A3A24">
        <w:t xml:space="preserve">and </w:t>
      </w:r>
      <w:r w:rsidR="00785981">
        <w:t>add</w:t>
      </w:r>
      <w:r w:rsidR="00D50DEA">
        <w:noBreakHyphen/>
      </w:r>
      <w:r w:rsidR="00785981">
        <w:t xml:space="preserve">ons for </w:t>
      </w:r>
      <w:r w:rsidR="007A3A24">
        <w:t>used car</w:t>
      </w:r>
      <w:r w:rsidR="006B1B33">
        <w:t>s</w:t>
      </w:r>
      <w:r w:rsidR="007A3A24">
        <w:t xml:space="preserve"> financed by BNPL</w:t>
      </w:r>
      <w:r w:rsidR="00474ADE">
        <w:t xml:space="preserve">, where </w:t>
      </w:r>
      <w:r w:rsidR="00675E74">
        <w:t xml:space="preserve">the </w:t>
      </w:r>
      <w:r w:rsidR="00474ADE">
        <w:t xml:space="preserve">goods </w:t>
      </w:r>
      <w:r w:rsidR="00675E74">
        <w:t xml:space="preserve">or </w:t>
      </w:r>
      <w:r w:rsidR="00D50DEA">
        <w:t>add-ons</w:t>
      </w:r>
      <w:r w:rsidR="00675E74">
        <w:t xml:space="preserve"> </w:t>
      </w:r>
      <w:r w:rsidR="00D24AB3">
        <w:t xml:space="preserve">are </w:t>
      </w:r>
      <w:r w:rsidR="00675E74">
        <w:t xml:space="preserve">relatively poor quality. </w:t>
      </w:r>
    </w:p>
    <w:p w14:paraId="25094A35" w14:textId="107AD7B1" w:rsidR="005A04F2" w:rsidRPr="00D94A3C" w:rsidRDefault="00CF7AA9" w:rsidP="005A04F2">
      <w:pPr>
        <w:pStyle w:val="Heading4"/>
      </w:pPr>
      <w:r>
        <w:t xml:space="preserve">Parallel reforms to </w:t>
      </w:r>
      <w:r w:rsidR="005A04F2" w:rsidRPr="00D94A3C">
        <w:t>improve clean energy sector</w:t>
      </w:r>
      <w:r>
        <w:t xml:space="preserve"> sales practices</w:t>
      </w:r>
    </w:p>
    <w:p w14:paraId="1176D078" w14:textId="309589C7" w:rsidR="00323C1A" w:rsidRDefault="00120759" w:rsidP="003A7D48">
      <w:pPr>
        <w:pStyle w:val="Bullet"/>
        <w:numPr>
          <w:ilvl w:val="0"/>
          <w:numId w:val="0"/>
        </w:numPr>
        <w:rPr>
          <w:i/>
          <w:iCs/>
        </w:rPr>
      </w:pPr>
      <w:r>
        <w:t xml:space="preserve">BNPL </w:t>
      </w:r>
      <w:r w:rsidR="00CF7AA9">
        <w:t xml:space="preserve">providers </w:t>
      </w:r>
      <w:r w:rsidR="00193A63">
        <w:t>focusing on the clean energy market advised</w:t>
      </w:r>
      <w:r w:rsidR="00152DC4">
        <w:t xml:space="preserve"> </w:t>
      </w:r>
      <w:r w:rsidR="00152DC4" w:rsidRPr="00D94A3C">
        <w:t>t</w:t>
      </w:r>
      <w:r w:rsidRPr="00D94A3C">
        <w:t>he Clean Energy Regulator</w:t>
      </w:r>
      <w:r w:rsidR="00152DC4" w:rsidRPr="00D94A3C">
        <w:t xml:space="preserve"> </w:t>
      </w:r>
      <w:r w:rsidRPr="00D94A3C">
        <w:t xml:space="preserve">introduced reforms earlier this year </w:t>
      </w:r>
      <w:r w:rsidR="00152DC4" w:rsidRPr="00D94A3C">
        <w:t xml:space="preserve">to </w:t>
      </w:r>
      <w:r w:rsidRPr="00D94A3C">
        <w:t>strengthen its enforcement powers over poor</w:t>
      </w:r>
      <w:r w:rsidR="00193A63">
        <w:t>ly</w:t>
      </w:r>
      <w:r w:rsidRPr="00D94A3C">
        <w:t xml:space="preserve"> behaving solar retailers. The </w:t>
      </w:r>
      <w:r w:rsidR="004C30F0">
        <w:t xml:space="preserve">solar and storage </w:t>
      </w:r>
      <w:r w:rsidRPr="00D94A3C">
        <w:t xml:space="preserve">industry has also recently announced a ‘New Energy Technology Consumer Code’ which will be in place </w:t>
      </w:r>
      <w:r w:rsidR="00BF6F09">
        <w:t xml:space="preserve">by </w:t>
      </w:r>
      <w:r w:rsidRPr="00D94A3C">
        <w:t>February 2023</w:t>
      </w:r>
      <w:r w:rsidR="005D5337" w:rsidRPr="00D94A3C">
        <w:t xml:space="preserve"> </w:t>
      </w:r>
      <w:r w:rsidR="004E6A78">
        <w:t>which should</w:t>
      </w:r>
      <w:r w:rsidR="005D5337" w:rsidRPr="00D94A3C">
        <w:t xml:space="preserve"> extend the existing consumer protection standards to cover new and emerging technologies</w:t>
      </w:r>
      <w:r w:rsidRPr="00D94A3C">
        <w:t xml:space="preserve">. </w:t>
      </w:r>
      <w:r w:rsidR="004E6A78">
        <w:t>Further,</w:t>
      </w:r>
      <w:r w:rsidR="00323C1A" w:rsidRPr="00D94A3C">
        <w:t xml:space="preserve"> </w:t>
      </w:r>
      <w:r w:rsidR="00B92553" w:rsidRPr="00D94A3C">
        <w:t>a</w:t>
      </w:r>
      <w:r w:rsidR="001701C2" w:rsidRPr="00D94A3C">
        <w:t>n</w:t>
      </w:r>
      <w:r w:rsidR="00323C1A" w:rsidRPr="00D94A3C">
        <w:t xml:space="preserve"> Australian Competition Tribunal ruling rejected assertions BNPL financing of energy products has led to consumer harm.</w:t>
      </w:r>
      <w:r w:rsidR="00323C1A" w:rsidRPr="00D94A3C">
        <w:rPr>
          <w:rStyle w:val="FootnoteReference"/>
          <w:i/>
        </w:rPr>
        <w:footnoteReference w:id="34"/>
      </w:r>
    </w:p>
    <w:p w14:paraId="252C6230" w14:textId="77777777" w:rsidR="00724D87" w:rsidRDefault="00724D87">
      <w:pPr>
        <w:spacing w:before="0" w:after="160" w:line="259" w:lineRule="auto"/>
        <w:rPr>
          <w:rFonts w:cs="Arial"/>
          <w:color w:val="4D7861" w:themeColor="accent2"/>
          <w:kern w:val="32"/>
          <w:sz w:val="24"/>
          <w:szCs w:val="26"/>
        </w:rPr>
      </w:pPr>
      <w:r>
        <w:br w:type="page"/>
      </w:r>
    </w:p>
    <w:p w14:paraId="2B890184" w14:textId="57A764F9" w:rsidR="00713970" w:rsidRDefault="00713970" w:rsidP="00281B59">
      <w:pPr>
        <w:pStyle w:val="Heading4"/>
      </w:pPr>
      <w:r>
        <w:lastRenderedPageBreak/>
        <w:t>Financial abuse and coercive control</w:t>
      </w:r>
    </w:p>
    <w:p w14:paraId="7E1C28DF" w14:textId="4F16A4FE" w:rsidR="00037E18" w:rsidRDefault="00713970" w:rsidP="00760D00">
      <w:pPr>
        <w:pStyle w:val="Bullet"/>
        <w:numPr>
          <w:ilvl w:val="0"/>
          <w:numId w:val="0"/>
        </w:numPr>
      </w:pPr>
      <w:r>
        <w:t>Consultation</w:t>
      </w:r>
      <w:r w:rsidR="00020A5F">
        <w:t>s</w:t>
      </w:r>
      <w:r>
        <w:t xml:space="preserve"> heard cases of </w:t>
      </w:r>
      <w:r w:rsidR="00466E69">
        <w:t xml:space="preserve">scammers </w:t>
      </w:r>
      <w:r w:rsidR="00B92553">
        <w:t xml:space="preserve">or abusive domestic partners </w:t>
      </w:r>
      <w:r w:rsidR="00156AAC">
        <w:t xml:space="preserve">taking advantage of </w:t>
      </w:r>
      <w:r w:rsidR="00566C77">
        <w:t>“</w:t>
      </w:r>
      <w:r w:rsidR="00156AAC">
        <w:t>frictionless</w:t>
      </w:r>
      <w:r w:rsidR="00566C77">
        <w:t>”</w:t>
      </w:r>
      <w:r w:rsidR="00156AAC">
        <w:t xml:space="preserve"> BNPL sign-up processes </w:t>
      </w:r>
      <w:r w:rsidR="00466E69">
        <w:t>to facilitate certain purchases</w:t>
      </w:r>
      <w:r w:rsidR="00B92553">
        <w:t xml:space="preserve">. </w:t>
      </w:r>
      <w:r w:rsidR="00156AAC">
        <w:t>A</w:t>
      </w:r>
      <w:r w:rsidR="00466E69">
        <w:t>busive partner</w:t>
      </w:r>
      <w:r w:rsidR="00B92553">
        <w:t>s</w:t>
      </w:r>
      <w:r w:rsidR="00466E69">
        <w:t xml:space="preserve"> </w:t>
      </w:r>
      <w:r w:rsidR="00156AAC">
        <w:t xml:space="preserve">may be </w:t>
      </w:r>
      <w:r>
        <w:t>using</w:t>
      </w:r>
      <w:r w:rsidR="00284970">
        <w:t xml:space="preserve"> victim information to create </w:t>
      </w:r>
      <w:r w:rsidR="00156AAC">
        <w:t>a</w:t>
      </w:r>
      <w:r w:rsidR="00284970">
        <w:t>ccount</w:t>
      </w:r>
      <w:r w:rsidR="00156AAC">
        <w:t>s</w:t>
      </w:r>
      <w:r w:rsidR="00284970">
        <w:t xml:space="preserve"> and </w:t>
      </w:r>
      <w:r w:rsidR="002D701F">
        <w:t xml:space="preserve">purchase goods </w:t>
      </w:r>
      <w:r w:rsidR="00BB0910">
        <w:t xml:space="preserve">in </w:t>
      </w:r>
      <w:r w:rsidR="007C6847">
        <w:t xml:space="preserve">a </w:t>
      </w:r>
      <w:r w:rsidR="00BB0910">
        <w:t>victim</w:t>
      </w:r>
      <w:r w:rsidR="001701C2">
        <w:t>’</w:t>
      </w:r>
      <w:r w:rsidR="00BB0910">
        <w:t>s name</w:t>
      </w:r>
      <w:r w:rsidR="00466E69">
        <w:t>.</w:t>
      </w:r>
      <w:r w:rsidR="00284970">
        <w:t xml:space="preserve"> </w:t>
      </w:r>
      <w:r w:rsidR="00C84CA0">
        <w:t xml:space="preserve">The Industry Code </w:t>
      </w:r>
      <w:r w:rsidR="00D6479E">
        <w:t>requires consideration be given to vulnerable consumers</w:t>
      </w:r>
      <w:r w:rsidR="009210AF">
        <w:t>,</w:t>
      </w:r>
      <w:r w:rsidR="00D6479E" w:rsidDel="009210AF">
        <w:t xml:space="preserve"> </w:t>
      </w:r>
      <w:r w:rsidR="00D6479E">
        <w:t>includ</w:t>
      </w:r>
      <w:r w:rsidR="009210AF">
        <w:t>ing</w:t>
      </w:r>
      <w:r w:rsidR="00D6479E">
        <w:t xml:space="preserve"> </w:t>
      </w:r>
      <w:r w:rsidR="00D21516">
        <w:t xml:space="preserve">staff training </w:t>
      </w:r>
      <w:r w:rsidR="00D6479E">
        <w:t>commitment</w:t>
      </w:r>
      <w:r w:rsidR="00D21516">
        <w:t xml:space="preserve">s to </w:t>
      </w:r>
      <w:r w:rsidR="00CD1A21">
        <w:t xml:space="preserve">help </w:t>
      </w:r>
      <w:r w:rsidR="00D21516">
        <w:t>ensure</w:t>
      </w:r>
      <w:r w:rsidR="00CD1A21">
        <w:t xml:space="preserve"> they can</w:t>
      </w:r>
      <w:r w:rsidR="00D6479E">
        <w:t xml:space="preserve"> appropriately deal with vulnerable consumers and consider specific life events such as family violence</w:t>
      </w:r>
      <w:r w:rsidR="00CD1A21">
        <w:t xml:space="preserve"> </w:t>
      </w:r>
      <w:r w:rsidR="00D6479E">
        <w:t xml:space="preserve">when assessing </w:t>
      </w:r>
      <w:r w:rsidR="00DC1F9A">
        <w:t>the</w:t>
      </w:r>
      <w:r w:rsidR="00D6479E">
        <w:t xml:space="preserve"> vulnerability of a person.</w:t>
      </w:r>
      <w:r w:rsidR="00D6479E">
        <w:rPr>
          <w:rStyle w:val="FootnoteReference"/>
        </w:rPr>
        <w:footnoteReference w:id="35"/>
      </w:r>
      <w:r w:rsidR="009A6949">
        <w:t xml:space="preserve"> These issues are not exclusive to BNPL, and BNPL providers are subject to the same know-your-client obligations under anti-money laundering and counter terrorism financing legislation as other credit providers. </w:t>
      </w:r>
    </w:p>
    <w:p w14:paraId="567923C6" w14:textId="404B979A" w:rsidR="00A83218" w:rsidRPr="008774A4" w:rsidRDefault="00097D51" w:rsidP="00A83218">
      <w:pPr>
        <w:pStyle w:val="Heading3"/>
      </w:pPr>
      <w:bookmarkStart w:id="20" w:name="_Toc119916357"/>
      <w:r>
        <w:t>Refunds</w:t>
      </w:r>
      <w:r w:rsidR="00EA53B6">
        <w:t>,</w:t>
      </w:r>
      <w:r w:rsidR="00A83218" w:rsidRPr="008774A4">
        <w:t xml:space="preserve"> return of good</w:t>
      </w:r>
      <w:r w:rsidR="00EA53B6">
        <w:t xml:space="preserve"> and unauthorised transactions</w:t>
      </w:r>
      <w:bookmarkEnd w:id="20"/>
    </w:p>
    <w:p w14:paraId="254D7378" w14:textId="7796BD23" w:rsidR="00732148" w:rsidRDefault="00286223" w:rsidP="00D8358D">
      <w:pPr>
        <w:pStyle w:val="Bullet"/>
        <w:numPr>
          <w:ilvl w:val="0"/>
          <w:numId w:val="0"/>
        </w:numPr>
      </w:pPr>
      <w:r>
        <w:t xml:space="preserve">BNPL providers </w:t>
      </w:r>
      <w:r w:rsidR="00350FF8">
        <w:t>do not subscribe to</w:t>
      </w:r>
      <w:r>
        <w:t xml:space="preserve"> the</w:t>
      </w:r>
      <w:r w:rsidR="005B4B5B">
        <w:t xml:space="preserve"> voluntary</w:t>
      </w:r>
      <w:r>
        <w:t xml:space="preserve"> ePayments Code </w:t>
      </w:r>
      <w:r w:rsidR="005B4B5B">
        <w:t xml:space="preserve">of Practice </w:t>
      </w:r>
      <w:r>
        <w:t>and do not have to cover fraud losses.</w:t>
      </w:r>
      <w:r w:rsidR="00350FF8">
        <w:t xml:space="preserve"> </w:t>
      </w:r>
      <w:r w:rsidR="00732148" w:rsidRPr="00EA53B6">
        <w:t>The ePayments Code sets out the rules for determining whether a customer is liable to pay for an unauthorised transaction.</w:t>
      </w:r>
      <w:r w:rsidR="00732148">
        <w:t xml:space="preserve"> </w:t>
      </w:r>
      <w:r w:rsidR="00806DE7" w:rsidRPr="00EA53B6">
        <w:t xml:space="preserve">Most banks, credit unions and building societies currently subscribe to the ePayments Code, along with </w:t>
      </w:r>
      <w:r w:rsidR="00806DE7">
        <w:t>several</w:t>
      </w:r>
      <w:r w:rsidR="00806DE7" w:rsidRPr="00EA53B6">
        <w:t xml:space="preserve"> non-bank businesses.</w:t>
      </w:r>
      <w:r w:rsidR="00806DE7">
        <w:t xml:space="preserve"> </w:t>
      </w:r>
    </w:p>
    <w:p w14:paraId="3C2E2DA4" w14:textId="335EDAE2" w:rsidR="00A83218" w:rsidRDefault="00A83218" w:rsidP="00A83218">
      <w:pPr>
        <w:pStyle w:val="Bullet"/>
        <w:numPr>
          <w:ilvl w:val="0"/>
          <w:numId w:val="0"/>
        </w:numPr>
      </w:pPr>
      <w:r>
        <w:t xml:space="preserve">Some </w:t>
      </w:r>
      <w:r w:rsidR="00E66ED8">
        <w:t xml:space="preserve">consumer groups raised </w:t>
      </w:r>
      <w:r>
        <w:t>minor c</w:t>
      </w:r>
      <w:r w:rsidRPr="008774A4">
        <w:t xml:space="preserve">oncerns regarding the lack of </w:t>
      </w:r>
      <w:r w:rsidR="00E66ED8">
        <w:t xml:space="preserve">consistent </w:t>
      </w:r>
      <w:r w:rsidR="00BC3999">
        <w:t>consumer</w:t>
      </w:r>
      <w:r w:rsidRPr="008774A4">
        <w:t xml:space="preserve"> protections for </w:t>
      </w:r>
      <w:r w:rsidR="00BC3999">
        <w:t>revers</w:t>
      </w:r>
      <w:r w:rsidR="00350FF8">
        <w:t xml:space="preserve">e charging </w:t>
      </w:r>
      <w:r w:rsidR="00BC3999">
        <w:t>BNPL</w:t>
      </w:r>
      <w:r w:rsidR="00EB4824">
        <w:t xml:space="preserve"> </w:t>
      </w:r>
      <w:r w:rsidR="00BC1901">
        <w:t>when goods are returned to the merchant</w:t>
      </w:r>
      <w:r w:rsidR="00350FF8">
        <w:t xml:space="preserve"> and </w:t>
      </w:r>
      <w:r w:rsidR="00403275">
        <w:t>fraudulent transactions</w:t>
      </w:r>
      <w:r w:rsidR="00A074D7">
        <w:t xml:space="preserve"> occur</w:t>
      </w:r>
      <w:r w:rsidR="00046BD9">
        <w:t xml:space="preserve">. </w:t>
      </w:r>
      <w:r w:rsidR="00EA53B6" w:rsidRPr="00EA53B6">
        <w:t>Generally</w:t>
      </w:r>
      <w:r w:rsidR="007431BB">
        <w:t>,</w:t>
      </w:r>
      <w:r w:rsidR="00EA53B6" w:rsidRPr="00EA53B6">
        <w:t xml:space="preserve"> customers are not liable for unauthorised transactions involving their accounts, provided they have taken reasonable precautions to protect such accounts.</w:t>
      </w:r>
      <w:r w:rsidR="00EA53B6">
        <w:t xml:space="preserve"> </w:t>
      </w:r>
      <w:r w:rsidR="00B94D42">
        <w:t>C</w:t>
      </w:r>
      <w:r w:rsidRPr="008774A4">
        <w:t xml:space="preserve">onsumer groups </w:t>
      </w:r>
      <w:r w:rsidR="005B4B5B">
        <w:t xml:space="preserve">advised </w:t>
      </w:r>
      <w:r w:rsidR="005B4B5B" w:rsidRPr="008774A4">
        <w:t xml:space="preserve">consumers may not appreciate the differing regulatory position of BNPL providers </w:t>
      </w:r>
      <w:r w:rsidR="00B94D42">
        <w:t>compared</w:t>
      </w:r>
      <w:r w:rsidR="005B4B5B" w:rsidRPr="008774A4">
        <w:t xml:space="preserve"> to other credit </w:t>
      </w:r>
      <w:r w:rsidR="00FC7391">
        <w:t xml:space="preserve">providers on chargeback processes due to a lack of </w:t>
      </w:r>
      <w:r w:rsidR="005B4B5B">
        <w:t>standardisation</w:t>
      </w:r>
      <w:r w:rsidR="00FC7391">
        <w:t xml:space="preserve"> and</w:t>
      </w:r>
      <w:r w:rsidR="005B4B5B">
        <w:t xml:space="preserve"> </w:t>
      </w:r>
      <w:r w:rsidRPr="008774A4">
        <w:t>transparency</w:t>
      </w:r>
      <w:r w:rsidR="0010111F">
        <w:t xml:space="preserve">. </w:t>
      </w:r>
      <w:r>
        <w:t xml:space="preserve">Some BNPL providers </w:t>
      </w:r>
      <w:r w:rsidR="000D2FEB">
        <w:t>told Treasury they have</w:t>
      </w:r>
      <w:r w:rsidR="00D8358D">
        <w:t xml:space="preserve"> effective and </w:t>
      </w:r>
      <w:r w:rsidR="000D2FEB">
        <w:t xml:space="preserve">appropriate </w:t>
      </w:r>
      <w:r w:rsidR="00D8358D">
        <w:t>processes in place to</w:t>
      </w:r>
      <w:r w:rsidRPr="008774A4">
        <w:t xml:space="preserve"> facilitate </w:t>
      </w:r>
      <w:r w:rsidR="000D2FEB">
        <w:t xml:space="preserve">refunds </w:t>
      </w:r>
      <w:r w:rsidRPr="008774A4">
        <w:t xml:space="preserve">when requested by consumers. </w:t>
      </w:r>
    </w:p>
    <w:p w14:paraId="6C6C9624" w14:textId="77777777" w:rsidR="00724D87" w:rsidRDefault="00724D87" w:rsidP="00A83218">
      <w:pPr>
        <w:pStyle w:val="Bullet"/>
        <w:numPr>
          <w:ilvl w:val="0"/>
          <w:numId w:val="0"/>
        </w:numPr>
      </w:pPr>
    </w:p>
    <w:tbl>
      <w:tblPr>
        <w:tblStyle w:val="TableGridLight"/>
        <w:tblW w:w="0" w:type="auto"/>
        <w:tblLook w:val="04A0" w:firstRow="1" w:lastRow="0" w:firstColumn="1" w:lastColumn="0" w:noHBand="0" w:noVBand="1"/>
      </w:tblPr>
      <w:tblGrid>
        <w:gridCol w:w="9060"/>
      </w:tblGrid>
      <w:tr w:rsidR="00B27F19" w14:paraId="57BF24B3" w14:textId="77777777" w:rsidTr="0E0CECDF">
        <w:tc>
          <w:tcPr>
            <w:tcW w:w="9070" w:type="dxa"/>
            <w:tcBorders>
              <w:top w:val="single" w:sz="4" w:space="0" w:color="auto"/>
              <w:left w:val="single" w:sz="4" w:space="0" w:color="auto"/>
              <w:bottom w:val="single" w:sz="4" w:space="0" w:color="auto"/>
              <w:right w:val="single" w:sz="4" w:space="0" w:color="auto"/>
            </w:tcBorders>
          </w:tcPr>
          <w:p w14:paraId="44DC7104" w14:textId="2A56E571" w:rsidR="00B27F19" w:rsidRDefault="00B27F19" w:rsidP="00B27F19">
            <w:pPr>
              <w:pStyle w:val="Heading4"/>
              <w:spacing w:before="96" w:after="96"/>
              <w:outlineLvl w:val="3"/>
            </w:pPr>
            <w:r>
              <w:t>Question</w:t>
            </w:r>
            <w:r w:rsidR="008B5BD8">
              <w:t>s</w:t>
            </w:r>
            <w:r w:rsidR="004529BD">
              <w:t>:</w:t>
            </w:r>
          </w:p>
          <w:p w14:paraId="1A30E635" w14:textId="3449C372" w:rsidR="00E46C0F" w:rsidRDefault="41BA038B" w:rsidP="00210D44">
            <w:pPr>
              <w:pStyle w:val="Bullet"/>
              <w:spacing w:before="0" w:after="160" w:line="259" w:lineRule="auto"/>
            </w:pPr>
            <w:r>
              <w:t xml:space="preserve">Can you provide examples </w:t>
            </w:r>
            <w:r w:rsidR="25174753">
              <w:t>of other</w:t>
            </w:r>
            <w:r w:rsidR="183448CD">
              <w:t xml:space="preserve"> areas of consumer harm or industry behaviour this paper has not discussed?</w:t>
            </w:r>
            <w:r w:rsidR="08424789">
              <w:t xml:space="preserve"> </w:t>
            </w:r>
          </w:p>
          <w:p w14:paraId="36D9AC98" w14:textId="63F737FC" w:rsidR="00B27F19" w:rsidRPr="00D25358" w:rsidRDefault="00210D44" w:rsidP="00210D44">
            <w:pPr>
              <w:pStyle w:val="Bullet"/>
              <w:spacing w:before="0" w:after="160" w:line="259" w:lineRule="auto"/>
            </w:pPr>
            <w:r>
              <w:t>W</w:t>
            </w:r>
            <w:r w:rsidR="17DE325C" w:rsidRPr="003D5EE3">
              <w:t>hat are the main contributor</w:t>
            </w:r>
            <w:r>
              <w:t>s</w:t>
            </w:r>
            <w:r w:rsidR="17DE325C" w:rsidRPr="003D5EE3">
              <w:t xml:space="preserve"> of consumer harm? What evidence </w:t>
            </w:r>
            <w:r w:rsidR="00E46C0F">
              <w:t>supports</w:t>
            </w:r>
            <w:r w:rsidR="17DE325C" w:rsidRPr="003D5EE3">
              <w:t xml:space="preserve"> this view?</w:t>
            </w:r>
          </w:p>
        </w:tc>
      </w:tr>
    </w:tbl>
    <w:p w14:paraId="534E5052" w14:textId="77777777" w:rsidR="005A3F0F" w:rsidRDefault="005A3F0F">
      <w:pPr>
        <w:spacing w:before="0" w:after="160" w:line="259" w:lineRule="auto"/>
        <w:rPr>
          <w:rFonts w:ascii="Calibri" w:hAnsi="Calibri" w:cs="Arial"/>
          <w:b/>
          <w:color w:val="5D779D" w:themeColor="accent3"/>
          <w:kern w:val="32"/>
          <w:sz w:val="44"/>
          <w:szCs w:val="36"/>
        </w:rPr>
      </w:pPr>
      <w:r>
        <w:br w:type="page"/>
      </w:r>
    </w:p>
    <w:p w14:paraId="22B2C1C9" w14:textId="6C214483" w:rsidR="00FB4CA1" w:rsidRDefault="005C2B65" w:rsidP="00D94A3C">
      <w:pPr>
        <w:pStyle w:val="Heading1"/>
      </w:pPr>
      <w:bookmarkStart w:id="21" w:name="_Toc119916358"/>
      <w:r>
        <w:lastRenderedPageBreak/>
        <w:t xml:space="preserve">Options for </w:t>
      </w:r>
      <w:r w:rsidR="008356AE">
        <w:t>regulatory intervention</w:t>
      </w:r>
      <w:bookmarkEnd w:id="21"/>
    </w:p>
    <w:p w14:paraId="2767C955" w14:textId="2488C95F" w:rsidR="002D3A0D" w:rsidRPr="009B73F3" w:rsidRDefault="00630AEC" w:rsidP="00D94A3C">
      <w:pPr>
        <w:pStyle w:val="Heading2"/>
      </w:pPr>
      <w:bookmarkStart w:id="22" w:name="_Toc119916359"/>
      <w:r>
        <w:t>Guiding principles for an a</w:t>
      </w:r>
      <w:r w:rsidR="005C2B65">
        <w:t xml:space="preserve">pproach to </w:t>
      </w:r>
      <w:r w:rsidR="00453874">
        <w:t>regulating BNPL</w:t>
      </w:r>
      <w:bookmarkEnd w:id="22"/>
    </w:p>
    <w:p w14:paraId="6E1F6940" w14:textId="79BFB089" w:rsidR="001471E7" w:rsidRDefault="003B4802" w:rsidP="00D94A3C">
      <w:pPr>
        <w:spacing w:line="276" w:lineRule="auto"/>
      </w:pPr>
      <w:r>
        <w:t xml:space="preserve">Australian consumers have benefited from the rise of the BNPL </w:t>
      </w:r>
      <w:r w:rsidR="00E07457">
        <w:t>industry,</w:t>
      </w:r>
      <w:r w:rsidR="007153F1">
        <w:t xml:space="preserve"> and it is important to ensure these benefits </w:t>
      </w:r>
      <w:r w:rsidR="00AC15DA">
        <w:t xml:space="preserve">balance any changes to the BNPL regulatory framework aimed at addressing the risk of consumer harm. </w:t>
      </w:r>
      <w:r w:rsidR="001471E7">
        <w:t>Treasury has used the</w:t>
      </w:r>
      <w:r w:rsidR="003B24D0">
        <w:t xml:space="preserve"> consultation process to develop the</w:t>
      </w:r>
      <w:r w:rsidR="001471E7">
        <w:t xml:space="preserve"> following guiding principles to inform the options outlined below for a new regulatory framework for BNPL: </w:t>
      </w:r>
    </w:p>
    <w:p w14:paraId="4615A47A" w14:textId="51507BAF" w:rsidR="001471E7" w:rsidRPr="005E215C" w:rsidRDefault="2FBFC5C7" w:rsidP="00D94A3C">
      <w:pPr>
        <w:pStyle w:val="Bullet"/>
      </w:pPr>
      <w:r>
        <w:t xml:space="preserve">It should </w:t>
      </w:r>
      <w:r w:rsidR="00114B7E">
        <w:t xml:space="preserve">improve consumer protections by addressing </w:t>
      </w:r>
      <w:r>
        <w:t>the main instances of consumer harm arising from BNPL products while continuing to ensure BNPL products are accessible to consumers.</w:t>
      </w:r>
    </w:p>
    <w:p w14:paraId="4753A946" w14:textId="304A8A2A" w:rsidR="001471E7" w:rsidRPr="005E215C" w:rsidRDefault="2FBFC5C7" w:rsidP="00D94A3C">
      <w:pPr>
        <w:pStyle w:val="Bullet"/>
      </w:pPr>
      <w:r>
        <w:t xml:space="preserve">It should be flexible enough to allow new BNPL providers into the market and for new and existing BNPL providers to bring new financial products onto the market. </w:t>
      </w:r>
    </w:p>
    <w:p w14:paraId="0BA07410" w14:textId="46076402" w:rsidR="006F05A7" w:rsidRPr="005E215C" w:rsidRDefault="2FBFC5C7" w:rsidP="00D94A3C">
      <w:pPr>
        <w:pStyle w:val="Bullet"/>
      </w:pPr>
      <w:r>
        <w:t>It should respect the</w:t>
      </w:r>
      <w:r w:rsidR="339E4AC6">
        <w:t xml:space="preserve"> competitive nature of the</w:t>
      </w:r>
      <w:r>
        <w:t xml:space="preserve"> market and the role</w:t>
      </w:r>
      <w:r w:rsidR="001B1226">
        <w:t>s</w:t>
      </w:r>
      <w:r w:rsidR="31F44264">
        <w:t xml:space="preserve"> and interests</w:t>
      </w:r>
      <w:r>
        <w:t xml:space="preserve"> of consumers, </w:t>
      </w:r>
      <w:r w:rsidR="00B375BC">
        <w:t>merchants,</w:t>
      </w:r>
      <w:r>
        <w:t xml:space="preserve"> and providers </w:t>
      </w:r>
      <w:r w:rsidR="008F6749">
        <w:t>in</w:t>
      </w:r>
      <w:r w:rsidR="2BE851B1">
        <w:t xml:space="preserve"> the BNPL </w:t>
      </w:r>
      <w:r w:rsidR="053F79E0">
        <w:t>sector</w:t>
      </w:r>
      <w:r w:rsidR="2BE851B1">
        <w:t xml:space="preserve">. </w:t>
      </w:r>
    </w:p>
    <w:p w14:paraId="20FB1B34" w14:textId="77790445" w:rsidR="001471E7" w:rsidRPr="005E215C" w:rsidRDefault="72B2589A" w:rsidP="00D94A3C">
      <w:pPr>
        <w:pStyle w:val="Bullet"/>
      </w:pPr>
      <w:r>
        <w:t>It shoul</w:t>
      </w:r>
      <w:r w:rsidR="0D3668E1">
        <w:t xml:space="preserve">d </w:t>
      </w:r>
      <w:r w:rsidR="1B3F17CD">
        <w:t>consider</w:t>
      </w:r>
      <w:r w:rsidR="02FC3FD5">
        <w:t xml:space="preserve"> the</w:t>
      </w:r>
      <w:r w:rsidR="1B3F17CD">
        <w:t xml:space="preserve"> </w:t>
      </w:r>
      <w:r w:rsidR="00141CFF">
        <w:t xml:space="preserve">existing </w:t>
      </w:r>
      <w:r w:rsidR="79E77B0C">
        <w:t>regulatory arrangements for</w:t>
      </w:r>
      <w:r w:rsidR="39460FDB">
        <w:t xml:space="preserve"> comparable</w:t>
      </w:r>
      <w:r w:rsidR="76DA17E4">
        <w:t xml:space="preserve"> regulated credit products</w:t>
      </w:r>
      <w:r w:rsidR="233301BC">
        <w:t>, such as credit cards</w:t>
      </w:r>
      <w:r w:rsidR="1FF250BB">
        <w:t>, small amount credit contracts (payday loans), consumer leases</w:t>
      </w:r>
      <w:r w:rsidR="522A7230">
        <w:t xml:space="preserve">, and other types of personal loans. </w:t>
      </w:r>
    </w:p>
    <w:p w14:paraId="21E302F1" w14:textId="747ED3B4" w:rsidR="00FE6BA6" w:rsidRPr="005E215C" w:rsidRDefault="6966CB00" w:rsidP="00D94A3C">
      <w:pPr>
        <w:pStyle w:val="Bullet"/>
      </w:pPr>
      <w:r>
        <w:t>It should be practicably enforceable by a regulator such as ASIC in a cost effective and efficient way</w:t>
      </w:r>
      <w:r w:rsidR="78443A32">
        <w:t xml:space="preserve"> </w:t>
      </w:r>
      <w:r w:rsidR="349E8CF5">
        <w:t xml:space="preserve">that minimises the risk of avoidance behaviour </w:t>
      </w:r>
      <w:r w:rsidR="78443A32">
        <w:t xml:space="preserve">while </w:t>
      </w:r>
      <w:r w:rsidR="3EE9AAD0">
        <w:t>considering</w:t>
      </w:r>
      <w:r w:rsidR="78443A32">
        <w:t xml:space="preserve"> </w:t>
      </w:r>
      <w:r w:rsidR="6868956C">
        <w:t xml:space="preserve">the existing regulatory framework for financial products and </w:t>
      </w:r>
      <w:r w:rsidR="78443A32">
        <w:t>BNPL industry</w:t>
      </w:r>
      <w:r w:rsidR="6868956C">
        <w:t xml:space="preserve"> self-regulation</w:t>
      </w:r>
      <w:r>
        <w:t xml:space="preserve">. </w:t>
      </w:r>
    </w:p>
    <w:p w14:paraId="32EA930A" w14:textId="74123D40" w:rsidR="002F1414" w:rsidRDefault="00E92335" w:rsidP="00D94A3C">
      <w:pPr>
        <w:spacing w:line="276" w:lineRule="auto"/>
      </w:pPr>
      <w:r>
        <w:t>These guiding principles</w:t>
      </w:r>
      <w:r w:rsidR="000335AD">
        <w:t xml:space="preserve"> have informed the develop</w:t>
      </w:r>
      <w:r w:rsidR="006957FA">
        <w:t xml:space="preserve">ment of three </w:t>
      </w:r>
      <w:r w:rsidR="001F57C6">
        <w:t xml:space="preserve">broad options for public consideration and consultation. Generally, these options </w:t>
      </w:r>
      <w:r w:rsidR="00BF5317">
        <w:t xml:space="preserve">present </w:t>
      </w:r>
      <w:r w:rsidR="00D728FE" w:rsidRPr="001A3E14">
        <w:t>varying degree</w:t>
      </w:r>
      <w:r w:rsidR="00014DBE">
        <w:t>s</w:t>
      </w:r>
      <w:r w:rsidR="00D728FE" w:rsidRPr="001A3E14">
        <w:t xml:space="preserve"> of </w:t>
      </w:r>
      <w:r w:rsidR="00425411" w:rsidDel="001471E7">
        <w:t xml:space="preserve">regulatory intervention </w:t>
      </w:r>
      <w:r w:rsidR="00B03F68" w:rsidRPr="001A3E14" w:rsidDel="00FE6BA6">
        <w:t xml:space="preserve">in </w:t>
      </w:r>
      <w:r w:rsidR="00014DBE">
        <w:t>t</w:t>
      </w:r>
      <w:r w:rsidR="002F1414">
        <w:t>he BNPL market</w:t>
      </w:r>
      <w:r w:rsidR="00496F0D" w:rsidRPr="001A3E14">
        <w:t>.</w:t>
      </w:r>
      <w:r w:rsidR="00D728FE" w:rsidRPr="001A3E14">
        <w:t xml:space="preserve"> </w:t>
      </w:r>
      <w:r w:rsidR="005C2EB8">
        <w:t xml:space="preserve">Treasury is open to considering </w:t>
      </w:r>
      <w:r w:rsidR="0074655E">
        <w:t xml:space="preserve">alternative options and submissions should not feel limited to commenting on only the options presented in this paper. </w:t>
      </w:r>
    </w:p>
    <w:tbl>
      <w:tblPr>
        <w:tblStyle w:val="TableGridLight"/>
        <w:tblW w:w="0" w:type="auto"/>
        <w:tblLook w:val="04A0" w:firstRow="1" w:lastRow="0" w:firstColumn="1" w:lastColumn="0" w:noHBand="0" w:noVBand="1"/>
      </w:tblPr>
      <w:tblGrid>
        <w:gridCol w:w="9060"/>
      </w:tblGrid>
      <w:tr w:rsidR="00B27F19" w14:paraId="3C206D86" w14:textId="77777777" w:rsidTr="0E0CECDF">
        <w:tc>
          <w:tcPr>
            <w:tcW w:w="9070" w:type="dxa"/>
            <w:tcBorders>
              <w:top w:val="single" w:sz="4" w:space="0" w:color="auto"/>
              <w:left w:val="single" w:sz="4" w:space="0" w:color="auto"/>
              <w:bottom w:val="single" w:sz="4" w:space="0" w:color="auto"/>
              <w:right w:val="single" w:sz="4" w:space="0" w:color="auto"/>
            </w:tcBorders>
          </w:tcPr>
          <w:p w14:paraId="727C4359" w14:textId="77777777" w:rsidR="00B27F19" w:rsidRDefault="00B27F19" w:rsidP="00B27F19">
            <w:pPr>
              <w:pStyle w:val="Heading4"/>
              <w:outlineLvl w:val="3"/>
            </w:pPr>
            <w:r>
              <w:t>Questions:</w:t>
            </w:r>
          </w:p>
          <w:p w14:paraId="243090EA" w14:textId="77777777" w:rsidR="00B27F19" w:rsidRDefault="183448CD" w:rsidP="005C4BE1">
            <w:pPr>
              <w:pStyle w:val="Bullet"/>
            </w:pPr>
            <w:r>
              <w:t xml:space="preserve">Are the guiding principles appropriate and fit for purpose to inform the development of a BNPL regulatory framework? What other factors should be considered? </w:t>
            </w:r>
          </w:p>
          <w:p w14:paraId="763423EA" w14:textId="77777777" w:rsidR="00B27F19" w:rsidRDefault="183448CD" w:rsidP="00A95EA7">
            <w:pPr>
              <w:pStyle w:val="Bullet"/>
              <w:ind w:left="522" w:hanging="522"/>
            </w:pPr>
            <w:r>
              <w:t>Of the three options below, which option do you think is most appropriate? Would you change any aspects of that option?</w:t>
            </w:r>
          </w:p>
          <w:p w14:paraId="09D7F00A" w14:textId="484E3E40" w:rsidR="00B27F19" w:rsidRDefault="183448CD" w:rsidP="00A95EA7">
            <w:pPr>
              <w:pStyle w:val="Bullet"/>
              <w:spacing w:after="160"/>
              <w:ind w:left="522" w:hanging="522"/>
            </w:pPr>
            <w:r>
              <w:t>What do you think are the issues with the other two options?</w:t>
            </w:r>
          </w:p>
        </w:tc>
      </w:tr>
    </w:tbl>
    <w:p w14:paraId="759DCAB0" w14:textId="77777777" w:rsidR="00B27F19" w:rsidRPr="001A3E14" w:rsidRDefault="00B27F19" w:rsidP="00D94A3C"/>
    <w:p w14:paraId="08B1179F" w14:textId="306C0923" w:rsidR="00077595" w:rsidRDefault="00680BB6" w:rsidP="00F65FF9">
      <w:pPr>
        <w:pStyle w:val="Heading3"/>
      </w:pPr>
      <w:r>
        <w:br w:type="column"/>
      </w:r>
      <w:bookmarkStart w:id="23" w:name="_Toc119916360"/>
      <w:r w:rsidR="00F65FF9" w:rsidRPr="008142B2">
        <w:lastRenderedPageBreak/>
        <w:t xml:space="preserve">Option </w:t>
      </w:r>
      <w:r w:rsidR="00F65FF9">
        <w:t>1</w:t>
      </w:r>
      <w:r w:rsidR="00F65FF9" w:rsidRPr="008142B2">
        <w:t xml:space="preserve">: </w:t>
      </w:r>
      <w:r w:rsidR="00D176FD">
        <w:t>Strengthening</w:t>
      </w:r>
      <w:r w:rsidR="00810C33">
        <w:t xml:space="preserve"> the</w:t>
      </w:r>
      <w:r w:rsidR="00077595">
        <w:t xml:space="preserve"> BNPL </w:t>
      </w:r>
      <w:r w:rsidR="00810C33">
        <w:t>I</w:t>
      </w:r>
      <w:r w:rsidR="00077595">
        <w:t xml:space="preserve">ndustry Code </w:t>
      </w:r>
      <w:r w:rsidR="00810C33">
        <w:t>plus an affordability test</w:t>
      </w:r>
      <w:bookmarkEnd w:id="23"/>
    </w:p>
    <w:p w14:paraId="21AEAAB4" w14:textId="4FDED349" w:rsidR="00A7338C" w:rsidRDefault="00077595" w:rsidP="00D94A3C">
      <w:r>
        <w:t>This option propose</w:t>
      </w:r>
      <w:r w:rsidR="00CA5B85">
        <w:t>s</w:t>
      </w:r>
      <w:r>
        <w:t xml:space="preserve"> a government-industry </w:t>
      </w:r>
      <w:r w:rsidR="00F65FF9" w:rsidRPr="00CA5B85">
        <w:t>co-regulation regime</w:t>
      </w:r>
      <w:r w:rsidR="00CA5B85">
        <w:t xml:space="preserve">, </w:t>
      </w:r>
      <w:r w:rsidR="007360A0">
        <w:t>where</w:t>
      </w:r>
      <w:r w:rsidR="00283026">
        <w:t xml:space="preserve"> the</w:t>
      </w:r>
      <w:r w:rsidR="007360A0">
        <w:t xml:space="preserve"> current</w:t>
      </w:r>
      <w:r w:rsidR="00F65FF9" w:rsidRPr="00CA5B85">
        <w:t xml:space="preserve"> BNPL industry Code</w:t>
      </w:r>
      <w:r w:rsidR="00F65FF9">
        <w:t xml:space="preserve"> </w:t>
      </w:r>
      <w:r w:rsidR="007360A0">
        <w:t xml:space="preserve">is strengthened to </w:t>
      </w:r>
      <w:r w:rsidR="00997C63">
        <w:t xml:space="preserve">address current gaps in coverage, </w:t>
      </w:r>
      <w:r w:rsidR="00302A7B">
        <w:t xml:space="preserve">supplemented with a bespoke affordability test legislated under the Credit Act. Key features of this proposal include: </w:t>
      </w:r>
    </w:p>
    <w:p w14:paraId="3D2066B8" w14:textId="12826959" w:rsidR="00A34FA9" w:rsidRDefault="00C202FF" w:rsidP="00D94A3C">
      <w:pPr>
        <w:pStyle w:val="Bullet"/>
      </w:pPr>
      <w:r>
        <w:t>Amending t</w:t>
      </w:r>
      <w:r w:rsidR="2FB968BB">
        <w:t xml:space="preserve">he Credit Act </w:t>
      </w:r>
      <w:r w:rsidR="00B177C2">
        <w:t xml:space="preserve">to </w:t>
      </w:r>
      <w:r w:rsidR="2FB968BB">
        <w:t xml:space="preserve">impose </w:t>
      </w:r>
      <w:r w:rsidR="384E8287">
        <w:t xml:space="preserve">BNPL specific </w:t>
      </w:r>
      <w:r w:rsidR="2FB968BB">
        <w:t>requirement</w:t>
      </w:r>
      <w:r w:rsidR="384E8287">
        <w:t>s</w:t>
      </w:r>
      <w:r w:rsidR="2FB968BB">
        <w:t xml:space="preserve"> </w:t>
      </w:r>
      <w:r>
        <w:t xml:space="preserve">on </w:t>
      </w:r>
      <w:r w:rsidR="2FB968BB">
        <w:t xml:space="preserve">providers to check that </w:t>
      </w:r>
      <w:r w:rsidR="625BBD12">
        <w:t xml:space="preserve">a </w:t>
      </w:r>
      <w:r w:rsidR="2FB968BB">
        <w:t>BNPL product is not unaffordable for a person</w:t>
      </w:r>
      <w:r w:rsidR="625BBD12">
        <w:t xml:space="preserve"> before offering it to them</w:t>
      </w:r>
      <w:r w:rsidR="2FB968BB">
        <w:t xml:space="preserve">. </w:t>
      </w:r>
    </w:p>
    <w:p w14:paraId="7033CF06" w14:textId="23676F98" w:rsidR="001B74CB" w:rsidRDefault="384E8287" w:rsidP="00C061E1">
      <w:pPr>
        <w:pStyle w:val="Bullet"/>
      </w:pPr>
      <w:r>
        <w:t xml:space="preserve">These bespoke provisions would provide for the </w:t>
      </w:r>
      <w:r w:rsidR="2FB968BB">
        <w:t xml:space="preserve">scalable and efficient checking of </w:t>
      </w:r>
      <w:r w:rsidR="004C4B09">
        <w:t>a consumer</w:t>
      </w:r>
      <w:r w:rsidR="2FB968BB">
        <w:t xml:space="preserve">’s </w:t>
      </w:r>
      <w:r w:rsidR="639B6907">
        <w:t xml:space="preserve">ability to </w:t>
      </w:r>
      <w:r w:rsidR="2FB968BB">
        <w:t>afford the BNPL credit</w:t>
      </w:r>
      <w:r>
        <w:t xml:space="preserve"> related to the overall value of the credit </w:t>
      </w:r>
      <w:r w:rsidR="639B6907">
        <w:t>being</w:t>
      </w:r>
      <w:r>
        <w:t xml:space="preserve"> provided. </w:t>
      </w:r>
    </w:p>
    <w:p w14:paraId="151008AA" w14:textId="1AC7159B" w:rsidR="00F65FF9" w:rsidRDefault="001B74CB" w:rsidP="00D94A3C">
      <w:pPr>
        <w:pStyle w:val="Dash"/>
      </w:pPr>
      <w:r>
        <w:t xml:space="preserve">For example, </w:t>
      </w:r>
      <w:r w:rsidR="00F65FF9">
        <w:t>when lending below certain thresholds</w:t>
      </w:r>
      <w:r w:rsidR="00213F00">
        <w:t>,</w:t>
      </w:r>
      <w:r w:rsidR="00F65FF9">
        <w:t xml:space="preserve"> </w:t>
      </w:r>
      <w:r>
        <w:t xml:space="preserve">a credit score check could be used as </w:t>
      </w:r>
      <w:r w:rsidR="00F65FF9">
        <w:t xml:space="preserve">a proxy of </w:t>
      </w:r>
      <w:r w:rsidR="004C4B09">
        <w:t>a consumer’s</w:t>
      </w:r>
      <w:r w:rsidR="00817E2A">
        <w:t xml:space="preserve"> </w:t>
      </w:r>
      <w:r w:rsidR="00F65FF9">
        <w:t xml:space="preserve">credit risk, and income and expenses </w:t>
      </w:r>
      <w:r w:rsidR="00A26338">
        <w:t xml:space="preserve">information </w:t>
      </w:r>
      <w:r w:rsidR="00550E63">
        <w:t xml:space="preserve">would only need to be considered </w:t>
      </w:r>
      <w:r w:rsidR="00A26338">
        <w:t xml:space="preserve">against a risk assessment </w:t>
      </w:r>
      <w:r w:rsidR="00F65FF9">
        <w:t xml:space="preserve">where a person is identified as a risky borrower. </w:t>
      </w:r>
    </w:p>
    <w:p w14:paraId="232915FC" w14:textId="6100262A" w:rsidR="00F65FF9" w:rsidRDefault="00F65FF9" w:rsidP="00D94A3C">
      <w:pPr>
        <w:pStyle w:val="Dash"/>
      </w:pPr>
      <w:r>
        <w:t xml:space="preserve">Such </w:t>
      </w:r>
      <w:r w:rsidR="00330A4E">
        <w:t>an</w:t>
      </w:r>
      <w:r>
        <w:t xml:space="preserve"> affordability test </w:t>
      </w:r>
      <w:r w:rsidR="00A26338">
        <w:t xml:space="preserve">would </w:t>
      </w:r>
      <w:r w:rsidR="00550E63">
        <w:t>not include</w:t>
      </w:r>
      <w:r>
        <w:t xml:space="preserve"> </w:t>
      </w:r>
      <w:r w:rsidR="00550E63">
        <w:t>requirements</w:t>
      </w:r>
      <w:r>
        <w:t xml:space="preserve"> to verify a customer’s financial </w:t>
      </w:r>
      <w:r w:rsidR="00550E63">
        <w:t xml:space="preserve">situation or </w:t>
      </w:r>
      <w:r>
        <w:t xml:space="preserve">check </w:t>
      </w:r>
      <w:r w:rsidR="00550E63">
        <w:t>if</w:t>
      </w:r>
      <w:r>
        <w:t xml:space="preserve"> the </w:t>
      </w:r>
      <w:r w:rsidR="00550E63">
        <w:t>provision of credit</w:t>
      </w:r>
      <w:r w:rsidR="00F6615E">
        <w:t xml:space="preserve"> aligns with a</w:t>
      </w:r>
      <w:r w:rsidDel="00F6615E">
        <w:t xml:space="preserve"> </w:t>
      </w:r>
      <w:r>
        <w:t>person’s needs and objectives.</w:t>
      </w:r>
    </w:p>
    <w:p w14:paraId="3485D35E" w14:textId="4B263241" w:rsidR="00AA2D5B" w:rsidRDefault="00D15520" w:rsidP="00D94A3C">
      <w:pPr>
        <w:pStyle w:val="Bullet"/>
      </w:pPr>
      <w:r>
        <w:t>No requirement to</w:t>
      </w:r>
      <w:r w:rsidR="401048E0">
        <w:t xml:space="preserve"> </w:t>
      </w:r>
      <w:r>
        <w:t>obtain and</w:t>
      </w:r>
      <w:r w:rsidR="401048E0">
        <w:t xml:space="preserve"> maintain a</w:t>
      </w:r>
      <w:r w:rsidR="500CB996">
        <w:t>n</w:t>
      </w:r>
      <w:r w:rsidR="401048E0">
        <w:t xml:space="preserve"> Australian Credit </w:t>
      </w:r>
      <w:r w:rsidR="05967E38">
        <w:t>Li</w:t>
      </w:r>
      <w:r w:rsidR="70A7BA80">
        <w:t>c</w:t>
      </w:r>
      <w:r w:rsidR="05967E38">
        <w:t>ence</w:t>
      </w:r>
      <w:r w:rsidR="615393ED">
        <w:t>.</w:t>
      </w:r>
    </w:p>
    <w:p w14:paraId="1E1B4207" w14:textId="7E394073" w:rsidR="000D679C" w:rsidRDefault="4809F7C7" w:rsidP="00D94A3C">
      <w:pPr>
        <w:pStyle w:val="Bullet"/>
      </w:pPr>
      <w:r>
        <w:t>T</w:t>
      </w:r>
      <w:r w:rsidR="2FB968BB">
        <w:t>he BNPL industry</w:t>
      </w:r>
      <w:r w:rsidR="00F168F2">
        <w:t xml:space="preserve"> would</w:t>
      </w:r>
      <w:r w:rsidR="2FB968BB">
        <w:t xml:space="preserve"> </w:t>
      </w:r>
      <w:r w:rsidR="00D15520">
        <w:t>work in</w:t>
      </w:r>
      <w:r w:rsidR="2FB968BB">
        <w:t xml:space="preserve"> consultation with </w:t>
      </w:r>
      <w:r w:rsidR="00F168F2">
        <w:t xml:space="preserve">government </w:t>
      </w:r>
      <w:r w:rsidR="00D15520">
        <w:t>to</w:t>
      </w:r>
      <w:r w:rsidR="2FB968BB">
        <w:t xml:space="preserve"> strengthen </w:t>
      </w:r>
      <w:r w:rsidR="34A8BA61">
        <w:t xml:space="preserve">various </w:t>
      </w:r>
      <w:r w:rsidR="2FB968BB">
        <w:t xml:space="preserve">provisions in the </w:t>
      </w:r>
      <w:r w:rsidR="6DE747AC">
        <w:t>I</w:t>
      </w:r>
      <w:r w:rsidR="2FB968BB">
        <w:t xml:space="preserve">ndustry Code to </w:t>
      </w:r>
      <w:r w:rsidR="00D15520">
        <w:t>ensure</w:t>
      </w:r>
      <w:r w:rsidR="34A8BA61">
        <w:t xml:space="preserve"> higher</w:t>
      </w:r>
      <w:r w:rsidR="2FB968BB">
        <w:t xml:space="preserve"> standard</w:t>
      </w:r>
      <w:r w:rsidR="00D15520">
        <w:t>s</w:t>
      </w:r>
      <w:r w:rsidR="5B5D0DA6">
        <w:t xml:space="preserve"> for BNPL providers</w:t>
      </w:r>
      <w:r w:rsidR="2FB968BB">
        <w:t xml:space="preserve">. </w:t>
      </w:r>
      <w:r w:rsidR="6B6536D4">
        <w:t xml:space="preserve">The </w:t>
      </w:r>
      <w:r w:rsidR="00D15520">
        <w:t xml:space="preserve">strengthening of the </w:t>
      </w:r>
      <w:r w:rsidR="55BF6BF4">
        <w:t>I</w:t>
      </w:r>
      <w:r w:rsidR="73AEDFA2">
        <w:t xml:space="preserve">ndustry Code </w:t>
      </w:r>
      <w:r w:rsidR="00D15520">
        <w:t>should seek to</w:t>
      </w:r>
      <w:r w:rsidR="73AEDFA2">
        <w:t xml:space="preserve"> address any </w:t>
      </w:r>
      <w:r w:rsidR="006A4D04">
        <w:t xml:space="preserve">further </w:t>
      </w:r>
      <w:r w:rsidR="73AEDFA2">
        <w:t>concerns (in addition to existing commitments) relating to:</w:t>
      </w:r>
    </w:p>
    <w:p w14:paraId="16C0B78D" w14:textId="6E659156" w:rsidR="000D679C" w:rsidRDefault="000D679C" w:rsidP="00D94A3C">
      <w:pPr>
        <w:pStyle w:val="Dash"/>
      </w:pPr>
      <w:r>
        <w:t>product disclosure and warning disclosure requirements</w:t>
      </w:r>
      <w:r w:rsidR="009D6C57">
        <w:t>;</w:t>
      </w:r>
    </w:p>
    <w:p w14:paraId="7A4E47C1" w14:textId="322D464A" w:rsidR="000D679C" w:rsidRDefault="000D679C" w:rsidP="00D94A3C">
      <w:pPr>
        <w:pStyle w:val="Dash"/>
      </w:pPr>
      <w:r>
        <w:t>access and standards of dispute resolution and hardship practices</w:t>
      </w:r>
      <w:r w:rsidR="00D66ED4">
        <w:t>;</w:t>
      </w:r>
    </w:p>
    <w:p w14:paraId="2823A569" w14:textId="559089A7" w:rsidR="000D679C" w:rsidRDefault="000D679C" w:rsidP="00D94A3C">
      <w:pPr>
        <w:pStyle w:val="Dash"/>
      </w:pPr>
      <w:r>
        <w:t>e</w:t>
      </w:r>
      <w:r w:rsidRPr="00253713">
        <w:t>xcessive consumer fees and charges, including default fees</w:t>
      </w:r>
      <w:r w:rsidR="00773BAA">
        <w:t>;</w:t>
      </w:r>
      <w:r w:rsidRPr="00253713" w:rsidDel="00253713">
        <w:t xml:space="preserve"> </w:t>
      </w:r>
    </w:p>
    <w:p w14:paraId="7A8D6F01" w14:textId="35F5493F" w:rsidR="000D679C" w:rsidRDefault="000D679C" w:rsidP="00D94A3C">
      <w:pPr>
        <w:pStyle w:val="Dash"/>
      </w:pPr>
      <w:r>
        <w:t xml:space="preserve">refund </w:t>
      </w:r>
      <w:r w:rsidR="00A25ABE">
        <w:t xml:space="preserve">and chargeback </w:t>
      </w:r>
      <w:r>
        <w:t>processes</w:t>
      </w:r>
      <w:r w:rsidR="00773BAA">
        <w:t>;</w:t>
      </w:r>
    </w:p>
    <w:p w14:paraId="1EE86C9B" w14:textId="1E07D832" w:rsidR="000D679C" w:rsidRDefault="000D679C" w:rsidP="00D94A3C">
      <w:pPr>
        <w:pStyle w:val="Dash"/>
      </w:pPr>
      <w:r>
        <w:t>advertising and marketing</w:t>
      </w:r>
      <w:r w:rsidR="00351379">
        <w:t>;</w:t>
      </w:r>
    </w:p>
    <w:p w14:paraId="559B37DF" w14:textId="2DFDB5A1" w:rsidR="000D679C" w:rsidRDefault="000D679C" w:rsidP="00D94A3C">
      <w:pPr>
        <w:pStyle w:val="Dash"/>
      </w:pPr>
      <w:r>
        <w:t>mitigating risks associated with scams</w:t>
      </w:r>
      <w:r w:rsidR="00A25ABE">
        <w:t>, domestic violence, coercive control, and financial abuse</w:t>
      </w:r>
      <w:r w:rsidR="0010208A">
        <w:t>;</w:t>
      </w:r>
      <w:r>
        <w:t xml:space="preserve"> and</w:t>
      </w:r>
    </w:p>
    <w:p w14:paraId="3EBB3D61" w14:textId="77777777" w:rsidR="000D679C" w:rsidRDefault="000D679C" w:rsidP="00D94A3C">
      <w:pPr>
        <w:pStyle w:val="Dash"/>
      </w:pPr>
      <w:r>
        <w:t>ensuring its compliance of these requirements are adequate.</w:t>
      </w:r>
    </w:p>
    <w:p w14:paraId="7A3D2F2C" w14:textId="532FF8C9" w:rsidR="00F65FF9" w:rsidRDefault="5B5D0DA6" w:rsidP="00D94A3C">
      <w:pPr>
        <w:pStyle w:val="Bullet"/>
      </w:pPr>
      <w:r>
        <w:t>C</w:t>
      </w:r>
      <w:r w:rsidR="71122918">
        <w:t xml:space="preserve">ertain provisions in the improved </w:t>
      </w:r>
      <w:r w:rsidR="003D4CDB">
        <w:t>Industry</w:t>
      </w:r>
      <w:r w:rsidR="71122918">
        <w:t xml:space="preserve"> Code </w:t>
      </w:r>
      <w:r w:rsidR="06626160">
        <w:t>c</w:t>
      </w:r>
      <w:r>
        <w:t xml:space="preserve">ould be </w:t>
      </w:r>
      <w:r w:rsidR="2D0022B8">
        <w:t xml:space="preserve">enforceable by ASIC, subject to </w:t>
      </w:r>
      <w:r w:rsidR="054A61DD">
        <w:t xml:space="preserve">the industry body’s application and </w:t>
      </w:r>
      <w:r w:rsidR="2D0022B8">
        <w:t>ASIC’s approval.</w:t>
      </w:r>
      <w:r w:rsidR="71122918">
        <w:t xml:space="preserve"> </w:t>
      </w:r>
      <w:r w:rsidR="45EC5F3C">
        <w:t>The</w:t>
      </w:r>
      <w:r w:rsidR="6B6536D4">
        <w:t xml:space="preserve"> Code </w:t>
      </w:r>
      <w:r w:rsidR="2D0022B8">
        <w:t xml:space="preserve">could </w:t>
      </w:r>
      <w:r w:rsidR="45EC5F3C">
        <w:t xml:space="preserve">also </w:t>
      </w:r>
      <w:r w:rsidR="6B6536D4">
        <w:t xml:space="preserve">be mandated </w:t>
      </w:r>
      <w:r w:rsidR="20DDA4D6">
        <w:t xml:space="preserve">for all </w:t>
      </w:r>
      <w:r>
        <w:t xml:space="preserve">BNPL </w:t>
      </w:r>
      <w:r w:rsidR="20DDA4D6">
        <w:t>provide</w:t>
      </w:r>
      <w:r w:rsidR="6C5BEFDF">
        <w:t>rs</w:t>
      </w:r>
      <w:r w:rsidR="69844646">
        <w:t xml:space="preserve">, however participation in the credit reporting framework would continue to be voluntary. </w:t>
      </w:r>
    </w:p>
    <w:p w14:paraId="27F1D803" w14:textId="5DC77FD8" w:rsidR="00F65FF9" w:rsidRDefault="00DD7C01" w:rsidP="003C712B">
      <w:pPr>
        <w:pStyle w:val="Bullet"/>
        <w:numPr>
          <w:ilvl w:val="0"/>
          <w:numId w:val="16"/>
        </w:numPr>
      </w:pPr>
      <w:r>
        <w:t>The</w:t>
      </w:r>
      <w:r w:rsidR="00F65FF9">
        <w:t xml:space="preserve"> revised </w:t>
      </w:r>
      <w:r w:rsidR="004356EE">
        <w:t>I</w:t>
      </w:r>
      <w:r w:rsidR="00F65FF9">
        <w:t xml:space="preserve">ndustry Code </w:t>
      </w:r>
      <w:r>
        <w:t xml:space="preserve">would </w:t>
      </w:r>
      <w:r w:rsidR="00F8506B">
        <w:t>supplement</w:t>
      </w:r>
      <w:r w:rsidR="00F65FF9">
        <w:t xml:space="preserve"> </w:t>
      </w:r>
      <w:r w:rsidR="000D679C">
        <w:t>but not override</w:t>
      </w:r>
      <w:r w:rsidR="00F65FF9">
        <w:t xml:space="preserve"> the bespoke affordability checks</w:t>
      </w:r>
      <w:r>
        <w:t xml:space="preserve"> </w:t>
      </w:r>
      <w:r w:rsidR="004356EE">
        <w:t xml:space="preserve">that would be </w:t>
      </w:r>
      <w:r>
        <w:t>specified in the Credit Act</w:t>
      </w:r>
      <w:r w:rsidR="00615823">
        <w:t xml:space="preserve">. ASIC would </w:t>
      </w:r>
      <w:r w:rsidR="000D679C">
        <w:t xml:space="preserve">be able to </w:t>
      </w:r>
      <w:r w:rsidR="00615823">
        <w:t xml:space="preserve">issue </w:t>
      </w:r>
      <w:r w:rsidR="00FF0893">
        <w:t>regulatory</w:t>
      </w:r>
      <w:r w:rsidR="00615823">
        <w:t xml:space="preserve"> guidance on the interpretation of the statutory obligations</w:t>
      </w:r>
      <w:r w:rsidR="00F65FF9">
        <w:t>.</w:t>
      </w:r>
      <w:r w:rsidR="00203B0E">
        <w:t xml:space="preserve"> </w:t>
      </w:r>
    </w:p>
    <w:p w14:paraId="139B7626" w14:textId="11C07078" w:rsidR="00FB7E9D" w:rsidRDefault="00FB7E9D">
      <w:pPr>
        <w:spacing w:before="0" w:after="160" w:line="259" w:lineRule="auto"/>
      </w:pPr>
    </w:p>
    <w:p w14:paraId="1EA75B2D" w14:textId="77777777" w:rsidR="00C654E0" w:rsidRDefault="00C654E0">
      <w:pPr>
        <w:spacing w:before="0" w:after="160" w:line="259" w:lineRule="auto"/>
      </w:pPr>
      <w:r>
        <w:br w:type="page"/>
      </w:r>
    </w:p>
    <w:p w14:paraId="7129BA9B" w14:textId="6B53E3EF" w:rsidR="00B15943" w:rsidRPr="008142B2" w:rsidRDefault="00B15943" w:rsidP="008142B2">
      <w:pPr>
        <w:pStyle w:val="Heading3"/>
      </w:pPr>
      <w:bookmarkStart w:id="24" w:name="_Toc119916361"/>
      <w:r w:rsidRPr="008142B2">
        <w:lastRenderedPageBreak/>
        <w:t xml:space="preserve">Option </w:t>
      </w:r>
      <w:r w:rsidR="00F65FF9">
        <w:t>2</w:t>
      </w:r>
      <w:r w:rsidRPr="008142B2">
        <w:t xml:space="preserve">: </w:t>
      </w:r>
      <w:r w:rsidR="00FF0893">
        <w:t>Limited BNPL</w:t>
      </w:r>
      <w:r w:rsidR="00FF0893" w:rsidRPr="008142B2">
        <w:t xml:space="preserve"> </w:t>
      </w:r>
      <w:r w:rsidRPr="008142B2">
        <w:t xml:space="preserve">regulation under the Credit Act, including </w:t>
      </w:r>
      <w:r w:rsidR="00C83EF7" w:rsidRPr="008142B2">
        <w:t>licensing and scalable</w:t>
      </w:r>
      <w:r w:rsidRPr="008142B2">
        <w:t xml:space="preserve"> unsuitability test</w:t>
      </w:r>
      <w:bookmarkEnd w:id="24"/>
    </w:p>
    <w:p w14:paraId="1F102E5D" w14:textId="752A2A98" w:rsidR="00A7338C" w:rsidRDefault="00960E28" w:rsidP="00A95EA7">
      <w:pPr>
        <w:spacing w:line="276" w:lineRule="auto"/>
      </w:pPr>
      <w:r>
        <w:t xml:space="preserve">This option proposes to bring BNPL </w:t>
      </w:r>
      <w:r w:rsidR="000E4735">
        <w:t xml:space="preserve">within </w:t>
      </w:r>
      <w:r>
        <w:t xml:space="preserve">the </w:t>
      </w:r>
      <w:r w:rsidR="00D176FD">
        <w:t>Credit Act</w:t>
      </w:r>
      <w:r w:rsidR="000E4735">
        <w:t>’s application</w:t>
      </w:r>
      <w:r w:rsidR="00D176FD">
        <w:t xml:space="preserve"> </w:t>
      </w:r>
      <w:r w:rsidR="00343BDE">
        <w:t>to</w:t>
      </w:r>
      <w:r w:rsidR="00D176FD">
        <w:t xml:space="preserve"> apply a tailored version of the </w:t>
      </w:r>
      <w:r w:rsidR="00386982">
        <w:t xml:space="preserve">RLOs </w:t>
      </w:r>
      <w:r w:rsidR="00D176FD">
        <w:t xml:space="preserve">to BNPL products. </w:t>
      </w:r>
      <w:r w:rsidR="00A31BB2">
        <w:t xml:space="preserve">This proposal </w:t>
      </w:r>
      <w:r w:rsidR="006A477F">
        <w:t xml:space="preserve">could </w:t>
      </w:r>
      <w:r w:rsidR="00A31BB2">
        <w:t xml:space="preserve">be supplemented </w:t>
      </w:r>
      <w:r w:rsidR="00EA5331">
        <w:t xml:space="preserve">by a strengthened Industry Code. </w:t>
      </w:r>
      <w:r w:rsidR="006906B3">
        <w:br/>
      </w:r>
      <w:r w:rsidR="00D176FD">
        <w:t xml:space="preserve">Key features of the proposal include: </w:t>
      </w:r>
    </w:p>
    <w:p w14:paraId="1D1E07A4" w14:textId="5C2D1740" w:rsidR="00854C1F" w:rsidRDefault="00D176FD" w:rsidP="005C4BE1">
      <w:pPr>
        <w:pStyle w:val="Bullet"/>
        <w:numPr>
          <w:ilvl w:val="0"/>
          <w:numId w:val="16"/>
        </w:numPr>
      </w:pPr>
      <w:r>
        <w:t>Amending the</w:t>
      </w:r>
      <w:r w:rsidR="00B15943">
        <w:t xml:space="preserve"> Credit Act to </w:t>
      </w:r>
      <w:r w:rsidR="008C2278">
        <w:t xml:space="preserve">require </w:t>
      </w:r>
      <w:r w:rsidR="00B15943">
        <w:t xml:space="preserve">BNPL </w:t>
      </w:r>
      <w:r w:rsidR="008C2278">
        <w:t xml:space="preserve">providers to hold an </w:t>
      </w:r>
      <w:r>
        <w:t>A</w:t>
      </w:r>
      <w:r w:rsidR="006A477F">
        <w:t xml:space="preserve">ustralian </w:t>
      </w:r>
      <w:r>
        <w:t>C</w:t>
      </w:r>
      <w:r w:rsidR="006A477F">
        <w:t xml:space="preserve">redit </w:t>
      </w:r>
      <w:r>
        <w:t>L</w:t>
      </w:r>
      <w:r w:rsidR="006A477F">
        <w:t>icen</w:t>
      </w:r>
      <w:r w:rsidR="006321F7">
        <w:t>c</w:t>
      </w:r>
      <w:r w:rsidR="006A477F">
        <w:t>e,</w:t>
      </w:r>
      <w:r w:rsidR="00C83EF7">
        <w:t xml:space="preserve"> </w:t>
      </w:r>
      <w:r w:rsidR="002C604F">
        <w:t xml:space="preserve">or be a representative of a licensee, </w:t>
      </w:r>
      <w:r w:rsidR="00CD7A69">
        <w:t xml:space="preserve">with </w:t>
      </w:r>
      <w:r w:rsidR="00514A40">
        <w:t>a requirement</w:t>
      </w:r>
      <w:r w:rsidR="00CD7A69">
        <w:t xml:space="preserve"> to</w:t>
      </w:r>
      <w:r w:rsidR="000241EC">
        <w:t xml:space="preserve"> comply with most general obligations of a licensee, including:</w:t>
      </w:r>
    </w:p>
    <w:p w14:paraId="2F26F764" w14:textId="4EACC19A" w:rsidR="00721F42" w:rsidRDefault="000241EC" w:rsidP="00831B66">
      <w:pPr>
        <w:pStyle w:val="Dash"/>
      </w:pPr>
      <w:r>
        <w:t>Internal and external dispute resolution, hardship provisions, compensation arrangements</w:t>
      </w:r>
      <w:r w:rsidR="00B849EC">
        <w:t>, fee caps and marketing rules</w:t>
      </w:r>
      <w:r w:rsidR="00D45F52">
        <w:t>.</w:t>
      </w:r>
    </w:p>
    <w:p w14:paraId="77F93BCA" w14:textId="0871FABF" w:rsidR="000241EC" w:rsidRDefault="0013668C" w:rsidP="00831B66">
      <w:pPr>
        <w:pStyle w:val="Dash"/>
        <w:numPr>
          <w:ilvl w:val="1"/>
          <w:numId w:val="16"/>
        </w:numPr>
        <w:spacing w:line="276" w:lineRule="auto"/>
      </w:pPr>
      <w:r>
        <w:t xml:space="preserve">The provisions could be calibrated </w:t>
      </w:r>
      <w:r w:rsidR="000241EC">
        <w:t>to the level of risk of BNPL products and services. This could include exemption</w:t>
      </w:r>
      <w:r w:rsidR="00B849EC">
        <w:t>s</w:t>
      </w:r>
      <w:r w:rsidR="000241EC">
        <w:t xml:space="preserve"> from reference checking, and other obligations that do not relate to issues identified in the BNPL business practices</w:t>
      </w:r>
      <w:r w:rsidR="00564757">
        <w:t>.</w:t>
      </w:r>
    </w:p>
    <w:p w14:paraId="5123E398" w14:textId="5CCEE562" w:rsidR="006A477F" w:rsidRDefault="00DB0AEA" w:rsidP="00A95EA7">
      <w:pPr>
        <w:pStyle w:val="Dash"/>
        <w:numPr>
          <w:ilvl w:val="0"/>
          <w:numId w:val="16"/>
        </w:numPr>
        <w:spacing w:line="276" w:lineRule="auto"/>
      </w:pPr>
      <w:r>
        <w:t>T</w:t>
      </w:r>
      <w:r w:rsidR="006A477F">
        <w:t>his option would not require merchants who offer BNPL products to consumers to be an authorised credit representative of the BNPL provider.</w:t>
      </w:r>
    </w:p>
    <w:p w14:paraId="7679913B" w14:textId="11178258" w:rsidR="00296A8D" w:rsidRPr="00D94A3C" w:rsidRDefault="00296A8D" w:rsidP="005C4BE1">
      <w:pPr>
        <w:pStyle w:val="Bullet"/>
        <w:numPr>
          <w:ilvl w:val="0"/>
          <w:numId w:val="16"/>
        </w:numPr>
      </w:pPr>
      <w:r w:rsidRPr="00D94A3C">
        <w:t xml:space="preserve">As a licensee, BNPL providers will be able to engage more </w:t>
      </w:r>
      <w:r w:rsidR="00EE1418">
        <w:t>meaningfully</w:t>
      </w:r>
      <w:r w:rsidR="009B2846" w:rsidRPr="00D94A3C">
        <w:t xml:space="preserve"> </w:t>
      </w:r>
      <w:r w:rsidRPr="00D94A3C">
        <w:t xml:space="preserve">with the existing credit reporting regime under the </w:t>
      </w:r>
      <w:r w:rsidRPr="00D94A3C">
        <w:rPr>
          <w:i/>
        </w:rPr>
        <w:t xml:space="preserve">Privacy Act </w:t>
      </w:r>
      <w:r w:rsidRPr="00D94A3C">
        <w:rPr>
          <w:i/>
          <w:iCs/>
        </w:rPr>
        <w:t>1988</w:t>
      </w:r>
      <w:r w:rsidRPr="00D94A3C">
        <w:t>, including repayment history information and hardship information in accordance with the Principle</w:t>
      </w:r>
      <w:r w:rsidR="00D97220">
        <w:t>s</w:t>
      </w:r>
      <w:r w:rsidRPr="00D94A3C">
        <w:t xml:space="preserve"> of Reciprocity and Data Exchange.</w:t>
      </w:r>
    </w:p>
    <w:p w14:paraId="30C581DC" w14:textId="400B2EDF" w:rsidR="00296A8D" w:rsidRPr="00D94A3C" w:rsidRDefault="00B25881" w:rsidP="00A95EA7">
      <w:pPr>
        <w:pStyle w:val="Dash"/>
        <w:spacing w:line="276" w:lineRule="auto"/>
      </w:pPr>
      <w:r>
        <w:t>Participation in the comprehensive credit reporting framework would continue to be voluntary</w:t>
      </w:r>
      <w:r w:rsidR="00296A8D" w:rsidRPr="00D94A3C">
        <w:t xml:space="preserve"> unless the provider is </w:t>
      </w:r>
      <w:r w:rsidR="00D97220">
        <w:t>a big ban</w:t>
      </w:r>
      <w:r w:rsidR="001D06D1">
        <w:t>k</w:t>
      </w:r>
      <w:r w:rsidR="00296A8D" w:rsidRPr="00D94A3C">
        <w:t xml:space="preserve">. </w:t>
      </w:r>
    </w:p>
    <w:p w14:paraId="5C2D1A02" w14:textId="3CD2DB2A" w:rsidR="00B15943" w:rsidRDefault="00B15943" w:rsidP="005C4BE1">
      <w:pPr>
        <w:pStyle w:val="Bullet"/>
        <w:numPr>
          <w:ilvl w:val="0"/>
          <w:numId w:val="16"/>
        </w:numPr>
      </w:pPr>
      <w:r>
        <w:t xml:space="preserve">BNPL providers </w:t>
      </w:r>
      <w:r w:rsidR="00B0139A">
        <w:t xml:space="preserve">would </w:t>
      </w:r>
      <w:r>
        <w:t>be required to assess that a BNPL credit is not unsuitable for a person</w:t>
      </w:r>
      <w:r w:rsidR="00D82CA4">
        <w:t>,</w:t>
      </w:r>
      <w:r>
        <w:t xml:space="preserve"> </w:t>
      </w:r>
      <w:r w:rsidR="003367B1">
        <w:t>similar to the existing</w:t>
      </w:r>
      <w:r>
        <w:t xml:space="preserve"> RLO framework</w:t>
      </w:r>
      <w:r w:rsidR="003367B1">
        <w:t xml:space="preserve">, scaled </w:t>
      </w:r>
      <w:r w:rsidR="00C206EC">
        <w:t xml:space="preserve">to the level of risk of the BNPL product or service. </w:t>
      </w:r>
    </w:p>
    <w:p w14:paraId="494BADFF" w14:textId="7FB61846" w:rsidR="00B15943" w:rsidRDefault="00B15943" w:rsidP="00A95EA7">
      <w:pPr>
        <w:pStyle w:val="Dash"/>
        <w:spacing w:line="276" w:lineRule="auto"/>
      </w:pPr>
      <w:r>
        <w:t>This may include removing some prescriptive requirements, such as verifying a person’s financial documentation and checking that the BNPL credit aligns with the person’s needs and objectives</w:t>
      </w:r>
      <w:r w:rsidR="00D45F52">
        <w:t>.</w:t>
      </w:r>
    </w:p>
    <w:p w14:paraId="41D074B9" w14:textId="2744E2C2" w:rsidR="00F957EE" w:rsidRDefault="00766CC2" w:rsidP="005C4BE1">
      <w:pPr>
        <w:pStyle w:val="Bullet"/>
        <w:numPr>
          <w:ilvl w:val="0"/>
          <w:numId w:val="16"/>
        </w:numPr>
      </w:pPr>
      <w:r>
        <w:t xml:space="preserve">BNPL providers would be prohibited from </w:t>
      </w:r>
      <w:r w:rsidR="00F957EE">
        <w:t xml:space="preserve">increasing a </w:t>
      </w:r>
      <w:r w:rsidR="00711647">
        <w:t>consumer</w:t>
      </w:r>
      <w:r w:rsidR="00F957EE">
        <w:t xml:space="preserve">’s spending limit without explicit instructions from the </w:t>
      </w:r>
      <w:r w:rsidR="00711647">
        <w:t>consumer</w:t>
      </w:r>
      <w:r w:rsidR="00F957EE">
        <w:t>.</w:t>
      </w:r>
    </w:p>
    <w:p w14:paraId="68E80CB3" w14:textId="4F39E38A" w:rsidR="00B15943" w:rsidRDefault="00C935BD" w:rsidP="00A01682">
      <w:pPr>
        <w:pStyle w:val="Bullet"/>
        <w:numPr>
          <w:ilvl w:val="0"/>
          <w:numId w:val="16"/>
        </w:numPr>
      </w:pPr>
      <w:r>
        <w:t>Fee</w:t>
      </w:r>
      <w:r w:rsidR="00B15943">
        <w:t xml:space="preserve"> </w:t>
      </w:r>
      <w:r w:rsidR="00AD6219">
        <w:t>caps</w:t>
      </w:r>
      <w:r w:rsidR="00B15943">
        <w:t xml:space="preserve"> </w:t>
      </w:r>
      <w:r>
        <w:t>for</w:t>
      </w:r>
      <w:r w:rsidR="00B15943">
        <w:t xml:space="preserve"> </w:t>
      </w:r>
      <w:r w:rsidR="00143ADF">
        <w:t>charges</w:t>
      </w:r>
      <w:r w:rsidR="00A17B42">
        <w:t xml:space="preserve"> relating to</w:t>
      </w:r>
      <w:r w:rsidR="00B15943">
        <w:t xml:space="preserve"> missed</w:t>
      </w:r>
      <w:r>
        <w:t xml:space="preserve"> or late</w:t>
      </w:r>
      <w:r w:rsidR="00B15943">
        <w:t xml:space="preserve"> payment</w:t>
      </w:r>
      <w:r w:rsidR="00143ADF">
        <w:t>s</w:t>
      </w:r>
      <w:r w:rsidR="00B15943">
        <w:t xml:space="preserve"> </w:t>
      </w:r>
      <w:r w:rsidR="00141FFC">
        <w:t xml:space="preserve">would be required, </w:t>
      </w:r>
      <w:r>
        <w:t xml:space="preserve">combined with </w:t>
      </w:r>
      <w:r w:rsidR="009070EE">
        <w:t xml:space="preserve">additional </w:t>
      </w:r>
      <w:r w:rsidR="00D07674">
        <w:t xml:space="preserve">warning and </w:t>
      </w:r>
      <w:r>
        <w:t>disclosure requirements</w:t>
      </w:r>
      <w:r w:rsidR="00B15943">
        <w:t xml:space="preserve">. </w:t>
      </w:r>
    </w:p>
    <w:p w14:paraId="01FB9DFE" w14:textId="2D06E82F" w:rsidR="00B15943" w:rsidRPr="00B36C42" w:rsidRDefault="00345392" w:rsidP="008144F7">
      <w:pPr>
        <w:pStyle w:val="Bullet"/>
        <w:numPr>
          <w:ilvl w:val="0"/>
          <w:numId w:val="16"/>
        </w:numPr>
      </w:pPr>
      <w:r>
        <w:t>These legislative amendments would be supplemented by t</w:t>
      </w:r>
      <w:r w:rsidR="00EA5331">
        <w:t xml:space="preserve">he </w:t>
      </w:r>
      <w:r w:rsidR="00443052">
        <w:t>s</w:t>
      </w:r>
      <w:r w:rsidR="00EA5331">
        <w:t xml:space="preserve">trengthened Industry Code </w:t>
      </w:r>
      <w:r w:rsidR="00B35317">
        <w:t xml:space="preserve">similar to that as </w:t>
      </w:r>
      <w:r w:rsidR="0034420F">
        <w:t>described in Option</w:t>
      </w:r>
      <w:r w:rsidR="00443052">
        <w:t xml:space="preserve"> 1</w:t>
      </w:r>
      <w:r w:rsidR="0034420F">
        <w:t xml:space="preserve">, </w:t>
      </w:r>
      <w:r w:rsidR="005B5096">
        <w:t xml:space="preserve">with parts of the Code enforceable by ASIC (subject to ASIC’s approval). </w:t>
      </w:r>
    </w:p>
    <w:p w14:paraId="2542A19E" w14:textId="282E9476" w:rsidR="001D06D1" w:rsidDel="006A477F" w:rsidRDefault="00BD3EEA" w:rsidP="00D94A3C">
      <w:pPr>
        <w:pStyle w:val="Bullet"/>
        <w:numPr>
          <w:ilvl w:val="0"/>
          <w:numId w:val="16"/>
        </w:numPr>
      </w:pPr>
      <w:r>
        <w:t>T</w:t>
      </w:r>
      <w:r w:rsidR="001D06D1" w:rsidDel="006A477F">
        <w:t>his option would not require merchants who offer BNPL products to consumers to be an authorised credit representative of the BNPL provider.</w:t>
      </w:r>
    </w:p>
    <w:p w14:paraId="53AEF5D8" w14:textId="77777777" w:rsidR="001162E3" w:rsidRPr="009A2C99" w:rsidRDefault="001162E3" w:rsidP="00D94A3C"/>
    <w:p w14:paraId="415D7138" w14:textId="35E8C483" w:rsidR="003A4EF2" w:rsidRPr="00805185" w:rsidRDefault="00C07F3E" w:rsidP="008142B2">
      <w:pPr>
        <w:pStyle w:val="Heading3"/>
      </w:pPr>
      <w:r>
        <w:br w:type="column"/>
      </w:r>
      <w:bookmarkStart w:id="25" w:name="_Toc119916362"/>
      <w:r w:rsidR="003A4EF2" w:rsidRPr="00805185">
        <w:lastRenderedPageBreak/>
        <w:t xml:space="preserve">Option </w:t>
      </w:r>
      <w:r w:rsidR="00B36C42" w:rsidRPr="00805185">
        <w:t>3</w:t>
      </w:r>
      <w:r w:rsidR="003A4EF2" w:rsidRPr="00805185">
        <w:t xml:space="preserve">: </w:t>
      </w:r>
      <w:r w:rsidR="004016B8" w:rsidRPr="00805185">
        <w:t>R</w:t>
      </w:r>
      <w:r w:rsidR="00FC11E8" w:rsidRPr="00805185">
        <w:t xml:space="preserve">egulation of </w:t>
      </w:r>
      <w:r w:rsidR="003A4EF2" w:rsidRPr="00805185">
        <w:t>BNPL under the Credit Act</w:t>
      </w:r>
      <w:bookmarkEnd w:id="25"/>
      <w:r w:rsidR="00D46D76" w:rsidRPr="00805185">
        <w:t xml:space="preserve"> </w:t>
      </w:r>
    </w:p>
    <w:p w14:paraId="7F09CB59" w14:textId="5868AB1B" w:rsidR="00C53985" w:rsidRDefault="00DA2BDF" w:rsidP="00A95EA7">
      <w:pPr>
        <w:spacing w:line="276" w:lineRule="auto"/>
        <w:rPr>
          <w:highlight w:val="magenta"/>
        </w:rPr>
      </w:pPr>
      <w:r w:rsidRPr="00D94A3C">
        <w:t xml:space="preserve">This option </w:t>
      </w:r>
      <w:r w:rsidR="00BF6462" w:rsidRPr="00D94A3C">
        <w:t>would treat BNPL products similarly to other</w:t>
      </w:r>
      <w:r w:rsidR="00787639" w:rsidRPr="00D94A3C">
        <w:t xml:space="preserve"> </w:t>
      </w:r>
      <w:r w:rsidR="008D6F2E">
        <w:t xml:space="preserve">credit products regulated under the </w:t>
      </w:r>
      <w:r w:rsidR="00787639" w:rsidRPr="00D94A3C">
        <w:t>Credi</w:t>
      </w:r>
      <w:r w:rsidR="00DD6759" w:rsidRPr="00D94A3C">
        <w:t>t Act</w:t>
      </w:r>
      <w:r w:rsidR="008D6F2E">
        <w:t>, and require BNPL providers to comply with regulations,</w:t>
      </w:r>
      <w:r w:rsidR="00E12DE7">
        <w:t xml:space="preserve"> such as the </w:t>
      </w:r>
      <w:r w:rsidR="00386982">
        <w:t>RLOs</w:t>
      </w:r>
      <w:r w:rsidR="005E225A">
        <w:t>.</w:t>
      </w:r>
      <w:r w:rsidR="00E12DE7">
        <w:t xml:space="preserve"> Key features of the proposal include: </w:t>
      </w:r>
    </w:p>
    <w:p w14:paraId="1C252F01" w14:textId="32C473EC" w:rsidR="00E23CBF" w:rsidRPr="00E12DE7" w:rsidRDefault="00E12DE7" w:rsidP="005C4BE1">
      <w:pPr>
        <w:pStyle w:val="Bullet"/>
        <w:numPr>
          <w:ilvl w:val="0"/>
          <w:numId w:val="16"/>
        </w:numPr>
      </w:pPr>
      <w:r w:rsidRPr="00D94A3C">
        <w:t>Amending t</w:t>
      </w:r>
      <w:r w:rsidR="00201711" w:rsidRPr="00E12DE7">
        <w:t xml:space="preserve">he Credit Act to </w:t>
      </w:r>
      <w:r w:rsidR="00554C01" w:rsidRPr="00E12DE7">
        <w:t xml:space="preserve">regulate </w:t>
      </w:r>
      <w:r w:rsidR="00B32D44" w:rsidRPr="00E12DE7">
        <w:t>BNPL products and services</w:t>
      </w:r>
      <w:r w:rsidR="00554C01" w:rsidRPr="00E12DE7">
        <w:t>.</w:t>
      </w:r>
      <w:r w:rsidR="00B32D44" w:rsidRPr="00E12DE7">
        <w:t xml:space="preserve"> </w:t>
      </w:r>
      <w:r w:rsidR="00554C01" w:rsidRPr="00E12DE7">
        <w:t>A</w:t>
      </w:r>
      <w:r w:rsidR="00B32D44" w:rsidRPr="00E12DE7">
        <w:t xml:space="preserve">ccordingly, </w:t>
      </w:r>
      <w:r w:rsidR="00E23CBF" w:rsidRPr="00E12DE7">
        <w:t xml:space="preserve">BNPL </w:t>
      </w:r>
      <w:r w:rsidR="00B32D44" w:rsidRPr="00E12DE7">
        <w:t xml:space="preserve">providers </w:t>
      </w:r>
      <w:r w:rsidR="00DD16F3">
        <w:t>would</w:t>
      </w:r>
      <w:r w:rsidR="00DD16F3" w:rsidRPr="00E12DE7">
        <w:t xml:space="preserve"> </w:t>
      </w:r>
      <w:r w:rsidR="00B32D44" w:rsidRPr="00E12DE7">
        <w:t>be</w:t>
      </w:r>
      <w:r w:rsidR="00E23CBF" w:rsidRPr="00E12DE7">
        <w:t xml:space="preserve"> required to hold an Australia</w:t>
      </w:r>
      <w:r w:rsidR="006A477F">
        <w:t>n</w:t>
      </w:r>
      <w:r w:rsidR="00E23CBF" w:rsidRPr="00E12DE7">
        <w:t xml:space="preserve"> </w:t>
      </w:r>
      <w:r w:rsidR="006A477F">
        <w:t>C</w:t>
      </w:r>
      <w:r w:rsidR="00E23CBF" w:rsidRPr="00E12DE7">
        <w:t xml:space="preserve">redit </w:t>
      </w:r>
      <w:r w:rsidR="006A477F">
        <w:t>L</w:t>
      </w:r>
      <w:r w:rsidR="00E23CBF" w:rsidRPr="00E12DE7">
        <w:t>icence or be an authorised representative of one</w:t>
      </w:r>
      <w:r w:rsidR="00554C01" w:rsidRPr="00E12DE7">
        <w:t>.</w:t>
      </w:r>
    </w:p>
    <w:p w14:paraId="512BEA78" w14:textId="35A001CC" w:rsidR="00260E6D" w:rsidRPr="00683D9A" w:rsidRDefault="00260E6D" w:rsidP="00A95EA7">
      <w:pPr>
        <w:pStyle w:val="Dash"/>
        <w:numPr>
          <w:ilvl w:val="1"/>
          <w:numId w:val="16"/>
        </w:numPr>
        <w:spacing w:line="276" w:lineRule="auto"/>
      </w:pPr>
      <w:r w:rsidRPr="00683D9A">
        <w:t xml:space="preserve">BNPL providers </w:t>
      </w:r>
      <w:r w:rsidR="007030C0">
        <w:t>would</w:t>
      </w:r>
      <w:r w:rsidR="007030C0" w:rsidRPr="00683D9A">
        <w:t xml:space="preserve"> </w:t>
      </w:r>
      <w:r w:rsidRPr="00683D9A">
        <w:t xml:space="preserve">be required to check and satisfy themselves that a BNPL is not unsuitable for a person in accordance with </w:t>
      </w:r>
      <w:r w:rsidR="00386982">
        <w:t>RLOs</w:t>
      </w:r>
      <w:r w:rsidRPr="00683D9A">
        <w:t>.</w:t>
      </w:r>
    </w:p>
    <w:p w14:paraId="2C833A80" w14:textId="09247364" w:rsidR="00E23CBF" w:rsidRPr="00896050" w:rsidRDefault="00612B29" w:rsidP="005C4BE1">
      <w:pPr>
        <w:pStyle w:val="Bullet"/>
        <w:numPr>
          <w:ilvl w:val="0"/>
          <w:numId w:val="16"/>
        </w:numPr>
      </w:pPr>
      <w:r>
        <w:t xml:space="preserve">As a licensee, </w:t>
      </w:r>
      <w:r w:rsidR="00E23CBF" w:rsidRPr="00896050">
        <w:t xml:space="preserve">BNPL providers </w:t>
      </w:r>
      <w:r w:rsidR="00260E6D" w:rsidRPr="00896050">
        <w:t xml:space="preserve">would </w:t>
      </w:r>
      <w:r w:rsidR="0061149C" w:rsidRPr="00D94A3C">
        <w:t xml:space="preserve">need </w:t>
      </w:r>
      <w:r w:rsidR="00354661">
        <w:t>to</w:t>
      </w:r>
      <w:r w:rsidR="0061149C" w:rsidRPr="00D94A3C">
        <w:t xml:space="preserve"> </w:t>
      </w:r>
      <w:r w:rsidR="00E23CBF" w:rsidRPr="00896050">
        <w:t xml:space="preserve">comply with all licensee obligations, including </w:t>
      </w:r>
      <w:r w:rsidR="0060295C">
        <w:t xml:space="preserve">the </w:t>
      </w:r>
      <w:r>
        <w:t>reportable situation</w:t>
      </w:r>
      <w:r w:rsidR="004875C9">
        <w:t>s</w:t>
      </w:r>
      <w:r>
        <w:t xml:space="preserve"> regime</w:t>
      </w:r>
      <w:r w:rsidR="00E23CBF" w:rsidRPr="00896050">
        <w:t xml:space="preserve">, internal and external dispute resolution, compensation </w:t>
      </w:r>
      <w:r w:rsidR="00C10163">
        <w:t>arrangements</w:t>
      </w:r>
      <w:r w:rsidR="00E23CBF" w:rsidRPr="00896050">
        <w:t>,</w:t>
      </w:r>
      <w:r w:rsidR="008D6F2E">
        <w:t xml:space="preserve"> </w:t>
      </w:r>
      <w:r w:rsidR="00E23CBF" w:rsidRPr="00896050">
        <w:t xml:space="preserve">ASIC reporting obligations, </w:t>
      </w:r>
      <w:r w:rsidR="00260E6D" w:rsidRPr="00896050">
        <w:t>as well as</w:t>
      </w:r>
      <w:r w:rsidR="00E23CBF" w:rsidRPr="00896050">
        <w:t xml:space="preserve"> Credit Act requirements</w:t>
      </w:r>
      <w:r w:rsidR="008A039B">
        <w:t xml:space="preserve"> including </w:t>
      </w:r>
      <w:r w:rsidR="00260E6D" w:rsidRPr="00896050">
        <w:t>information sharing</w:t>
      </w:r>
      <w:r w:rsidR="00C10163">
        <w:t>,</w:t>
      </w:r>
      <w:r w:rsidR="00E23CBF" w:rsidRPr="00896050">
        <w:t xml:space="preserve"> warnings, and hardship provisions</w:t>
      </w:r>
      <w:r w:rsidR="00260E6D" w:rsidRPr="00896050">
        <w:t>.</w:t>
      </w:r>
    </w:p>
    <w:p w14:paraId="581E4DBF" w14:textId="63E6BE97" w:rsidR="002E4125" w:rsidRPr="00AE7DAD" w:rsidRDefault="00631BB4" w:rsidP="00A95EA7">
      <w:pPr>
        <w:pStyle w:val="Dash"/>
        <w:numPr>
          <w:ilvl w:val="1"/>
          <w:numId w:val="16"/>
        </w:numPr>
        <w:spacing w:line="276" w:lineRule="auto"/>
      </w:pPr>
      <w:r>
        <w:t xml:space="preserve">We do not expect </w:t>
      </w:r>
      <w:r w:rsidR="002E4125" w:rsidRPr="00AE7DAD">
        <w:t xml:space="preserve">this option </w:t>
      </w:r>
      <w:r w:rsidR="00877B92">
        <w:t>would</w:t>
      </w:r>
      <w:r w:rsidR="00877B92" w:rsidRPr="00AE7DAD">
        <w:t xml:space="preserve"> </w:t>
      </w:r>
      <w:r w:rsidR="002E4125" w:rsidRPr="00AE7DAD">
        <w:t xml:space="preserve">require merchants who offer BNPL products to be an authorised credit representative. </w:t>
      </w:r>
    </w:p>
    <w:p w14:paraId="047B42F8" w14:textId="262A8531" w:rsidR="004016B8" w:rsidRDefault="005757F7" w:rsidP="005C4BE1">
      <w:pPr>
        <w:pStyle w:val="Bullet"/>
        <w:numPr>
          <w:ilvl w:val="0"/>
          <w:numId w:val="16"/>
        </w:numPr>
      </w:pPr>
      <w:r>
        <w:t>A requirement that</w:t>
      </w:r>
      <w:r w:rsidR="004016B8" w:rsidRPr="00C10163">
        <w:t xml:space="preserve"> BNPL providers </w:t>
      </w:r>
      <w:r w:rsidR="003777AE">
        <w:t>would</w:t>
      </w:r>
      <w:r w:rsidR="003777AE" w:rsidRPr="00C10163">
        <w:t xml:space="preserve"> </w:t>
      </w:r>
      <w:r w:rsidR="00305635">
        <w:t>need</w:t>
      </w:r>
      <w:r w:rsidR="004016B8" w:rsidRPr="00C10163">
        <w:t xml:space="preserve"> to allow consumers to set their own spending limit</w:t>
      </w:r>
      <w:r w:rsidR="00F74AF9">
        <w:t xml:space="preserve"> and </w:t>
      </w:r>
      <w:r>
        <w:t>a</w:t>
      </w:r>
      <w:r w:rsidR="004016B8" w:rsidRPr="00C10163">
        <w:t xml:space="preserve"> </w:t>
      </w:r>
      <w:r w:rsidRPr="00C10163">
        <w:t>prohibit</w:t>
      </w:r>
      <w:r>
        <w:t>ion</w:t>
      </w:r>
      <w:r w:rsidRPr="00C10163">
        <w:t xml:space="preserve"> </w:t>
      </w:r>
      <w:r w:rsidR="004016B8" w:rsidRPr="00C10163">
        <w:t xml:space="preserve">from increasing a </w:t>
      </w:r>
      <w:r w:rsidR="00FE2C8F">
        <w:t>consumer</w:t>
      </w:r>
      <w:r w:rsidR="004016B8" w:rsidRPr="00C10163">
        <w:t>’s spending limit</w:t>
      </w:r>
      <w:r w:rsidR="00F957EE" w:rsidRPr="00C10163">
        <w:t xml:space="preserve"> without </w:t>
      </w:r>
      <w:r w:rsidR="00FE2C8F">
        <w:t>the</w:t>
      </w:r>
      <w:r>
        <w:t xml:space="preserve">ir </w:t>
      </w:r>
      <w:r w:rsidR="00FE2C8F">
        <w:t>permission</w:t>
      </w:r>
      <w:r>
        <w:t>.</w:t>
      </w:r>
    </w:p>
    <w:p w14:paraId="77D9B06D" w14:textId="48447693" w:rsidR="00D45F52" w:rsidRPr="00C10163" w:rsidRDefault="00D45F52" w:rsidP="00A01682">
      <w:pPr>
        <w:pStyle w:val="Bullet"/>
        <w:numPr>
          <w:ilvl w:val="0"/>
          <w:numId w:val="16"/>
        </w:numPr>
      </w:pPr>
      <w:r>
        <w:t xml:space="preserve">Fee caps for </w:t>
      </w:r>
      <w:r w:rsidR="00143ADF">
        <w:t>charges relating to</w:t>
      </w:r>
      <w:r>
        <w:t xml:space="preserve"> missed or late payment</w:t>
      </w:r>
      <w:r w:rsidR="00143ADF">
        <w:t>s</w:t>
      </w:r>
      <w:r w:rsidR="004F74C0">
        <w:t xml:space="preserve"> </w:t>
      </w:r>
      <w:r w:rsidR="00143ADF">
        <w:t xml:space="preserve">would be </w:t>
      </w:r>
      <w:r w:rsidR="00733FB7">
        <w:t>applied</w:t>
      </w:r>
      <w:r w:rsidR="00143ADF">
        <w:t>,</w:t>
      </w:r>
      <w:r>
        <w:t xml:space="preserve"> combined with disclosure requirements. </w:t>
      </w:r>
    </w:p>
    <w:p w14:paraId="23CDF270" w14:textId="165F52E7" w:rsidR="005C400A" w:rsidRPr="001B3DB0" w:rsidRDefault="005C400A" w:rsidP="008144F7">
      <w:pPr>
        <w:pStyle w:val="Bullet"/>
        <w:numPr>
          <w:ilvl w:val="0"/>
          <w:numId w:val="16"/>
        </w:numPr>
      </w:pPr>
      <w:r w:rsidRPr="001B3DB0">
        <w:t>BNPL providers</w:t>
      </w:r>
      <w:r w:rsidR="001B3DB0" w:rsidRPr="00D94A3C">
        <w:t xml:space="preserve"> would be better able to</w:t>
      </w:r>
      <w:r w:rsidRPr="001B3DB0">
        <w:t xml:space="preserve"> engage with the credit reporting regime to share </w:t>
      </w:r>
      <w:r w:rsidR="007D68AF" w:rsidRPr="001B3DB0">
        <w:t>and receive</w:t>
      </w:r>
      <w:r w:rsidRPr="001B3DB0">
        <w:t xml:space="preserve"> all credit information, including repayment history information and hardship information</w:t>
      </w:r>
      <w:r w:rsidR="002E4125" w:rsidRPr="001B3DB0">
        <w:t xml:space="preserve"> </w:t>
      </w:r>
      <w:r w:rsidR="001B3DB0" w:rsidRPr="00D94A3C">
        <w:t>because they would be licensees</w:t>
      </w:r>
      <w:r w:rsidRPr="001B3DB0">
        <w:t>.</w:t>
      </w:r>
    </w:p>
    <w:p w14:paraId="0CC722E4" w14:textId="1F26A3B2" w:rsidR="00CC5EBF" w:rsidRPr="001B3DB0" w:rsidRDefault="007D68AF" w:rsidP="00A95EA7">
      <w:pPr>
        <w:pStyle w:val="Dash"/>
        <w:numPr>
          <w:ilvl w:val="1"/>
          <w:numId w:val="16"/>
        </w:numPr>
        <w:spacing w:line="276" w:lineRule="auto"/>
      </w:pPr>
      <w:r w:rsidRPr="001B3DB0">
        <w:t>BNPL providers would not be captured under the mandatory Comprehensive Credit Reporting regime</w:t>
      </w:r>
      <w:r w:rsidR="001B3DB0" w:rsidRPr="00D94A3C">
        <w:t xml:space="preserve"> unless the BNPL provider is a big bank</w:t>
      </w:r>
      <w:r w:rsidR="004C64E6" w:rsidRPr="001B3DB0">
        <w:t>.</w:t>
      </w:r>
    </w:p>
    <w:p w14:paraId="7B14D478" w14:textId="792DB58E" w:rsidR="0083410E" w:rsidRPr="00D94A3C" w:rsidRDefault="00CC5EBF" w:rsidP="005C4BE1">
      <w:pPr>
        <w:pStyle w:val="Bullet"/>
        <w:numPr>
          <w:ilvl w:val="0"/>
          <w:numId w:val="16"/>
        </w:numPr>
      </w:pPr>
      <w:r w:rsidRPr="001E0C45">
        <w:t xml:space="preserve">A revised </w:t>
      </w:r>
      <w:r w:rsidR="00143ADF">
        <w:t>I</w:t>
      </w:r>
      <w:r w:rsidRPr="001E0C45">
        <w:t xml:space="preserve">ndustry Code </w:t>
      </w:r>
      <w:r w:rsidR="001E0C45" w:rsidRPr="00D94A3C">
        <w:t>c</w:t>
      </w:r>
      <w:r w:rsidRPr="001E0C45">
        <w:t xml:space="preserve">ould include provisions to address </w:t>
      </w:r>
      <w:r w:rsidR="0083410E" w:rsidRPr="00D94A3C">
        <w:t>issues not appropriately considered within the scope of the Credit Act, including setting industry standards,</w:t>
      </w:r>
      <w:r w:rsidR="004875C9">
        <w:t xml:space="preserve"> refund and</w:t>
      </w:r>
      <w:r w:rsidR="0083410E" w:rsidRPr="00D94A3C">
        <w:t xml:space="preserve"> chargeback </w:t>
      </w:r>
      <w:r w:rsidR="004875C9">
        <w:t>processes</w:t>
      </w:r>
      <w:r w:rsidR="0083410E" w:rsidRPr="00D94A3C">
        <w:t>, and</w:t>
      </w:r>
      <w:r w:rsidR="00E75220" w:rsidRPr="00D94A3C">
        <w:t xml:space="preserve"> </w:t>
      </w:r>
      <w:r w:rsidR="00F064BA" w:rsidRPr="00D94A3C">
        <w:t>provid</w:t>
      </w:r>
      <w:r w:rsidR="00F064BA">
        <w:t>ing</w:t>
      </w:r>
      <w:r w:rsidR="00F064BA" w:rsidRPr="00D94A3C">
        <w:t xml:space="preserve"> </w:t>
      </w:r>
      <w:r w:rsidR="0083410E" w:rsidRPr="00D94A3C">
        <w:t xml:space="preserve">guidance to BNPL providers on </w:t>
      </w:r>
      <w:r w:rsidR="00C0680A" w:rsidRPr="00D94A3C">
        <w:t xml:space="preserve">identifying situations of </w:t>
      </w:r>
      <w:r w:rsidR="009F6E6F" w:rsidRPr="00D94A3C">
        <w:t xml:space="preserve">domestic violence, coercive control </w:t>
      </w:r>
      <w:r w:rsidR="004875C9">
        <w:t>and</w:t>
      </w:r>
      <w:r w:rsidR="004875C9" w:rsidRPr="00D94A3C">
        <w:t xml:space="preserve"> </w:t>
      </w:r>
      <w:r w:rsidR="009F6E6F" w:rsidRPr="00D94A3C">
        <w:t xml:space="preserve">financial abuse. </w:t>
      </w:r>
    </w:p>
    <w:p w14:paraId="780C1D71" w14:textId="6A34C060" w:rsidR="00ED1838" w:rsidRPr="00C8079E" w:rsidRDefault="004875C9" w:rsidP="00A95EA7">
      <w:pPr>
        <w:pStyle w:val="Dash"/>
        <w:numPr>
          <w:ilvl w:val="1"/>
          <w:numId w:val="16"/>
        </w:numPr>
        <w:spacing w:line="276" w:lineRule="auto"/>
      </w:pPr>
      <w:r>
        <w:t>The i</w:t>
      </w:r>
      <w:r w:rsidR="00CC5EBF" w:rsidRPr="00C8079E">
        <w:t>ndustry</w:t>
      </w:r>
      <w:r w:rsidR="00BD7FCE" w:rsidRPr="00D94A3C">
        <w:t xml:space="preserve"> could also choose to further s</w:t>
      </w:r>
      <w:r w:rsidR="00CC5EBF" w:rsidRPr="00C8079E">
        <w:t>trengthen its Code to ASIC’s approved standard</w:t>
      </w:r>
      <w:r w:rsidR="00CC5EBF">
        <w:t xml:space="preserve"> </w:t>
      </w:r>
      <w:r w:rsidR="00633689">
        <w:t>and set a</w:t>
      </w:r>
      <w:r w:rsidR="00CC5EBF" w:rsidRPr="00C8079E">
        <w:t xml:space="preserve"> higher industry standard than </w:t>
      </w:r>
      <w:r w:rsidR="00633689">
        <w:t>required by</w:t>
      </w:r>
      <w:r w:rsidR="00CC5EBF" w:rsidRPr="00C8079E">
        <w:t xml:space="preserve"> law.</w:t>
      </w:r>
    </w:p>
    <w:p w14:paraId="7BA48721" w14:textId="77777777" w:rsidR="00BE7437" w:rsidRDefault="00BE7437">
      <w:pPr>
        <w:spacing w:before="0" w:after="160" w:line="259" w:lineRule="auto"/>
        <w:rPr>
          <w:rFonts w:ascii="Calibri" w:hAnsi="Calibri" w:cs="Arial"/>
          <w:b/>
          <w:color w:val="4D7861" w:themeColor="accent2"/>
          <w:kern w:val="32"/>
          <w:sz w:val="28"/>
          <w:szCs w:val="26"/>
        </w:rPr>
      </w:pPr>
      <w:r>
        <w:br w:type="page"/>
      </w:r>
    </w:p>
    <w:p w14:paraId="3C9BEC99" w14:textId="3A89EC22" w:rsidR="00ED1838" w:rsidRDefault="005C6455" w:rsidP="008142B2">
      <w:pPr>
        <w:pStyle w:val="Heading3"/>
      </w:pPr>
      <w:bookmarkStart w:id="26" w:name="_Toc119916363"/>
      <w:r>
        <w:lastRenderedPageBreak/>
        <w:t xml:space="preserve">Supplementary reforms to </w:t>
      </w:r>
      <w:r w:rsidR="00FF73F4">
        <w:t>support a new BNPL regulatory framework</w:t>
      </w:r>
      <w:bookmarkEnd w:id="26"/>
    </w:p>
    <w:p w14:paraId="3C53E7E0" w14:textId="1409DB87" w:rsidR="00CE7FBB" w:rsidRPr="00522C82" w:rsidRDefault="004F74C0" w:rsidP="00D94A3C">
      <w:pPr>
        <w:spacing w:line="276" w:lineRule="auto"/>
        <w:rPr>
          <w:rFonts w:cs="Calibri Light"/>
          <w:szCs w:val="22"/>
        </w:rPr>
      </w:pPr>
      <w:r>
        <w:rPr>
          <w:rFonts w:cs="Calibri Light"/>
          <w:szCs w:val="22"/>
        </w:rPr>
        <w:t>T</w:t>
      </w:r>
      <w:r w:rsidR="004D7C80" w:rsidRPr="00522C82">
        <w:rPr>
          <w:rFonts w:cs="Calibri Light"/>
          <w:szCs w:val="22"/>
        </w:rPr>
        <w:t xml:space="preserve">he options </w:t>
      </w:r>
      <w:r>
        <w:rPr>
          <w:rFonts w:cs="Calibri Light"/>
          <w:szCs w:val="22"/>
        </w:rPr>
        <w:t>discussed in this paper can</w:t>
      </w:r>
      <w:r w:rsidR="004D7C80" w:rsidRPr="00522C82">
        <w:rPr>
          <w:rFonts w:cs="Calibri Light"/>
          <w:szCs w:val="22"/>
        </w:rPr>
        <w:t xml:space="preserve"> all be supplement</w:t>
      </w:r>
      <w:r w:rsidR="009A7838" w:rsidRPr="00522C82">
        <w:rPr>
          <w:rFonts w:cs="Calibri Light"/>
          <w:szCs w:val="22"/>
        </w:rPr>
        <w:t>ed</w:t>
      </w:r>
      <w:r w:rsidR="004D7C80" w:rsidRPr="00522C82">
        <w:rPr>
          <w:rFonts w:cs="Calibri Light"/>
          <w:szCs w:val="22"/>
        </w:rPr>
        <w:t xml:space="preserve"> by </w:t>
      </w:r>
      <w:r w:rsidR="00407CCC" w:rsidRPr="00522C82">
        <w:rPr>
          <w:rFonts w:cs="Calibri Light"/>
          <w:szCs w:val="22"/>
        </w:rPr>
        <w:t>improvements</w:t>
      </w:r>
      <w:r w:rsidR="00093600">
        <w:rPr>
          <w:rFonts w:cs="Calibri Light"/>
          <w:szCs w:val="22"/>
        </w:rPr>
        <w:t xml:space="preserve"> beyond the Credit Act.</w:t>
      </w:r>
      <w:r w:rsidR="005A0C53">
        <w:rPr>
          <w:rFonts w:cs="Calibri Light"/>
          <w:szCs w:val="22"/>
        </w:rPr>
        <w:t xml:space="preserve"> T</w:t>
      </w:r>
      <w:r w:rsidR="005909AA" w:rsidRPr="00522C82">
        <w:rPr>
          <w:rFonts w:cs="Calibri Light"/>
          <w:szCs w:val="22"/>
        </w:rPr>
        <w:t xml:space="preserve">hese </w:t>
      </w:r>
      <w:r w:rsidR="00C760A0" w:rsidRPr="00522C82">
        <w:rPr>
          <w:rFonts w:cs="Calibri Light"/>
          <w:szCs w:val="22"/>
        </w:rPr>
        <w:t xml:space="preserve">possibilities are discussed in more detail below: </w:t>
      </w:r>
    </w:p>
    <w:p w14:paraId="10E434C4" w14:textId="77777777" w:rsidR="005676C1" w:rsidRPr="00522C82" w:rsidRDefault="75EA9181" w:rsidP="00D94A3C">
      <w:pPr>
        <w:pStyle w:val="Bullet"/>
        <w:rPr>
          <w:rFonts w:cs="Calibri Light"/>
        </w:rPr>
      </w:pPr>
      <w:r w:rsidRPr="0E0CECDF">
        <w:rPr>
          <w:rFonts w:cs="Calibri Light"/>
          <w:b/>
          <w:bCs/>
        </w:rPr>
        <w:t>Improving the financial capability of BNPL consumers.</w:t>
      </w:r>
      <w:r w:rsidRPr="0E0CECDF">
        <w:rPr>
          <w:rFonts w:cs="Calibri Light"/>
        </w:rPr>
        <w:t xml:space="preserve"> </w:t>
      </w:r>
      <w:r w:rsidR="0DF2524A" w:rsidRPr="0E0CECDF">
        <w:rPr>
          <w:rFonts w:cs="Calibri Light"/>
        </w:rPr>
        <w:t xml:space="preserve">The Australian Government currently provides </w:t>
      </w:r>
      <w:r w:rsidR="6B6DAB03" w:rsidRPr="0E0CECDF">
        <w:rPr>
          <w:rFonts w:cs="Calibri Light"/>
        </w:rPr>
        <w:t>information on BNPL aimed at educating consumers through</w:t>
      </w:r>
      <w:r w:rsidR="7676FFB7" w:rsidRPr="0E0CECDF">
        <w:rPr>
          <w:rFonts w:cs="Calibri Light"/>
        </w:rPr>
        <w:t>:</w:t>
      </w:r>
    </w:p>
    <w:p w14:paraId="4FF396AD" w14:textId="77777777" w:rsidR="005676C1" w:rsidRPr="00D94A3C" w:rsidRDefault="007E29C1" w:rsidP="00D94A3C">
      <w:pPr>
        <w:pStyle w:val="ListParagraph"/>
        <w:numPr>
          <w:ilvl w:val="1"/>
          <w:numId w:val="58"/>
        </w:numPr>
        <w:spacing w:line="276" w:lineRule="auto"/>
        <w:rPr>
          <w:rFonts w:ascii="Calibri Light" w:hAnsi="Calibri Light" w:cs="Calibri Light"/>
        </w:rPr>
      </w:pPr>
      <w:r w:rsidRPr="00D94A3C">
        <w:rPr>
          <w:rFonts w:ascii="Calibri Light" w:hAnsi="Calibri Light" w:cs="Calibri Light"/>
        </w:rPr>
        <w:t>the Moneysmart website – which provides general information on BNPL,</w:t>
      </w:r>
      <w:r w:rsidR="005676C1" w:rsidRPr="00D94A3C">
        <w:rPr>
          <w:rFonts w:ascii="Calibri Light" w:hAnsi="Calibri Light" w:cs="Calibri Light"/>
        </w:rPr>
        <w:t xml:space="preserve"> </w:t>
      </w:r>
    </w:p>
    <w:p w14:paraId="140B2FB3" w14:textId="77777777" w:rsidR="005676C1" w:rsidRPr="00D94A3C" w:rsidRDefault="005676C1" w:rsidP="00D94A3C">
      <w:pPr>
        <w:pStyle w:val="ListParagraph"/>
        <w:numPr>
          <w:ilvl w:val="1"/>
          <w:numId w:val="58"/>
        </w:numPr>
        <w:spacing w:line="276" w:lineRule="auto"/>
        <w:rPr>
          <w:rFonts w:ascii="Calibri Light" w:hAnsi="Calibri Light" w:cs="Calibri Light"/>
        </w:rPr>
      </w:pPr>
      <w:r w:rsidRPr="00D94A3C">
        <w:rPr>
          <w:rFonts w:ascii="Calibri Light" w:hAnsi="Calibri Light" w:cs="Calibri Light"/>
        </w:rPr>
        <w:t>the</w:t>
      </w:r>
      <w:r w:rsidR="007E29C1" w:rsidRPr="00D94A3C">
        <w:rPr>
          <w:rFonts w:ascii="Calibri Light" w:hAnsi="Calibri Light" w:cs="Calibri Light"/>
        </w:rPr>
        <w:t xml:space="preserve"> Money Managed </w:t>
      </w:r>
      <w:r w:rsidRPr="00D94A3C">
        <w:rPr>
          <w:rFonts w:ascii="Calibri Light" w:hAnsi="Calibri Light" w:cs="Calibri Light"/>
        </w:rPr>
        <w:t>website</w:t>
      </w:r>
      <w:r w:rsidR="007E29C1" w:rsidRPr="00D94A3C">
        <w:rPr>
          <w:rFonts w:ascii="Calibri Light" w:hAnsi="Calibri Light" w:cs="Calibri Light"/>
        </w:rPr>
        <w:t xml:space="preserve">– an online resource aimed at supporting young Australians, and </w:t>
      </w:r>
    </w:p>
    <w:p w14:paraId="33F300A7" w14:textId="506028D4" w:rsidR="007E29C1" w:rsidRPr="00C061E1" w:rsidRDefault="007E29C1" w:rsidP="00D94A3C">
      <w:pPr>
        <w:pStyle w:val="ListParagraph"/>
        <w:numPr>
          <w:ilvl w:val="1"/>
          <w:numId w:val="58"/>
        </w:numPr>
        <w:spacing w:line="276" w:lineRule="auto"/>
        <w:rPr>
          <w:rFonts w:cs="Calibri Light"/>
        </w:rPr>
      </w:pPr>
      <w:r w:rsidRPr="00D94A3C">
        <w:rPr>
          <w:rFonts w:ascii="Calibri Light" w:hAnsi="Calibri Light" w:cs="Calibri Light"/>
        </w:rPr>
        <w:t xml:space="preserve">Commonwealth Financial Counselling – a voluntary, free and confidential service to help eligible people address financial problems. </w:t>
      </w:r>
    </w:p>
    <w:p w14:paraId="2522D3AE" w14:textId="706794F5" w:rsidR="00177571" w:rsidRPr="00522C82" w:rsidRDefault="00E34371" w:rsidP="00D94A3C">
      <w:pPr>
        <w:pStyle w:val="Bullet"/>
        <w:numPr>
          <w:ilvl w:val="0"/>
          <w:numId w:val="0"/>
        </w:numPr>
        <w:ind w:left="520"/>
        <w:rPr>
          <w:rFonts w:cs="Calibri Light"/>
          <w:szCs w:val="22"/>
        </w:rPr>
      </w:pPr>
      <w:r w:rsidRPr="00522C82">
        <w:rPr>
          <w:rFonts w:cs="Calibri Light"/>
          <w:szCs w:val="22"/>
        </w:rPr>
        <w:t xml:space="preserve">Improving the financial capability </w:t>
      </w:r>
      <w:r w:rsidR="00007D6F" w:rsidRPr="00522C82" w:rsidDel="00D22407">
        <w:rPr>
          <w:rFonts w:cs="Calibri Light"/>
          <w:szCs w:val="22"/>
        </w:rPr>
        <w:t>of BNPL</w:t>
      </w:r>
      <w:r w:rsidRPr="00522C82">
        <w:rPr>
          <w:rFonts w:cs="Calibri Light"/>
          <w:szCs w:val="22"/>
        </w:rPr>
        <w:t xml:space="preserve"> consumers </w:t>
      </w:r>
      <w:r w:rsidR="00BA41FC" w:rsidRPr="00522C82">
        <w:rPr>
          <w:rFonts w:cs="Calibri Light"/>
          <w:szCs w:val="22"/>
        </w:rPr>
        <w:t>would</w:t>
      </w:r>
      <w:r w:rsidRPr="00522C82">
        <w:rPr>
          <w:rFonts w:cs="Calibri Light"/>
          <w:szCs w:val="22"/>
        </w:rPr>
        <w:t xml:space="preserve"> </w:t>
      </w:r>
      <w:r w:rsidR="006A2C2F" w:rsidRPr="00522C82">
        <w:rPr>
          <w:rFonts w:cs="Calibri Light"/>
          <w:szCs w:val="22"/>
        </w:rPr>
        <w:t xml:space="preserve">complement efforts to protect consumers through </w:t>
      </w:r>
      <w:r w:rsidR="00BA41FC" w:rsidRPr="00522C82">
        <w:rPr>
          <w:rFonts w:cs="Calibri Light"/>
          <w:szCs w:val="22"/>
        </w:rPr>
        <w:t>the regulatory options presented in this paper</w:t>
      </w:r>
      <w:r w:rsidR="009A5D86" w:rsidRPr="00522C82">
        <w:rPr>
          <w:rFonts w:cs="Calibri Light"/>
          <w:szCs w:val="22"/>
        </w:rPr>
        <w:t>. F</w:t>
      </w:r>
      <w:r w:rsidR="006A2C2F" w:rsidRPr="00522C82">
        <w:rPr>
          <w:rFonts w:cs="Calibri Light"/>
          <w:szCs w:val="22"/>
        </w:rPr>
        <w:t xml:space="preserve">or example, </w:t>
      </w:r>
      <w:r w:rsidR="009A5D86" w:rsidRPr="00522C82">
        <w:rPr>
          <w:rFonts w:cs="Calibri Light"/>
          <w:szCs w:val="22"/>
        </w:rPr>
        <w:t xml:space="preserve">if consumers had a better </w:t>
      </w:r>
      <w:r w:rsidR="006A2C2F" w:rsidRPr="00522C82">
        <w:rPr>
          <w:rFonts w:cs="Calibri Light"/>
          <w:szCs w:val="22"/>
        </w:rPr>
        <w:t xml:space="preserve">understanding of </w:t>
      </w:r>
      <w:r w:rsidR="00D0212C" w:rsidRPr="00522C82">
        <w:rPr>
          <w:rFonts w:cs="Calibri Light"/>
          <w:szCs w:val="22"/>
        </w:rPr>
        <w:t xml:space="preserve">BNPL </w:t>
      </w:r>
      <w:r w:rsidR="006A2C2F" w:rsidRPr="00522C82">
        <w:rPr>
          <w:rFonts w:cs="Calibri Light"/>
          <w:szCs w:val="22"/>
        </w:rPr>
        <w:t xml:space="preserve">fees </w:t>
      </w:r>
      <w:r w:rsidR="00D0212C" w:rsidRPr="00522C82">
        <w:rPr>
          <w:rFonts w:cs="Calibri Light"/>
          <w:szCs w:val="22"/>
        </w:rPr>
        <w:t>and charges, debt</w:t>
      </w:r>
      <w:r w:rsidR="006A2C2F" w:rsidRPr="00522C82">
        <w:rPr>
          <w:rFonts w:cs="Calibri Light"/>
          <w:szCs w:val="22"/>
        </w:rPr>
        <w:t xml:space="preserve"> liabilities, </w:t>
      </w:r>
      <w:r w:rsidR="00D0212C" w:rsidRPr="00522C82">
        <w:rPr>
          <w:rFonts w:cs="Calibri Light"/>
          <w:szCs w:val="22"/>
        </w:rPr>
        <w:t xml:space="preserve">provider </w:t>
      </w:r>
      <w:r w:rsidR="006A2C2F" w:rsidRPr="00522C82">
        <w:rPr>
          <w:rFonts w:cs="Calibri Light"/>
          <w:szCs w:val="22"/>
        </w:rPr>
        <w:t xml:space="preserve">incentives, </w:t>
      </w:r>
      <w:r w:rsidR="00354B25" w:rsidRPr="00522C82">
        <w:rPr>
          <w:rFonts w:cs="Calibri Light"/>
          <w:szCs w:val="22"/>
        </w:rPr>
        <w:t xml:space="preserve">personal </w:t>
      </w:r>
      <w:r w:rsidR="006A2C2F" w:rsidRPr="00522C82">
        <w:rPr>
          <w:rFonts w:cs="Calibri Light"/>
          <w:szCs w:val="22"/>
        </w:rPr>
        <w:t>budgeting and alternative avenues for financial assistance</w:t>
      </w:r>
      <w:r w:rsidR="00354B25" w:rsidRPr="00522C82">
        <w:rPr>
          <w:rFonts w:cs="Calibri Light"/>
          <w:szCs w:val="22"/>
        </w:rPr>
        <w:t xml:space="preserve"> (for example, the </w:t>
      </w:r>
      <w:r w:rsidR="00347BC0" w:rsidRPr="00522C82">
        <w:rPr>
          <w:rFonts w:cs="Calibri Light"/>
          <w:szCs w:val="22"/>
        </w:rPr>
        <w:t>N</w:t>
      </w:r>
      <w:r w:rsidR="00354B25" w:rsidRPr="00522C82">
        <w:rPr>
          <w:rFonts w:cs="Calibri Light"/>
          <w:szCs w:val="22"/>
        </w:rPr>
        <w:t xml:space="preserve">o </w:t>
      </w:r>
      <w:r w:rsidR="00347BC0" w:rsidRPr="00522C82">
        <w:rPr>
          <w:rFonts w:cs="Calibri Light"/>
          <w:szCs w:val="22"/>
        </w:rPr>
        <w:t>I</w:t>
      </w:r>
      <w:r w:rsidR="00354B25" w:rsidRPr="00522C82">
        <w:rPr>
          <w:rFonts w:cs="Calibri Light"/>
          <w:szCs w:val="22"/>
        </w:rPr>
        <w:t xml:space="preserve">nterest </w:t>
      </w:r>
      <w:r w:rsidR="00347BC0" w:rsidRPr="00522C82">
        <w:rPr>
          <w:rFonts w:cs="Calibri Light"/>
          <w:szCs w:val="22"/>
        </w:rPr>
        <w:t>L</w:t>
      </w:r>
      <w:r w:rsidR="00354B25" w:rsidRPr="00522C82">
        <w:rPr>
          <w:rFonts w:cs="Calibri Light"/>
          <w:szCs w:val="22"/>
        </w:rPr>
        <w:t xml:space="preserve">oans </w:t>
      </w:r>
      <w:r w:rsidR="00347BC0" w:rsidRPr="00522C82">
        <w:rPr>
          <w:rFonts w:cs="Calibri Light"/>
          <w:szCs w:val="22"/>
        </w:rPr>
        <w:t>S</w:t>
      </w:r>
      <w:r w:rsidR="00354B25" w:rsidRPr="00522C82">
        <w:rPr>
          <w:rFonts w:cs="Calibri Light"/>
          <w:szCs w:val="22"/>
        </w:rPr>
        <w:t>ch</w:t>
      </w:r>
      <w:r w:rsidR="00347BC0" w:rsidRPr="00522C82">
        <w:rPr>
          <w:rFonts w:cs="Calibri Light"/>
          <w:szCs w:val="22"/>
        </w:rPr>
        <w:t>e</w:t>
      </w:r>
      <w:r w:rsidR="00354B25" w:rsidRPr="00522C82">
        <w:rPr>
          <w:rFonts w:cs="Calibri Light"/>
          <w:szCs w:val="22"/>
        </w:rPr>
        <w:t>me</w:t>
      </w:r>
      <w:r w:rsidR="00347BC0" w:rsidRPr="00522C82">
        <w:rPr>
          <w:rFonts w:cs="Calibri Light"/>
          <w:szCs w:val="22"/>
        </w:rPr>
        <w:t>)</w:t>
      </w:r>
      <w:r w:rsidR="007D48CF" w:rsidRPr="00522C82">
        <w:rPr>
          <w:rFonts w:cs="Calibri Light"/>
          <w:szCs w:val="22"/>
        </w:rPr>
        <w:t xml:space="preserve">, they </w:t>
      </w:r>
      <w:r w:rsidR="00CD5C95">
        <w:rPr>
          <w:rFonts w:cs="Calibri Light"/>
          <w:szCs w:val="22"/>
        </w:rPr>
        <w:t>may</w:t>
      </w:r>
      <w:r w:rsidR="00CD5C95" w:rsidRPr="00522C82">
        <w:rPr>
          <w:rFonts w:cs="Calibri Light"/>
          <w:szCs w:val="22"/>
        </w:rPr>
        <w:t xml:space="preserve"> </w:t>
      </w:r>
      <w:r w:rsidR="007D48CF" w:rsidRPr="00522C82">
        <w:rPr>
          <w:rFonts w:cs="Calibri Light"/>
          <w:szCs w:val="22"/>
        </w:rPr>
        <w:t xml:space="preserve">be less likely to experience </w:t>
      </w:r>
      <w:r w:rsidR="00434A45" w:rsidRPr="00522C82">
        <w:rPr>
          <w:rFonts w:cs="Calibri Light"/>
          <w:szCs w:val="22"/>
        </w:rPr>
        <w:t xml:space="preserve">financial stress and hardship. </w:t>
      </w:r>
    </w:p>
    <w:p w14:paraId="6EC5BBA0" w14:textId="789A957A" w:rsidR="00055068" w:rsidRPr="00522C82" w:rsidRDefault="71306B16" w:rsidP="00522C82">
      <w:pPr>
        <w:pStyle w:val="Bullet"/>
        <w:rPr>
          <w:rFonts w:cs="Calibri Light"/>
          <w:szCs w:val="22"/>
        </w:rPr>
      </w:pPr>
      <w:r w:rsidRPr="0E0CECDF">
        <w:rPr>
          <w:rFonts w:cs="Calibri Light"/>
          <w:b/>
          <w:bCs/>
        </w:rPr>
        <w:t xml:space="preserve">Australia’s </w:t>
      </w:r>
      <w:r w:rsidR="2EB7B63B" w:rsidRPr="0E0CECDF">
        <w:rPr>
          <w:rFonts w:cs="Calibri Light"/>
          <w:b/>
          <w:bCs/>
        </w:rPr>
        <w:t xml:space="preserve">comprehensive </w:t>
      </w:r>
      <w:r w:rsidRPr="0E0CECDF">
        <w:rPr>
          <w:rFonts w:cs="Calibri Light"/>
          <w:b/>
          <w:bCs/>
        </w:rPr>
        <w:t xml:space="preserve">credit reporting framework is </w:t>
      </w:r>
      <w:r w:rsidR="52F41EEE" w:rsidRPr="0E0CECDF">
        <w:rPr>
          <w:rFonts w:cs="Calibri Light"/>
          <w:b/>
          <w:bCs/>
        </w:rPr>
        <w:t>required by law to be reviewed</w:t>
      </w:r>
      <w:r w:rsidR="52F41EEE" w:rsidRPr="0E0CECDF">
        <w:rPr>
          <w:rFonts w:cs="Calibri Light"/>
        </w:rPr>
        <w:t xml:space="preserve"> and</w:t>
      </w:r>
      <w:r w:rsidR="52F41EEE" w:rsidRPr="0E0CECDF" w:rsidDel="007F1ED4">
        <w:rPr>
          <w:rFonts w:cs="Calibri Light"/>
        </w:rPr>
        <w:t xml:space="preserve"> </w:t>
      </w:r>
      <w:r w:rsidR="52F41EEE" w:rsidRPr="0E0CECDF">
        <w:rPr>
          <w:rFonts w:cs="Calibri Light"/>
        </w:rPr>
        <w:t>report</w:t>
      </w:r>
      <w:r w:rsidR="596E5FE9" w:rsidRPr="0E0CECDF">
        <w:rPr>
          <w:rFonts w:cs="Calibri Light"/>
        </w:rPr>
        <w:t>s</w:t>
      </w:r>
      <w:r w:rsidR="52F41EEE" w:rsidRPr="0E0CECDF">
        <w:rPr>
          <w:rFonts w:cs="Calibri Light"/>
        </w:rPr>
        <w:t xml:space="preserve"> provided to the relevant ministers by 1 October 2024. </w:t>
      </w:r>
      <w:r w:rsidR="2EB7B63B" w:rsidRPr="0E0CECDF">
        <w:rPr>
          <w:rFonts w:cs="Calibri Light"/>
        </w:rPr>
        <w:t>The</w:t>
      </w:r>
      <w:r w:rsidR="58F4878B" w:rsidRPr="0E0CECDF">
        <w:rPr>
          <w:rFonts w:cs="Calibri Light"/>
        </w:rPr>
        <w:t xml:space="preserve"> framework includes voluntary </w:t>
      </w:r>
      <w:r w:rsidR="4757305A" w:rsidRPr="0E0CECDF">
        <w:rPr>
          <w:rFonts w:cs="Calibri Light"/>
        </w:rPr>
        <w:t xml:space="preserve">arrangements </w:t>
      </w:r>
      <w:r w:rsidR="25441236" w:rsidRPr="0E0CECDF">
        <w:rPr>
          <w:rFonts w:cs="Calibri Light"/>
        </w:rPr>
        <w:t>legislated under the</w:t>
      </w:r>
      <w:r w:rsidR="58F4878B" w:rsidRPr="0E0CECDF">
        <w:rPr>
          <w:rFonts w:cs="Calibri Light"/>
        </w:rPr>
        <w:t xml:space="preserve"> </w:t>
      </w:r>
      <w:r w:rsidR="7B4FC83E" w:rsidRPr="0E0CECDF">
        <w:rPr>
          <w:rFonts w:cs="Calibri Light"/>
          <w:i/>
          <w:iCs/>
        </w:rPr>
        <w:t>Privacy Act 1988</w:t>
      </w:r>
      <w:r w:rsidR="7B4FC83E" w:rsidRPr="0E0CECDF">
        <w:rPr>
          <w:rFonts w:cs="Calibri Light"/>
        </w:rPr>
        <w:t xml:space="preserve"> and </w:t>
      </w:r>
      <w:r w:rsidR="25441236" w:rsidRPr="0E0CECDF">
        <w:rPr>
          <w:rFonts w:cs="Calibri Light"/>
        </w:rPr>
        <w:t xml:space="preserve">mandatory arrangements applying to </w:t>
      </w:r>
      <w:r w:rsidR="596E5FE9" w:rsidRPr="0E0CECDF">
        <w:rPr>
          <w:rFonts w:cs="Calibri Light"/>
        </w:rPr>
        <w:t xml:space="preserve">the big banks under </w:t>
      </w:r>
      <w:r w:rsidR="7B4FC83E" w:rsidRPr="0E0CECDF">
        <w:rPr>
          <w:rFonts w:cs="Calibri Light"/>
        </w:rPr>
        <w:t>the Credit Act</w:t>
      </w:r>
      <w:r w:rsidR="596E5FE9" w:rsidRPr="0E0CECDF">
        <w:rPr>
          <w:rFonts w:cs="Calibri Light"/>
        </w:rPr>
        <w:t>.</w:t>
      </w:r>
      <w:r w:rsidR="007F1ED4" w:rsidRPr="0054712D">
        <w:rPr>
          <w:rStyle w:val="FootnoteReference"/>
          <w:rFonts w:cs="Calibri Light"/>
          <w:sz w:val="22"/>
          <w:szCs w:val="22"/>
        </w:rPr>
        <w:footnoteReference w:id="36"/>
      </w:r>
      <w:r w:rsidR="7B4FC83E" w:rsidRPr="0E0CECDF">
        <w:rPr>
          <w:rFonts w:cs="Calibri Light"/>
        </w:rPr>
        <w:t xml:space="preserve"> </w:t>
      </w:r>
      <w:r w:rsidR="4F988551" w:rsidRPr="0E0CECDF">
        <w:rPr>
          <w:rFonts w:cs="Calibri Light"/>
        </w:rPr>
        <w:t xml:space="preserve">These reviews could examine in greater detail </w:t>
      </w:r>
      <w:r w:rsidR="7B88AD16" w:rsidRPr="0E0CECDF">
        <w:rPr>
          <w:rFonts w:cs="Calibri Light"/>
        </w:rPr>
        <w:t xml:space="preserve">how BNPL providers can better </w:t>
      </w:r>
      <w:r w:rsidR="6BD808D0" w:rsidRPr="0E0CECDF">
        <w:rPr>
          <w:rFonts w:cs="Calibri Light"/>
        </w:rPr>
        <w:t xml:space="preserve">report the credit information of BNPL consumers. </w:t>
      </w:r>
      <w:r w:rsidR="3532C049" w:rsidRPr="0E0CECDF">
        <w:rPr>
          <w:rFonts w:cs="Calibri Light"/>
        </w:rPr>
        <w:t>In September 2022, t</w:t>
      </w:r>
      <w:r w:rsidR="6D1BDA62" w:rsidRPr="0E0CECDF">
        <w:rPr>
          <w:rFonts w:cs="Calibri Light"/>
        </w:rPr>
        <w:t xml:space="preserve">he </w:t>
      </w:r>
      <w:r w:rsidR="1C8EAE60" w:rsidRPr="0E0CECDF">
        <w:rPr>
          <w:rFonts w:cs="Calibri Light"/>
        </w:rPr>
        <w:t xml:space="preserve">Office of </w:t>
      </w:r>
      <w:r w:rsidR="3532C049" w:rsidRPr="0E0CECDF">
        <w:rPr>
          <w:rFonts w:cs="Calibri Light"/>
        </w:rPr>
        <w:t xml:space="preserve">the Australian Information Commissioner published its </w:t>
      </w:r>
      <w:r w:rsidR="6D1BDA62" w:rsidRPr="0E0CECDF">
        <w:rPr>
          <w:rFonts w:cs="Calibri Light"/>
        </w:rPr>
        <w:t xml:space="preserve">review of the </w:t>
      </w:r>
      <w:r w:rsidR="39EB83DF" w:rsidRPr="0E0CECDF">
        <w:rPr>
          <w:rFonts w:cs="Calibri Light"/>
        </w:rPr>
        <w:t>C</w:t>
      </w:r>
      <w:r w:rsidR="6D1BDA62" w:rsidRPr="0E0CECDF">
        <w:rPr>
          <w:rFonts w:cs="Calibri Light"/>
        </w:rPr>
        <w:t xml:space="preserve">redit </w:t>
      </w:r>
      <w:r w:rsidR="39EB83DF" w:rsidRPr="0E0CECDF">
        <w:rPr>
          <w:rFonts w:cs="Calibri Light"/>
        </w:rPr>
        <w:t>R</w:t>
      </w:r>
      <w:r w:rsidR="6D1BDA62" w:rsidRPr="0E0CECDF">
        <w:rPr>
          <w:rFonts w:cs="Calibri Light"/>
        </w:rPr>
        <w:t xml:space="preserve">eporting </w:t>
      </w:r>
      <w:r w:rsidR="39EB83DF" w:rsidRPr="0E0CECDF">
        <w:rPr>
          <w:rFonts w:cs="Calibri Light"/>
        </w:rPr>
        <w:t>Code</w:t>
      </w:r>
      <w:r w:rsidR="3AF2480D" w:rsidRPr="0E0CECDF">
        <w:rPr>
          <w:rFonts w:cs="Calibri Light"/>
        </w:rPr>
        <w:t>,</w:t>
      </w:r>
      <w:r w:rsidR="0008221F" w:rsidRPr="00D94A3C">
        <w:rPr>
          <w:rStyle w:val="FootnoteReference"/>
          <w:rFonts w:cs="Calibri Light"/>
          <w:sz w:val="22"/>
          <w:szCs w:val="22"/>
        </w:rPr>
        <w:footnoteReference w:id="37"/>
      </w:r>
      <w:r w:rsidR="39EB83DF" w:rsidRPr="0E0CECDF">
        <w:rPr>
          <w:rFonts w:cs="Calibri Light"/>
        </w:rPr>
        <w:t xml:space="preserve"> </w:t>
      </w:r>
      <w:r w:rsidR="3532C049" w:rsidRPr="0E0CECDF">
        <w:rPr>
          <w:rFonts w:cs="Calibri Light"/>
        </w:rPr>
        <w:t>which</w:t>
      </w:r>
      <w:r w:rsidR="39EB83DF" w:rsidRPr="0E0CECDF">
        <w:rPr>
          <w:rFonts w:cs="Calibri Light"/>
        </w:rPr>
        <w:t xml:space="preserve"> </w:t>
      </w:r>
      <w:r w:rsidR="6D1BDA62" w:rsidRPr="0E0CECDF">
        <w:rPr>
          <w:rFonts w:cs="Calibri Light"/>
        </w:rPr>
        <w:t xml:space="preserve">found that </w:t>
      </w:r>
      <w:r w:rsidR="39EB83DF" w:rsidRPr="0E0CECDF">
        <w:rPr>
          <w:rFonts w:cs="Calibri Light"/>
        </w:rPr>
        <w:t xml:space="preserve">BNPL products have the potential to </w:t>
      </w:r>
      <w:r w:rsidR="049D557A" w:rsidRPr="0E0CECDF">
        <w:rPr>
          <w:rFonts w:cs="Calibri Light"/>
        </w:rPr>
        <w:t xml:space="preserve">introduce </w:t>
      </w:r>
      <w:r w:rsidR="00954670">
        <w:rPr>
          <w:rFonts w:cs="Calibri Light"/>
        </w:rPr>
        <w:t>additional complexity</w:t>
      </w:r>
      <w:r w:rsidR="00954670" w:rsidRPr="0E0CECDF">
        <w:rPr>
          <w:rFonts w:cs="Calibri Light"/>
        </w:rPr>
        <w:t xml:space="preserve"> </w:t>
      </w:r>
      <w:r w:rsidR="08F2D038" w:rsidRPr="0E0CECDF">
        <w:rPr>
          <w:rFonts w:cs="Calibri Light"/>
        </w:rPr>
        <w:t xml:space="preserve">into the credit reporting framework for some </w:t>
      </w:r>
      <w:r w:rsidR="3AF2480D" w:rsidRPr="0E0CECDF">
        <w:rPr>
          <w:rFonts w:cs="Calibri Light"/>
        </w:rPr>
        <w:t>consumers</w:t>
      </w:r>
      <w:r w:rsidR="39EB83DF" w:rsidRPr="0E0CECDF">
        <w:rPr>
          <w:rFonts w:cs="Calibri Light"/>
        </w:rPr>
        <w:t>.</w:t>
      </w:r>
      <w:r w:rsidR="37CDCAE7" w:rsidRPr="00D94A3C">
        <w:rPr>
          <w:rStyle w:val="FootnoteReference"/>
          <w:rFonts w:cs="Calibri Light"/>
          <w:sz w:val="22"/>
          <w:szCs w:val="22"/>
        </w:rPr>
        <w:t xml:space="preserve"> </w:t>
      </w:r>
    </w:p>
    <w:p w14:paraId="5701C80C" w14:textId="7A259B3D" w:rsidR="00CD3D0B" w:rsidRPr="00CD3D0B" w:rsidRDefault="00B97773" w:rsidP="00CD3D0B">
      <w:pPr>
        <w:pStyle w:val="Bullet"/>
        <w:rPr>
          <w:szCs w:val="22"/>
        </w:rPr>
      </w:pPr>
      <w:r>
        <w:rPr>
          <w:b/>
          <w:bCs/>
        </w:rPr>
        <w:t>A</w:t>
      </w:r>
      <w:r w:rsidR="5A05F17E" w:rsidRPr="0E0CECDF">
        <w:rPr>
          <w:b/>
          <w:bCs/>
        </w:rPr>
        <w:t xml:space="preserve">n enhanced role for ASIC </w:t>
      </w:r>
      <w:r w:rsidR="5E7B928D" w:rsidRPr="0E0CECDF">
        <w:rPr>
          <w:b/>
          <w:bCs/>
        </w:rPr>
        <w:t>as the regulator of BNPL</w:t>
      </w:r>
      <w:r w:rsidR="5A05F17E" w:rsidRPr="0E0CECDF">
        <w:rPr>
          <w:b/>
          <w:bCs/>
        </w:rPr>
        <w:t xml:space="preserve">. </w:t>
      </w:r>
      <w:r w:rsidR="5A05F17E" w:rsidRPr="0E0CECDF">
        <w:t>Formally regulating</w:t>
      </w:r>
      <w:r w:rsidR="13A75F0C" w:rsidRPr="0E0CECDF">
        <w:t xml:space="preserve"> </w:t>
      </w:r>
      <w:r w:rsidR="0732111A" w:rsidRPr="0E0CECDF">
        <w:t xml:space="preserve">BNPL </w:t>
      </w:r>
      <w:r w:rsidR="13A75F0C" w:rsidRPr="0E0CECDF">
        <w:t>under the Credit Act</w:t>
      </w:r>
      <w:r w:rsidR="2E3C2B95" w:rsidRPr="0E0CECDF">
        <w:t xml:space="preserve"> </w:t>
      </w:r>
      <w:r w:rsidR="00E80AE6">
        <w:t>may</w:t>
      </w:r>
      <w:r w:rsidR="00E80AE6" w:rsidRPr="0E0CECDF">
        <w:t xml:space="preserve"> </w:t>
      </w:r>
      <w:r w:rsidR="2E3C2B95" w:rsidRPr="0E0CECDF">
        <w:t xml:space="preserve">warrant </w:t>
      </w:r>
      <w:r w:rsidR="11E98818" w:rsidRPr="0E0CECDF">
        <w:t xml:space="preserve">a corresponding extension of ASIC industry funding arrangements to allow ASIC to recover the cost of regulating BNPL from the BNPL sector. Further consideration could also </w:t>
      </w:r>
      <w:r w:rsidR="631E338F" w:rsidRPr="0E0CECDF">
        <w:t xml:space="preserve">be given to </w:t>
      </w:r>
      <w:r w:rsidR="0EDBC3E5" w:rsidRPr="0E0CECDF">
        <w:t xml:space="preserve">putting in place arrangements to </w:t>
      </w:r>
      <w:r w:rsidR="4BF292A7" w:rsidRPr="0E0CECDF">
        <w:t xml:space="preserve">monitor and measure </w:t>
      </w:r>
      <w:r w:rsidR="78D776CB" w:rsidRPr="0E0CECDF">
        <w:t xml:space="preserve">outcomes arising from BNPL use and the effectiveness of </w:t>
      </w:r>
      <w:r w:rsidR="6DB0D785" w:rsidRPr="0E0CECDF">
        <w:t>any reforms and industry initiatives</w:t>
      </w:r>
      <w:r w:rsidR="321DF696" w:rsidRPr="0E0CECDF">
        <w:t xml:space="preserve">, including the collection </w:t>
      </w:r>
      <w:r w:rsidR="649F0E92" w:rsidRPr="0E0CECDF">
        <w:t xml:space="preserve">and comparison </w:t>
      </w:r>
      <w:r w:rsidR="321DF696" w:rsidRPr="0E0CECDF">
        <w:t xml:space="preserve">of data on </w:t>
      </w:r>
      <w:r w:rsidR="0F1F7E80" w:rsidRPr="0E0CECDF">
        <w:t>consumer outcomes associated with other credit products.</w:t>
      </w:r>
    </w:p>
    <w:p w14:paraId="29ECF021" w14:textId="3126BC09" w:rsidR="00BE7437" w:rsidRPr="00A95EA7" w:rsidRDefault="329BDDB2" w:rsidP="00CD3D0B">
      <w:pPr>
        <w:pStyle w:val="Bullet"/>
        <w:rPr>
          <w:szCs w:val="22"/>
        </w:rPr>
      </w:pPr>
      <w:r w:rsidRPr="0E0CECDF">
        <w:rPr>
          <w:b/>
          <w:bCs/>
        </w:rPr>
        <w:t>Payments surcharging.</w:t>
      </w:r>
      <w:r>
        <w:t xml:space="preserve"> BNPL providers typically have no-surcharge rules which prevent merchants passing on the cost of BNPL to consumers. The Reserve Bank of Australia has suggested changes to these arrangements could improve competition and efficiency in the Australian consumer credit market and create a more level playing field</w:t>
      </w:r>
      <w:r w:rsidR="00C50C8C">
        <w:t xml:space="preserve"> for consumer credit</w:t>
      </w:r>
      <w:r>
        <w:t>.</w:t>
      </w:r>
    </w:p>
    <w:p w14:paraId="324791D6" w14:textId="0CA7AE9E" w:rsidR="009078F6" w:rsidRDefault="00EB22DA" w:rsidP="00707C10">
      <w:pPr>
        <w:pStyle w:val="Heading1"/>
      </w:pPr>
      <w:bookmarkStart w:id="27" w:name="_Toc119916364"/>
      <w:r>
        <w:lastRenderedPageBreak/>
        <w:t>Bilateral c</w:t>
      </w:r>
      <w:r w:rsidR="00ED294B">
        <w:t>onsultation</w:t>
      </w:r>
      <w:r w:rsidR="00716CFC">
        <w:t>s</w:t>
      </w:r>
      <w:r w:rsidR="00ED294B">
        <w:t xml:space="preserve"> and </w:t>
      </w:r>
      <w:r w:rsidR="006656DA">
        <w:t>n</w:t>
      </w:r>
      <w:r w:rsidR="00BE7437">
        <w:t>ext steps</w:t>
      </w:r>
      <w:bookmarkEnd w:id="27"/>
      <w:r w:rsidR="00BE7437" w:rsidDel="008664A6">
        <w:t xml:space="preserve"> </w:t>
      </w:r>
    </w:p>
    <w:p w14:paraId="25A74843" w14:textId="57E2EC11" w:rsidR="00C50C8C" w:rsidRPr="000E610A" w:rsidRDefault="00EB22DA" w:rsidP="003D5EE3">
      <w:pPr>
        <w:pStyle w:val="Heading4"/>
      </w:pPr>
      <w:r>
        <w:t>Bilateral consultations</w:t>
      </w:r>
    </w:p>
    <w:p w14:paraId="75F2DFB9" w14:textId="408ED0C8" w:rsidR="005234AA" w:rsidRDefault="00975CD3" w:rsidP="009078F6">
      <w:r>
        <w:t>To inform the development of this options paper</w:t>
      </w:r>
      <w:r w:rsidR="0052672B">
        <w:t xml:space="preserve">, Treasury formally consulted with the </w:t>
      </w:r>
      <w:r w:rsidR="005C1020">
        <w:t>organisations</w:t>
      </w:r>
      <w:r w:rsidR="00901D25">
        <w:t xml:space="preserve"> listed below, and informally consulted with many more as part of Treasury’s </w:t>
      </w:r>
      <w:r w:rsidR="002D4ED2">
        <w:t xml:space="preserve">routine </w:t>
      </w:r>
      <w:r w:rsidR="00901D25">
        <w:t>stakeholder engagement</w:t>
      </w:r>
      <w:r w:rsidR="005C1020">
        <w:t xml:space="preserve">. </w:t>
      </w:r>
    </w:p>
    <w:p w14:paraId="5F623286" w14:textId="5DAE9183" w:rsidR="00792490" w:rsidRPr="00D94A3C" w:rsidRDefault="00792490" w:rsidP="00FC7BDD">
      <w:pPr>
        <w:rPr>
          <w:b/>
        </w:rPr>
      </w:pPr>
      <w:r w:rsidRPr="00D94A3C">
        <w:rPr>
          <w:b/>
        </w:rPr>
        <w:t xml:space="preserve">Table </w:t>
      </w:r>
      <w:r w:rsidR="00985A7F">
        <w:rPr>
          <w:b/>
          <w:bCs/>
        </w:rPr>
        <w:t>1</w:t>
      </w:r>
      <w:r w:rsidRPr="00D94A3C">
        <w:rPr>
          <w:b/>
        </w:rPr>
        <w:t xml:space="preserve">: Options Paper Consultations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3"/>
        <w:gridCol w:w="5921"/>
      </w:tblGrid>
      <w:tr w:rsidR="00014D6F" w:rsidRPr="00C06421" w14:paraId="0983E028" w14:textId="77777777" w:rsidTr="006408FB">
        <w:tc>
          <w:tcPr>
            <w:tcW w:w="173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EA5CEEC" w14:textId="2DA213A1" w:rsidR="00C06421" w:rsidRPr="00A95EA7" w:rsidRDefault="00C06421" w:rsidP="00A95EA7">
            <w:pPr>
              <w:spacing w:before="0" w:after="0"/>
              <w:jc w:val="center"/>
              <w:textAlignment w:val="baseline"/>
              <w:rPr>
                <w:rFonts w:ascii="Segoe UI" w:hAnsi="Segoe UI" w:cs="Segoe UI"/>
                <w:b/>
                <w:sz w:val="18"/>
                <w:szCs w:val="18"/>
              </w:rPr>
            </w:pPr>
            <w:r w:rsidRPr="00A95EA7">
              <w:rPr>
                <w:rFonts w:ascii="Calibri" w:hAnsi="Calibri" w:cs="Calibri"/>
                <w:b/>
                <w:szCs w:val="22"/>
              </w:rPr>
              <w:t>Organisation type</w:t>
            </w:r>
          </w:p>
        </w:tc>
        <w:tc>
          <w:tcPr>
            <w:tcW w:w="327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A0006E8" w14:textId="3DD7D15E" w:rsidR="00C06421" w:rsidRPr="00A95EA7" w:rsidRDefault="00C06421" w:rsidP="00A95EA7">
            <w:pPr>
              <w:spacing w:before="0" w:after="0"/>
              <w:jc w:val="center"/>
              <w:textAlignment w:val="baseline"/>
              <w:rPr>
                <w:rFonts w:ascii="Segoe UI" w:hAnsi="Segoe UI" w:cs="Segoe UI"/>
                <w:b/>
                <w:sz w:val="18"/>
                <w:szCs w:val="18"/>
              </w:rPr>
            </w:pPr>
            <w:r w:rsidRPr="00A95EA7">
              <w:rPr>
                <w:rFonts w:ascii="Calibri" w:hAnsi="Calibri" w:cs="Calibri"/>
                <w:b/>
                <w:szCs w:val="22"/>
              </w:rPr>
              <w:t>Organisation name</w:t>
            </w:r>
          </w:p>
        </w:tc>
      </w:tr>
      <w:tr w:rsidR="00DF74F3" w:rsidRPr="00C06421" w14:paraId="65CAA8DF" w14:textId="77777777" w:rsidTr="00D94A3C">
        <w:tc>
          <w:tcPr>
            <w:tcW w:w="173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316EC07" w14:textId="594AE662"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BNPL provider</w:t>
            </w:r>
            <w:r w:rsidR="00050F2B">
              <w:rPr>
                <w:rFonts w:ascii="Calibri" w:hAnsi="Calibri" w:cs="Calibri"/>
                <w:szCs w:val="22"/>
              </w:rPr>
              <w:t>s</w:t>
            </w:r>
            <w:r w:rsidRPr="00C06421">
              <w:rPr>
                <w:rFonts w:ascii="Calibri" w:hAnsi="Calibri" w:cs="Calibri"/>
                <w:szCs w:val="22"/>
              </w:rPr>
              <w:t> </w:t>
            </w: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2169756D"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Afterpay </w:t>
            </w:r>
          </w:p>
        </w:tc>
      </w:tr>
      <w:tr w:rsidR="00DF74F3" w:rsidRPr="00C06421" w14:paraId="4A9F85BE"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BD4E6D"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3B767627"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Brighte </w:t>
            </w:r>
          </w:p>
        </w:tc>
      </w:tr>
      <w:tr w:rsidR="00DF74F3" w:rsidRPr="00C06421" w14:paraId="799BAFDB"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DAA01D"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323D6D6D" w14:textId="618FD76F"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N</w:t>
            </w:r>
            <w:r w:rsidR="0067528B">
              <w:rPr>
                <w:rFonts w:ascii="Calibri" w:hAnsi="Calibri" w:cs="Calibri"/>
                <w:szCs w:val="22"/>
              </w:rPr>
              <w:t xml:space="preserve">ational </w:t>
            </w:r>
            <w:r w:rsidRPr="00C06421">
              <w:rPr>
                <w:rFonts w:ascii="Calibri" w:hAnsi="Calibri" w:cs="Calibri"/>
                <w:szCs w:val="22"/>
              </w:rPr>
              <w:t>A</w:t>
            </w:r>
            <w:r w:rsidR="0067528B">
              <w:rPr>
                <w:rFonts w:ascii="Calibri" w:hAnsi="Calibri" w:cs="Calibri"/>
                <w:szCs w:val="22"/>
              </w:rPr>
              <w:t xml:space="preserve">ustralia </w:t>
            </w:r>
            <w:r w:rsidRPr="00C06421">
              <w:rPr>
                <w:rFonts w:ascii="Calibri" w:hAnsi="Calibri" w:cs="Calibri"/>
                <w:szCs w:val="22"/>
              </w:rPr>
              <w:t>B</w:t>
            </w:r>
            <w:r w:rsidR="0067528B">
              <w:rPr>
                <w:rFonts w:ascii="Calibri" w:hAnsi="Calibri" w:cs="Calibri"/>
                <w:szCs w:val="22"/>
              </w:rPr>
              <w:t>ank</w:t>
            </w:r>
            <w:r w:rsidRPr="00C06421">
              <w:rPr>
                <w:rFonts w:ascii="Calibri" w:hAnsi="Calibri" w:cs="Calibri"/>
                <w:szCs w:val="22"/>
              </w:rPr>
              <w:t> </w:t>
            </w:r>
          </w:p>
        </w:tc>
      </w:tr>
      <w:tr w:rsidR="00DF74F3" w:rsidRPr="00C06421" w14:paraId="255EA306"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B66CC7"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4577F0D3"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ZIP </w:t>
            </w:r>
          </w:p>
        </w:tc>
      </w:tr>
      <w:tr w:rsidR="00DF74F3" w:rsidRPr="00C06421" w14:paraId="5BC01742"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A0E4E3"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4979ABC9"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Payright </w:t>
            </w:r>
          </w:p>
        </w:tc>
      </w:tr>
      <w:tr w:rsidR="00DF74F3" w:rsidRPr="00C06421" w14:paraId="1383115A" w14:textId="77777777" w:rsidTr="00D94A3C">
        <w:tc>
          <w:tcPr>
            <w:tcW w:w="173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734925A0" w14:textId="34850ABE"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Peak industry bod</w:t>
            </w:r>
            <w:r w:rsidR="00050F2B">
              <w:rPr>
                <w:rFonts w:ascii="Calibri" w:hAnsi="Calibri" w:cs="Calibri"/>
                <w:szCs w:val="22"/>
              </w:rPr>
              <w:t>ies</w:t>
            </w:r>
            <w:r w:rsidRPr="00C06421">
              <w:rPr>
                <w:rFonts w:ascii="Calibri" w:hAnsi="Calibri" w:cs="Calibri"/>
                <w:szCs w:val="22"/>
              </w:rPr>
              <w:t> </w:t>
            </w: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5835657B" w14:textId="04872065" w:rsidR="00C06421" w:rsidRPr="00C06421" w:rsidRDefault="00F50822" w:rsidP="00C06421">
            <w:pPr>
              <w:spacing w:before="0" w:after="0"/>
              <w:textAlignment w:val="baseline"/>
              <w:rPr>
                <w:rFonts w:ascii="Segoe UI" w:hAnsi="Segoe UI" w:cs="Segoe UI"/>
                <w:sz w:val="18"/>
                <w:szCs w:val="18"/>
              </w:rPr>
            </w:pPr>
            <w:r w:rsidDel="00F32F42">
              <w:rPr>
                <w:rFonts w:ascii="Calibri" w:hAnsi="Calibri" w:cs="Calibri"/>
                <w:szCs w:val="22"/>
              </w:rPr>
              <w:t>Australian Financial Industry Association</w:t>
            </w:r>
          </w:p>
        </w:tc>
      </w:tr>
      <w:tr w:rsidR="00DF74F3" w:rsidRPr="00C06421" w14:paraId="14EA6BB3"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3D723A"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1E53EE51" w14:textId="64421CBD"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A</w:t>
            </w:r>
            <w:r w:rsidR="00F50822">
              <w:rPr>
                <w:rFonts w:ascii="Calibri" w:hAnsi="Calibri" w:cs="Calibri"/>
                <w:szCs w:val="22"/>
              </w:rPr>
              <w:t>ustralian Banking Association</w:t>
            </w:r>
          </w:p>
        </w:tc>
      </w:tr>
      <w:tr w:rsidR="00DF74F3" w:rsidRPr="00C06421" w14:paraId="4CBEF773"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327671"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2AF67A4F" w14:textId="630AA8B8"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A</w:t>
            </w:r>
            <w:r w:rsidR="00F50822">
              <w:rPr>
                <w:rFonts w:ascii="Calibri" w:hAnsi="Calibri" w:cs="Calibri"/>
                <w:szCs w:val="22"/>
              </w:rPr>
              <w:t>ustralian Retail Credit Association</w:t>
            </w:r>
          </w:p>
        </w:tc>
      </w:tr>
      <w:tr w:rsidR="00DF74F3" w:rsidRPr="00C06421" w14:paraId="6C53254A"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27DB55"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75161C93" w14:textId="57A6B93C" w:rsidR="00C06421" w:rsidRPr="00C06421" w:rsidRDefault="00C06421" w:rsidP="00C06421">
            <w:pPr>
              <w:spacing w:before="0" w:after="0"/>
              <w:textAlignment w:val="baseline"/>
              <w:rPr>
                <w:rFonts w:ascii="Segoe UI" w:hAnsi="Segoe UI" w:cs="Segoe UI"/>
                <w:sz w:val="18"/>
                <w:szCs w:val="18"/>
              </w:rPr>
            </w:pPr>
            <w:r w:rsidRPr="003D5EE3">
              <w:rPr>
                <w:rFonts w:ascii="Calibri" w:hAnsi="Calibri" w:cs="Calibri"/>
                <w:szCs w:val="22"/>
              </w:rPr>
              <w:t>N</w:t>
            </w:r>
            <w:r w:rsidR="00F50822" w:rsidRPr="003D5EE3">
              <w:rPr>
                <w:rFonts w:ascii="Calibri" w:hAnsi="Calibri" w:cs="Calibri"/>
                <w:szCs w:val="22"/>
              </w:rPr>
              <w:t>ational Retail Association</w:t>
            </w:r>
          </w:p>
        </w:tc>
      </w:tr>
      <w:tr w:rsidR="00DF74F3" w:rsidRPr="00C06421" w14:paraId="4AF25EC5" w14:textId="77777777" w:rsidTr="00D94A3C">
        <w:tc>
          <w:tcPr>
            <w:tcW w:w="173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4CCA8BAE" w14:textId="49EE3680"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 xml:space="preserve">Regulators and </w:t>
            </w:r>
            <w:r w:rsidR="006408FB">
              <w:rPr>
                <w:rFonts w:ascii="Calibri" w:hAnsi="Calibri" w:cs="Calibri"/>
                <w:szCs w:val="22"/>
              </w:rPr>
              <w:t>g</w:t>
            </w:r>
            <w:r w:rsidRPr="00C06421">
              <w:rPr>
                <w:rFonts w:ascii="Calibri" w:hAnsi="Calibri" w:cs="Calibri"/>
                <w:szCs w:val="22"/>
              </w:rPr>
              <w:t>ov</w:t>
            </w:r>
            <w:r w:rsidR="006408FB">
              <w:rPr>
                <w:rFonts w:ascii="Calibri" w:hAnsi="Calibri" w:cs="Calibri"/>
                <w:szCs w:val="22"/>
              </w:rPr>
              <w:t>ernment</w:t>
            </w:r>
            <w:r w:rsidRPr="00C06421">
              <w:rPr>
                <w:rFonts w:ascii="Calibri" w:hAnsi="Calibri" w:cs="Calibri"/>
                <w:szCs w:val="22"/>
              </w:rPr>
              <w:t xml:space="preserve"> agenc</w:t>
            </w:r>
            <w:r w:rsidR="006408FB">
              <w:rPr>
                <w:rFonts w:ascii="Calibri" w:hAnsi="Calibri" w:cs="Calibri"/>
                <w:szCs w:val="22"/>
              </w:rPr>
              <w:t>ies</w:t>
            </w: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115D7F89" w14:textId="50077878" w:rsidR="00C06421" w:rsidRPr="00C06421" w:rsidRDefault="00F50822" w:rsidP="00C06421">
            <w:pPr>
              <w:spacing w:before="0" w:after="0"/>
              <w:textAlignment w:val="baseline"/>
              <w:rPr>
                <w:rFonts w:ascii="Segoe UI" w:hAnsi="Segoe UI" w:cs="Segoe UI"/>
                <w:sz w:val="18"/>
                <w:szCs w:val="18"/>
              </w:rPr>
            </w:pPr>
            <w:r>
              <w:rPr>
                <w:rFonts w:ascii="Calibri" w:hAnsi="Calibri" w:cs="Calibri"/>
                <w:szCs w:val="22"/>
              </w:rPr>
              <w:t xml:space="preserve">Australian Securities and </w:t>
            </w:r>
            <w:r w:rsidR="00910DC7">
              <w:rPr>
                <w:rFonts w:ascii="Calibri" w:hAnsi="Calibri" w:cs="Calibri"/>
                <w:szCs w:val="22"/>
              </w:rPr>
              <w:t>Investments Commission</w:t>
            </w:r>
          </w:p>
        </w:tc>
      </w:tr>
      <w:tr w:rsidR="00DF74F3" w:rsidRPr="00C06421" w14:paraId="5F8D7C40"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2A87A7"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2DA2F493" w14:textId="6EF9FCE1" w:rsidR="00C06421" w:rsidRPr="00C06421" w:rsidRDefault="00050F2B" w:rsidP="00C06421">
            <w:pPr>
              <w:spacing w:before="0" w:after="0"/>
              <w:textAlignment w:val="baseline"/>
              <w:rPr>
                <w:rFonts w:ascii="Segoe UI" w:hAnsi="Segoe UI" w:cs="Segoe UI"/>
                <w:sz w:val="18"/>
                <w:szCs w:val="18"/>
              </w:rPr>
            </w:pPr>
            <w:r w:rsidRPr="00C06421">
              <w:rPr>
                <w:rFonts w:ascii="Calibri" w:hAnsi="Calibri" w:cs="Calibri"/>
                <w:szCs w:val="22"/>
              </w:rPr>
              <w:t>A</w:t>
            </w:r>
            <w:r>
              <w:rPr>
                <w:rFonts w:ascii="Calibri" w:hAnsi="Calibri" w:cs="Calibri"/>
                <w:szCs w:val="22"/>
              </w:rPr>
              <w:t>ustralian Financial Security Authority</w:t>
            </w:r>
          </w:p>
        </w:tc>
      </w:tr>
      <w:tr w:rsidR="00DF74F3" w:rsidRPr="00C06421" w14:paraId="725DAD7A"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E47CB7"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45914DAD" w14:textId="73B32BCE"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A</w:t>
            </w:r>
            <w:r w:rsidR="00BC52ED">
              <w:rPr>
                <w:rFonts w:ascii="Calibri" w:hAnsi="Calibri" w:cs="Calibri"/>
                <w:szCs w:val="22"/>
              </w:rPr>
              <w:t>ustralian Financial Complaints Authority</w:t>
            </w:r>
          </w:p>
        </w:tc>
      </w:tr>
      <w:tr w:rsidR="00DF74F3" w:rsidRPr="00C06421" w14:paraId="6C6638A2" w14:textId="77777777" w:rsidTr="00D94A3C">
        <w:tc>
          <w:tcPr>
            <w:tcW w:w="173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ED5140A" w14:textId="54E08F9F"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Consumer group</w:t>
            </w:r>
            <w:r w:rsidR="00050F2B">
              <w:rPr>
                <w:rFonts w:ascii="Calibri" w:hAnsi="Calibri" w:cs="Calibri"/>
                <w:szCs w:val="22"/>
              </w:rPr>
              <w:t>s</w:t>
            </w:r>
            <w:r w:rsidRPr="00C06421">
              <w:rPr>
                <w:rFonts w:ascii="Calibri" w:hAnsi="Calibri" w:cs="Calibri"/>
                <w:szCs w:val="22"/>
              </w:rPr>
              <w:t> </w:t>
            </w: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1F6E7AB5" w14:textId="7A02D5B8" w:rsidR="00C06421" w:rsidRPr="00C06421" w:rsidRDefault="00910DC7" w:rsidP="00C06421">
            <w:pPr>
              <w:spacing w:before="0" w:after="0"/>
              <w:textAlignment w:val="baseline"/>
              <w:rPr>
                <w:rFonts w:ascii="Segoe UI" w:hAnsi="Segoe UI" w:cs="Segoe UI"/>
                <w:sz w:val="18"/>
                <w:szCs w:val="18"/>
              </w:rPr>
            </w:pPr>
            <w:r>
              <w:rPr>
                <w:rFonts w:ascii="Calibri" w:hAnsi="Calibri" w:cs="Calibri"/>
                <w:szCs w:val="22"/>
              </w:rPr>
              <w:t>Consumer Action Law Centre</w:t>
            </w:r>
          </w:p>
        </w:tc>
      </w:tr>
      <w:tr w:rsidR="00DF74F3" w:rsidRPr="00C06421" w14:paraId="0B1B1225"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97989D"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5AC678F4"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CHOICE </w:t>
            </w:r>
          </w:p>
        </w:tc>
      </w:tr>
      <w:tr w:rsidR="00DF74F3" w:rsidRPr="00C06421" w14:paraId="2852DA62"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93BF54"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471FC199" w14:textId="23297078"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C</w:t>
            </w:r>
            <w:r w:rsidR="00F56B80">
              <w:rPr>
                <w:rFonts w:ascii="Calibri" w:hAnsi="Calibri" w:cs="Calibri"/>
                <w:szCs w:val="22"/>
              </w:rPr>
              <w:t>onsumer Credit Legal Service (Western Australia)</w:t>
            </w:r>
          </w:p>
        </w:tc>
      </w:tr>
      <w:tr w:rsidR="00DF74F3" w:rsidRPr="00C06421" w14:paraId="7D521689"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0A63D"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01463453" w14:textId="4F9E1FB9" w:rsidR="00C06421" w:rsidRPr="00C06421" w:rsidRDefault="00BC52ED" w:rsidP="00C06421">
            <w:pPr>
              <w:spacing w:before="0" w:after="0"/>
              <w:textAlignment w:val="baseline"/>
              <w:rPr>
                <w:rFonts w:ascii="Segoe UI" w:hAnsi="Segoe UI" w:cs="Segoe UI"/>
                <w:sz w:val="18"/>
                <w:szCs w:val="18"/>
              </w:rPr>
            </w:pPr>
            <w:r>
              <w:rPr>
                <w:rFonts w:ascii="Calibri" w:hAnsi="Calibri" w:cs="Calibri"/>
                <w:szCs w:val="22"/>
              </w:rPr>
              <w:t>Financial Counselling Australia</w:t>
            </w:r>
            <w:r w:rsidR="00C06421" w:rsidRPr="00C06421">
              <w:rPr>
                <w:rFonts w:ascii="Calibri" w:hAnsi="Calibri" w:cs="Calibri"/>
                <w:szCs w:val="22"/>
              </w:rPr>
              <w:t> </w:t>
            </w:r>
          </w:p>
        </w:tc>
      </w:tr>
      <w:tr w:rsidR="00DF74F3" w:rsidRPr="00C06421" w14:paraId="46800E0D"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37836D"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59B9C323" w14:textId="70CB7882"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I</w:t>
            </w:r>
            <w:r w:rsidR="00C62CDC">
              <w:rPr>
                <w:rFonts w:ascii="Calibri" w:hAnsi="Calibri" w:cs="Calibri"/>
                <w:szCs w:val="22"/>
              </w:rPr>
              <w:t>ndigenous Consumer Assistance Network</w:t>
            </w:r>
          </w:p>
        </w:tc>
      </w:tr>
      <w:tr w:rsidR="00DF74F3" w:rsidRPr="00C06421" w14:paraId="02315BE7"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A7D79F"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7707D2DD"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Good Shepherd </w:t>
            </w:r>
          </w:p>
        </w:tc>
      </w:tr>
      <w:tr w:rsidR="00DF74F3" w:rsidRPr="00C06421" w14:paraId="39FECCDF"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9F6AE2"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10D44243" w14:textId="7B8EA826"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F</w:t>
            </w:r>
            <w:r w:rsidR="00BC52ED">
              <w:rPr>
                <w:rFonts w:ascii="Calibri" w:hAnsi="Calibri" w:cs="Calibri"/>
                <w:szCs w:val="22"/>
              </w:rPr>
              <w:t>inancial Rights Legal Centre</w:t>
            </w:r>
          </w:p>
        </w:tc>
      </w:tr>
      <w:tr w:rsidR="00DF74F3" w:rsidRPr="00C06421" w14:paraId="63C923CF" w14:textId="77777777" w:rsidTr="00D94A3C">
        <w:tc>
          <w:tcPr>
            <w:tcW w:w="173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065A41" w14:textId="77777777" w:rsidR="00C06421" w:rsidRPr="00C06421" w:rsidRDefault="00C06421" w:rsidP="00C06421">
            <w:pPr>
              <w:spacing w:before="0" w:after="0"/>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31C16840" w14:textId="77777777" w:rsidR="00C06421"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Circle Green </w:t>
            </w:r>
          </w:p>
        </w:tc>
      </w:tr>
      <w:tr w:rsidR="00DF74F3" w:rsidRPr="00C06421" w14:paraId="77015776" w14:textId="77777777" w:rsidTr="0094363A">
        <w:tc>
          <w:tcPr>
            <w:tcW w:w="1730" w:type="pct"/>
            <w:vMerge w:val="restart"/>
            <w:tcBorders>
              <w:top w:val="single" w:sz="6" w:space="0" w:color="auto"/>
              <w:left w:val="single" w:sz="6" w:space="0" w:color="auto"/>
              <w:right w:val="single" w:sz="6" w:space="0" w:color="auto"/>
            </w:tcBorders>
            <w:shd w:val="clear" w:color="auto" w:fill="auto"/>
            <w:hideMark/>
          </w:tcPr>
          <w:p w14:paraId="04C1E0E6" w14:textId="77777777" w:rsidR="0067528B" w:rsidRPr="00C06421" w:rsidRDefault="0067528B" w:rsidP="00C06421">
            <w:pPr>
              <w:spacing w:before="0" w:after="0"/>
              <w:textAlignment w:val="baseline"/>
              <w:rPr>
                <w:rFonts w:ascii="Segoe UI" w:hAnsi="Segoe UI" w:cs="Segoe UI"/>
                <w:sz w:val="18"/>
                <w:szCs w:val="18"/>
              </w:rPr>
            </w:pPr>
            <w:r w:rsidRPr="00C06421">
              <w:rPr>
                <w:rFonts w:ascii="Calibri" w:hAnsi="Calibri" w:cs="Calibri"/>
                <w:szCs w:val="22"/>
              </w:rPr>
              <w:t xml:space="preserve">Foreign </w:t>
            </w:r>
            <w:r w:rsidR="00C06421" w:rsidRPr="00C06421">
              <w:rPr>
                <w:rFonts w:ascii="Calibri" w:hAnsi="Calibri" w:cs="Calibri"/>
                <w:szCs w:val="22"/>
              </w:rPr>
              <w:t>Government</w:t>
            </w:r>
            <w:r w:rsidR="00BC52ED">
              <w:rPr>
                <w:rFonts w:ascii="Calibri" w:hAnsi="Calibri" w:cs="Calibri"/>
                <w:szCs w:val="22"/>
              </w:rPr>
              <w:t>s</w:t>
            </w:r>
            <w:r w:rsidRPr="00C06421">
              <w:rPr>
                <w:rFonts w:ascii="Calibri" w:hAnsi="Calibri" w:cs="Calibri"/>
                <w:szCs w:val="22"/>
              </w:rPr>
              <w:t> </w:t>
            </w:r>
          </w:p>
          <w:p w14:paraId="366F9DC2" w14:textId="1CDD918D" w:rsidR="0067528B" w:rsidRPr="00C06421" w:rsidRDefault="0067528B" w:rsidP="00C06421">
            <w:pPr>
              <w:spacing w:before="0" w:after="0"/>
              <w:textAlignment w:val="baseline"/>
              <w:rPr>
                <w:rFonts w:ascii="Segoe UI" w:hAnsi="Segoe UI" w:cs="Segoe UI"/>
                <w:sz w:val="18"/>
                <w:szCs w:val="18"/>
              </w:rPr>
            </w:pPr>
            <w:r w:rsidRPr="00C06421">
              <w:rPr>
                <w:rFonts w:ascii="Calibri" w:hAnsi="Calibri" w:cs="Calibri"/>
                <w:szCs w:val="22"/>
              </w:rPr>
              <w:t> </w:t>
            </w: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7303E1FB" w14:textId="77777777" w:rsidR="0067528B" w:rsidRPr="00C06421" w:rsidRDefault="0067528B" w:rsidP="00C06421">
            <w:pPr>
              <w:spacing w:before="0" w:after="0"/>
              <w:textAlignment w:val="baseline"/>
              <w:rPr>
                <w:rFonts w:ascii="Segoe UI" w:hAnsi="Segoe UI" w:cs="Segoe UI"/>
                <w:sz w:val="18"/>
                <w:szCs w:val="18"/>
              </w:rPr>
            </w:pPr>
            <w:r w:rsidRPr="00C06421">
              <w:rPr>
                <w:rFonts w:ascii="Calibri" w:hAnsi="Calibri" w:cs="Calibri"/>
                <w:szCs w:val="22"/>
              </w:rPr>
              <w:t>Canadian Department of Finance </w:t>
            </w:r>
          </w:p>
        </w:tc>
      </w:tr>
      <w:tr w:rsidR="00DF74F3" w:rsidRPr="00C06421" w14:paraId="5ACCFF7F" w14:textId="77777777" w:rsidTr="0094363A">
        <w:tc>
          <w:tcPr>
            <w:tcW w:w="1730" w:type="pct"/>
            <w:vMerge/>
            <w:tcBorders>
              <w:left w:val="single" w:sz="6" w:space="0" w:color="auto"/>
              <w:bottom w:val="single" w:sz="6" w:space="0" w:color="auto"/>
              <w:right w:val="single" w:sz="6" w:space="0" w:color="auto"/>
            </w:tcBorders>
            <w:shd w:val="clear" w:color="auto" w:fill="auto"/>
            <w:hideMark/>
          </w:tcPr>
          <w:p w14:paraId="09853EAF" w14:textId="4E6E1C43" w:rsidR="0067528B" w:rsidRPr="00C06421" w:rsidRDefault="0067528B" w:rsidP="00C06421">
            <w:pPr>
              <w:spacing w:before="0" w:after="0"/>
              <w:textAlignment w:val="baseline"/>
              <w:rPr>
                <w:rFonts w:ascii="Segoe UI" w:hAnsi="Segoe UI" w:cs="Segoe UI"/>
                <w:sz w:val="18"/>
                <w:szCs w:val="18"/>
              </w:rPr>
            </w:pPr>
          </w:p>
        </w:tc>
        <w:tc>
          <w:tcPr>
            <w:tcW w:w="3270" w:type="pct"/>
            <w:tcBorders>
              <w:top w:val="single" w:sz="6" w:space="0" w:color="auto"/>
              <w:left w:val="single" w:sz="6" w:space="0" w:color="auto"/>
              <w:bottom w:val="single" w:sz="6" w:space="0" w:color="auto"/>
              <w:right w:val="single" w:sz="6" w:space="0" w:color="auto"/>
            </w:tcBorders>
            <w:shd w:val="clear" w:color="auto" w:fill="auto"/>
            <w:hideMark/>
          </w:tcPr>
          <w:p w14:paraId="57C279F1" w14:textId="07CC7BFF" w:rsidR="0067528B" w:rsidRPr="00C06421" w:rsidRDefault="00C06421" w:rsidP="00C06421">
            <w:pPr>
              <w:spacing w:before="0" w:after="0"/>
              <w:textAlignment w:val="baseline"/>
              <w:rPr>
                <w:rFonts w:ascii="Segoe UI" w:hAnsi="Segoe UI" w:cs="Segoe UI"/>
                <w:sz w:val="18"/>
                <w:szCs w:val="18"/>
              </w:rPr>
            </w:pPr>
            <w:r w:rsidRPr="00C06421">
              <w:rPr>
                <w:rFonts w:ascii="Calibri" w:hAnsi="Calibri" w:cs="Calibri"/>
                <w:szCs w:val="22"/>
              </w:rPr>
              <w:t>NZ</w:t>
            </w:r>
            <w:r w:rsidR="0067528B" w:rsidRPr="00C06421">
              <w:rPr>
                <w:rFonts w:ascii="Calibri" w:hAnsi="Calibri" w:cs="Calibri"/>
                <w:szCs w:val="22"/>
              </w:rPr>
              <w:t xml:space="preserve"> Ministry of Business, Innovation &amp; Employment </w:t>
            </w:r>
          </w:p>
        </w:tc>
      </w:tr>
    </w:tbl>
    <w:p w14:paraId="6F1AECCF" w14:textId="77777777" w:rsidR="00C50C8C" w:rsidRDefault="00C50C8C" w:rsidP="000E610A"/>
    <w:p w14:paraId="5888EAB0" w14:textId="53E33159" w:rsidR="00C50C8C" w:rsidRDefault="00C50C8C" w:rsidP="003D5EE3">
      <w:pPr>
        <w:pStyle w:val="Heading4"/>
      </w:pPr>
      <w:r>
        <w:t>Next steps</w:t>
      </w:r>
    </w:p>
    <w:p w14:paraId="79282476" w14:textId="77777777" w:rsidR="00EB22DA" w:rsidRDefault="00BC6B5B" w:rsidP="000E610A">
      <w:r w:rsidRPr="000E610A">
        <w:t xml:space="preserve">Treasury expects to undertake further targeted consultations with consumer groups, industry bodies, BNPL providers and regulators in the coming months. </w:t>
      </w:r>
    </w:p>
    <w:p w14:paraId="5DFD9B7B" w14:textId="576B117B" w:rsidR="00EB22DA" w:rsidRDefault="00BC6B5B" w:rsidP="000E610A">
      <w:r w:rsidRPr="000E610A">
        <w:t xml:space="preserve">These conversations will seek to further the </w:t>
      </w:r>
      <w:r w:rsidR="00CE3A84" w:rsidRPr="000E610A">
        <w:t>Australian G</w:t>
      </w:r>
      <w:r w:rsidRPr="000E610A">
        <w:t xml:space="preserve">overnment’s understanding of the BNPL </w:t>
      </w:r>
      <w:r w:rsidR="00DC1CB5" w:rsidRPr="000E610A">
        <w:t>sector,</w:t>
      </w:r>
      <w:r w:rsidRPr="000E610A">
        <w:t xml:space="preserve"> and</w:t>
      </w:r>
      <w:r w:rsidR="00EB22DA">
        <w:t xml:space="preserve"> formal feedback from submissions on</w:t>
      </w:r>
      <w:r w:rsidRPr="000E610A">
        <w:t xml:space="preserve"> the options presented in this paper. </w:t>
      </w:r>
    </w:p>
    <w:p w14:paraId="77591852" w14:textId="1ABF5751" w:rsidR="004B622F" w:rsidRPr="000E610A" w:rsidRDefault="004B622F" w:rsidP="000E610A">
      <w:r>
        <w:t>The findings of this process will inform a government decision on the future regulatory arrangements for BNPL</w:t>
      </w:r>
      <w:r w:rsidR="00EB22DA">
        <w:t xml:space="preserve"> in Australia</w:t>
      </w:r>
      <w:r>
        <w:t xml:space="preserve">. </w:t>
      </w:r>
    </w:p>
    <w:p w14:paraId="68E7BD34" w14:textId="699B0125" w:rsidR="00622823" w:rsidRPr="00A33781" w:rsidRDefault="009A74B8" w:rsidP="0018395C">
      <w:pPr>
        <w:pStyle w:val="Heading1"/>
        <w:rPr>
          <w:rStyle w:val="Heading1Char"/>
        </w:rPr>
      </w:pPr>
      <w:r>
        <w:br w:type="column"/>
      </w:r>
      <w:bookmarkStart w:id="28" w:name="_Toc119916365"/>
      <w:r w:rsidR="00215282" w:rsidRPr="00FB297E">
        <w:rPr>
          <w:rStyle w:val="Heading1Char"/>
          <w:b/>
        </w:rPr>
        <w:lastRenderedPageBreak/>
        <w:t xml:space="preserve">Attachment A – </w:t>
      </w:r>
      <w:r w:rsidR="00622823" w:rsidRPr="0065321D">
        <w:rPr>
          <w:rStyle w:val="Heading1Char"/>
          <w:b/>
        </w:rPr>
        <w:t xml:space="preserve">Additional </w:t>
      </w:r>
      <w:r w:rsidR="001377E4">
        <w:rPr>
          <w:rStyle w:val="Heading1Char"/>
          <w:b/>
        </w:rPr>
        <w:t>i</w:t>
      </w:r>
      <w:r w:rsidR="00805185" w:rsidRPr="0065321D">
        <w:rPr>
          <w:rStyle w:val="Heading1Char"/>
          <w:b/>
        </w:rPr>
        <w:t>nformation</w:t>
      </w:r>
      <w:bookmarkEnd w:id="28"/>
    </w:p>
    <w:p w14:paraId="71FC5EFF" w14:textId="0C56300C" w:rsidR="005A7CBB" w:rsidRDefault="005A7CBB" w:rsidP="00D94A3C">
      <w:pPr>
        <w:pStyle w:val="Heading3"/>
      </w:pPr>
      <w:bookmarkStart w:id="29" w:name="_Toc119916366"/>
      <w:r>
        <w:t>Emergence of BNPL in Australia</w:t>
      </w:r>
      <w:bookmarkEnd w:id="29"/>
    </w:p>
    <w:p w14:paraId="56190102" w14:textId="5F4E4E83" w:rsidR="00107369" w:rsidRDefault="00107369" w:rsidP="00107369">
      <w:pPr>
        <w:pStyle w:val="Bullet"/>
        <w:numPr>
          <w:ilvl w:val="0"/>
          <w:numId w:val="0"/>
        </w:numPr>
      </w:pPr>
      <w:r>
        <w:t xml:space="preserve">The BNPL sector has been rapidly growing since its emergence in around 2015, when entities like Afterpay and ZIP began offering services to consumers to purchase discretionary small retail items, such as clothing and fashion items. </w:t>
      </w:r>
      <w:r w:rsidR="00744EB8">
        <w:t>Since then</w:t>
      </w:r>
      <w:r w:rsidR="00DE04DF">
        <w:t xml:space="preserve">, </w:t>
      </w:r>
      <w:r>
        <w:t>BNPL</w:t>
      </w:r>
      <w:r w:rsidR="00DE04DF">
        <w:t xml:space="preserve"> has</w:t>
      </w:r>
      <w:r>
        <w:t xml:space="preserve"> continue</w:t>
      </w:r>
      <w:r w:rsidR="00DE04DF">
        <w:t>d</w:t>
      </w:r>
      <w:r>
        <w:t xml:space="preserve"> to evolve and expand to new products and service offerings. </w:t>
      </w:r>
      <w:r w:rsidR="00F20DD8">
        <w:t>N</w:t>
      </w:r>
      <w:r>
        <w:t xml:space="preserve">ew start-up entities, established financial institutions </w:t>
      </w:r>
      <w:r w:rsidR="003472F1">
        <w:t>(</w:t>
      </w:r>
      <w:r>
        <w:t>such as banks</w:t>
      </w:r>
      <w:r w:rsidR="003472F1">
        <w:t>)</w:t>
      </w:r>
      <w:r w:rsidR="008D2058">
        <w:t>,</w:t>
      </w:r>
      <w:r>
        <w:t xml:space="preserve"> and financial technology companies (such as PayPal) have recently joined the domestic BNPL market. </w:t>
      </w:r>
    </w:p>
    <w:p w14:paraId="184888AA" w14:textId="5C8B17B4" w:rsidR="00107369" w:rsidRDefault="00107369" w:rsidP="00107369">
      <w:pPr>
        <w:spacing w:line="276" w:lineRule="auto"/>
      </w:pPr>
      <w:r>
        <w:t xml:space="preserve">Currently in the Australian market, there are around 20 BNPL providers </w:t>
      </w:r>
      <w:r w:rsidR="00FA7685">
        <w:t>operating</w:t>
      </w:r>
      <w:r>
        <w:t xml:space="preserve">. BNPL arrangements come in many shapes and sizes, </w:t>
      </w:r>
      <w:r w:rsidR="00B6165F">
        <w:t xml:space="preserve">and </w:t>
      </w:r>
      <w:r>
        <w:t>offers range from low value, short</w:t>
      </w:r>
      <w:r>
        <w:noBreakHyphen/>
        <w:t xml:space="preserve">term products, such as Afterpay, Zip and Humm Little things, to high value long-term continuing credit products, such as Brighte’s </w:t>
      </w:r>
      <w:r w:rsidR="00F85CC2">
        <w:t>zero per cent</w:t>
      </w:r>
      <w:r>
        <w:t xml:space="preserve"> interest payment plan and Humm Big things. However, the great majority of consumer usage is concentrated around low value short-term BNPL business models. </w:t>
      </w:r>
    </w:p>
    <w:p w14:paraId="7BEF117B" w14:textId="77777777" w:rsidR="00107369" w:rsidRPr="004717B7" w:rsidRDefault="00107369">
      <w:pPr>
        <w:pStyle w:val="Heading4"/>
      </w:pPr>
      <w:r>
        <w:t>BNPL consumer take-up</w:t>
      </w:r>
    </w:p>
    <w:p w14:paraId="04911F24" w14:textId="7311C838" w:rsidR="008977C0" w:rsidRDefault="008977C0" w:rsidP="00107369">
      <w:pPr>
        <w:pStyle w:val="Bullet"/>
        <w:numPr>
          <w:ilvl w:val="0"/>
          <w:numId w:val="0"/>
        </w:numPr>
      </w:pPr>
      <w:r w:rsidRPr="000C01F2">
        <w:t xml:space="preserve">The Reserve Bank of Australia’s Payment Systems Board found </w:t>
      </w:r>
      <w:r w:rsidR="005F4010" w:rsidRPr="000C01F2">
        <w:t xml:space="preserve">the number of active customer accounts increased from approximately 5 million to approximately 7 million accounts over the year to June </w:t>
      </w:r>
      <w:r w:rsidR="00195B42" w:rsidRPr="00D94A3C">
        <w:t xml:space="preserve">2022 </w:t>
      </w:r>
      <w:r w:rsidR="005F4010" w:rsidRPr="000C01F2">
        <w:t>(which includes persons holding multiple accounts).</w:t>
      </w:r>
      <w:r w:rsidR="001F3928" w:rsidRPr="000C01F2">
        <w:rPr>
          <w:rStyle w:val="FootnoteReference"/>
        </w:rPr>
        <w:footnoteReference w:id="38"/>
      </w:r>
      <w:r w:rsidR="005F4010" w:rsidRPr="000C01F2">
        <w:t xml:space="preserve"> The </w:t>
      </w:r>
      <w:r w:rsidR="00E6412B" w:rsidRPr="00D94A3C">
        <w:t>Payments Systems Board</w:t>
      </w:r>
      <w:r w:rsidR="005F4010" w:rsidRPr="000C01F2">
        <w:t xml:space="preserve"> also found consumer</w:t>
      </w:r>
      <w:r w:rsidR="003426F0" w:rsidRPr="000C01F2">
        <w:t xml:space="preserve">s spent $16 billion </w:t>
      </w:r>
      <w:r w:rsidR="00823A98" w:rsidRPr="00D94A3C">
        <w:t xml:space="preserve">on BNPL </w:t>
      </w:r>
      <w:r w:rsidR="003426F0" w:rsidRPr="000C01F2">
        <w:t xml:space="preserve">during the 2021-22 financial year. This was equivalent to approximately 2 per cent of Australian card purchases. </w:t>
      </w:r>
    </w:p>
    <w:p w14:paraId="1CEA2851" w14:textId="6AE5A454" w:rsidR="00107369" w:rsidRDefault="00107369" w:rsidP="00107369">
      <w:pPr>
        <w:pStyle w:val="Bullet"/>
        <w:numPr>
          <w:ilvl w:val="0"/>
          <w:numId w:val="0"/>
        </w:numPr>
      </w:pPr>
      <w:r>
        <w:t>BNPL arrangements are used by consumers of all ages but are more popular amongst consumers aged below 35. More than half of those surveyed by AFIA who were aged between 18 to 34 were using BNPL in March 2022. The take up of BNPL has continued to grow across all age groups. Of note, between March 2021 and March 2022, BNPL usage in age groups between 35 to 44 and 45 to 54 both increased by approximately 20 per cent each.</w:t>
      </w:r>
      <w:r>
        <w:rPr>
          <w:rStyle w:val="FootnoteReference"/>
        </w:rPr>
        <w:footnoteReference w:id="39"/>
      </w:r>
      <w:r>
        <w:t xml:space="preserve"> </w:t>
      </w:r>
    </w:p>
    <w:p w14:paraId="11899538" w14:textId="77777777" w:rsidR="00030C37" w:rsidRDefault="00030C37">
      <w:pPr>
        <w:spacing w:before="0" w:after="160" w:line="259" w:lineRule="auto"/>
        <w:rPr>
          <w:rFonts w:ascii="Calibri" w:hAnsi="Calibri" w:cs="Arial"/>
          <w:b/>
          <w:color w:val="4D7861" w:themeColor="accent2"/>
          <w:kern w:val="32"/>
          <w:sz w:val="28"/>
          <w:szCs w:val="26"/>
        </w:rPr>
      </w:pPr>
      <w:r>
        <w:br w:type="page"/>
      </w:r>
    </w:p>
    <w:p w14:paraId="255C2DCD" w14:textId="77777777" w:rsidR="00107369" w:rsidRPr="004717B7" w:rsidRDefault="00107369" w:rsidP="00D94A3C">
      <w:pPr>
        <w:pStyle w:val="Heading3"/>
      </w:pPr>
      <w:bookmarkStart w:id="30" w:name="_Toc119916367"/>
      <w:r w:rsidRPr="004717B7">
        <w:lastRenderedPageBreak/>
        <w:t>BNPL business model</w:t>
      </w:r>
      <w:r>
        <w:t>s</w:t>
      </w:r>
      <w:bookmarkEnd w:id="30"/>
      <w:r w:rsidRPr="004717B7">
        <w:t xml:space="preserve"> </w:t>
      </w:r>
    </w:p>
    <w:p w14:paraId="18D19FC8" w14:textId="50F9BDEA" w:rsidR="00030C37" w:rsidRDefault="00107369" w:rsidP="00D94A3C">
      <w:pPr>
        <w:spacing w:line="276" w:lineRule="auto"/>
      </w:pPr>
      <w:r>
        <w:t xml:space="preserve">There is a range of BNPL business models in the Australian market, </w:t>
      </w:r>
      <w:r w:rsidR="008D292D">
        <w:t xml:space="preserve">which differ by </w:t>
      </w:r>
      <w:r>
        <w:t xml:space="preserve">characteristics such as product availability, affordability checks and fees. </w:t>
      </w:r>
      <w:r w:rsidR="00EF3679">
        <w:t xml:space="preserve">Table </w:t>
      </w:r>
      <w:r w:rsidR="00985A7F">
        <w:t>2</w:t>
      </w:r>
      <w:r>
        <w:t xml:space="preserve"> below shows a sample of the currently available BNPL business models. </w:t>
      </w:r>
    </w:p>
    <w:p w14:paraId="65D27D83" w14:textId="4C96FDBF" w:rsidR="00107369" w:rsidRDefault="00107369" w:rsidP="00D94A3C">
      <w:pPr>
        <w:spacing w:line="276" w:lineRule="auto"/>
      </w:pPr>
      <w:r w:rsidRPr="00A3325C">
        <w:rPr>
          <w:b/>
          <w:bCs/>
        </w:rPr>
        <w:t xml:space="preserve">Table </w:t>
      </w:r>
      <w:r w:rsidR="00985A7F">
        <w:rPr>
          <w:b/>
          <w:bCs/>
        </w:rPr>
        <w:t>2</w:t>
      </w:r>
      <w:r>
        <w:t>: Sample of BNPL business models (202</w:t>
      </w:r>
      <w:r w:rsidR="009E2FE3">
        <w:t>2</w:t>
      </w:r>
      <w:r>
        <w:t>)</w:t>
      </w:r>
    </w:p>
    <w:tbl>
      <w:tblPr>
        <w:tblStyle w:val="GridTable5Dark-Accent5"/>
        <w:tblW w:w="5000" w:type="pct"/>
        <w:tblLook w:val="04A0" w:firstRow="1" w:lastRow="0" w:firstColumn="1" w:lastColumn="0" w:noHBand="0" w:noVBand="1"/>
      </w:tblPr>
      <w:tblGrid>
        <w:gridCol w:w="689"/>
        <w:gridCol w:w="979"/>
        <w:gridCol w:w="1161"/>
        <w:gridCol w:w="1277"/>
        <w:gridCol w:w="1326"/>
        <w:gridCol w:w="1209"/>
        <w:gridCol w:w="1209"/>
        <w:gridCol w:w="1210"/>
      </w:tblGrid>
      <w:tr w:rsidR="00107369" w14:paraId="034553E7" w14:textId="77777777" w:rsidTr="00831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tcPr>
          <w:p w14:paraId="5725E806" w14:textId="77777777" w:rsidR="00107369" w:rsidRDefault="00107369" w:rsidP="00831BEA">
            <w:pPr>
              <w:pStyle w:val="Bullet"/>
              <w:numPr>
                <w:ilvl w:val="0"/>
                <w:numId w:val="0"/>
              </w:numPr>
            </w:pPr>
          </w:p>
        </w:tc>
        <w:tc>
          <w:tcPr>
            <w:tcW w:w="540" w:type="pct"/>
          </w:tcPr>
          <w:p w14:paraId="64431B6C"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Afterpay</w:t>
            </w:r>
          </w:p>
        </w:tc>
        <w:tc>
          <w:tcPr>
            <w:tcW w:w="641" w:type="pct"/>
          </w:tcPr>
          <w:p w14:paraId="7D7FF7FD"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Brighte</w:t>
            </w:r>
          </w:p>
        </w:tc>
        <w:tc>
          <w:tcPr>
            <w:tcW w:w="705" w:type="pct"/>
          </w:tcPr>
          <w:p w14:paraId="3159AB7C"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Humm Little things</w:t>
            </w:r>
          </w:p>
        </w:tc>
        <w:tc>
          <w:tcPr>
            <w:tcW w:w="732" w:type="pct"/>
          </w:tcPr>
          <w:p w14:paraId="58147037"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Humm Big things</w:t>
            </w:r>
          </w:p>
        </w:tc>
        <w:tc>
          <w:tcPr>
            <w:tcW w:w="667" w:type="pct"/>
          </w:tcPr>
          <w:p w14:paraId="2321C25A"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ZipPay</w:t>
            </w:r>
          </w:p>
        </w:tc>
        <w:tc>
          <w:tcPr>
            <w:tcW w:w="667" w:type="pct"/>
          </w:tcPr>
          <w:p w14:paraId="6129BE66"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CBA</w:t>
            </w:r>
          </w:p>
        </w:tc>
        <w:tc>
          <w:tcPr>
            <w:tcW w:w="668" w:type="pct"/>
          </w:tcPr>
          <w:p w14:paraId="197A48BE" w14:textId="77777777" w:rsidR="00107369" w:rsidRDefault="00107369" w:rsidP="00831BEA">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Paypal</w:t>
            </w:r>
          </w:p>
        </w:tc>
      </w:tr>
      <w:tr w:rsidR="00107369" w14:paraId="6DA8A2CA" w14:textId="77777777" w:rsidTr="00831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tcPr>
          <w:p w14:paraId="15B08536" w14:textId="77777777" w:rsidR="00107369" w:rsidRDefault="00107369" w:rsidP="00831BEA">
            <w:pPr>
              <w:pStyle w:val="Bullet"/>
              <w:numPr>
                <w:ilvl w:val="0"/>
                <w:numId w:val="0"/>
              </w:numPr>
            </w:pPr>
            <w:r>
              <w:t>Max loan</w:t>
            </w:r>
          </w:p>
        </w:tc>
        <w:tc>
          <w:tcPr>
            <w:tcW w:w="540" w:type="pct"/>
          </w:tcPr>
          <w:p w14:paraId="2FF31641"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$2,000</w:t>
            </w:r>
          </w:p>
        </w:tc>
        <w:tc>
          <w:tcPr>
            <w:tcW w:w="641" w:type="pct"/>
          </w:tcPr>
          <w:p w14:paraId="1BA9777C"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$30,000</w:t>
            </w:r>
          </w:p>
        </w:tc>
        <w:tc>
          <w:tcPr>
            <w:tcW w:w="705" w:type="pct"/>
          </w:tcPr>
          <w:p w14:paraId="4F59888B"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$2,000</w:t>
            </w:r>
          </w:p>
        </w:tc>
        <w:tc>
          <w:tcPr>
            <w:tcW w:w="732" w:type="pct"/>
          </w:tcPr>
          <w:p w14:paraId="38D814B0"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$30,000</w:t>
            </w:r>
          </w:p>
        </w:tc>
        <w:tc>
          <w:tcPr>
            <w:tcW w:w="667" w:type="pct"/>
          </w:tcPr>
          <w:p w14:paraId="549E75C2"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$1,000</w:t>
            </w:r>
          </w:p>
        </w:tc>
        <w:tc>
          <w:tcPr>
            <w:tcW w:w="667" w:type="pct"/>
          </w:tcPr>
          <w:p w14:paraId="5E187ACD"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$2,000</w:t>
            </w:r>
          </w:p>
        </w:tc>
        <w:tc>
          <w:tcPr>
            <w:tcW w:w="668" w:type="pct"/>
          </w:tcPr>
          <w:p w14:paraId="6C2BF6D1" w14:textId="77777777" w:rsidR="00107369" w:rsidRDefault="00107369" w:rsidP="00831BEA">
            <w:pPr>
              <w:pStyle w:val="Bullet"/>
              <w:numPr>
                <w:ilvl w:val="0"/>
                <w:numId w:val="0"/>
              </w:numPr>
              <w:jc w:val="right"/>
              <w:cnfStyle w:val="000000100000" w:firstRow="0" w:lastRow="0" w:firstColumn="0" w:lastColumn="0" w:oddVBand="0" w:evenVBand="0" w:oddHBand="1" w:evenHBand="0" w:firstRowFirstColumn="0" w:firstRowLastColumn="0" w:lastRowFirstColumn="0" w:lastRowLastColumn="0"/>
            </w:pPr>
            <w:r>
              <w:t>$2,000</w:t>
            </w:r>
          </w:p>
        </w:tc>
      </w:tr>
      <w:tr w:rsidR="00107369" w14:paraId="3177C6B2" w14:textId="77777777" w:rsidTr="00831BEA">
        <w:tc>
          <w:tcPr>
            <w:cnfStyle w:val="001000000000" w:firstRow="0" w:lastRow="0" w:firstColumn="1" w:lastColumn="0" w:oddVBand="0" w:evenVBand="0" w:oddHBand="0" w:evenHBand="0" w:firstRowFirstColumn="0" w:firstRowLastColumn="0" w:lastRowFirstColumn="0" w:lastRowLastColumn="0"/>
            <w:tcW w:w="380" w:type="pct"/>
          </w:tcPr>
          <w:p w14:paraId="797A0AC0" w14:textId="77777777" w:rsidR="00107369" w:rsidRDefault="00107369" w:rsidP="00831BEA">
            <w:pPr>
              <w:pStyle w:val="Bullet"/>
              <w:numPr>
                <w:ilvl w:val="0"/>
                <w:numId w:val="0"/>
              </w:numPr>
            </w:pPr>
            <w:r>
              <w:t>Loan term</w:t>
            </w:r>
          </w:p>
        </w:tc>
        <w:tc>
          <w:tcPr>
            <w:tcW w:w="540" w:type="pct"/>
          </w:tcPr>
          <w:p w14:paraId="59FB7331"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6 wks</w:t>
            </w:r>
          </w:p>
        </w:tc>
        <w:tc>
          <w:tcPr>
            <w:tcW w:w="641" w:type="pct"/>
          </w:tcPr>
          <w:p w14:paraId="1E7EF9FE"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6-60 mths</w:t>
            </w:r>
          </w:p>
        </w:tc>
        <w:tc>
          <w:tcPr>
            <w:tcW w:w="705" w:type="pct"/>
          </w:tcPr>
          <w:p w14:paraId="08493AED" w14:textId="5FD3D7DF"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10-20 wks</w:t>
            </w:r>
          </w:p>
        </w:tc>
        <w:tc>
          <w:tcPr>
            <w:tcW w:w="732" w:type="pct"/>
          </w:tcPr>
          <w:p w14:paraId="7C664BAB"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6-60 mths</w:t>
            </w:r>
          </w:p>
        </w:tc>
        <w:tc>
          <w:tcPr>
            <w:tcW w:w="667" w:type="pct"/>
          </w:tcPr>
          <w:p w14:paraId="7B71DA73"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No term</w:t>
            </w:r>
          </w:p>
        </w:tc>
        <w:tc>
          <w:tcPr>
            <w:tcW w:w="667" w:type="pct"/>
          </w:tcPr>
          <w:p w14:paraId="59D66D61"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6 wks</w:t>
            </w:r>
          </w:p>
        </w:tc>
        <w:tc>
          <w:tcPr>
            <w:tcW w:w="668" w:type="pct"/>
          </w:tcPr>
          <w:p w14:paraId="122F08F8" w14:textId="77777777" w:rsidR="00107369" w:rsidRDefault="00107369" w:rsidP="00831BEA">
            <w:pPr>
              <w:pStyle w:val="Bullet"/>
              <w:numPr>
                <w:ilvl w:val="0"/>
                <w:numId w:val="0"/>
              </w:numPr>
              <w:jc w:val="right"/>
              <w:cnfStyle w:val="000000000000" w:firstRow="0" w:lastRow="0" w:firstColumn="0" w:lastColumn="0" w:oddVBand="0" w:evenVBand="0" w:oddHBand="0" w:evenHBand="0" w:firstRowFirstColumn="0" w:firstRowLastColumn="0" w:lastRowFirstColumn="0" w:lastRowLastColumn="0"/>
            </w:pPr>
            <w:r>
              <w:t>6 wks</w:t>
            </w:r>
          </w:p>
        </w:tc>
      </w:tr>
    </w:tbl>
    <w:p w14:paraId="5B0E61C5" w14:textId="77777777" w:rsidR="00107369" w:rsidRPr="00A3325C" w:rsidRDefault="00107369" w:rsidP="00D94A3C">
      <w:pPr>
        <w:pStyle w:val="Heading4"/>
      </w:pPr>
      <w:r w:rsidRPr="00A3325C">
        <w:t>Product availability</w:t>
      </w:r>
    </w:p>
    <w:p w14:paraId="51C9AADE" w14:textId="77777777" w:rsidR="00107369" w:rsidRDefault="00107369" w:rsidP="00107369">
      <w:pPr>
        <w:spacing w:line="276" w:lineRule="auto"/>
      </w:pPr>
      <w:r>
        <w:t xml:space="preserve">BNPL transactions allow consumers to receive goods and services from a merchant and pay for the transaction in instalments to the BNPL provider. The BNPL provider pays the full amount of the consumer’s purchase to the merchant, less any merchant servicing fees (figure 1). Many of the early entrants to the BNPL sector operate in a ‘closed loop’ system, where a BNPL product can only be accepted at merchants that have signed up with the BNPL provider (e.g., Afterpay and Brighte). More recently, the sector has seen BNPL products and services operate in an ‘open loop’ system which uses existing payment rails, such as Mastercard or VISA. Examples of an open loop system are StepPay by the Commonwealth Bank of Australia and NAB Now, Pay Later by the National Australia Bank. These products can be accepted by merchants without any additional agreement between a merchant, a BNPL provider and consumers can use these BNPL product anywhere Mastercard or VISA is accepted. </w:t>
      </w:r>
    </w:p>
    <w:p w14:paraId="40ACDA7E" w14:textId="77777777" w:rsidR="00107369" w:rsidRDefault="00107369" w:rsidP="00107369">
      <w:pPr>
        <w:spacing w:line="276" w:lineRule="auto"/>
        <w:ind w:left="1440"/>
      </w:pPr>
      <w:r w:rsidRPr="002A7475">
        <w:rPr>
          <w:b/>
          <w:bCs/>
        </w:rPr>
        <w:t>Figure 1</w:t>
      </w:r>
      <w:r>
        <w:t>: How BNPL arrangements works</w:t>
      </w:r>
      <w:r>
        <w:rPr>
          <w:rStyle w:val="FootnoteReference"/>
        </w:rPr>
        <w:footnoteReference w:id="40"/>
      </w:r>
    </w:p>
    <w:p w14:paraId="542518E5" w14:textId="4EE5FBAD" w:rsidR="00A45BF2" w:rsidRPr="00030C37" w:rsidRDefault="00107369" w:rsidP="00030C37">
      <w:pPr>
        <w:spacing w:line="276" w:lineRule="auto"/>
        <w:ind w:left="1440"/>
      </w:pPr>
      <w:r w:rsidRPr="002A7475">
        <w:rPr>
          <w:noProof/>
        </w:rPr>
        <w:drawing>
          <wp:inline distT="0" distB="0" distL="0" distR="0" wp14:anchorId="4F91D8D9" wp14:editId="2938DF11">
            <wp:extent cx="3733800" cy="253290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1923" cy="2538412"/>
                    </a:xfrm>
                    <a:prstGeom prst="rect">
                      <a:avLst/>
                    </a:prstGeom>
                  </pic:spPr>
                </pic:pic>
              </a:graphicData>
            </a:graphic>
          </wp:inline>
        </w:drawing>
      </w:r>
    </w:p>
    <w:p w14:paraId="378F00C4" w14:textId="77777777" w:rsidR="00107369" w:rsidRPr="00A3325C" w:rsidRDefault="00107369" w:rsidP="00D94A3C">
      <w:pPr>
        <w:pStyle w:val="Heading4"/>
      </w:pPr>
      <w:r w:rsidRPr="00A3325C">
        <w:lastRenderedPageBreak/>
        <w:t>Affordability check</w:t>
      </w:r>
    </w:p>
    <w:p w14:paraId="041D35D3" w14:textId="197654EC" w:rsidR="00107369" w:rsidRDefault="00107369" w:rsidP="00107369">
      <w:pPr>
        <w:spacing w:line="276" w:lineRule="auto"/>
      </w:pPr>
      <w:r>
        <w:t xml:space="preserve">BNPL providers have varying assessment practices to check whether a person can afford to repay BNPL credit. These </w:t>
      </w:r>
      <w:r w:rsidR="003E0C0A">
        <w:t xml:space="preserve">practices range from </w:t>
      </w:r>
      <w:r>
        <w:t xml:space="preserve">no </w:t>
      </w:r>
      <w:r w:rsidR="003E0C0A">
        <w:t xml:space="preserve">affordability </w:t>
      </w:r>
      <w:r>
        <w:t xml:space="preserve">checks, </w:t>
      </w:r>
      <w:r w:rsidR="003E0C0A">
        <w:t xml:space="preserve">to </w:t>
      </w:r>
      <w:r>
        <w:t>checking of a person’s credit score, or checking income and expense details by screen scraping bank account statements. Treasury has observed that providers that have loan credit worthiness assessment systems in place for other regulated credit products tend to have more developed affordability assessment processes for BNPL. Consultations also heard that some BNPL providers supplement the lack of upfront checks with product features that minimised the credit risk for a person, such as freezing of accounts upon defaults and initially providing only low credit limit</w:t>
      </w:r>
      <w:r w:rsidR="0052158B">
        <w:t>s</w:t>
      </w:r>
      <w:r>
        <w:t xml:space="preserve">. </w:t>
      </w:r>
    </w:p>
    <w:p w14:paraId="6FA6923A" w14:textId="193A3756" w:rsidR="00107369" w:rsidRDefault="00107369" w:rsidP="00107369">
      <w:pPr>
        <w:spacing w:line="276" w:lineRule="auto"/>
      </w:pPr>
      <w:r>
        <w:t xml:space="preserve">While some providers conduct </w:t>
      </w:r>
      <w:r w:rsidR="007D0898">
        <w:t>some</w:t>
      </w:r>
      <w:r>
        <w:t xml:space="preserve"> affordability checks, BNPL providers’ checks </w:t>
      </w:r>
      <w:r w:rsidR="003E0DBF">
        <w:t>generally do not appear to satisfy the</w:t>
      </w:r>
      <w:r>
        <w:t xml:space="preserve"> RLO</w:t>
      </w:r>
      <w:r w:rsidR="002575CF">
        <w:t xml:space="preserve"> requirements</w:t>
      </w:r>
      <w:r>
        <w:t xml:space="preserve"> under the Credit Act. Of note, </w:t>
      </w:r>
      <w:r w:rsidR="002575CF">
        <w:t xml:space="preserve">any </w:t>
      </w:r>
      <w:r>
        <w:t xml:space="preserve">checks by BNPL providers </w:t>
      </w:r>
      <w:r w:rsidR="003E0C0A">
        <w:t>do</w:t>
      </w:r>
      <w:r>
        <w:t xml:space="preserve"> not </w:t>
      </w:r>
      <w:r w:rsidR="003E0C0A">
        <w:t xml:space="preserve">include </w:t>
      </w:r>
      <w:r>
        <w:t>any verification of financial information</w:t>
      </w:r>
      <w:r w:rsidR="003E0C0A">
        <w:t>, nor do they</w:t>
      </w:r>
      <w:r>
        <w:t xml:space="preserve"> consider whether the BNPL credit meets the needs and objectives of the person. </w:t>
      </w:r>
    </w:p>
    <w:p w14:paraId="6444AC36" w14:textId="77777777" w:rsidR="00107369" w:rsidRPr="00A3325C" w:rsidRDefault="00107369" w:rsidP="00D94A3C">
      <w:pPr>
        <w:pStyle w:val="Heading4"/>
      </w:pPr>
      <w:r w:rsidRPr="00A3325C">
        <w:t>Fees</w:t>
      </w:r>
    </w:p>
    <w:p w14:paraId="398F783F" w14:textId="0F2C6A30" w:rsidR="00107369" w:rsidRDefault="00107369" w:rsidP="00107369">
      <w:pPr>
        <w:spacing w:line="276" w:lineRule="auto"/>
      </w:pPr>
      <w:r>
        <w:t>BNPL</w:t>
      </w:r>
      <w:r w:rsidDel="00EF3679">
        <w:t xml:space="preserve"> </w:t>
      </w:r>
      <w:r w:rsidR="00EF3679">
        <w:t xml:space="preserve">products </w:t>
      </w:r>
      <w:r>
        <w:t xml:space="preserve">in Australia do not charge interest on owed amounts, </w:t>
      </w:r>
      <w:r w:rsidR="00AA5727">
        <w:t xml:space="preserve">and </w:t>
      </w:r>
      <w:r>
        <w:t>instead many providers charge consumers fixed account establishment</w:t>
      </w:r>
      <w:r w:rsidR="00560C74">
        <w:t xml:space="preserve"> fees</w:t>
      </w:r>
      <w:r w:rsidR="00AA5727">
        <w:t>,</w:t>
      </w:r>
      <w:r>
        <w:t xml:space="preserve"> account keeping fees</w:t>
      </w:r>
      <w:r w:rsidR="00AA5727">
        <w:t>,</w:t>
      </w:r>
      <w:r>
        <w:t xml:space="preserve"> and </w:t>
      </w:r>
      <w:r w:rsidR="003937ED">
        <w:t xml:space="preserve">fees for missed or </w:t>
      </w:r>
      <w:r>
        <w:t xml:space="preserve">late payments. </w:t>
      </w:r>
      <w:r w:rsidR="00BB3D2E">
        <w:t>T</w:t>
      </w:r>
      <w:r>
        <w:t>he type and amount of fees charged by BNPL providers varie</w:t>
      </w:r>
      <w:r w:rsidR="00560C74">
        <w:t>s</w:t>
      </w:r>
      <w:r>
        <w:t xml:space="preserve"> significantly from product to product. </w:t>
      </w:r>
      <w:r w:rsidR="00560C74">
        <w:t>S</w:t>
      </w:r>
      <w:r>
        <w:t xml:space="preserve">ome BNPL products have no fees if </w:t>
      </w:r>
      <w:r w:rsidR="003937ED">
        <w:t xml:space="preserve">consumers make </w:t>
      </w:r>
      <w:r>
        <w:t xml:space="preserve">repayments on time. </w:t>
      </w:r>
    </w:p>
    <w:p w14:paraId="5004E08D" w14:textId="6988E2BE" w:rsidR="00107369" w:rsidRDefault="00107369" w:rsidP="00107369">
      <w:pPr>
        <w:spacing w:line="276" w:lineRule="auto"/>
      </w:pPr>
      <w:r>
        <w:t>Some BNPL providers cap the amount of late payment fees they may charge a consumer for a transaction or in a year. However, the cap on late payment fees varies from product to product and there appears to be no industry consistency in the way the cap is set.</w:t>
      </w:r>
      <w:r w:rsidRPr="00BC4CE8">
        <w:t xml:space="preserve"> </w:t>
      </w:r>
    </w:p>
    <w:p w14:paraId="66276EFE" w14:textId="6CD799E5" w:rsidR="00107369" w:rsidRDefault="00107369" w:rsidP="00107369">
      <w:pPr>
        <w:spacing w:line="276" w:lineRule="auto"/>
      </w:pPr>
      <w:r>
        <w:t>Some BNPL providers also charge fees to merchants</w:t>
      </w:r>
      <w:r w:rsidR="00BC3DE6">
        <w:t>,</w:t>
      </w:r>
      <w:r>
        <w:t xml:space="preserve"> usually by </w:t>
      </w:r>
      <w:r w:rsidR="00BC3DE6">
        <w:t xml:space="preserve">taking a fee out of </w:t>
      </w:r>
      <w:r>
        <w:t xml:space="preserve">the purchase price that is financed by the BNPL provider. Merchant fees also vary significantly between </w:t>
      </w:r>
      <w:r w:rsidR="00161CBA">
        <w:t>providers and</w:t>
      </w:r>
      <w:r w:rsidR="00BC3DE6">
        <w:t xml:space="preserve"> depend on </w:t>
      </w:r>
      <w:r>
        <w:t xml:space="preserve">the amount financed and the duration of the finance. </w:t>
      </w:r>
      <w:r w:rsidR="009307A0">
        <w:t xml:space="preserve">For example, </w:t>
      </w:r>
      <w:r>
        <w:t xml:space="preserve">BNPL </w:t>
      </w:r>
      <w:r w:rsidR="00D61DE8">
        <w:t xml:space="preserve">provided </w:t>
      </w:r>
      <w:r>
        <w:t>through card scheme</w:t>
      </w:r>
      <w:r w:rsidR="00D61DE8">
        <w:t>s</w:t>
      </w:r>
      <w:r w:rsidR="00B546D9">
        <w:t>, such as Mastercard and VISA,</w:t>
      </w:r>
      <w:r>
        <w:t xml:space="preserve"> involve interchange</w:t>
      </w:r>
      <w:r w:rsidR="00EA1E1E">
        <w:t>-</w:t>
      </w:r>
      <w:r>
        <w:t xml:space="preserve">like fees </w:t>
      </w:r>
      <w:r w:rsidR="00EA1E1E">
        <w:t xml:space="preserve">being charged </w:t>
      </w:r>
      <w:r>
        <w:t>to the merchants’ banks, which are then passed onto the merchant. These tend to be significant</w:t>
      </w:r>
      <w:r w:rsidR="00D61DE8">
        <w:t>ly</w:t>
      </w:r>
      <w:r>
        <w:t xml:space="preserve"> lower charges than </w:t>
      </w:r>
      <w:r w:rsidR="00AE375E">
        <w:t>merchant servicing fees charged by BNPL providers that have a bespoke contractual arrangement with a merchant</w:t>
      </w:r>
      <w:r>
        <w:t>.</w:t>
      </w:r>
    </w:p>
    <w:p w14:paraId="11D9E416" w14:textId="5ED26CC6" w:rsidR="00107369" w:rsidRDefault="00107369" w:rsidP="00107369">
      <w:pPr>
        <w:spacing w:line="276" w:lineRule="auto"/>
      </w:pPr>
      <w:r>
        <w:t xml:space="preserve">Usually, there are </w:t>
      </w:r>
      <w:r w:rsidR="00F11EEE">
        <w:t xml:space="preserve">also </w:t>
      </w:r>
      <w:r>
        <w:t xml:space="preserve">contractual arrangements in place that prevent the merchant passing on this fee to the consumer. However, some surveys have indicated that some consumers are still seeing higher prices being charged for individual products if they seek to use BNPL (to cover the merchant fees). There are also concerns that merchant fees are being built into the prices of goods and services in general – even when they are purchased by persons not using BNPL. </w:t>
      </w:r>
      <w:r w:rsidR="00F415E4">
        <w:t>What this means is that</w:t>
      </w:r>
      <w:r w:rsidR="007B6627">
        <w:t xml:space="preserve"> some of the cost of </w:t>
      </w:r>
      <w:r w:rsidR="004A7FBF">
        <w:t>using a BNPL</w:t>
      </w:r>
      <w:r w:rsidR="00F415E4">
        <w:t xml:space="preserve"> product</w:t>
      </w:r>
      <w:r w:rsidR="004A7FBF">
        <w:t xml:space="preserve"> may be transferred to</w:t>
      </w:r>
      <w:r w:rsidR="007B6627">
        <w:t xml:space="preserve"> non-BNPL consumers</w:t>
      </w:r>
      <w:r w:rsidR="004A7FBF">
        <w:t xml:space="preserve"> </w:t>
      </w:r>
      <w:r w:rsidR="00F415E4">
        <w:t xml:space="preserve">who </w:t>
      </w:r>
      <w:r w:rsidR="002F42F5">
        <w:t xml:space="preserve">are </w:t>
      </w:r>
      <w:r w:rsidR="006E5FC7">
        <w:t xml:space="preserve">partially </w:t>
      </w:r>
      <w:r w:rsidR="002F42F5">
        <w:t xml:space="preserve">absorbing </w:t>
      </w:r>
      <w:r w:rsidR="00993B46">
        <w:t>a merchant’s</w:t>
      </w:r>
      <w:r w:rsidR="004A2ECF">
        <w:t xml:space="preserve"> additional costs for </w:t>
      </w:r>
      <w:r w:rsidR="00980AF6">
        <w:t xml:space="preserve">participating in BNPL. </w:t>
      </w:r>
    </w:p>
    <w:p w14:paraId="0E57926D" w14:textId="3A538359" w:rsidR="00746AFE" w:rsidRDefault="00622823" w:rsidP="00707C10">
      <w:pPr>
        <w:pStyle w:val="Heading1"/>
      </w:pPr>
      <w:r>
        <w:br w:type="column"/>
      </w:r>
      <w:bookmarkStart w:id="31" w:name="_Toc119916368"/>
      <w:r w:rsidR="00215282">
        <w:lastRenderedPageBreak/>
        <w:t xml:space="preserve">Attachment </w:t>
      </w:r>
      <w:r>
        <w:t>B</w:t>
      </w:r>
      <w:r w:rsidR="00215282">
        <w:t xml:space="preserve"> – International developments</w:t>
      </w:r>
      <w:bookmarkEnd w:id="31"/>
    </w:p>
    <w:p w14:paraId="678C30C3" w14:textId="77777777" w:rsidR="00613755" w:rsidRDefault="00613755" w:rsidP="00613755">
      <w:pPr>
        <w:pStyle w:val="Heading4"/>
      </w:pPr>
      <w:r>
        <w:t>New Zealand</w:t>
      </w:r>
    </w:p>
    <w:p w14:paraId="5A0C6BC0" w14:textId="353BF463" w:rsidR="00613755" w:rsidRDefault="00613755" w:rsidP="00613755">
      <w:pPr>
        <w:pStyle w:val="Bullet"/>
        <w:numPr>
          <w:ilvl w:val="0"/>
          <w:numId w:val="0"/>
        </w:numPr>
      </w:pPr>
      <w:r>
        <w:t xml:space="preserve">In November 2022, the New Zealand (NZ) Minister for Commerce and Consumer Affairs announced the Government’s intentions to apply its </w:t>
      </w:r>
      <w:r w:rsidRPr="0018395C">
        <w:rPr>
          <w:i/>
        </w:rPr>
        <w:t xml:space="preserve">Credit Contracts and Consumer Finance Act </w:t>
      </w:r>
      <w:r w:rsidR="00F747C2" w:rsidRPr="0018395C">
        <w:rPr>
          <w:i/>
          <w:iCs/>
        </w:rPr>
        <w:t>2003</w:t>
      </w:r>
      <w:r>
        <w:t xml:space="preserve"> (CCCFA) to BNPL arrangements.</w:t>
      </w:r>
      <w:r>
        <w:rPr>
          <w:rStyle w:val="FootnoteReference"/>
        </w:rPr>
        <w:footnoteReference w:id="41"/>
      </w:r>
      <w:r>
        <w:t xml:space="preserve"> Key requirements </w:t>
      </w:r>
      <w:r w:rsidR="0086179D">
        <w:t>applying</w:t>
      </w:r>
      <w:r>
        <w:t xml:space="preserve"> to BNPL include:</w:t>
      </w:r>
    </w:p>
    <w:p w14:paraId="298E9CC9" w14:textId="4E3916F5" w:rsidR="00613755" w:rsidRDefault="00D742A0" w:rsidP="003C712B">
      <w:pPr>
        <w:pStyle w:val="Bullet"/>
        <w:numPr>
          <w:ilvl w:val="0"/>
          <w:numId w:val="16"/>
        </w:numPr>
      </w:pPr>
      <w:r>
        <w:t xml:space="preserve">Scalable affordability assessments </w:t>
      </w:r>
      <w:r w:rsidR="00613755">
        <w:t>–</w:t>
      </w:r>
      <w:r>
        <w:t xml:space="preserve"> </w:t>
      </w:r>
      <w:r w:rsidR="00613755">
        <w:t xml:space="preserve">smaller loans below a threshold </w:t>
      </w:r>
      <w:r w:rsidR="00BC6418">
        <w:t>(following consultations)</w:t>
      </w:r>
      <w:r w:rsidR="00613755">
        <w:t xml:space="preserve"> will be exempt from the requirement to assess affordability, so long as they carry out credit reporting. For loans above the threshold, BNPL lenders will be required to assess affordability. </w:t>
      </w:r>
    </w:p>
    <w:p w14:paraId="689ED52A" w14:textId="33029019" w:rsidR="007F5EDD" w:rsidRDefault="00613755" w:rsidP="00D94A3C">
      <w:pPr>
        <w:pStyle w:val="Bullet"/>
        <w:numPr>
          <w:ilvl w:val="0"/>
          <w:numId w:val="16"/>
        </w:numPr>
      </w:pPr>
      <w:r>
        <w:t>Additional obligations will apply to BNPL lenders who are exempt from affordability assessment requirements:</w:t>
      </w:r>
    </w:p>
    <w:p w14:paraId="2908251D" w14:textId="23919F91" w:rsidR="007F5EDD" w:rsidRDefault="008A0D63" w:rsidP="0018395C">
      <w:pPr>
        <w:pStyle w:val="Bullet"/>
        <w:numPr>
          <w:ilvl w:val="1"/>
          <w:numId w:val="16"/>
        </w:numPr>
      </w:pPr>
      <w:r>
        <w:t>C</w:t>
      </w:r>
      <w:r w:rsidR="00613755">
        <w:t>omprehensive credit checks with a credit reporting agency</w:t>
      </w:r>
      <w:r w:rsidR="00F814D1">
        <w:t xml:space="preserve">; and </w:t>
      </w:r>
    </w:p>
    <w:p w14:paraId="182B72AF" w14:textId="3610A67E" w:rsidR="00613755" w:rsidRDefault="00A75C00" w:rsidP="0018395C">
      <w:pPr>
        <w:pStyle w:val="Bullet"/>
        <w:numPr>
          <w:ilvl w:val="1"/>
          <w:numId w:val="16"/>
        </w:numPr>
      </w:pPr>
      <w:r>
        <w:t>R</w:t>
      </w:r>
      <w:r w:rsidR="00613755">
        <w:t xml:space="preserve">epayment schedule and late fee </w:t>
      </w:r>
      <w:r>
        <w:t xml:space="preserve">disclosure requirements for </w:t>
      </w:r>
      <w:r w:rsidR="008A0D63">
        <w:t>each</w:t>
      </w:r>
      <w:r w:rsidR="00613755">
        <w:t xml:space="preserve"> purchase.</w:t>
      </w:r>
    </w:p>
    <w:p w14:paraId="55DB5E18" w14:textId="24A353D8" w:rsidR="00613755" w:rsidRPr="0055383B" w:rsidRDefault="00613755" w:rsidP="003C712B">
      <w:pPr>
        <w:pStyle w:val="Bullet"/>
        <w:numPr>
          <w:ilvl w:val="0"/>
          <w:numId w:val="16"/>
        </w:numPr>
      </w:pPr>
      <w:r w:rsidRPr="0055383B">
        <w:t>General lender responsibilities including assisting borrowers to make informed decisions and treating them reasonably and ethically.</w:t>
      </w:r>
    </w:p>
    <w:p w14:paraId="5BB5933D" w14:textId="77777777" w:rsidR="00613755" w:rsidRPr="0055383B" w:rsidRDefault="00613755" w:rsidP="003C712B">
      <w:pPr>
        <w:pStyle w:val="Bullet"/>
        <w:numPr>
          <w:ilvl w:val="0"/>
          <w:numId w:val="16"/>
        </w:numPr>
      </w:pPr>
      <w:r w:rsidRPr="0055383B">
        <w:t>Borrowers will be protected from unreasonable default fees.</w:t>
      </w:r>
    </w:p>
    <w:p w14:paraId="5FDE60CD" w14:textId="77777777" w:rsidR="00613755" w:rsidRPr="0055383B" w:rsidRDefault="00613755" w:rsidP="003C712B">
      <w:pPr>
        <w:pStyle w:val="Bullet"/>
        <w:numPr>
          <w:ilvl w:val="0"/>
          <w:numId w:val="16"/>
        </w:numPr>
      </w:pPr>
      <w:r w:rsidRPr="0055383B">
        <w:t>Borrowers facing unforeseen hardship can apply to the lender to have their repayment contract varied.</w:t>
      </w:r>
    </w:p>
    <w:p w14:paraId="713489E9" w14:textId="77777777" w:rsidR="00613755" w:rsidRPr="0055383B" w:rsidRDefault="00613755" w:rsidP="003C712B">
      <w:pPr>
        <w:pStyle w:val="Bullet"/>
        <w:numPr>
          <w:ilvl w:val="0"/>
          <w:numId w:val="16"/>
        </w:numPr>
      </w:pPr>
      <w:r w:rsidRPr="0055383B">
        <w:t>BNPL lenders will need to be part of an external dispute resolution scheme and provide details of the scheme if borrowers make a complaint or hardship application. Consumers will be able to receive compensation and statutory damages from lenders who breach relevant CCCFA rules.</w:t>
      </w:r>
    </w:p>
    <w:p w14:paraId="079BB000" w14:textId="77777777" w:rsidR="00613755" w:rsidRPr="0055383B" w:rsidRDefault="00613755" w:rsidP="003C712B">
      <w:pPr>
        <w:pStyle w:val="Bullet"/>
        <w:numPr>
          <w:ilvl w:val="0"/>
          <w:numId w:val="16"/>
        </w:numPr>
      </w:pPr>
      <w:r w:rsidRPr="0055383B">
        <w:t>BNPL lenders will be required to provide information to borrowers who miss payments about financial mentoring services.</w:t>
      </w:r>
    </w:p>
    <w:p w14:paraId="7ABBA951" w14:textId="77777777" w:rsidR="00613755" w:rsidRPr="0055383B" w:rsidRDefault="00613755" w:rsidP="003C712B">
      <w:pPr>
        <w:pStyle w:val="Bullet"/>
        <w:numPr>
          <w:ilvl w:val="0"/>
          <w:numId w:val="16"/>
        </w:numPr>
      </w:pPr>
      <w:r w:rsidRPr="0055383B">
        <w:t>BNPL lenders will have to disclose key information about credit contracts and any variations.</w:t>
      </w:r>
    </w:p>
    <w:p w14:paraId="0C5B86E9" w14:textId="77777777" w:rsidR="00613755" w:rsidRPr="00EA3794" w:rsidRDefault="00613755" w:rsidP="003C712B">
      <w:pPr>
        <w:pStyle w:val="Bullet"/>
        <w:numPr>
          <w:ilvl w:val="0"/>
          <w:numId w:val="16"/>
        </w:numPr>
      </w:pPr>
      <w:r w:rsidRPr="0055383B">
        <w:t>Directors and senior management of BNPL lenders are required to be certified by the Commerce Commission to be fit and proper persons for their respective positions.</w:t>
      </w:r>
      <w:r>
        <w:t xml:space="preserve"> </w:t>
      </w:r>
      <w:r w:rsidRPr="0055383B">
        <w:t>Directors and senior management will be subject to due diligence duties.</w:t>
      </w:r>
    </w:p>
    <w:p w14:paraId="21C7B233" w14:textId="77777777" w:rsidR="00882A15" w:rsidRDefault="00882A15">
      <w:pPr>
        <w:spacing w:before="0" w:after="160" w:line="259" w:lineRule="auto"/>
        <w:rPr>
          <w:rFonts w:cs="Arial"/>
          <w:color w:val="4D7861" w:themeColor="accent2"/>
          <w:kern w:val="32"/>
          <w:sz w:val="24"/>
          <w:szCs w:val="26"/>
        </w:rPr>
      </w:pPr>
      <w:r>
        <w:br w:type="page"/>
      </w:r>
    </w:p>
    <w:p w14:paraId="32BE7F1E" w14:textId="77777777" w:rsidR="00215282" w:rsidRDefault="00215282" w:rsidP="00215282">
      <w:pPr>
        <w:pStyle w:val="Heading4"/>
      </w:pPr>
      <w:r>
        <w:lastRenderedPageBreak/>
        <w:t>United Kingdom</w:t>
      </w:r>
    </w:p>
    <w:p w14:paraId="511F60B0" w14:textId="2AC8DAEE" w:rsidR="00215282" w:rsidRDefault="00215282" w:rsidP="00215282">
      <w:r>
        <w:t xml:space="preserve">In February 2021, following the release of the </w:t>
      </w:r>
      <w:r w:rsidRPr="001A77D1">
        <w:rPr>
          <w:i/>
          <w:iCs/>
        </w:rPr>
        <w:t>Woolard Review – a review into change and innovation in the unsecured consumer credit market</w:t>
      </w:r>
      <w:r>
        <w:rPr>
          <w:rStyle w:val="FootnoteReference"/>
          <w:i/>
          <w:iCs/>
        </w:rPr>
        <w:footnoteReference w:id="42"/>
      </w:r>
      <w:r>
        <w:t xml:space="preserve">, the United Kingdom (UK) government announced its intention to regulate interest-free BNPL products. The UK government published </w:t>
      </w:r>
      <w:r w:rsidR="001A751D">
        <w:t>a</w:t>
      </w:r>
      <w:r>
        <w:t xml:space="preserve"> consultation paper</w:t>
      </w:r>
      <w:r>
        <w:rPr>
          <w:rStyle w:val="FootnoteReference"/>
        </w:rPr>
        <w:footnoteReference w:id="43"/>
      </w:r>
      <w:r>
        <w:t xml:space="preserve"> on </w:t>
      </w:r>
      <w:r w:rsidR="008E35ED">
        <w:t>its</w:t>
      </w:r>
      <w:r>
        <w:t xml:space="preserve"> approach to the regulation of BNPL for public consultation on 21 October 2021.</w:t>
      </w:r>
    </w:p>
    <w:p w14:paraId="3BCD2205" w14:textId="77777777" w:rsidR="00215282" w:rsidRDefault="00215282" w:rsidP="00215282">
      <w:r>
        <w:t>In June 2022, the UK government released its response</w:t>
      </w:r>
      <w:r>
        <w:rPr>
          <w:rStyle w:val="FootnoteReference"/>
        </w:rPr>
        <w:footnoteReference w:id="44"/>
      </w:r>
      <w:r>
        <w:t xml:space="preserve"> to the submissions received from public consultation. The response announced that:</w:t>
      </w:r>
    </w:p>
    <w:p w14:paraId="479EEABD" w14:textId="77777777" w:rsidR="00215282" w:rsidRDefault="00215282" w:rsidP="003C712B">
      <w:pPr>
        <w:pStyle w:val="Bullet"/>
        <w:numPr>
          <w:ilvl w:val="0"/>
          <w:numId w:val="16"/>
        </w:numPr>
      </w:pPr>
      <w:r>
        <w:t>The scope of regulation should capture BNPL and other currently exempt arrangements when they are provided by third-party lenders.</w:t>
      </w:r>
    </w:p>
    <w:p w14:paraId="36A03518" w14:textId="77777777" w:rsidR="00215282" w:rsidRDefault="00215282" w:rsidP="003C712B">
      <w:pPr>
        <w:pStyle w:val="Bullet"/>
        <w:numPr>
          <w:ilvl w:val="0"/>
          <w:numId w:val="16"/>
        </w:numPr>
      </w:pPr>
      <w:r>
        <w:t>The government would consider extending the scope of regulation to also apply to BNPL and exempt arrangements provided directly by merchants.</w:t>
      </w:r>
    </w:p>
    <w:p w14:paraId="3B21AACB" w14:textId="77777777" w:rsidR="00215282" w:rsidRDefault="00215282" w:rsidP="003C712B">
      <w:pPr>
        <w:pStyle w:val="Bullet"/>
        <w:numPr>
          <w:ilvl w:val="0"/>
          <w:numId w:val="16"/>
        </w:numPr>
      </w:pPr>
      <w:r>
        <w:t>The government will put in place exemptions for specific agreements where there is limited risk of potential consumer harm, and where regulation would otherwise adversely impact day-to-day business activities.</w:t>
      </w:r>
    </w:p>
    <w:p w14:paraId="15A1F5C1" w14:textId="77777777" w:rsidR="00215282" w:rsidRDefault="00215282" w:rsidP="003C712B">
      <w:pPr>
        <w:pStyle w:val="Bullet"/>
        <w:numPr>
          <w:ilvl w:val="0"/>
          <w:numId w:val="16"/>
        </w:numPr>
      </w:pPr>
      <w:r>
        <w:t>The regulatory controls will be tailored under its consumer credit laws to products and the elements of lending practice most linked to potential consumer detriment.</w:t>
      </w:r>
    </w:p>
    <w:p w14:paraId="015DB5F3" w14:textId="63B5B40E" w:rsidR="00215282" w:rsidRDefault="00215282" w:rsidP="00215282">
      <w:pPr>
        <w:pStyle w:val="Bullet"/>
        <w:numPr>
          <w:ilvl w:val="0"/>
          <w:numId w:val="0"/>
        </w:numPr>
      </w:pPr>
      <w:r>
        <w:t xml:space="preserve">The response also noted </w:t>
      </w:r>
      <w:r w:rsidR="00EE1D2E">
        <w:t xml:space="preserve">that </w:t>
      </w:r>
      <w:r>
        <w:t>the government will further engage with stakeholders to settle details of draft legislation by the end of 2022.</w:t>
      </w:r>
    </w:p>
    <w:p w14:paraId="0319CDAC" w14:textId="59BC19F8" w:rsidR="00215282" w:rsidRDefault="003A3F80" w:rsidP="00215282">
      <w:pPr>
        <w:pStyle w:val="Bullet"/>
        <w:numPr>
          <w:ilvl w:val="0"/>
          <w:numId w:val="0"/>
        </w:numPr>
      </w:pPr>
      <w:r>
        <w:t>The</w:t>
      </w:r>
      <w:r w:rsidR="00215282">
        <w:t xml:space="preserve"> UK response has yet to provide details of how affordability tests will apply – although it has stated that they will.</w:t>
      </w:r>
    </w:p>
    <w:p w14:paraId="0FF40147" w14:textId="77777777" w:rsidR="00215282" w:rsidRDefault="00215282" w:rsidP="00215282">
      <w:pPr>
        <w:pStyle w:val="Heading4"/>
      </w:pPr>
      <w:r>
        <w:t>United States of America</w:t>
      </w:r>
    </w:p>
    <w:p w14:paraId="1EE1ABD7" w14:textId="28D45AF7" w:rsidR="00215282" w:rsidRDefault="00215282" w:rsidP="00215282">
      <w:pPr>
        <w:pStyle w:val="Bullet"/>
        <w:numPr>
          <w:ilvl w:val="0"/>
          <w:numId w:val="0"/>
        </w:numPr>
      </w:pPr>
      <w:r>
        <w:t xml:space="preserve">In the United States of America (USA), its </w:t>
      </w:r>
      <w:r w:rsidR="00292BED">
        <w:t xml:space="preserve">consumer </w:t>
      </w:r>
      <w:r>
        <w:t xml:space="preserve">financial regulator, the Consumer Financial Protection Bureau (CFPB) published </w:t>
      </w:r>
      <w:r w:rsidR="4D78F1AD">
        <w:t xml:space="preserve">a </w:t>
      </w:r>
      <w:r>
        <w:t>report</w:t>
      </w:r>
      <w:r>
        <w:rPr>
          <w:rStyle w:val="FootnoteReference"/>
        </w:rPr>
        <w:footnoteReference w:id="45"/>
      </w:r>
      <w:r>
        <w:t xml:space="preserve"> providing key insights on the BNPL industry in the USA. The report made commitments for </w:t>
      </w:r>
      <w:r w:rsidR="00C236B1">
        <w:t>the</w:t>
      </w:r>
      <w:r>
        <w:t xml:space="preserve"> CFPB to identify potential interpretive guidance or </w:t>
      </w:r>
      <w:r w:rsidR="00A86890">
        <w:t xml:space="preserve">regulations </w:t>
      </w:r>
      <w:r>
        <w:t>to ensure that BNPL lenders adhere to many of the baseline protections that Congress has already established for credit cards, including making BNPL subject to appropriate supervisory examinations</w:t>
      </w:r>
      <w:r w:rsidR="001A4CE1">
        <w:t xml:space="preserve"> </w:t>
      </w:r>
      <w:r>
        <w:t>and developing appropriate and accurate credit reporting practices.</w:t>
      </w:r>
    </w:p>
    <w:p w14:paraId="695C3C68" w14:textId="3D0305D2" w:rsidR="00215282" w:rsidRPr="00EA3794" w:rsidRDefault="00982666" w:rsidP="00A95EA7">
      <w:pPr>
        <w:pStyle w:val="Bullet"/>
        <w:numPr>
          <w:ilvl w:val="0"/>
          <w:numId w:val="0"/>
        </w:numPr>
      </w:pPr>
      <w:r>
        <w:t>R</w:t>
      </w:r>
      <w:r w:rsidR="00215282">
        <w:t xml:space="preserve">egulation of BNPL in the USA varies </w:t>
      </w:r>
      <w:r>
        <w:t xml:space="preserve">between </w:t>
      </w:r>
      <w:r w:rsidR="009E502D">
        <w:t>different state jurisdictions</w:t>
      </w:r>
      <w:r w:rsidR="00215282">
        <w:t xml:space="preserve">, where some states consider BNPL to be consumer credit and require state licensing or registration as well as compliance with state consumer credit laws, while other states do not require licensing or registration. </w:t>
      </w:r>
    </w:p>
    <w:sectPr w:rsidR="00215282" w:rsidRPr="00EA3794" w:rsidSect="009927E5">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9A36" w14:textId="77777777" w:rsidR="00967853" w:rsidRDefault="00967853">
      <w:pPr>
        <w:spacing w:before="0" w:after="0"/>
      </w:pPr>
      <w:r>
        <w:separator/>
      </w:r>
    </w:p>
  </w:endnote>
  <w:endnote w:type="continuationSeparator" w:id="0">
    <w:p w14:paraId="314A35C3" w14:textId="77777777" w:rsidR="00967853" w:rsidRDefault="00967853">
      <w:pPr>
        <w:spacing w:before="0" w:after="0"/>
      </w:pPr>
      <w:r>
        <w:continuationSeparator/>
      </w:r>
    </w:p>
  </w:endnote>
  <w:endnote w:type="continuationNotice" w:id="1">
    <w:p w14:paraId="3AFC7FDF" w14:textId="77777777" w:rsidR="00967853" w:rsidRDefault="009678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4F04"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9DA3" w14:textId="3A90EB5E" w:rsidR="009927E5" w:rsidRPr="008043EA" w:rsidRDefault="009927E5" w:rsidP="0009151A">
    <w:r w:rsidRPr="00742366">
      <w:rPr>
        <w:noProof/>
      </w:rPr>
      <w:drawing>
        <wp:anchor distT="0" distB="0" distL="114300" distR="114300" simplePos="0" relativeHeight="251658241" behindDoc="1" locked="1" layoutInCell="1" allowOverlap="1" wp14:anchorId="289C640F" wp14:editId="12B757F0">
          <wp:simplePos x="0" y="0"/>
          <wp:positionH relativeFrom="margin">
            <wp:posOffset>5459095</wp:posOffset>
          </wp:positionH>
          <wp:positionV relativeFrom="page">
            <wp:posOffset>3280410</wp:posOffset>
          </wp:positionV>
          <wp:extent cx="7574280" cy="1043940"/>
          <wp:effectExtent l="762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EB5466A" wp14:editId="2B5B1B2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967853">
      <w:fldChar w:fldCharType="begin"/>
    </w:r>
    <w:r w:rsidR="00967853">
      <w:instrText>STYLEREF  "Heading 1"  \* MERGEFORMAT</w:instrText>
    </w:r>
    <w:r w:rsidR="00967853">
      <w:fldChar w:fldCharType="separate"/>
    </w:r>
    <w:r w:rsidR="002067B3">
      <w:rPr>
        <w:noProof/>
      </w:rPr>
      <w:t>Contents</w:t>
    </w:r>
    <w:r w:rsidR="00967853">
      <w:rPr>
        <w:noProof/>
      </w:rPr>
      <w:fldChar w:fldCharType="end"/>
    </w:r>
    <w:r>
      <w:t xml:space="preserve"> | </w:t>
    </w:r>
    <w:r>
      <w:fldChar w:fldCharType="begin"/>
    </w:r>
    <w:r>
      <w:instrText xml:space="preserve"> PAGE   \* MERGEFORMAT </w:instrText>
    </w:r>
    <w:r>
      <w:fldChar w:fldCharType="separate"/>
    </w:r>
    <w:r>
      <w:t>1</w:t>
    </w:r>
    <w:r>
      <w:fldChar w:fldCharType="end"/>
    </w:r>
  </w:p>
  <w:p w14:paraId="772E566B"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DE1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FA34" w14:textId="2ADDC3B3" w:rsidR="00E81A40" w:rsidRPr="00E13E90" w:rsidRDefault="00E81A40" w:rsidP="00E13E90">
    <w:pPr>
      <w:pStyle w:val="Footer"/>
    </w:pPr>
    <w:r w:rsidRPr="00742366">
      <w:drawing>
        <wp:anchor distT="0" distB="0" distL="114300" distR="114300" simplePos="0" relativeHeight="251658243" behindDoc="1" locked="1" layoutInCell="1" allowOverlap="1" wp14:anchorId="5DE1FE2D" wp14:editId="41E0E874">
          <wp:simplePos x="0" y="0"/>
          <wp:positionH relativeFrom="margin">
            <wp:posOffset>5459095</wp:posOffset>
          </wp:positionH>
          <wp:positionV relativeFrom="page">
            <wp:posOffset>3280410</wp:posOffset>
          </wp:positionV>
          <wp:extent cx="7574280" cy="1043940"/>
          <wp:effectExtent l="762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C427764" wp14:editId="4CEB1B95">
          <wp:extent cx="1324800" cy="201600"/>
          <wp:effectExtent l="0" t="0" r="0" b="8255"/>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967853">
      <w:fldChar w:fldCharType="begin"/>
    </w:r>
    <w:r w:rsidR="00967853">
      <w:instrText>STYLEREF  "Heading 1"  \* MERGEFORMAT</w:instrText>
    </w:r>
    <w:r w:rsidR="00967853">
      <w:fldChar w:fldCharType="separate"/>
    </w:r>
    <w:r w:rsidR="005D2DF3">
      <w:t>The regulation of BNPL in Australia</w:t>
    </w:r>
    <w:r w:rsidR="00967853">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83E8"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8807" w14:textId="77777777" w:rsidR="00967853" w:rsidRDefault="00967853">
      <w:pPr>
        <w:spacing w:before="0" w:after="0"/>
      </w:pPr>
      <w:r>
        <w:separator/>
      </w:r>
    </w:p>
  </w:footnote>
  <w:footnote w:type="continuationSeparator" w:id="0">
    <w:p w14:paraId="1F9EF988" w14:textId="77777777" w:rsidR="00967853" w:rsidRDefault="00967853">
      <w:pPr>
        <w:spacing w:before="0" w:after="0"/>
      </w:pPr>
      <w:r>
        <w:continuationSeparator/>
      </w:r>
    </w:p>
  </w:footnote>
  <w:footnote w:type="continuationNotice" w:id="1">
    <w:p w14:paraId="596F6226" w14:textId="77777777" w:rsidR="00967853" w:rsidRDefault="00967853">
      <w:pPr>
        <w:spacing w:before="0" w:after="0"/>
      </w:pPr>
    </w:p>
  </w:footnote>
  <w:footnote w:id="2">
    <w:p w14:paraId="7BAEA6F6" w14:textId="77777777" w:rsidR="00A43A7E" w:rsidRPr="0004026F" w:rsidRDefault="00A43A7E" w:rsidP="00A43A7E">
      <w:pPr>
        <w:pStyle w:val="FootnoteText"/>
      </w:pPr>
      <w:r w:rsidRPr="0018395C">
        <w:rPr>
          <w:rStyle w:val="FootnoteReference"/>
          <w:sz w:val="20"/>
        </w:rPr>
        <w:footnoteRef/>
      </w:r>
      <w:r>
        <w:t xml:space="preserve"> Subsections 6(1) and 6(5) of the National Credit Code.</w:t>
      </w:r>
    </w:p>
  </w:footnote>
  <w:footnote w:id="3">
    <w:p w14:paraId="7F201EC6" w14:textId="1DBAA97A" w:rsidR="00C45854" w:rsidRPr="00014872" w:rsidRDefault="00C45854" w:rsidP="00C45854">
      <w:pPr>
        <w:pStyle w:val="FootnoteText"/>
      </w:pPr>
      <w:r w:rsidRPr="0018395C">
        <w:rPr>
          <w:rStyle w:val="FootnoteReference"/>
          <w:sz w:val="20"/>
        </w:rPr>
        <w:footnoteRef/>
      </w:r>
      <w:r w:rsidRPr="00014872">
        <w:t xml:space="preserve"> </w:t>
      </w:r>
      <w:r w:rsidR="00A34EAE" w:rsidRPr="0018395C">
        <w:t xml:space="preserve">The Reserve Bank of Australia, </w:t>
      </w:r>
      <w:r w:rsidR="00561AAD" w:rsidRPr="0018395C">
        <w:t>Payments System Board Annual Report, 2022</w:t>
      </w:r>
      <w:r w:rsidRPr="0018395C">
        <w:t>.</w:t>
      </w:r>
    </w:p>
  </w:footnote>
  <w:footnote w:id="4">
    <w:p w14:paraId="08E31621" w14:textId="70B75585" w:rsidR="00834599" w:rsidRDefault="00834599">
      <w:pPr>
        <w:pStyle w:val="FootnoteText"/>
      </w:pPr>
      <w:r>
        <w:rPr>
          <w:rStyle w:val="FootnoteReference"/>
        </w:rPr>
        <w:footnoteRef/>
      </w:r>
      <w:r>
        <w:t xml:space="preserve"> </w:t>
      </w:r>
      <w:r w:rsidRPr="0018395C">
        <w:rPr>
          <w:i/>
          <w:iCs/>
        </w:rPr>
        <w:t>Ibid</w:t>
      </w:r>
    </w:p>
  </w:footnote>
  <w:footnote w:id="5">
    <w:p w14:paraId="76374E6C" w14:textId="07B62AFE" w:rsidR="004D16AF" w:rsidRPr="0018395C" w:rsidRDefault="004D16AF" w:rsidP="00D94A3C">
      <w:pPr>
        <w:spacing w:before="0" w:after="0"/>
        <w:rPr>
          <w:sz w:val="20"/>
        </w:rPr>
      </w:pPr>
      <w:r w:rsidRPr="00D94A3C">
        <w:rPr>
          <w:rStyle w:val="FootnoteReference"/>
          <w:sz w:val="20"/>
        </w:rPr>
        <w:footnoteRef/>
      </w:r>
      <w:r w:rsidRPr="00DD12EC">
        <w:rPr>
          <w:sz w:val="20"/>
        </w:rPr>
        <w:t xml:space="preserve"> Ordinarily, default, late and missed payment fees are not considered a fee for providing the credit, rather a fee for contravention of any contract terms. </w:t>
      </w:r>
    </w:p>
  </w:footnote>
  <w:footnote w:id="6">
    <w:p w14:paraId="5539B324" w14:textId="3E19B986" w:rsidR="00274269" w:rsidRPr="000D7946" w:rsidRDefault="00274269" w:rsidP="00274269">
      <w:pPr>
        <w:pStyle w:val="FootnoteText"/>
      </w:pPr>
      <w:r w:rsidRPr="0018395C">
        <w:rPr>
          <w:rStyle w:val="FootnoteReference"/>
          <w:sz w:val="20"/>
        </w:rPr>
        <w:footnoteRef/>
      </w:r>
      <w:r>
        <w:t xml:space="preserve"> S</w:t>
      </w:r>
      <w:r w:rsidR="007A60CC">
        <w:t>ection</w:t>
      </w:r>
      <w:r>
        <w:t xml:space="preserve"> 6(5) of the National Credit Code (Schedule 1 to the </w:t>
      </w:r>
      <w:r>
        <w:rPr>
          <w:i/>
          <w:iCs/>
        </w:rPr>
        <w:t>National Consumer Credit Protection Act 2009</w:t>
      </w:r>
      <w:r>
        <w:t>).</w:t>
      </w:r>
    </w:p>
  </w:footnote>
  <w:footnote w:id="7">
    <w:p w14:paraId="219A5E59" w14:textId="1D047867" w:rsidR="00274269" w:rsidRDefault="00274269" w:rsidP="00274269">
      <w:pPr>
        <w:pStyle w:val="FootnoteText"/>
      </w:pPr>
      <w:r w:rsidRPr="0018395C">
        <w:rPr>
          <w:rStyle w:val="FootnoteReference"/>
          <w:sz w:val="20"/>
        </w:rPr>
        <w:footnoteRef/>
      </w:r>
      <w:r>
        <w:t xml:space="preserve"> </w:t>
      </w:r>
      <w:r w:rsidRPr="009771FA">
        <w:rPr>
          <w:rFonts w:cstheme="minorHAnsi"/>
        </w:rPr>
        <w:t xml:space="preserve">Regulation 51 </w:t>
      </w:r>
      <w:r w:rsidR="001C4578">
        <w:rPr>
          <w:rFonts w:cstheme="minorHAnsi"/>
        </w:rPr>
        <w:t>of the</w:t>
      </w:r>
      <w:r w:rsidRPr="009771FA">
        <w:rPr>
          <w:rFonts w:cstheme="minorHAnsi"/>
        </w:rPr>
        <w:t xml:space="preserve"> </w:t>
      </w:r>
      <w:r w:rsidRPr="008D3893">
        <w:rPr>
          <w:rFonts w:cstheme="minorHAnsi"/>
          <w:i/>
          <w:iCs/>
        </w:rPr>
        <w:t>National Consumer Credit Protection Regulations 2010</w:t>
      </w:r>
      <w:r>
        <w:rPr>
          <w:rFonts w:cstheme="minorHAnsi"/>
          <w:i/>
          <w:iCs/>
        </w:rPr>
        <w:t>.</w:t>
      </w:r>
    </w:p>
  </w:footnote>
  <w:footnote w:id="8">
    <w:p w14:paraId="234056DB" w14:textId="1B986382" w:rsidR="008214A0" w:rsidRPr="0018395C" w:rsidRDefault="008214A0" w:rsidP="00D94A3C">
      <w:pPr>
        <w:spacing w:before="0" w:after="0"/>
        <w:rPr>
          <w:sz w:val="20"/>
        </w:rPr>
      </w:pPr>
      <w:r w:rsidRPr="00D94A3C">
        <w:rPr>
          <w:rStyle w:val="FootnoteReference"/>
          <w:sz w:val="20"/>
        </w:rPr>
        <w:footnoteRef/>
      </w:r>
      <w:r w:rsidRPr="000D7946">
        <w:rPr>
          <w:sz w:val="20"/>
        </w:rPr>
        <w:t xml:space="preserve"> ASIC Regulatory Guide 209 gives guidance </w:t>
      </w:r>
      <w:r w:rsidR="00A326F1">
        <w:rPr>
          <w:sz w:val="20"/>
        </w:rPr>
        <w:t>to</w:t>
      </w:r>
      <w:r w:rsidR="00A326F1" w:rsidRPr="000D7946">
        <w:rPr>
          <w:sz w:val="20"/>
        </w:rPr>
        <w:t xml:space="preserve"> </w:t>
      </w:r>
      <w:r w:rsidRPr="000D7946">
        <w:rPr>
          <w:sz w:val="20"/>
        </w:rPr>
        <w:t>the industry on what ASIC considers is required under the RLOs in the Credit Act.</w:t>
      </w:r>
    </w:p>
  </w:footnote>
  <w:footnote w:id="9">
    <w:p w14:paraId="687A345D" w14:textId="75B272DE" w:rsidR="00FB1693" w:rsidRDefault="00FB1693" w:rsidP="00C5463B">
      <w:pPr>
        <w:pStyle w:val="FootnoteText"/>
        <w:ind w:left="0" w:firstLine="0"/>
      </w:pPr>
      <w:r w:rsidRPr="0018395C">
        <w:rPr>
          <w:rStyle w:val="FootnoteReference"/>
          <w:sz w:val="20"/>
        </w:rPr>
        <w:footnoteRef/>
      </w:r>
      <w:r>
        <w:t xml:space="preserve"> While financial products and services have been explicitly excluded from the Australian </w:t>
      </w:r>
      <w:r w:rsidR="000727C8">
        <w:t>C</w:t>
      </w:r>
      <w:r>
        <w:t xml:space="preserve">onsumer </w:t>
      </w:r>
      <w:r w:rsidR="000727C8">
        <w:t>L</w:t>
      </w:r>
      <w:r>
        <w:t xml:space="preserve">aw, some peripheral conduct may still fall under </w:t>
      </w:r>
      <w:r w:rsidR="00F1209E">
        <w:t>its remit</w:t>
      </w:r>
      <w:r>
        <w:t xml:space="preserve">. </w:t>
      </w:r>
    </w:p>
  </w:footnote>
  <w:footnote w:id="10">
    <w:p w14:paraId="04EE02BB" w14:textId="3691990F" w:rsidR="00AA2224" w:rsidRPr="00AF3E91" w:rsidRDefault="00AA2224" w:rsidP="00DE77C9">
      <w:pPr>
        <w:pStyle w:val="FootnoteText"/>
        <w:ind w:left="0" w:firstLine="0"/>
      </w:pPr>
      <w:r w:rsidRPr="0018395C">
        <w:rPr>
          <w:rStyle w:val="FootnoteReference"/>
          <w:sz w:val="20"/>
        </w:rPr>
        <w:footnoteRef/>
      </w:r>
      <w:r>
        <w:t xml:space="preserve"> </w:t>
      </w:r>
      <w:hyperlink r:id="rId1" w:history="1">
        <w:r w:rsidR="001C4578" w:rsidRPr="00A95EA7">
          <w:rPr>
            <w:rStyle w:val="Hyperlink"/>
            <w:color w:val="auto"/>
            <w:u w:val="none"/>
          </w:rPr>
          <w:t>AFCA webpage on Outcomes AFCA provides:</w:t>
        </w:r>
        <w:r w:rsidR="001C4578" w:rsidRPr="00171A84">
          <w:rPr>
            <w:rStyle w:val="Hyperlink"/>
          </w:rPr>
          <w:t xml:space="preserve"> https://www.afca.org.au/what-to-expect/outcomes-afca-provides</w:t>
        </w:r>
      </w:hyperlink>
      <w:r w:rsidR="001C4578">
        <w:rPr>
          <w:rStyle w:val="Hyperlink"/>
        </w:rPr>
        <w:t xml:space="preserve">. </w:t>
      </w:r>
      <w:r w:rsidR="001C4578" w:rsidRPr="00A95EA7">
        <w:rPr>
          <w:rStyle w:val="Hyperlink"/>
          <w:color w:val="auto"/>
          <w:u w:val="none"/>
        </w:rPr>
        <w:t>Accessed 14 November 2022.</w:t>
      </w:r>
      <w:r w:rsidR="000D7946">
        <w:t xml:space="preserve"> </w:t>
      </w:r>
    </w:p>
  </w:footnote>
  <w:footnote w:id="11">
    <w:p w14:paraId="39EB8551" w14:textId="6E708A76" w:rsidR="00AA2224" w:rsidRPr="00BF00BB" w:rsidRDefault="00AA2224" w:rsidP="00AA2224">
      <w:pPr>
        <w:pStyle w:val="FootnoteText"/>
        <w:rPr>
          <w:i/>
        </w:rPr>
      </w:pPr>
      <w:r w:rsidRPr="0018395C">
        <w:rPr>
          <w:rStyle w:val="FootnoteReference"/>
          <w:sz w:val="20"/>
        </w:rPr>
        <w:footnoteRef/>
      </w:r>
      <w:r>
        <w:t xml:space="preserve"> </w:t>
      </w:r>
      <w:r w:rsidR="00BF00BB" w:rsidRPr="00BF00BB">
        <w:rPr>
          <w:i/>
          <w:iCs/>
        </w:rPr>
        <w:t>Ibid.</w:t>
      </w:r>
    </w:p>
  </w:footnote>
  <w:footnote w:id="12">
    <w:p w14:paraId="4336FF5D" w14:textId="77777777" w:rsidR="00BB18F2" w:rsidRDefault="00BB18F2" w:rsidP="00BB18F2">
      <w:pPr>
        <w:pStyle w:val="FootnoteText"/>
      </w:pPr>
      <w:r w:rsidRPr="0018395C">
        <w:rPr>
          <w:rStyle w:val="FootnoteReference"/>
          <w:sz w:val="20"/>
        </w:rPr>
        <w:footnoteRef/>
      </w:r>
      <w:r>
        <w:t xml:space="preserve"> AFIA report: The Economic Impact of Buy Now Pay Later, published June 2022.</w:t>
      </w:r>
    </w:p>
  </w:footnote>
  <w:footnote w:id="13">
    <w:p w14:paraId="179907D9" w14:textId="512F230B" w:rsidR="00237F4B" w:rsidRPr="001040F2" w:rsidRDefault="00237F4B" w:rsidP="00237F4B">
      <w:pPr>
        <w:pStyle w:val="FootnoteText"/>
      </w:pPr>
      <w:r w:rsidRPr="0018395C">
        <w:rPr>
          <w:rStyle w:val="FootnoteReference"/>
          <w:sz w:val="20"/>
        </w:rPr>
        <w:footnoteRef/>
      </w:r>
      <w:r>
        <w:t xml:space="preserve"> Clause 11</w:t>
      </w:r>
      <w:r w:rsidRPr="00FA3DF6">
        <w:t xml:space="preserve"> </w:t>
      </w:r>
      <w:r>
        <w:t>of the BNPL industry Code</w:t>
      </w:r>
      <w:r w:rsidR="000D7946">
        <w:t>.</w:t>
      </w:r>
    </w:p>
  </w:footnote>
  <w:footnote w:id="14">
    <w:p w14:paraId="53DA6848" w14:textId="239F2E91" w:rsidR="001F1F9F" w:rsidRDefault="001F1F9F" w:rsidP="001F1F9F">
      <w:pPr>
        <w:pStyle w:val="FootnoteText"/>
      </w:pPr>
      <w:r w:rsidRPr="0018395C">
        <w:rPr>
          <w:rStyle w:val="FootnoteReference"/>
          <w:sz w:val="20"/>
        </w:rPr>
        <w:footnoteRef/>
      </w:r>
      <w:r>
        <w:t xml:space="preserve"> ASIC regulatory guide 271:</w:t>
      </w:r>
      <w:r w:rsidRPr="00403727">
        <w:t> </w:t>
      </w:r>
      <w:r w:rsidRPr="00403727">
        <w:rPr>
          <w:i/>
          <w:iCs/>
        </w:rPr>
        <w:t>Internal dispute resolution</w:t>
      </w:r>
      <w:r w:rsidR="000D7946">
        <w:rPr>
          <w:i/>
          <w:iCs/>
        </w:rPr>
        <w:t>.</w:t>
      </w:r>
      <w:r w:rsidRPr="00403727">
        <w:t> </w:t>
      </w:r>
    </w:p>
  </w:footnote>
  <w:footnote w:id="15">
    <w:p w14:paraId="7CDF65B3" w14:textId="1992D623" w:rsidR="001F1F9F" w:rsidRPr="00AE62F5" w:rsidRDefault="001F1F9F" w:rsidP="001F1F9F">
      <w:pPr>
        <w:pStyle w:val="FootnoteText"/>
      </w:pPr>
      <w:r w:rsidRPr="0018395C">
        <w:rPr>
          <w:rStyle w:val="FootnoteReference"/>
          <w:sz w:val="20"/>
        </w:rPr>
        <w:footnoteRef/>
      </w:r>
      <w:r>
        <w:t xml:space="preserve"> Clause 13 of the BNPL industry Code</w:t>
      </w:r>
      <w:r w:rsidR="000D7946">
        <w:t>.</w:t>
      </w:r>
    </w:p>
  </w:footnote>
  <w:footnote w:id="16">
    <w:p w14:paraId="161C0CBC" w14:textId="77777777" w:rsidR="009A57E6" w:rsidRPr="00AB56F3" w:rsidRDefault="009A57E6" w:rsidP="009A57E6">
      <w:pPr>
        <w:pStyle w:val="FootnoteText"/>
      </w:pPr>
      <w:r w:rsidRPr="0018395C">
        <w:rPr>
          <w:rStyle w:val="FootnoteReference"/>
          <w:sz w:val="20"/>
        </w:rPr>
        <w:footnoteRef/>
      </w:r>
      <w:r>
        <w:t xml:space="preserve"> Paragraphs 47(1)(h) and 47(1)(i) of the </w:t>
      </w:r>
      <w:r w:rsidRPr="009F7554">
        <w:rPr>
          <w:i/>
          <w:iCs/>
        </w:rPr>
        <w:t>National Consumer Credit Protection Act 2009</w:t>
      </w:r>
      <w:r>
        <w:t>.</w:t>
      </w:r>
    </w:p>
  </w:footnote>
  <w:footnote w:id="17">
    <w:p w14:paraId="7A380A83" w14:textId="5B698E71" w:rsidR="000B6BC6" w:rsidRPr="00B806E6" w:rsidRDefault="000B6BC6" w:rsidP="000B6BC6">
      <w:pPr>
        <w:pStyle w:val="FootnoteText"/>
      </w:pPr>
      <w:r w:rsidRPr="0018395C">
        <w:rPr>
          <w:rStyle w:val="FootnoteReference"/>
          <w:sz w:val="20"/>
        </w:rPr>
        <w:footnoteRef/>
      </w:r>
      <w:r>
        <w:t xml:space="preserve"> Clause 14 of the BNPL industry Code</w:t>
      </w:r>
      <w:r w:rsidR="000D7946">
        <w:t>.</w:t>
      </w:r>
    </w:p>
  </w:footnote>
  <w:footnote w:id="18">
    <w:p w14:paraId="380634C9" w14:textId="77777777" w:rsidR="00502A90" w:rsidRDefault="00502A90" w:rsidP="00502A90">
      <w:pPr>
        <w:pStyle w:val="FootnoteText"/>
      </w:pPr>
      <w:r w:rsidRPr="0018395C">
        <w:rPr>
          <w:rStyle w:val="FootnoteReference"/>
          <w:sz w:val="20"/>
        </w:rPr>
        <w:footnoteRef/>
      </w:r>
      <w:r>
        <w:t xml:space="preserve"> 10.1(g) AFIA Code of Practice. </w:t>
      </w:r>
    </w:p>
  </w:footnote>
  <w:footnote w:id="19">
    <w:p w14:paraId="292E2627" w14:textId="5F05CE5E" w:rsidR="00403727" w:rsidRDefault="00403727">
      <w:pPr>
        <w:pStyle w:val="FootnoteText"/>
      </w:pPr>
      <w:r w:rsidRPr="0018395C">
        <w:rPr>
          <w:rStyle w:val="FootnoteReference"/>
          <w:sz w:val="20"/>
        </w:rPr>
        <w:footnoteRef/>
      </w:r>
      <w:r>
        <w:t xml:space="preserve"> Currently ASIC may only approve industry codes that apply to entities that hold an AFSL or an ACL.</w:t>
      </w:r>
    </w:p>
  </w:footnote>
  <w:footnote w:id="20">
    <w:p w14:paraId="0F446C0F" w14:textId="1CCEB5C9" w:rsidR="002F5D97" w:rsidRDefault="002F5D97" w:rsidP="002F5D97">
      <w:pPr>
        <w:pStyle w:val="FootnoteText"/>
      </w:pPr>
      <w:r w:rsidRPr="0018395C">
        <w:rPr>
          <w:rStyle w:val="FootnoteReference"/>
          <w:sz w:val="20"/>
        </w:rPr>
        <w:footnoteRef/>
      </w:r>
      <w:r w:rsidRPr="00080F5B">
        <w:t xml:space="preserve"> ASIC’s </w:t>
      </w:r>
      <w:r w:rsidR="00532CFB">
        <w:rPr>
          <w:rFonts w:cstheme="minorHAnsi"/>
          <w:szCs w:val="24"/>
        </w:rPr>
        <w:t>C</w:t>
      </w:r>
      <w:r w:rsidRPr="00080F5B">
        <w:rPr>
          <w:rFonts w:cstheme="minorHAnsi"/>
          <w:szCs w:val="24"/>
        </w:rPr>
        <w:t xml:space="preserve">onsumer </w:t>
      </w:r>
      <w:r w:rsidR="00532CFB">
        <w:rPr>
          <w:rFonts w:cstheme="minorHAnsi"/>
          <w:szCs w:val="24"/>
        </w:rPr>
        <w:t>M</w:t>
      </w:r>
      <w:r w:rsidRPr="00080F5B">
        <w:rPr>
          <w:rFonts w:cstheme="minorHAnsi"/>
          <w:szCs w:val="24"/>
        </w:rPr>
        <w:t>onitor report,</w:t>
      </w:r>
      <w:r w:rsidRPr="00080F5B">
        <w:rPr>
          <w:rFonts w:cstheme="minorHAnsi"/>
        </w:rPr>
        <w:t xml:space="preserve"> Q1 of 2022</w:t>
      </w:r>
      <w:r w:rsidR="00142F36" w:rsidRPr="00D94A3C">
        <w:rPr>
          <w:rFonts w:cstheme="minorHAnsi"/>
        </w:rPr>
        <w:t xml:space="preserve"> (unpublished)</w:t>
      </w:r>
    </w:p>
  </w:footnote>
  <w:footnote w:id="21">
    <w:p w14:paraId="7FC9ADBD" w14:textId="3FE9A14C" w:rsidR="00F723F4" w:rsidRPr="0018395C" w:rsidRDefault="00F723F4" w:rsidP="00D94A3C">
      <w:pPr>
        <w:spacing w:before="0" w:after="0"/>
        <w:rPr>
          <w:sz w:val="20"/>
        </w:rPr>
      </w:pPr>
      <w:r w:rsidRPr="00D94A3C">
        <w:rPr>
          <w:rStyle w:val="FootnoteReference"/>
          <w:sz w:val="20"/>
        </w:rPr>
        <w:footnoteRef/>
      </w:r>
      <w:r w:rsidRPr="000D7946">
        <w:rPr>
          <w:sz w:val="20"/>
        </w:rPr>
        <w:t xml:space="preserve"> HILDA stress indicators include inability to pay utility bills, mortgage repayments, rent, went without meals, unable to heat home, or sought help from friends, family, or welfare organisation</w:t>
      </w:r>
      <w:r w:rsidR="000D7946" w:rsidRPr="000D7946">
        <w:rPr>
          <w:sz w:val="20"/>
        </w:rPr>
        <w:t>.</w:t>
      </w:r>
    </w:p>
  </w:footnote>
  <w:footnote w:id="22">
    <w:p w14:paraId="05BD9A8A" w14:textId="1CCA87BB" w:rsidR="00722A12" w:rsidRDefault="00722A12">
      <w:pPr>
        <w:pStyle w:val="FootnoteText"/>
      </w:pPr>
      <w:r w:rsidRPr="0018395C">
        <w:rPr>
          <w:rStyle w:val="FootnoteReference"/>
          <w:sz w:val="20"/>
        </w:rPr>
        <w:footnoteRef/>
      </w:r>
      <w:r w:rsidRPr="00AE7F93">
        <w:t xml:space="preserve"> </w:t>
      </w:r>
      <w:r w:rsidR="00FB78EB" w:rsidRPr="00D94A3C">
        <w:t>AFSA’s Strategic Analytics analysis memorandum: BNPL Industry Analysis (unpublished)</w:t>
      </w:r>
      <w:r w:rsidR="00284433" w:rsidRPr="00D94A3C">
        <w:t xml:space="preserve">. </w:t>
      </w:r>
    </w:p>
  </w:footnote>
  <w:footnote w:id="23">
    <w:p w14:paraId="2E685F12" w14:textId="77777777" w:rsidR="00BC4509" w:rsidRPr="0018395C" w:rsidRDefault="00BC4509" w:rsidP="00D94A3C">
      <w:pPr>
        <w:spacing w:before="0" w:after="0"/>
        <w:rPr>
          <w:sz w:val="20"/>
        </w:rPr>
      </w:pPr>
      <w:r w:rsidRPr="00D94A3C">
        <w:rPr>
          <w:rStyle w:val="FootnoteReference"/>
          <w:sz w:val="20"/>
        </w:rPr>
        <w:footnoteRef/>
      </w:r>
      <w:r w:rsidRPr="000D7946">
        <w:rPr>
          <w:sz w:val="20"/>
        </w:rPr>
        <w:t xml:space="preserve"> For example, Afterpay offers its consumers $600 upon signing up. This limit gradually increases as the consumer makes purchases and makes repayments on time.</w:t>
      </w:r>
    </w:p>
  </w:footnote>
  <w:footnote w:id="24">
    <w:p w14:paraId="57ED3BDC" w14:textId="4F8BBB0B" w:rsidR="000935EE" w:rsidRDefault="000935EE">
      <w:pPr>
        <w:pStyle w:val="FootnoteText"/>
      </w:pPr>
      <w:r w:rsidRPr="0018395C">
        <w:rPr>
          <w:rStyle w:val="FootnoteReference"/>
          <w:sz w:val="20"/>
        </w:rPr>
        <w:footnoteRef/>
      </w:r>
      <w:r>
        <w:t xml:space="preserve"> ASIC </w:t>
      </w:r>
      <w:r w:rsidR="007B081F">
        <w:t>Regulatory Guide 271 – Internal Dispute Resolution</w:t>
      </w:r>
      <w:r w:rsidR="006D0577">
        <w:t>,</w:t>
      </w:r>
      <w:r w:rsidR="007B081F">
        <w:t xml:space="preserve"> September 2021. </w:t>
      </w:r>
    </w:p>
  </w:footnote>
  <w:footnote w:id="25">
    <w:p w14:paraId="4A52913C" w14:textId="2C746CB5" w:rsidR="00A62ED9" w:rsidRDefault="00A62ED9" w:rsidP="00A62ED9">
      <w:pPr>
        <w:pStyle w:val="FootnoteText"/>
      </w:pPr>
      <w:r w:rsidRPr="0018395C">
        <w:rPr>
          <w:rStyle w:val="FootnoteReference"/>
          <w:sz w:val="20"/>
        </w:rPr>
        <w:footnoteRef/>
      </w:r>
      <w:r>
        <w:t xml:space="preserve"> </w:t>
      </w:r>
      <w:r w:rsidR="00CB15D3">
        <w:t>AFIA industry report: The Economic Impact of Buy Now Pay Later in Australia, June 2022.</w:t>
      </w:r>
    </w:p>
  </w:footnote>
  <w:footnote w:id="26">
    <w:p w14:paraId="30BC5D6B" w14:textId="49D1C8CF" w:rsidR="00A62ED9" w:rsidRPr="0018395C" w:rsidRDefault="00A62ED9" w:rsidP="00D94A3C">
      <w:pPr>
        <w:spacing w:before="0" w:after="0"/>
        <w:rPr>
          <w:sz w:val="20"/>
        </w:rPr>
      </w:pPr>
      <w:r w:rsidRPr="00D94A3C">
        <w:rPr>
          <w:rStyle w:val="FootnoteReference"/>
          <w:sz w:val="20"/>
        </w:rPr>
        <w:footnoteRef/>
      </w:r>
      <w:r w:rsidRPr="0004026F">
        <w:rPr>
          <w:sz w:val="20"/>
        </w:rPr>
        <w:t xml:space="preserve"> NB: many BNPL providers business model lock accounts that are undergoing dispute</w:t>
      </w:r>
      <w:r w:rsidR="000D7946" w:rsidRPr="0004026F">
        <w:rPr>
          <w:sz w:val="20"/>
        </w:rPr>
        <w:t>.</w:t>
      </w:r>
    </w:p>
  </w:footnote>
  <w:footnote w:id="27">
    <w:p w14:paraId="4AC2A300" w14:textId="45AEB0AB" w:rsidR="003009E4" w:rsidRDefault="003009E4" w:rsidP="003009E4">
      <w:pPr>
        <w:pStyle w:val="FootnoteText"/>
      </w:pPr>
      <w:r w:rsidRPr="0018395C">
        <w:rPr>
          <w:rStyle w:val="FootnoteReference"/>
          <w:sz w:val="20"/>
        </w:rPr>
        <w:footnoteRef/>
      </w:r>
      <w:r>
        <w:t xml:space="preserve"> </w:t>
      </w:r>
      <w:r w:rsidR="004B2F86" w:rsidRPr="00080F5B">
        <w:t xml:space="preserve">ASIC’s </w:t>
      </w:r>
      <w:r w:rsidR="004B2F86">
        <w:rPr>
          <w:rFonts w:cstheme="minorHAnsi"/>
          <w:szCs w:val="24"/>
        </w:rPr>
        <w:t>C</w:t>
      </w:r>
      <w:r w:rsidR="004B2F86" w:rsidRPr="00080F5B">
        <w:rPr>
          <w:rFonts w:cstheme="minorHAnsi"/>
          <w:szCs w:val="24"/>
        </w:rPr>
        <w:t xml:space="preserve">onsumer </w:t>
      </w:r>
      <w:r w:rsidR="004B2F86">
        <w:rPr>
          <w:rFonts w:cstheme="minorHAnsi"/>
          <w:szCs w:val="24"/>
        </w:rPr>
        <w:t>M</w:t>
      </w:r>
      <w:r w:rsidR="004B2F86" w:rsidRPr="00080F5B">
        <w:rPr>
          <w:rFonts w:cstheme="minorHAnsi"/>
          <w:szCs w:val="24"/>
        </w:rPr>
        <w:t>onitor report,</w:t>
      </w:r>
      <w:r w:rsidR="004B2F86" w:rsidRPr="00080F5B">
        <w:rPr>
          <w:rFonts w:cstheme="minorHAnsi"/>
        </w:rPr>
        <w:t xml:space="preserve"> Q1 of 2022</w:t>
      </w:r>
      <w:r w:rsidR="004B2F86" w:rsidRPr="00D94A3C">
        <w:rPr>
          <w:rFonts w:cstheme="minorHAnsi"/>
        </w:rPr>
        <w:t xml:space="preserve"> (unpublished)</w:t>
      </w:r>
    </w:p>
  </w:footnote>
  <w:footnote w:id="28">
    <w:p w14:paraId="788D6B65" w14:textId="7A5087D1" w:rsidR="00106560" w:rsidRPr="0018395C" w:rsidRDefault="00106560" w:rsidP="00D94A3C">
      <w:pPr>
        <w:spacing w:before="0" w:after="0"/>
        <w:rPr>
          <w:sz w:val="20"/>
        </w:rPr>
      </w:pPr>
      <w:r w:rsidRPr="00D94A3C">
        <w:rPr>
          <w:rStyle w:val="FootnoteReference"/>
          <w:sz w:val="20"/>
        </w:rPr>
        <w:footnoteRef/>
      </w:r>
      <w:r w:rsidRPr="0004026F">
        <w:rPr>
          <w:sz w:val="20"/>
        </w:rPr>
        <w:t xml:space="preserve"> </w:t>
      </w:r>
      <w:r w:rsidR="002A0FF2" w:rsidRPr="0004026F">
        <w:rPr>
          <w:sz w:val="20"/>
        </w:rPr>
        <w:t xml:space="preserve">Missed </w:t>
      </w:r>
      <w:r w:rsidR="005101EC" w:rsidRPr="0004026F">
        <w:rPr>
          <w:sz w:val="20"/>
        </w:rPr>
        <w:t>or</w:t>
      </w:r>
      <w:r w:rsidRPr="0004026F">
        <w:rPr>
          <w:sz w:val="20"/>
        </w:rPr>
        <w:t xml:space="preserve"> late payment fees or default fees </w:t>
      </w:r>
      <w:r w:rsidR="005101EC" w:rsidRPr="0004026F">
        <w:rPr>
          <w:sz w:val="20"/>
        </w:rPr>
        <w:t>may be</w:t>
      </w:r>
      <w:r w:rsidRPr="0004026F">
        <w:rPr>
          <w:sz w:val="20"/>
        </w:rPr>
        <w:t xml:space="preserve"> used interchangeably</w:t>
      </w:r>
      <w:r w:rsidR="005101EC" w:rsidRPr="0004026F">
        <w:rPr>
          <w:sz w:val="20"/>
        </w:rPr>
        <w:t xml:space="preserve"> by BNPL providers, and for the purposes of this paper.</w:t>
      </w:r>
    </w:p>
  </w:footnote>
  <w:footnote w:id="29">
    <w:p w14:paraId="645DE8B7" w14:textId="77777777" w:rsidR="00106560" w:rsidRPr="0018395C" w:rsidRDefault="00106560" w:rsidP="00D94A3C">
      <w:pPr>
        <w:spacing w:before="0" w:after="0"/>
        <w:rPr>
          <w:sz w:val="20"/>
        </w:rPr>
      </w:pPr>
      <w:r w:rsidRPr="00D94A3C">
        <w:rPr>
          <w:rStyle w:val="FootnoteReference"/>
          <w:sz w:val="20"/>
        </w:rPr>
        <w:footnoteRef/>
      </w:r>
      <w:r w:rsidRPr="0004026F">
        <w:rPr>
          <w:sz w:val="20"/>
        </w:rPr>
        <w:t xml:space="preserve"> Comparative analysis of credit card interest rates vs BNPL fees in the consumer credit market, Curtin University, published July 2022.</w:t>
      </w:r>
    </w:p>
  </w:footnote>
  <w:footnote w:id="30">
    <w:p w14:paraId="3A232984" w14:textId="3E93749B" w:rsidR="00CA66CA" w:rsidRDefault="00CA66CA">
      <w:pPr>
        <w:pStyle w:val="FootnoteText"/>
      </w:pPr>
      <w:r w:rsidRPr="0018395C">
        <w:rPr>
          <w:rStyle w:val="FootnoteReference"/>
          <w:sz w:val="20"/>
        </w:rPr>
        <w:footnoteRef/>
      </w:r>
      <w:r w:rsidRPr="00067FA4">
        <w:t xml:space="preserve"> </w:t>
      </w:r>
      <w:r w:rsidR="00C3225E">
        <w:t>RBA Statistical Table:</w:t>
      </w:r>
      <w:r w:rsidRPr="00067FA4">
        <w:t xml:space="preserve"> Table F5 – Indicator Lending Rates. </w:t>
      </w:r>
      <w:r w:rsidR="006D0577" w:rsidRPr="00A95EA7">
        <w:rPr>
          <w:rStyle w:val="Hyperlink"/>
          <w:color w:val="auto"/>
          <w:u w:val="none"/>
        </w:rPr>
        <w:t>Accessed 14 November 2022.</w:t>
      </w:r>
    </w:p>
  </w:footnote>
  <w:footnote w:id="31">
    <w:p w14:paraId="35D7B5F6" w14:textId="7E775987" w:rsidR="00E2303B" w:rsidRPr="0018395C" w:rsidRDefault="00E2303B" w:rsidP="00D94A3C">
      <w:pPr>
        <w:spacing w:before="0" w:after="0"/>
        <w:rPr>
          <w:sz w:val="20"/>
        </w:rPr>
      </w:pPr>
      <w:r w:rsidRPr="00D94A3C">
        <w:rPr>
          <w:rStyle w:val="FootnoteReference"/>
          <w:sz w:val="20"/>
        </w:rPr>
        <w:footnoteRef/>
      </w:r>
      <w:r w:rsidRPr="00567A6E">
        <w:rPr>
          <w:sz w:val="20"/>
        </w:rPr>
        <w:t xml:space="preserve"> </w:t>
      </w:r>
      <w:r w:rsidR="005E1C3A" w:rsidRPr="00567A6E">
        <w:rPr>
          <w:sz w:val="20"/>
        </w:rPr>
        <w:t xml:space="preserve">ASIC’s </w:t>
      </w:r>
      <w:r w:rsidR="005E1C3A" w:rsidRPr="00D94A3C">
        <w:rPr>
          <w:rFonts w:cstheme="minorHAnsi"/>
          <w:sz w:val="20"/>
        </w:rPr>
        <w:t>consumer monitor report,</w:t>
      </w:r>
      <w:r w:rsidR="005E1C3A" w:rsidRPr="00567A6E">
        <w:rPr>
          <w:rFonts w:cstheme="minorHAnsi"/>
          <w:sz w:val="20"/>
        </w:rPr>
        <w:t xml:space="preserve"> Q1 of </w:t>
      </w:r>
      <w:r w:rsidRPr="00567A6E">
        <w:rPr>
          <w:rFonts w:cstheme="minorHAnsi"/>
          <w:sz w:val="20"/>
        </w:rPr>
        <w:t>2022</w:t>
      </w:r>
      <w:r w:rsidRPr="00567A6E">
        <w:rPr>
          <w:sz w:val="20"/>
        </w:rPr>
        <w:t>, found that in 2022</w:t>
      </w:r>
      <w:r w:rsidR="00F37051" w:rsidRPr="00567A6E">
        <w:rPr>
          <w:sz w:val="20"/>
        </w:rPr>
        <w:t xml:space="preserve"> year to date</w:t>
      </w:r>
      <w:r w:rsidRPr="00567A6E">
        <w:rPr>
          <w:sz w:val="20"/>
        </w:rPr>
        <w:t xml:space="preserve">, 30% of consumers surveyed did not know the fees and charges of any BNPL arrangements. This was 35% in 2020, and 33% in 2021. </w:t>
      </w:r>
    </w:p>
  </w:footnote>
  <w:footnote w:id="32">
    <w:p w14:paraId="4F212F98" w14:textId="57F3E9EF" w:rsidR="00ED14CD" w:rsidRPr="0018395C" w:rsidRDefault="00ED14CD" w:rsidP="00D94A3C">
      <w:pPr>
        <w:spacing w:before="0" w:after="0"/>
        <w:rPr>
          <w:sz w:val="20"/>
        </w:rPr>
      </w:pPr>
      <w:r w:rsidRPr="00D94A3C">
        <w:rPr>
          <w:rStyle w:val="FootnoteReference"/>
          <w:sz w:val="20"/>
        </w:rPr>
        <w:footnoteRef/>
      </w:r>
      <w:r w:rsidRPr="00567A6E">
        <w:rPr>
          <w:sz w:val="20"/>
        </w:rPr>
        <w:t xml:space="preserve"> 10.1 of AFIA’s BNPL Industry Code of Practice.</w:t>
      </w:r>
    </w:p>
  </w:footnote>
  <w:footnote w:id="33">
    <w:p w14:paraId="5F66D507" w14:textId="549113CF" w:rsidR="00744A6C" w:rsidRPr="0018395C" w:rsidRDefault="00744A6C" w:rsidP="00D94A3C">
      <w:pPr>
        <w:spacing w:before="0" w:after="0"/>
        <w:rPr>
          <w:sz w:val="20"/>
        </w:rPr>
      </w:pPr>
      <w:r w:rsidRPr="00D94A3C">
        <w:rPr>
          <w:rStyle w:val="FootnoteReference"/>
          <w:sz w:val="20"/>
        </w:rPr>
        <w:footnoteRef/>
      </w:r>
      <w:r w:rsidRPr="00567A6E">
        <w:rPr>
          <w:sz w:val="20"/>
        </w:rPr>
        <w:t xml:space="preserve"> Utility companies in New South Wales, Queensland, South Australia, Tasmania and the Australian Capital Territory are required under the National Energy Retail Rules to offer consumers a payment plan to pay bills for free.</w:t>
      </w:r>
    </w:p>
  </w:footnote>
  <w:footnote w:id="34">
    <w:p w14:paraId="215603B9" w14:textId="693DEC59" w:rsidR="00323C1A" w:rsidRPr="0018395C" w:rsidRDefault="00323C1A" w:rsidP="00D94A3C">
      <w:pPr>
        <w:spacing w:before="0" w:after="0"/>
        <w:rPr>
          <w:sz w:val="20"/>
        </w:rPr>
      </w:pPr>
      <w:r w:rsidRPr="00D94A3C">
        <w:rPr>
          <w:rStyle w:val="FootnoteReference"/>
          <w:sz w:val="20"/>
        </w:rPr>
        <w:footnoteRef/>
      </w:r>
      <w:r w:rsidRPr="00567A6E">
        <w:rPr>
          <w:sz w:val="20"/>
        </w:rPr>
        <w:t xml:space="preserve"> </w:t>
      </w:r>
      <w:r w:rsidR="000A65E2" w:rsidRPr="000A65E2">
        <w:rPr>
          <w:sz w:val="20"/>
        </w:rPr>
        <w:t xml:space="preserve">Australian Competition Tribunal: Application by Flexigroup Limited (No 2) [2020] ACompT 2, File number </w:t>
      </w:r>
      <w:r w:rsidR="000A65E2" w:rsidRPr="00495DF2">
        <w:rPr>
          <w:sz w:val="20"/>
        </w:rPr>
        <w:fldChar w:fldCharType="begin" w:fldLock="1"/>
      </w:r>
      <w:r w:rsidR="000A65E2" w:rsidRPr="00495DF2">
        <w:rPr>
          <w:sz w:val="20"/>
        </w:rPr>
        <w:instrText xml:space="preserve"> REF  FileNo  \* MERGEFORMAT </w:instrText>
      </w:r>
      <w:r w:rsidR="000A65E2" w:rsidRPr="00495DF2">
        <w:rPr>
          <w:sz w:val="20"/>
        </w:rPr>
        <w:fldChar w:fldCharType="separate"/>
      </w:r>
      <w:r w:rsidR="000A65E2" w:rsidRPr="00495DF2">
        <w:rPr>
          <w:sz w:val="20"/>
        </w:rPr>
        <w:t>ACT 1 of 2019</w:t>
      </w:r>
      <w:r w:rsidR="000A65E2" w:rsidRPr="00495DF2">
        <w:rPr>
          <w:sz w:val="20"/>
        </w:rPr>
        <w:fldChar w:fldCharType="end"/>
      </w:r>
      <w:r w:rsidR="000A65E2" w:rsidRPr="000A65E2">
        <w:rPr>
          <w:sz w:val="20"/>
        </w:rPr>
        <w:t>, date of determination 15 September 2020. Accessed 16 November 2022.</w:t>
      </w:r>
    </w:p>
  </w:footnote>
  <w:footnote w:id="35">
    <w:p w14:paraId="3AFF938F" w14:textId="77777777" w:rsidR="00D6479E" w:rsidRDefault="00D6479E" w:rsidP="00D6479E">
      <w:pPr>
        <w:pStyle w:val="FootnoteText"/>
      </w:pPr>
      <w:r w:rsidRPr="0018395C">
        <w:rPr>
          <w:rStyle w:val="FootnoteReference"/>
          <w:sz w:val="20"/>
        </w:rPr>
        <w:footnoteRef/>
      </w:r>
      <w:r>
        <w:t xml:space="preserve"> 8.4 and 8.5 of the AFIA BNPL Industry Code of Practice.</w:t>
      </w:r>
    </w:p>
  </w:footnote>
  <w:footnote w:id="36">
    <w:p w14:paraId="12DF7E51" w14:textId="5C772A9C" w:rsidR="007F1ED4" w:rsidRPr="0018395C" w:rsidRDefault="007F1ED4" w:rsidP="007F1ED4">
      <w:pPr>
        <w:spacing w:before="0" w:after="0"/>
        <w:rPr>
          <w:sz w:val="20"/>
        </w:rPr>
      </w:pPr>
      <w:r w:rsidRPr="009854E6">
        <w:rPr>
          <w:rStyle w:val="FootnoteReference"/>
          <w:sz w:val="20"/>
        </w:rPr>
        <w:footnoteRef/>
      </w:r>
      <w:r w:rsidRPr="00FB05BF">
        <w:rPr>
          <w:sz w:val="20"/>
        </w:rPr>
        <w:t xml:space="preserve"> Under s</w:t>
      </w:r>
      <w:r w:rsidR="00FB40EA">
        <w:rPr>
          <w:sz w:val="20"/>
        </w:rPr>
        <w:t xml:space="preserve">ection </w:t>
      </w:r>
      <w:r w:rsidRPr="00FB05BF">
        <w:rPr>
          <w:sz w:val="20"/>
        </w:rPr>
        <w:t xml:space="preserve">25B of the </w:t>
      </w:r>
      <w:r w:rsidRPr="009854E6">
        <w:rPr>
          <w:i/>
          <w:sz w:val="20"/>
        </w:rPr>
        <w:t>Privacy Act 1988</w:t>
      </w:r>
      <w:r w:rsidRPr="00FB05BF">
        <w:rPr>
          <w:sz w:val="20"/>
        </w:rPr>
        <w:t xml:space="preserve"> and s</w:t>
      </w:r>
      <w:r w:rsidR="00FB40EA">
        <w:rPr>
          <w:sz w:val="20"/>
        </w:rPr>
        <w:t xml:space="preserve">ection </w:t>
      </w:r>
      <w:r w:rsidRPr="00FB05BF">
        <w:rPr>
          <w:sz w:val="20"/>
        </w:rPr>
        <w:t>133CZL of the Credit Act.</w:t>
      </w:r>
    </w:p>
  </w:footnote>
  <w:footnote w:id="37">
    <w:p w14:paraId="47E805F7" w14:textId="1ACFB140" w:rsidR="0008221F" w:rsidRPr="0018395C" w:rsidRDefault="0008221F" w:rsidP="00D94A3C">
      <w:pPr>
        <w:spacing w:before="0" w:after="0"/>
        <w:rPr>
          <w:sz w:val="20"/>
        </w:rPr>
      </w:pPr>
      <w:r w:rsidRPr="00D94A3C">
        <w:rPr>
          <w:rStyle w:val="FootnoteReference"/>
          <w:sz w:val="20"/>
        </w:rPr>
        <w:footnoteRef/>
      </w:r>
      <w:r w:rsidRPr="00FB05BF">
        <w:rPr>
          <w:sz w:val="20"/>
        </w:rPr>
        <w:t xml:space="preserve"> OAIC 2021 Independent review of the Privacy (Credit Reporting) Code, published September 2022.</w:t>
      </w:r>
    </w:p>
  </w:footnote>
  <w:footnote w:id="38">
    <w:p w14:paraId="3CB6A004" w14:textId="77777777" w:rsidR="001F3928" w:rsidRDefault="001F3928" w:rsidP="001F3928">
      <w:pPr>
        <w:pStyle w:val="FootnoteText"/>
      </w:pPr>
      <w:r w:rsidRPr="0018395C">
        <w:rPr>
          <w:rStyle w:val="FootnoteReference"/>
          <w:sz w:val="20"/>
        </w:rPr>
        <w:footnoteRef/>
      </w:r>
      <w:r>
        <w:t xml:space="preserve"> RBA, PSB Annual report 2022</w:t>
      </w:r>
    </w:p>
  </w:footnote>
  <w:footnote w:id="39">
    <w:p w14:paraId="5E197B99" w14:textId="39B71B23" w:rsidR="00107369" w:rsidRDefault="00107369" w:rsidP="00107369">
      <w:pPr>
        <w:pStyle w:val="FootnoteText"/>
        <w:tabs>
          <w:tab w:val="left" w:pos="7760"/>
        </w:tabs>
      </w:pPr>
      <w:r w:rsidRPr="0018395C">
        <w:rPr>
          <w:rStyle w:val="FootnoteReference"/>
          <w:sz w:val="20"/>
        </w:rPr>
        <w:footnoteRef/>
      </w:r>
      <w:r w:rsidRPr="00D94A3C">
        <w:rPr>
          <w:i/>
        </w:rPr>
        <w:t xml:space="preserve"> </w:t>
      </w:r>
      <w:r w:rsidR="00844704" w:rsidRPr="00D94A3C">
        <w:rPr>
          <w:i/>
        </w:rPr>
        <w:t>Ibid</w:t>
      </w:r>
      <w:r w:rsidR="00FB05BF">
        <w:rPr>
          <w:i/>
          <w:iCs/>
        </w:rPr>
        <w:t>.</w:t>
      </w:r>
    </w:p>
  </w:footnote>
  <w:footnote w:id="40">
    <w:p w14:paraId="7D26E3AA" w14:textId="07E1DFB2" w:rsidR="00107369" w:rsidRDefault="00107369" w:rsidP="00107369">
      <w:pPr>
        <w:pStyle w:val="FootnoteText"/>
      </w:pPr>
      <w:r w:rsidRPr="0018395C">
        <w:rPr>
          <w:rStyle w:val="FootnoteReference"/>
          <w:sz w:val="20"/>
        </w:rPr>
        <w:footnoteRef/>
      </w:r>
      <w:r>
        <w:t xml:space="preserve"> Figure taken from ASIC report 600: Review of buy now pay later arrangements, November 2018, p.6</w:t>
      </w:r>
      <w:r w:rsidR="00FB05BF">
        <w:t>.</w:t>
      </w:r>
    </w:p>
  </w:footnote>
  <w:footnote w:id="41">
    <w:p w14:paraId="738C7A14" w14:textId="11725561" w:rsidR="00613755" w:rsidRPr="0018395C" w:rsidRDefault="00613755" w:rsidP="00D94A3C">
      <w:pPr>
        <w:spacing w:before="0" w:after="0"/>
        <w:rPr>
          <w:sz w:val="20"/>
        </w:rPr>
      </w:pPr>
      <w:r w:rsidRPr="00D94A3C">
        <w:rPr>
          <w:rStyle w:val="FootnoteReference"/>
          <w:sz w:val="20"/>
        </w:rPr>
        <w:footnoteRef/>
      </w:r>
      <w:r w:rsidRPr="00FB05BF">
        <w:rPr>
          <w:sz w:val="20"/>
        </w:rPr>
        <w:t xml:space="preserve"> </w:t>
      </w:r>
      <w:hyperlink r:id="rId2" w:history="1">
        <w:r w:rsidR="006D0577" w:rsidRPr="00A95EA7">
          <w:rPr>
            <w:sz w:val="20"/>
          </w:rPr>
          <w:t>Ministry of Business, Innovation &amp; Employment (NZ Gov) media release: “Buy-Now, Pay-Later”.</w:t>
        </w:r>
        <w:r w:rsidR="00E97112" w:rsidRPr="00A95EA7" w:rsidDel="00E97112">
          <w:rPr>
            <w:sz w:val="20"/>
          </w:rPr>
          <w:t xml:space="preserve"> </w:t>
        </w:r>
      </w:hyperlink>
    </w:p>
  </w:footnote>
  <w:footnote w:id="42">
    <w:p w14:paraId="0B47DD3B" w14:textId="0677BBC7" w:rsidR="00215282" w:rsidRDefault="00215282" w:rsidP="0018395C">
      <w:pPr>
        <w:pStyle w:val="FootnoteText"/>
        <w:ind w:left="0" w:firstLine="0"/>
      </w:pPr>
      <w:r w:rsidRPr="0018395C">
        <w:rPr>
          <w:rStyle w:val="FootnoteReference"/>
          <w:sz w:val="20"/>
        </w:rPr>
        <w:footnoteRef/>
      </w:r>
      <w:r>
        <w:t xml:space="preserve"> </w:t>
      </w:r>
      <w:r w:rsidR="00B71866">
        <w:t xml:space="preserve">FCA The Woolard Review – A review of change and innovation in the unsecured credit market, published 2 February 2021. </w:t>
      </w:r>
    </w:p>
  </w:footnote>
  <w:footnote w:id="43">
    <w:p w14:paraId="5EFEE91D" w14:textId="138EA051" w:rsidR="00215282" w:rsidRDefault="00215282" w:rsidP="0018395C">
      <w:pPr>
        <w:pStyle w:val="FootnoteText"/>
        <w:ind w:left="0" w:firstLine="0"/>
      </w:pPr>
      <w:r w:rsidRPr="0018395C">
        <w:rPr>
          <w:rStyle w:val="FootnoteReference"/>
          <w:sz w:val="20"/>
        </w:rPr>
        <w:footnoteRef/>
      </w:r>
      <w:r>
        <w:t xml:space="preserve"> </w:t>
      </w:r>
      <w:r w:rsidR="00D97709">
        <w:t xml:space="preserve">HM Treasury, Regulation of Buy-Now Pay-Later Consultation, October 2021. </w:t>
      </w:r>
    </w:p>
  </w:footnote>
  <w:footnote w:id="44">
    <w:p w14:paraId="7441DEB7" w14:textId="61A8FCF8" w:rsidR="00215282" w:rsidRDefault="00215282" w:rsidP="0018395C">
      <w:pPr>
        <w:pStyle w:val="FootnoteText"/>
        <w:ind w:left="0" w:firstLine="0"/>
      </w:pPr>
      <w:r w:rsidRPr="0018395C">
        <w:rPr>
          <w:rStyle w:val="FootnoteReference"/>
          <w:sz w:val="20"/>
        </w:rPr>
        <w:footnoteRef/>
      </w:r>
      <w:r>
        <w:t xml:space="preserve"> </w:t>
      </w:r>
      <w:r w:rsidR="00B71866">
        <w:t xml:space="preserve">HM Treasury, Regulation of Buy-Now Pay-Later Response to consultation, June 2022. </w:t>
      </w:r>
    </w:p>
  </w:footnote>
  <w:footnote w:id="45">
    <w:p w14:paraId="1E0A02E0" w14:textId="2AFDA31E" w:rsidR="00215282" w:rsidRDefault="00215282" w:rsidP="0018395C">
      <w:pPr>
        <w:pStyle w:val="FootnoteText"/>
        <w:ind w:left="0" w:firstLine="0"/>
      </w:pPr>
      <w:r w:rsidRPr="0018395C">
        <w:rPr>
          <w:rStyle w:val="FootnoteReference"/>
          <w:sz w:val="20"/>
        </w:rPr>
        <w:footnoteRef/>
      </w:r>
      <w:r>
        <w:t xml:space="preserve"> </w:t>
      </w:r>
      <w:r w:rsidR="000B6750">
        <w:t xml:space="preserve">Consumer Financial Protection Bureau, Buy Now, Pay Later: Market trends and consumer impacts, September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4182"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5750"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E6A6"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386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612CE441" wp14:editId="123D89F4">
          <wp:simplePos x="0" y="0"/>
          <wp:positionH relativeFrom="page">
            <wp:align>center</wp:align>
          </wp:positionH>
          <wp:positionV relativeFrom="page">
            <wp:align>top</wp:align>
          </wp:positionV>
          <wp:extent cx="7570800" cy="104400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DE6"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0A2210"/>
    <w:multiLevelType w:val="hybridMultilevel"/>
    <w:tmpl w:val="C908B136"/>
    <w:lvl w:ilvl="0" w:tplc="60BEF6C6">
      <w:numFmt w:val="bullet"/>
      <w:lvlText w:val="-"/>
      <w:lvlJc w:val="left"/>
      <w:pPr>
        <w:ind w:left="405" w:hanging="360"/>
      </w:pPr>
      <w:rPr>
        <w:rFonts w:ascii="Calibri Light" w:eastAsia="Times New Roman" w:hAnsi="Calibri Light" w:cs="Calibri Light"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6FC7D99"/>
    <w:multiLevelType w:val="hybridMultilevel"/>
    <w:tmpl w:val="74B00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96566A3"/>
    <w:multiLevelType w:val="hybridMultilevel"/>
    <w:tmpl w:val="12A49FBC"/>
    <w:lvl w:ilvl="0" w:tplc="2938A77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80099"/>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E56B13"/>
    <w:multiLevelType w:val="multilevel"/>
    <w:tmpl w:val="8B1EA1B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856431"/>
    <w:multiLevelType w:val="hybridMultilevel"/>
    <w:tmpl w:val="F85EDF8A"/>
    <w:lvl w:ilvl="0" w:tplc="585AD2A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265B18"/>
    <w:multiLevelType w:val="hybridMultilevel"/>
    <w:tmpl w:val="C2A84F08"/>
    <w:lvl w:ilvl="0" w:tplc="B8FE6CF8">
      <w:start w:val="1"/>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8C2710"/>
    <w:multiLevelType w:val="multilevel"/>
    <w:tmpl w:val="42784CCC"/>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19C61F3"/>
    <w:multiLevelType w:val="multilevel"/>
    <w:tmpl w:val="DFA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4A5905"/>
    <w:multiLevelType w:val="multilevel"/>
    <w:tmpl w:val="CF42D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C10C8"/>
    <w:multiLevelType w:val="multilevel"/>
    <w:tmpl w:val="D5A485F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0" w15:restartNumberingAfterBreak="0">
    <w:nsid w:val="3FB7126D"/>
    <w:multiLevelType w:val="multilevel"/>
    <w:tmpl w:val="27BCDB1C"/>
    <w:lvl w:ilvl="0">
      <w:start w:val="1"/>
      <w:numFmt w:val="bullet"/>
      <w:lvlText w:val=""/>
      <w:lvlJc w:val="left"/>
      <w:pPr>
        <w:tabs>
          <w:tab w:val="num" w:pos="520"/>
        </w:tabs>
        <w:ind w:left="520" w:hanging="520"/>
      </w:pPr>
      <w:rPr>
        <w:rFonts w:ascii="Symbol" w:hAnsi="Symbol" w:hint="default"/>
      </w:rPr>
    </w:lvl>
    <w:lvl w:ilvl="1">
      <w:start w:val="1"/>
      <w:numFmt w:val="bullet"/>
      <w:lvlText w:val="o"/>
      <w:lvlJc w:val="left"/>
      <w:pPr>
        <w:tabs>
          <w:tab w:val="num" w:pos="1040"/>
        </w:tabs>
        <w:ind w:left="1040" w:hanging="520"/>
      </w:pPr>
      <w:rPr>
        <w:rFonts w:ascii="Courier New" w:hAnsi="Courier New" w:cs="Courier New"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62165B"/>
    <w:multiLevelType w:val="hybridMultilevel"/>
    <w:tmpl w:val="CECE5BA0"/>
    <w:lvl w:ilvl="0" w:tplc="86420DC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4E84759"/>
    <w:multiLevelType w:val="hybridMultilevel"/>
    <w:tmpl w:val="989C03A2"/>
    <w:lvl w:ilvl="0" w:tplc="24F8C7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A600C11"/>
    <w:multiLevelType w:val="hybridMultilevel"/>
    <w:tmpl w:val="09AA2F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400F83"/>
    <w:multiLevelType w:val="multilevel"/>
    <w:tmpl w:val="C9A2D60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pStyle w:val="BoxHeading"/>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507A1A39"/>
    <w:multiLevelType w:val="hybridMultilevel"/>
    <w:tmpl w:val="885819BE"/>
    <w:lvl w:ilvl="0" w:tplc="2A009BD4">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D2021"/>
    <w:multiLevelType w:val="multilevel"/>
    <w:tmpl w:val="72F8140E"/>
    <w:numStyleLink w:val="OutlineList"/>
  </w:abstractNum>
  <w:abstractNum w:abstractNumId="27" w15:restartNumberingAfterBreak="0">
    <w:nsid w:val="56BD6730"/>
    <w:multiLevelType w:val="hybridMultilevel"/>
    <w:tmpl w:val="5A3C1F0C"/>
    <w:lvl w:ilvl="0" w:tplc="7A64B2C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333D31"/>
    <w:multiLevelType w:val="hybridMultilevel"/>
    <w:tmpl w:val="83166B7A"/>
    <w:lvl w:ilvl="0" w:tplc="8A3CC00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757FA2"/>
    <w:multiLevelType w:val="hybridMultilevel"/>
    <w:tmpl w:val="60E22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C521898"/>
    <w:multiLevelType w:val="multilevel"/>
    <w:tmpl w:val="92AEC60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6B5224"/>
    <w:multiLevelType w:val="multilevel"/>
    <w:tmpl w:val="13DE98DE"/>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4"/>
  </w:num>
  <w:num w:numId="2">
    <w:abstractNumId w:val="1"/>
  </w:num>
  <w:num w:numId="3">
    <w:abstractNumId w:val="17"/>
  </w:num>
  <w:num w:numId="4">
    <w:abstractNumId w:val="4"/>
  </w:num>
  <w:num w:numId="5">
    <w:abstractNumId w:val="5"/>
  </w:num>
  <w:num w:numId="6">
    <w:abstractNumId w:val="26"/>
    <w:lvlOverride w:ilvl="0">
      <w:lvl w:ilvl="0">
        <w:start w:val="1"/>
        <w:numFmt w:val="decimal"/>
        <w:pStyle w:val="OutlineNumbered1"/>
        <w:lvlText w:val="%1."/>
        <w:lvlJc w:val="left"/>
        <w:pPr>
          <w:tabs>
            <w:tab w:val="num" w:pos="851"/>
          </w:tabs>
          <w:ind w:left="851" w:hanging="851"/>
        </w:pPr>
        <w:rPr>
          <w:rFonts w:hint="default"/>
        </w:rPr>
      </w:lvl>
    </w:lvlOverride>
  </w:num>
  <w:num w:numId="7">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3"/>
  </w:num>
  <w:num w:numId="10">
    <w:abstractNumId w:val="10"/>
  </w:num>
  <w:num w:numId="11">
    <w:abstractNumId w:val="32"/>
  </w:num>
  <w:num w:numId="12">
    <w:abstractNumId w:val="26"/>
  </w:num>
  <w:num w:numId="13">
    <w:abstractNumId w:val="10"/>
  </w:num>
  <w:num w:numId="14">
    <w:abstractNumId w:val="16"/>
  </w:num>
  <w:num w:numId="15">
    <w:abstractNumId w:val="10"/>
  </w:num>
  <w:num w:numId="16">
    <w:abstractNumId w:val="31"/>
  </w:num>
  <w:num w:numId="1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 w:numId="20">
    <w:abstractNumId w:val="14"/>
  </w:num>
  <w:num w:numId="21">
    <w:abstractNumId w:val="14"/>
  </w:num>
  <w:num w:numId="22">
    <w:abstractNumId w:val="14"/>
  </w:num>
  <w:num w:numId="23">
    <w:abstractNumId w:val="14"/>
  </w:num>
  <w:num w:numId="24">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16"/>
  </w:num>
  <w:num w:numId="26">
    <w:abstractNumId w:val="7"/>
  </w:num>
  <w:num w:numId="27">
    <w:abstractNumId w:val="7"/>
  </w:num>
  <w:num w:numId="28">
    <w:abstractNumId w:val="7"/>
  </w:num>
  <w:num w:numId="29">
    <w:abstractNumId w:val="5"/>
  </w:num>
  <w:num w:numId="30">
    <w:abstractNumId w:val="17"/>
  </w:num>
  <w:num w:numId="31">
    <w:abstractNumId w:val="26"/>
  </w:num>
  <w:num w:numId="32">
    <w:abstractNumId w:val="26"/>
  </w:num>
  <w:num w:numId="33">
    <w:abstractNumId w:val="26"/>
  </w:num>
  <w:num w:numId="34">
    <w:abstractNumId w:val="4"/>
  </w:num>
  <w:num w:numId="35">
    <w:abstractNumId w:val="10"/>
  </w:num>
  <w:num w:numId="36">
    <w:abstractNumId w:val="8"/>
  </w:num>
  <w:num w:numId="37">
    <w:abstractNumId w:val="2"/>
  </w:num>
  <w:num w:numId="38">
    <w:abstractNumId w:val="19"/>
  </w:num>
  <w:num w:numId="39">
    <w:abstractNumId w:val="24"/>
  </w:num>
  <w:num w:numId="40">
    <w:abstractNumId w:val="15"/>
  </w:num>
  <w:num w:numId="41">
    <w:abstractNumId w:val="0"/>
  </w:num>
  <w:num w:numId="42">
    <w:abstractNumId w:val="29"/>
  </w:num>
  <w:num w:numId="43">
    <w:abstractNumId w:val="29"/>
  </w:num>
  <w:num w:numId="44">
    <w:abstractNumId w:val="21"/>
  </w:num>
  <w:num w:numId="45">
    <w:abstractNumId w:val="21"/>
  </w:num>
  <w:num w:numId="46">
    <w:abstractNumId w:val="11"/>
  </w:num>
  <w:num w:numId="47">
    <w:abstractNumId w:val="25"/>
  </w:num>
  <w:num w:numId="48">
    <w:abstractNumId w:val="28"/>
  </w:num>
  <w:num w:numId="4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9"/>
  </w:num>
  <w:num w:numId="58">
    <w:abstractNumId w:val="13"/>
  </w:num>
  <w:num w:numId="59">
    <w:abstractNumId w:val="19"/>
  </w:num>
  <w:num w:numId="6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9"/>
  </w:num>
  <w:num w:numId="68">
    <w:abstractNumId w:val="19"/>
  </w:num>
  <w:num w:numId="69">
    <w:abstractNumId w:val="19"/>
  </w:num>
  <w:num w:numId="70">
    <w:abstractNumId w:val="19"/>
  </w:num>
  <w:num w:numId="71">
    <w:abstractNumId w:val="19"/>
  </w:num>
  <w:num w:numId="72">
    <w:abstractNumId w:val="19"/>
  </w:num>
  <w:num w:numId="73">
    <w:abstractNumId w:val="19"/>
  </w:num>
  <w:num w:numId="74">
    <w:abstractNumId w:val="27"/>
  </w:num>
  <w:num w:numId="75">
    <w:abstractNumId w:val="22"/>
  </w:num>
  <w:num w:numId="76">
    <w:abstractNumId w:val="27"/>
  </w:num>
  <w:num w:numId="77">
    <w:abstractNumId w:val="22"/>
  </w:num>
  <w:num w:numId="78">
    <w:abstractNumId w:val="19"/>
  </w:num>
  <w:num w:numId="79">
    <w:abstractNumId w:val="19"/>
  </w:num>
  <w:num w:numId="80">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03"/>
    <w:rsid w:val="00000372"/>
    <w:rsid w:val="00000889"/>
    <w:rsid w:val="00000A2F"/>
    <w:rsid w:val="00000E63"/>
    <w:rsid w:val="0000132A"/>
    <w:rsid w:val="000017E1"/>
    <w:rsid w:val="000018BD"/>
    <w:rsid w:val="000018CB"/>
    <w:rsid w:val="00001FEE"/>
    <w:rsid w:val="0000211F"/>
    <w:rsid w:val="00002316"/>
    <w:rsid w:val="000025F1"/>
    <w:rsid w:val="000028BE"/>
    <w:rsid w:val="00002E1B"/>
    <w:rsid w:val="00002E55"/>
    <w:rsid w:val="000033AF"/>
    <w:rsid w:val="00003A47"/>
    <w:rsid w:val="00003C1E"/>
    <w:rsid w:val="000043B3"/>
    <w:rsid w:val="0000450E"/>
    <w:rsid w:val="000049BC"/>
    <w:rsid w:val="00004BFB"/>
    <w:rsid w:val="00004C12"/>
    <w:rsid w:val="00004DB9"/>
    <w:rsid w:val="00004DCE"/>
    <w:rsid w:val="00004FA7"/>
    <w:rsid w:val="000057CF"/>
    <w:rsid w:val="00005995"/>
    <w:rsid w:val="00005BBC"/>
    <w:rsid w:val="00005DD7"/>
    <w:rsid w:val="00006479"/>
    <w:rsid w:val="000066FF"/>
    <w:rsid w:val="0000697F"/>
    <w:rsid w:val="00006C25"/>
    <w:rsid w:val="00006D93"/>
    <w:rsid w:val="00006DE0"/>
    <w:rsid w:val="00006F79"/>
    <w:rsid w:val="00006F7E"/>
    <w:rsid w:val="0000700D"/>
    <w:rsid w:val="000073DB"/>
    <w:rsid w:val="00007680"/>
    <w:rsid w:val="000078C2"/>
    <w:rsid w:val="00007922"/>
    <w:rsid w:val="00007CB4"/>
    <w:rsid w:val="00007D6F"/>
    <w:rsid w:val="00010109"/>
    <w:rsid w:val="0001031D"/>
    <w:rsid w:val="00010478"/>
    <w:rsid w:val="000104AA"/>
    <w:rsid w:val="00010573"/>
    <w:rsid w:val="000106E6"/>
    <w:rsid w:val="00010724"/>
    <w:rsid w:val="00010AB0"/>
    <w:rsid w:val="00010B8F"/>
    <w:rsid w:val="00010CD7"/>
    <w:rsid w:val="00011111"/>
    <w:rsid w:val="0001153F"/>
    <w:rsid w:val="00011725"/>
    <w:rsid w:val="00011820"/>
    <w:rsid w:val="00011A27"/>
    <w:rsid w:val="00011B2E"/>
    <w:rsid w:val="00011EEE"/>
    <w:rsid w:val="00012905"/>
    <w:rsid w:val="00012927"/>
    <w:rsid w:val="00012C62"/>
    <w:rsid w:val="00012D0E"/>
    <w:rsid w:val="00013602"/>
    <w:rsid w:val="00013647"/>
    <w:rsid w:val="000137CD"/>
    <w:rsid w:val="000138D0"/>
    <w:rsid w:val="0001392A"/>
    <w:rsid w:val="00013B08"/>
    <w:rsid w:val="00013BA8"/>
    <w:rsid w:val="00013E6B"/>
    <w:rsid w:val="00013F12"/>
    <w:rsid w:val="00013F1A"/>
    <w:rsid w:val="00013F59"/>
    <w:rsid w:val="000140C3"/>
    <w:rsid w:val="0001421C"/>
    <w:rsid w:val="000142C1"/>
    <w:rsid w:val="000145E9"/>
    <w:rsid w:val="000146FE"/>
    <w:rsid w:val="00014872"/>
    <w:rsid w:val="000148AC"/>
    <w:rsid w:val="0001492D"/>
    <w:rsid w:val="00014BA4"/>
    <w:rsid w:val="00014D6F"/>
    <w:rsid w:val="00014DBE"/>
    <w:rsid w:val="00015193"/>
    <w:rsid w:val="00015476"/>
    <w:rsid w:val="000157E5"/>
    <w:rsid w:val="00015864"/>
    <w:rsid w:val="00015B02"/>
    <w:rsid w:val="00015B2B"/>
    <w:rsid w:val="00015E6B"/>
    <w:rsid w:val="00015EE2"/>
    <w:rsid w:val="00015F6B"/>
    <w:rsid w:val="0001682C"/>
    <w:rsid w:val="00016DB4"/>
    <w:rsid w:val="00017306"/>
    <w:rsid w:val="000174A8"/>
    <w:rsid w:val="00017623"/>
    <w:rsid w:val="000177C3"/>
    <w:rsid w:val="00017B08"/>
    <w:rsid w:val="00017E07"/>
    <w:rsid w:val="00017EEE"/>
    <w:rsid w:val="000203DD"/>
    <w:rsid w:val="000205A3"/>
    <w:rsid w:val="000205AD"/>
    <w:rsid w:val="0002080A"/>
    <w:rsid w:val="00020839"/>
    <w:rsid w:val="000209FA"/>
    <w:rsid w:val="00020A5F"/>
    <w:rsid w:val="00020E68"/>
    <w:rsid w:val="000211FE"/>
    <w:rsid w:val="000212F8"/>
    <w:rsid w:val="0002130A"/>
    <w:rsid w:val="00021368"/>
    <w:rsid w:val="00021AF1"/>
    <w:rsid w:val="000221CA"/>
    <w:rsid w:val="000222EB"/>
    <w:rsid w:val="00022419"/>
    <w:rsid w:val="000224E9"/>
    <w:rsid w:val="00023307"/>
    <w:rsid w:val="000235B9"/>
    <w:rsid w:val="000240C9"/>
    <w:rsid w:val="000241EC"/>
    <w:rsid w:val="00024281"/>
    <w:rsid w:val="0002431A"/>
    <w:rsid w:val="00024F89"/>
    <w:rsid w:val="00025006"/>
    <w:rsid w:val="0002536B"/>
    <w:rsid w:val="0002544D"/>
    <w:rsid w:val="0002576B"/>
    <w:rsid w:val="000258F0"/>
    <w:rsid w:val="00025915"/>
    <w:rsid w:val="00025B29"/>
    <w:rsid w:val="00025DEC"/>
    <w:rsid w:val="000261BE"/>
    <w:rsid w:val="0002624D"/>
    <w:rsid w:val="0002625A"/>
    <w:rsid w:val="00026BA3"/>
    <w:rsid w:val="00026F71"/>
    <w:rsid w:val="000274E6"/>
    <w:rsid w:val="000275D8"/>
    <w:rsid w:val="00027A22"/>
    <w:rsid w:val="00027ACA"/>
    <w:rsid w:val="00027E11"/>
    <w:rsid w:val="00027FED"/>
    <w:rsid w:val="00030187"/>
    <w:rsid w:val="00030554"/>
    <w:rsid w:val="000305A8"/>
    <w:rsid w:val="00030671"/>
    <w:rsid w:val="0003071D"/>
    <w:rsid w:val="00030C37"/>
    <w:rsid w:val="00030F6F"/>
    <w:rsid w:val="00031271"/>
    <w:rsid w:val="000327C3"/>
    <w:rsid w:val="00032F7A"/>
    <w:rsid w:val="00033193"/>
    <w:rsid w:val="00033580"/>
    <w:rsid w:val="000335AD"/>
    <w:rsid w:val="000337B7"/>
    <w:rsid w:val="00033A8F"/>
    <w:rsid w:val="00033BC3"/>
    <w:rsid w:val="00033C71"/>
    <w:rsid w:val="00033D1F"/>
    <w:rsid w:val="00033F5D"/>
    <w:rsid w:val="0003420F"/>
    <w:rsid w:val="00034385"/>
    <w:rsid w:val="000346BC"/>
    <w:rsid w:val="00034852"/>
    <w:rsid w:val="000349BD"/>
    <w:rsid w:val="00034A56"/>
    <w:rsid w:val="00034B6F"/>
    <w:rsid w:val="0003530D"/>
    <w:rsid w:val="00035627"/>
    <w:rsid w:val="00035924"/>
    <w:rsid w:val="00035DAA"/>
    <w:rsid w:val="000364F2"/>
    <w:rsid w:val="0003676B"/>
    <w:rsid w:val="00036854"/>
    <w:rsid w:val="00036901"/>
    <w:rsid w:val="00036B7C"/>
    <w:rsid w:val="0003708C"/>
    <w:rsid w:val="000372BE"/>
    <w:rsid w:val="000373EA"/>
    <w:rsid w:val="00037442"/>
    <w:rsid w:val="000378C2"/>
    <w:rsid w:val="00037A43"/>
    <w:rsid w:val="00037C04"/>
    <w:rsid w:val="00037E18"/>
    <w:rsid w:val="00037E8A"/>
    <w:rsid w:val="0004026F"/>
    <w:rsid w:val="00040694"/>
    <w:rsid w:val="000409BD"/>
    <w:rsid w:val="00040A8D"/>
    <w:rsid w:val="00040AAF"/>
    <w:rsid w:val="00040ADB"/>
    <w:rsid w:val="00040B17"/>
    <w:rsid w:val="00040D44"/>
    <w:rsid w:val="00040DA6"/>
    <w:rsid w:val="000418B7"/>
    <w:rsid w:val="000419EE"/>
    <w:rsid w:val="00041A8B"/>
    <w:rsid w:val="00041D5C"/>
    <w:rsid w:val="0004202A"/>
    <w:rsid w:val="00042626"/>
    <w:rsid w:val="00042709"/>
    <w:rsid w:val="0004274D"/>
    <w:rsid w:val="00042A0A"/>
    <w:rsid w:val="00043116"/>
    <w:rsid w:val="000432DA"/>
    <w:rsid w:val="000433FA"/>
    <w:rsid w:val="00043C1B"/>
    <w:rsid w:val="00043EA5"/>
    <w:rsid w:val="00044209"/>
    <w:rsid w:val="0004459B"/>
    <w:rsid w:val="00044AD0"/>
    <w:rsid w:val="00044C0A"/>
    <w:rsid w:val="00045D88"/>
    <w:rsid w:val="00045E3A"/>
    <w:rsid w:val="00045FBE"/>
    <w:rsid w:val="00046A2B"/>
    <w:rsid w:val="00046BD9"/>
    <w:rsid w:val="00046CF0"/>
    <w:rsid w:val="00046FBA"/>
    <w:rsid w:val="000472E2"/>
    <w:rsid w:val="00047708"/>
    <w:rsid w:val="000479C6"/>
    <w:rsid w:val="0005015D"/>
    <w:rsid w:val="000503D5"/>
    <w:rsid w:val="00050678"/>
    <w:rsid w:val="000506B6"/>
    <w:rsid w:val="00050784"/>
    <w:rsid w:val="0005078D"/>
    <w:rsid w:val="00050A7E"/>
    <w:rsid w:val="00050C0A"/>
    <w:rsid w:val="00050DA4"/>
    <w:rsid w:val="00050F2B"/>
    <w:rsid w:val="00051096"/>
    <w:rsid w:val="00051422"/>
    <w:rsid w:val="000515E8"/>
    <w:rsid w:val="00051886"/>
    <w:rsid w:val="00051D42"/>
    <w:rsid w:val="00051D60"/>
    <w:rsid w:val="000521E7"/>
    <w:rsid w:val="0005237E"/>
    <w:rsid w:val="00052877"/>
    <w:rsid w:val="00052B45"/>
    <w:rsid w:val="00053141"/>
    <w:rsid w:val="000531F7"/>
    <w:rsid w:val="00053725"/>
    <w:rsid w:val="00053823"/>
    <w:rsid w:val="00053B01"/>
    <w:rsid w:val="00053E3A"/>
    <w:rsid w:val="000543A2"/>
    <w:rsid w:val="0005440E"/>
    <w:rsid w:val="00054558"/>
    <w:rsid w:val="00054829"/>
    <w:rsid w:val="00054B5C"/>
    <w:rsid w:val="00054C07"/>
    <w:rsid w:val="00055068"/>
    <w:rsid w:val="0005548F"/>
    <w:rsid w:val="000558BD"/>
    <w:rsid w:val="00056880"/>
    <w:rsid w:val="00056A59"/>
    <w:rsid w:val="00056A64"/>
    <w:rsid w:val="00056CFD"/>
    <w:rsid w:val="00056D5C"/>
    <w:rsid w:val="00057280"/>
    <w:rsid w:val="000572DE"/>
    <w:rsid w:val="00057339"/>
    <w:rsid w:val="00057905"/>
    <w:rsid w:val="00057A19"/>
    <w:rsid w:val="00057A1B"/>
    <w:rsid w:val="00057AD4"/>
    <w:rsid w:val="00057AFF"/>
    <w:rsid w:val="00057D72"/>
    <w:rsid w:val="00057E42"/>
    <w:rsid w:val="00057EBD"/>
    <w:rsid w:val="000604C0"/>
    <w:rsid w:val="000607A5"/>
    <w:rsid w:val="000609FC"/>
    <w:rsid w:val="00060AEC"/>
    <w:rsid w:val="00060B12"/>
    <w:rsid w:val="00060C93"/>
    <w:rsid w:val="00061135"/>
    <w:rsid w:val="0006126E"/>
    <w:rsid w:val="0006127C"/>
    <w:rsid w:val="00061292"/>
    <w:rsid w:val="000619CD"/>
    <w:rsid w:val="00061B04"/>
    <w:rsid w:val="00061B60"/>
    <w:rsid w:val="0006258C"/>
    <w:rsid w:val="00062C1D"/>
    <w:rsid w:val="00062C6A"/>
    <w:rsid w:val="00062CEB"/>
    <w:rsid w:val="0006371A"/>
    <w:rsid w:val="00063879"/>
    <w:rsid w:val="00063C65"/>
    <w:rsid w:val="00063CC2"/>
    <w:rsid w:val="000641F0"/>
    <w:rsid w:val="00064316"/>
    <w:rsid w:val="00064376"/>
    <w:rsid w:val="000644B1"/>
    <w:rsid w:val="0006495B"/>
    <w:rsid w:val="00064A71"/>
    <w:rsid w:val="00064B1E"/>
    <w:rsid w:val="00064B72"/>
    <w:rsid w:val="00064DD0"/>
    <w:rsid w:val="00065098"/>
    <w:rsid w:val="000652D9"/>
    <w:rsid w:val="0006589D"/>
    <w:rsid w:val="00065B5C"/>
    <w:rsid w:val="00065C58"/>
    <w:rsid w:val="00065E3E"/>
    <w:rsid w:val="00066235"/>
    <w:rsid w:val="00066E39"/>
    <w:rsid w:val="00066EE3"/>
    <w:rsid w:val="00067506"/>
    <w:rsid w:val="000675D1"/>
    <w:rsid w:val="0006773B"/>
    <w:rsid w:val="0006783D"/>
    <w:rsid w:val="00067D02"/>
    <w:rsid w:val="00067D43"/>
    <w:rsid w:val="00067FA4"/>
    <w:rsid w:val="00070028"/>
    <w:rsid w:val="00070670"/>
    <w:rsid w:val="00070C18"/>
    <w:rsid w:val="00070E8C"/>
    <w:rsid w:val="0007102C"/>
    <w:rsid w:val="000710F8"/>
    <w:rsid w:val="00071509"/>
    <w:rsid w:val="00071859"/>
    <w:rsid w:val="00071BA9"/>
    <w:rsid w:val="00071BE8"/>
    <w:rsid w:val="00071D40"/>
    <w:rsid w:val="00071EC1"/>
    <w:rsid w:val="00072176"/>
    <w:rsid w:val="00072266"/>
    <w:rsid w:val="00072352"/>
    <w:rsid w:val="000727C8"/>
    <w:rsid w:val="0007296B"/>
    <w:rsid w:val="00072AAE"/>
    <w:rsid w:val="00072C8A"/>
    <w:rsid w:val="00072CD4"/>
    <w:rsid w:val="00072F00"/>
    <w:rsid w:val="000732E7"/>
    <w:rsid w:val="00073384"/>
    <w:rsid w:val="00073521"/>
    <w:rsid w:val="00073CA7"/>
    <w:rsid w:val="00073CD5"/>
    <w:rsid w:val="00074198"/>
    <w:rsid w:val="00074589"/>
    <w:rsid w:val="0007475D"/>
    <w:rsid w:val="00074AAD"/>
    <w:rsid w:val="00074B36"/>
    <w:rsid w:val="00074BE1"/>
    <w:rsid w:val="00074D75"/>
    <w:rsid w:val="00075474"/>
    <w:rsid w:val="00075554"/>
    <w:rsid w:val="000755CB"/>
    <w:rsid w:val="00075601"/>
    <w:rsid w:val="0007593A"/>
    <w:rsid w:val="00076079"/>
    <w:rsid w:val="0007628F"/>
    <w:rsid w:val="0007648B"/>
    <w:rsid w:val="000764A2"/>
    <w:rsid w:val="00076931"/>
    <w:rsid w:val="00076A41"/>
    <w:rsid w:val="00076D2D"/>
    <w:rsid w:val="00076DA4"/>
    <w:rsid w:val="00076ED5"/>
    <w:rsid w:val="00077595"/>
    <w:rsid w:val="000775DE"/>
    <w:rsid w:val="000775F5"/>
    <w:rsid w:val="0008022F"/>
    <w:rsid w:val="00080679"/>
    <w:rsid w:val="000806D2"/>
    <w:rsid w:val="00080A16"/>
    <w:rsid w:val="00080B57"/>
    <w:rsid w:val="00080F5B"/>
    <w:rsid w:val="000810E2"/>
    <w:rsid w:val="00081152"/>
    <w:rsid w:val="0008139A"/>
    <w:rsid w:val="00081484"/>
    <w:rsid w:val="000817D5"/>
    <w:rsid w:val="00081A19"/>
    <w:rsid w:val="000820B5"/>
    <w:rsid w:val="0008221F"/>
    <w:rsid w:val="000825C1"/>
    <w:rsid w:val="00082623"/>
    <w:rsid w:val="0008279E"/>
    <w:rsid w:val="00082FC2"/>
    <w:rsid w:val="00083430"/>
    <w:rsid w:val="000838E4"/>
    <w:rsid w:val="000839C7"/>
    <w:rsid w:val="00083B8B"/>
    <w:rsid w:val="00083D68"/>
    <w:rsid w:val="00083F9E"/>
    <w:rsid w:val="0008441E"/>
    <w:rsid w:val="000844BA"/>
    <w:rsid w:val="00084775"/>
    <w:rsid w:val="00084989"/>
    <w:rsid w:val="0008520B"/>
    <w:rsid w:val="00085409"/>
    <w:rsid w:val="000854ED"/>
    <w:rsid w:val="000858F2"/>
    <w:rsid w:val="000859B4"/>
    <w:rsid w:val="00085AEC"/>
    <w:rsid w:val="00085B64"/>
    <w:rsid w:val="00085E9A"/>
    <w:rsid w:val="00086313"/>
    <w:rsid w:val="000864D6"/>
    <w:rsid w:val="00086704"/>
    <w:rsid w:val="00086975"/>
    <w:rsid w:val="00086C3C"/>
    <w:rsid w:val="00086DE3"/>
    <w:rsid w:val="00087134"/>
    <w:rsid w:val="000874BF"/>
    <w:rsid w:val="00087A95"/>
    <w:rsid w:val="00087D91"/>
    <w:rsid w:val="00087E3F"/>
    <w:rsid w:val="00087EE8"/>
    <w:rsid w:val="00087FAF"/>
    <w:rsid w:val="00087FC3"/>
    <w:rsid w:val="00090385"/>
    <w:rsid w:val="00090906"/>
    <w:rsid w:val="00090E42"/>
    <w:rsid w:val="00090E6E"/>
    <w:rsid w:val="0009151A"/>
    <w:rsid w:val="00091B1C"/>
    <w:rsid w:val="00091C31"/>
    <w:rsid w:val="000925ED"/>
    <w:rsid w:val="0009274E"/>
    <w:rsid w:val="000929E6"/>
    <w:rsid w:val="00092AAE"/>
    <w:rsid w:val="00092DAF"/>
    <w:rsid w:val="00092EB0"/>
    <w:rsid w:val="0009315E"/>
    <w:rsid w:val="000935EE"/>
    <w:rsid w:val="00093600"/>
    <w:rsid w:val="00093684"/>
    <w:rsid w:val="00093A12"/>
    <w:rsid w:val="00093FE4"/>
    <w:rsid w:val="00094127"/>
    <w:rsid w:val="000943F2"/>
    <w:rsid w:val="00094746"/>
    <w:rsid w:val="000947CA"/>
    <w:rsid w:val="00094BE6"/>
    <w:rsid w:val="00094D31"/>
    <w:rsid w:val="00094ED8"/>
    <w:rsid w:val="000951DF"/>
    <w:rsid w:val="00095271"/>
    <w:rsid w:val="000954F9"/>
    <w:rsid w:val="00095889"/>
    <w:rsid w:val="00095CB5"/>
    <w:rsid w:val="00095E3A"/>
    <w:rsid w:val="00095E64"/>
    <w:rsid w:val="00096CF3"/>
    <w:rsid w:val="00096D0F"/>
    <w:rsid w:val="000973C9"/>
    <w:rsid w:val="00097559"/>
    <w:rsid w:val="00097A04"/>
    <w:rsid w:val="00097ACD"/>
    <w:rsid w:val="00097D51"/>
    <w:rsid w:val="000A0792"/>
    <w:rsid w:val="000A0916"/>
    <w:rsid w:val="000A0BF8"/>
    <w:rsid w:val="000A0C0F"/>
    <w:rsid w:val="000A0C47"/>
    <w:rsid w:val="000A0C52"/>
    <w:rsid w:val="000A0C9A"/>
    <w:rsid w:val="000A1419"/>
    <w:rsid w:val="000A14ED"/>
    <w:rsid w:val="000A1617"/>
    <w:rsid w:val="000A1F95"/>
    <w:rsid w:val="000A1FD0"/>
    <w:rsid w:val="000A2C0C"/>
    <w:rsid w:val="000A2C44"/>
    <w:rsid w:val="000A2E7A"/>
    <w:rsid w:val="000A3064"/>
    <w:rsid w:val="000A347C"/>
    <w:rsid w:val="000A371D"/>
    <w:rsid w:val="000A375D"/>
    <w:rsid w:val="000A376F"/>
    <w:rsid w:val="000A39BE"/>
    <w:rsid w:val="000A3CD1"/>
    <w:rsid w:val="000A3F20"/>
    <w:rsid w:val="000A3FE3"/>
    <w:rsid w:val="000A4244"/>
    <w:rsid w:val="000A4472"/>
    <w:rsid w:val="000A47C1"/>
    <w:rsid w:val="000A4AEC"/>
    <w:rsid w:val="000A4B4F"/>
    <w:rsid w:val="000A4C74"/>
    <w:rsid w:val="000A51C7"/>
    <w:rsid w:val="000A5272"/>
    <w:rsid w:val="000A53B7"/>
    <w:rsid w:val="000A547F"/>
    <w:rsid w:val="000A56A2"/>
    <w:rsid w:val="000A57B8"/>
    <w:rsid w:val="000A5979"/>
    <w:rsid w:val="000A5F02"/>
    <w:rsid w:val="000A6556"/>
    <w:rsid w:val="000A65D2"/>
    <w:rsid w:val="000A65E2"/>
    <w:rsid w:val="000A6707"/>
    <w:rsid w:val="000A69A2"/>
    <w:rsid w:val="000A7027"/>
    <w:rsid w:val="000A735E"/>
    <w:rsid w:val="000A7407"/>
    <w:rsid w:val="000A7530"/>
    <w:rsid w:val="000A7BD8"/>
    <w:rsid w:val="000A7EE3"/>
    <w:rsid w:val="000A7F92"/>
    <w:rsid w:val="000B0310"/>
    <w:rsid w:val="000B097E"/>
    <w:rsid w:val="000B13BD"/>
    <w:rsid w:val="000B1A96"/>
    <w:rsid w:val="000B1EB0"/>
    <w:rsid w:val="000B24A8"/>
    <w:rsid w:val="000B2886"/>
    <w:rsid w:val="000B2B64"/>
    <w:rsid w:val="000B2B6D"/>
    <w:rsid w:val="000B2C6A"/>
    <w:rsid w:val="000B2CD1"/>
    <w:rsid w:val="000B2FCD"/>
    <w:rsid w:val="000B3554"/>
    <w:rsid w:val="000B37AE"/>
    <w:rsid w:val="000B3B48"/>
    <w:rsid w:val="000B3C9A"/>
    <w:rsid w:val="000B3EF4"/>
    <w:rsid w:val="000B4101"/>
    <w:rsid w:val="000B41BB"/>
    <w:rsid w:val="000B41CD"/>
    <w:rsid w:val="000B4A72"/>
    <w:rsid w:val="000B4BE1"/>
    <w:rsid w:val="000B4D7E"/>
    <w:rsid w:val="000B4F5A"/>
    <w:rsid w:val="000B4FC5"/>
    <w:rsid w:val="000B5637"/>
    <w:rsid w:val="000B5A03"/>
    <w:rsid w:val="000B5C8D"/>
    <w:rsid w:val="000B5CFA"/>
    <w:rsid w:val="000B6242"/>
    <w:rsid w:val="000B6750"/>
    <w:rsid w:val="000B6BC6"/>
    <w:rsid w:val="000B6CF0"/>
    <w:rsid w:val="000B72A2"/>
    <w:rsid w:val="000B72EA"/>
    <w:rsid w:val="000B7A56"/>
    <w:rsid w:val="000C006D"/>
    <w:rsid w:val="000C01F2"/>
    <w:rsid w:val="000C03B4"/>
    <w:rsid w:val="000C047F"/>
    <w:rsid w:val="000C0905"/>
    <w:rsid w:val="000C0958"/>
    <w:rsid w:val="000C09E7"/>
    <w:rsid w:val="000C101D"/>
    <w:rsid w:val="000C1028"/>
    <w:rsid w:val="000C137F"/>
    <w:rsid w:val="000C18C4"/>
    <w:rsid w:val="000C1F88"/>
    <w:rsid w:val="000C1FD4"/>
    <w:rsid w:val="000C25E2"/>
    <w:rsid w:val="000C2647"/>
    <w:rsid w:val="000C2943"/>
    <w:rsid w:val="000C3423"/>
    <w:rsid w:val="000C3812"/>
    <w:rsid w:val="000C3CF2"/>
    <w:rsid w:val="000C3D1E"/>
    <w:rsid w:val="000C3FA3"/>
    <w:rsid w:val="000C423B"/>
    <w:rsid w:val="000C447E"/>
    <w:rsid w:val="000C4744"/>
    <w:rsid w:val="000C4802"/>
    <w:rsid w:val="000C4A9B"/>
    <w:rsid w:val="000C4C0D"/>
    <w:rsid w:val="000C4DCB"/>
    <w:rsid w:val="000C4DF7"/>
    <w:rsid w:val="000C4EC6"/>
    <w:rsid w:val="000C54B2"/>
    <w:rsid w:val="000C5D93"/>
    <w:rsid w:val="000C5F40"/>
    <w:rsid w:val="000C6198"/>
    <w:rsid w:val="000C6D83"/>
    <w:rsid w:val="000C707C"/>
    <w:rsid w:val="000C716D"/>
    <w:rsid w:val="000C7321"/>
    <w:rsid w:val="000C7613"/>
    <w:rsid w:val="000C78AC"/>
    <w:rsid w:val="000C7909"/>
    <w:rsid w:val="000C79BF"/>
    <w:rsid w:val="000C7B89"/>
    <w:rsid w:val="000C7C1D"/>
    <w:rsid w:val="000C7D73"/>
    <w:rsid w:val="000C7D84"/>
    <w:rsid w:val="000C7FCB"/>
    <w:rsid w:val="000D0453"/>
    <w:rsid w:val="000D04D7"/>
    <w:rsid w:val="000D05EA"/>
    <w:rsid w:val="000D0887"/>
    <w:rsid w:val="000D10E9"/>
    <w:rsid w:val="000D1284"/>
    <w:rsid w:val="000D171B"/>
    <w:rsid w:val="000D1819"/>
    <w:rsid w:val="000D1BD5"/>
    <w:rsid w:val="000D2187"/>
    <w:rsid w:val="000D228B"/>
    <w:rsid w:val="000D258E"/>
    <w:rsid w:val="000D28AA"/>
    <w:rsid w:val="000D28BA"/>
    <w:rsid w:val="000D2FEB"/>
    <w:rsid w:val="000D35FE"/>
    <w:rsid w:val="000D3A88"/>
    <w:rsid w:val="000D3F39"/>
    <w:rsid w:val="000D4137"/>
    <w:rsid w:val="000D457D"/>
    <w:rsid w:val="000D4950"/>
    <w:rsid w:val="000D5309"/>
    <w:rsid w:val="000D57AA"/>
    <w:rsid w:val="000D588A"/>
    <w:rsid w:val="000D5D13"/>
    <w:rsid w:val="000D5ED2"/>
    <w:rsid w:val="000D5F5D"/>
    <w:rsid w:val="000D604E"/>
    <w:rsid w:val="000D60D7"/>
    <w:rsid w:val="000D62FF"/>
    <w:rsid w:val="000D679C"/>
    <w:rsid w:val="000D69DB"/>
    <w:rsid w:val="000D6C9A"/>
    <w:rsid w:val="000D6E3D"/>
    <w:rsid w:val="000D72BA"/>
    <w:rsid w:val="000D7946"/>
    <w:rsid w:val="000D7C57"/>
    <w:rsid w:val="000D7D45"/>
    <w:rsid w:val="000E01E4"/>
    <w:rsid w:val="000E0331"/>
    <w:rsid w:val="000E03E3"/>
    <w:rsid w:val="000E054A"/>
    <w:rsid w:val="000E0597"/>
    <w:rsid w:val="000E07A5"/>
    <w:rsid w:val="000E0B74"/>
    <w:rsid w:val="000E0BB1"/>
    <w:rsid w:val="000E0CB4"/>
    <w:rsid w:val="000E0D15"/>
    <w:rsid w:val="000E0EC1"/>
    <w:rsid w:val="000E1510"/>
    <w:rsid w:val="000E2380"/>
    <w:rsid w:val="000E248E"/>
    <w:rsid w:val="000E2495"/>
    <w:rsid w:val="000E258E"/>
    <w:rsid w:val="000E283B"/>
    <w:rsid w:val="000E2EC5"/>
    <w:rsid w:val="000E3080"/>
    <w:rsid w:val="000E30E6"/>
    <w:rsid w:val="000E3484"/>
    <w:rsid w:val="000E34B8"/>
    <w:rsid w:val="000E3581"/>
    <w:rsid w:val="000E36EE"/>
    <w:rsid w:val="000E39E4"/>
    <w:rsid w:val="000E3C31"/>
    <w:rsid w:val="000E41EC"/>
    <w:rsid w:val="000E436C"/>
    <w:rsid w:val="000E4735"/>
    <w:rsid w:val="000E4BF4"/>
    <w:rsid w:val="000E4E16"/>
    <w:rsid w:val="000E5341"/>
    <w:rsid w:val="000E5843"/>
    <w:rsid w:val="000E5BE5"/>
    <w:rsid w:val="000E5CDD"/>
    <w:rsid w:val="000E5DCE"/>
    <w:rsid w:val="000E6032"/>
    <w:rsid w:val="000E610A"/>
    <w:rsid w:val="000E6386"/>
    <w:rsid w:val="000E639B"/>
    <w:rsid w:val="000E699A"/>
    <w:rsid w:val="000E6A2E"/>
    <w:rsid w:val="000E6C46"/>
    <w:rsid w:val="000E7477"/>
    <w:rsid w:val="000E7B8A"/>
    <w:rsid w:val="000F009F"/>
    <w:rsid w:val="000F0795"/>
    <w:rsid w:val="000F0BF8"/>
    <w:rsid w:val="000F0EA1"/>
    <w:rsid w:val="000F105A"/>
    <w:rsid w:val="000F10F0"/>
    <w:rsid w:val="000F1352"/>
    <w:rsid w:val="000F1381"/>
    <w:rsid w:val="000F1927"/>
    <w:rsid w:val="000F1AFC"/>
    <w:rsid w:val="000F1D53"/>
    <w:rsid w:val="000F2281"/>
    <w:rsid w:val="000F237F"/>
    <w:rsid w:val="000F2EC4"/>
    <w:rsid w:val="000F37C0"/>
    <w:rsid w:val="000F3C7D"/>
    <w:rsid w:val="000F3EDE"/>
    <w:rsid w:val="000F4008"/>
    <w:rsid w:val="000F4271"/>
    <w:rsid w:val="000F484D"/>
    <w:rsid w:val="000F5044"/>
    <w:rsid w:val="000F5216"/>
    <w:rsid w:val="000F531E"/>
    <w:rsid w:val="000F54FB"/>
    <w:rsid w:val="000F550C"/>
    <w:rsid w:val="000F57A5"/>
    <w:rsid w:val="000F5822"/>
    <w:rsid w:val="000F5B5A"/>
    <w:rsid w:val="000F5C2C"/>
    <w:rsid w:val="000F5F51"/>
    <w:rsid w:val="000F606E"/>
    <w:rsid w:val="000F6438"/>
    <w:rsid w:val="000F6537"/>
    <w:rsid w:val="000F6627"/>
    <w:rsid w:val="000F68D0"/>
    <w:rsid w:val="000F691F"/>
    <w:rsid w:val="000F6B71"/>
    <w:rsid w:val="000F706D"/>
    <w:rsid w:val="000F736A"/>
    <w:rsid w:val="000F74DF"/>
    <w:rsid w:val="000F7517"/>
    <w:rsid w:val="000F77BA"/>
    <w:rsid w:val="000F77EF"/>
    <w:rsid w:val="000F7B7E"/>
    <w:rsid w:val="000F7D80"/>
    <w:rsid w:val="000F7E91"/>
    <w:rsid w:val="000F7EB2"/>
    <w:rsid w:val="001004AC"/>
    <w:rsid w:val="0010079C"/>
    <w:rsid w:val="001008C1"/>
    <w:rsid w:val="0010092E"/>
    <w:rsid w:val="00100A94"/>
    <w:rsid w:val="00100B72"/>
    <w:rsid w:val="0010111F"/>
    <w:rsid w:val="00101316"/>
    <w:rsid w:val="001019CD"/>
    <w:rsid w:val="00101CCC"/>
    <w:rsid w:val="00101DB9"/>
    <w:rsid w:val="0010204B"/>
    <w:rsid w:val="0010208A"/>
    <w:rsid w:val="00102A79"/>
    <w:rsid w:val="0010307A"/>
    <w:rsid w:val="00103391"/>
    <w:rsid w:val="00103C00"/>
    <w:rsid w:val="00103D62"/>
    <w:rsid w:val="00103EEF"/>
    <w:rsid w:val="00104033"/>
    <w:rsid w:val="0010414F"/>
    <w:rsid w:val="00104290"/>
    <w:rsid w:val="00104358"/>
    <w:rsid w:val="001044E0"/>
    <w:rsid w:val="00104508"/>
    <w:rsid w:val="001047BD"/>
    <w:rsid w:val="00104BC0"/>
    <w:rsid w:val="001050C3"/>
    <w:rsid w:val="00105100"/>
    <w:rsid w:val="001051F8"/>
    <w:rsid w:val="00105356"/>
    <w:rsid w:val="00105787"/>
    <w:rsid w:val="00105CAC"/>
    <w:rsid w:val="00105D74"/>
    <w:rsid w:val="00105FD3"/>
    <w:rsid w:val="0010609D"/>
    <w:rsid w:val="00106103"/>
    <w:rsid w:val="0010617A"/>
    <w:rsid w:val="00106404"/>
    <w:rsid w:val="00106560"/>
    <w:rsid w:val="0010658C"/>
    <w:rsid w:val="00106891"/>
    <w:rsid w:val="00106DEF"/>
    <w:rsid w:val="00106FAE"/>
    <w:rsid w:val="001071D1"/>
    <w:rsid w:val="00107369"/>
    <w:rsid w:val="0011007E"/>
    <w:rsid w:val="00110635"/>
    <w:rsid w:val="0011071F"/>
    <w:rsid w:val="001109C7"/>
    <w:rsid w:val="00110A99"/>
    <w:rsid w:val="001122FA"/>
    <w:rsid w:val="0011309B"/>
    <w:rsid w:val="001132D7"/>
    <w:rsid w:val="0011363F"/>
    <w:rsid w:val="00113E3D"/>
    <w:rsid w:val="001143F0"/>
    <w:rsid w:val="0011460B"/>
    <w:rsid w:val="00114B7E"/>
    <w:rsid w:val="00114E14"/>
    <w:rsid w:val="00115030"/>
    <w:rsid w:val="0011540C"/>
    <w:rsid w:val="00115734"/>
    <w:rsid w:val="00115C1B"/>
    <w:rsid w:val="00115C71"/>
    <w:rsid w:val="00115D02"/>
    <w:rsid w:val="001160DB"/>
    <w:rsid w:val="001162E3"/>
    <w:rsid w:val="0011640F"/>
    <w:rsid w:val="00116777"/>
    <w:rsid w:val="00116972"/>
    <w:rsid w:val="00116A73"/>
    <w:rsid w:val="00116B18"/>
    <w:rsid w:val="00116CB3"/>
    <w:rsid w:val="00116D28"/>
    <w:rsid w:val="00117331"/>
    <w:rsid w:val="0011740C"/>
    <w:rsid w:val="0011789D"/>
    <w:rsid w:val="00117A5B"/>
    <w:rsid w:val="00117A5E"/>
    <w:rsid w:val="00117C37"/>
    <w:rsid w:val="00120056"/>
    <w:rsid w:val="00120517"/>
    <w:rsid w:val="00120759"/>
    <w:rsid w:val="001208ED"/>
    <w:rsid w:val="001209F5"/>
    <w:rsid w:val="00120EAA"/>
    <w:rsid w:val="00121333"/>
    <w:rsid w:val="00121359"/>
    <w:rsid w:val="0012165A"/>
    <w:rsid w:val="001218A0"/>
    <w:rsid w:val="00121DEB"/>
    <w:rsid w:val="00121F01"/>
    <w:rsid w:val="001222BC"/>
    <w:rsid w:val="0012278D"/>
    <w:rsid w:val="001227E0"/>
    <w:rsid w:val="0012297E"/>
    <w:rsid w:val="00122BC3"/>
    <w:rsid w:val="0012306B"/>
    <w:rsid w:val="00123655"/>
    <w:rsid w:val="00123896"/>
    <w:rsid w:val="00124143"/>
    <w:rsid w:val="00124176"/>
    <w:rsid w:val="001245F0"/>
    <w:rsid w:val="00124CA9"/>
    <w:rsid w:val="00124DDF"/>
    <w:rsid w:val="00124FD8"/>
    <w:rsid w:val="001251A6"/>
    <w:rsid w:val="001259F2"/>
    <w:rsid w:val="00125CA3"/>
    <w:rsid w:val="00126183"/>
    <w:rsid w:val="001261A0"/>
    <w:rsid w:val="00126274"/>
    <w:rsid w:val="0012638A"/>
    <w:rsid w:val="00126427"/>
    <w:rsid w:val="00126622"/>
    <w:rsid w:val="00127045"/>
    <w:rsid w:val="0012797C"/>
    <w:rsid w:val="00127F76"/>
    <w:rsid w:val="00127FB7"/>
    <w:rsid w:val="001302A5"/>
    <w:rsid w:val="0013082C"/>
    <w:rsid w:val="00130A7B"/>
    <w:rsid w:val="00130F82"/>
    <w:rsid w:val="00131532"/>
    <w:rsid w:val="001315DF"/>
    <w:rsid w:val="00131827"/>
    <w:rsid w:val="00131B8F"/>
    <w:rsid w:val="00131C36"/>
    <w:rsid w:val="00132059"/>
    <w:rsid w:val="001321C4"/>
    <w:rsid w:val="001321F8"/>
    <w:rsid w:val="00132324"/>
    <w:rsid w:val="00132D53"/>
    <w:rsid w:val="00132F6A"/>
    <w:rsid w:val="0013369C"/>
    <w:rsid w:val="0013388F"/>
    <w:rsid w:val="00133F49"/>
    <w:rsid w:val="001340E8"/>
    <w:rsid w:val="00134386"/>
    <w:rsid w:val="001343C4"/>
    <w:rsid w:val="001344F4"/>
    <w:rsid w:val="00134AFC"/>
    <w:rsid w:val="00134D47"/>
    <w:rsid w:val="001350BD"/>
    <w:rsid w:val="00135455"/>
    <w:rsid w:val="001355AE"/>
    <w:rsid w:val="001355F5"/>
    <w:rsid w:val="0013560F"/>
    <w:rsid w:val="00135F6D"/>
    <w:rsid w:val="0013624F"/>
    <w:rsid w:val="0013668C"/>
    <w:rsid w:val="001366E4"/>
    <w:rsid w:val="001367D1"/>
    <w:rsid w:val="001367F7"/>
    <w:rsid w:val="0013681E"/>
    <w:rsid w:val="001369B9"/>
    <w:rsid w:val="00137010"/>
    <w:rsid w:val="001375A1"/>
    <w:rsid w:val="001377E4"/>
    <w:rsid w:val="00137B6D"/>
    <w:rsid w:val="00137BBF"/>
    <w:rsid w:val="00137D2A"/>
    <w:rsid w:val="00137EA1"/>
    <w:rsid w:val="0014012F"/>
    <w:rsid w:val="001401EF"/>
    <w:rsid w:val="001402D2"/>
    <w:rsid w:val="00140386"/>
    <w:rsid w:val="00140811"/>
    <w:rsid w:val="0014091C"/>
    <w:rsid w:val="00140B29"/>
    <w:rsid w:val="00140B3A"/>
    <w:rsid w:val="00140F5E"/>
    <w:rsid w:val="0014116B"/>
    <w:rsid w:val="0014153A"/>
    <w:rsid w:val="00141AC4"/>
    <w:rsid w:val="00141C18"/>
    <w:rsid w:val="00141CFF"/>
    <w:rsid w:val="00141E14"/>
    <w:rsid w:val="00141E6F"/>
    <w:rsid w:val="00141FFC"/>
    <w:rsid w:val="00142AC6"/>
    <w:rsid w:val="00142AE5"/>
    <w:rsid w:val="00142C01"/>
    <w:rsid w:val="00142C21"/>
    <w:rsid w:val="00142F36"/>
    <w:rsid w:val="00143259"/>
    <w:rsid w:val="001434F1"/>
    <w:rsid w:val="001435E8"/>
    <w:rsid w:val="00143ADF"/>
    <w:rsid w:val="00143C2C"/>
    <w:rsid w:val="00143FCD"/>
    <w:rsid w:val="00144144"/>
    <w:rsid w:val="00144155"/>
    <w:rsid w:val="001447BA"/>
    <w:rsid w:val="00144A7B"/>
    <w:rsid w:val="00144CBD"/>
    <w:rsid w:val="00144E9C"/>
    <w:rsid w:val="001451EC"/>
    <w:rsid w:val="00145290"/>
    <w:rsid w:val="00145317"/>
    <w:rsid w:val="00145A5A"/>
    <w:rsid w:val="00145A67"/>
    <w:rsid w:val="00145AB1"/>
    <w:rsid w:val="0014637C"/>
    <w:rsid w:val="001464A5"/>
    <w:rsid w:val="00146753"/>
    <w:rsid w:val="001469E5"/>
    <w:rsid w:val="00146A72"/>
    <w:rsid w:val="001471E7"/>
    <w:rsid w:val="0014723F"/>
    <w:rsid w:val="001474F6"/>
    <w:rsid w:val="00147CB6"/>
    <w:rsid w:val="00147FCE"/>
    <w:rsid w:val="00150118"/>
    <w:rsid w:val="00150276"/>
    <w:rsid w:val="0015072B"/>
    <w:rsid w:val="0015095A"/>
    <w:rsid w:val="00150BCD"/>
    <w:rsid w:val="00150D66"/>
    <w:rsid w:val="00150D99"/>
    <w:rsid w:val="00150F1E"/>
    <w:rsid w:val="0015100B"/>
    <w:rsid w:val="001511F9"/>
    <w:rsid w:val="00151403"/>
    <w:rsid w:val="0015148A"/>
    <w:rsid w:val="00151731"/>
    <w:rsid w:val="0015186C"/>
    <w:rsid w:val="00151CF9"/>
    <w:rsid w:val="0015270C"/>
    <w:rsid w:val="00152DC4"/>
    <w:rsid w:val="001530B6"/>
    <w:rsid w:val="001533B8"/>
    <w:rsid w:val="001534B8"/>
    <w:rsid w:val="001536F3"/>
    <w:rsid w:val="001537CE"/>
    <w:rsid w:val="00153A50"/>
    <w:rsid w:val="00153A51"/>
    <w:rsid w:val="00155021"/>
    <w:rsid w:val="00155150"/>
    <w:rsid w:val="001552E1"/>
    <w:rsid w:val="001559A7"/>
    <w:rsid w:val="00155C70"/>
    <w:rsid w:val="00155D23"/>
    <w:rsid w:val="00155DDE"/>
    <w:rsid w:val="001562F0"/>
    <w:rsid w:val="0015692A"/>
    <w:rsid w:val="00156AAC"/>
    <w:rsid w:val="00156DDE"/>
    <w:rsid w:val="00156E3D"/>
    <w:rsid w:val="00157751"/>
    <w:rsid w:val="00157826"/>
    <w:rsid w:val="00157EB3"/>
    <w:rsid w:val="001606CF"/>
    <w:rsid w:val="00160A18"/>
    <w:rsid w:val="00160B76"/>
    <w:rsid w:val="00160DFA"/>
    <w:rsid w:val="00161077"/>
    <w:rsid w:val="0016107B"/>
    <w:rsid w:val="0016128D"/>
    <w:rsid w:val="001612DF"/>
    <w:rsid w:val="001614E8"/>
    <w:rsid w:val="001618A5"/>
    <w:rsid w:val="00161CBA"/>
    <w:rsid w:val="00161E47"/>
    <w:rsid w:val="0016215E"/>
    <w:rsid w:val="00162E96"/>
    <w:rsid w:val="001630AC"/>
    <w:rsid w:val="00163793"/>
    <w:rsid w:val="001637B2"/>
    <w:rsid w:val="00163858"/>
    <w:rsid w:val="0016388D"/>
    <w:rsid w:val="00163A6F"/>
    <w:rsid w:val="00163B99"/>
    <w:rsid w:val="00164CC1"/>
    <w:rsid w:val="00165272"/>
    <w:rsid w:val="00165B18"/>
    <w:rsid w:val="00165CBD"/>
    <w:rsid w:val="00165DE6"/>
    <w:rsid w:val="00166361"/>
    <w:rsid w:val="001664C9"/>
    <w:rsid w:val="00166536"/>
    <w:rsid w:val="001669E4"/>
    <w:rsid w:val="001671CA"/>
    <w:rsid w:val="001673AB"/>
    <w:rsid w:val="00167702"/>
    <w:rsid w:val="00167877"/>
    <w:rsid w:val="001678EA"/>
    <w:rsid w:val="001701C2"/>
    <w:rsid w:val="001701D5"/>
    <w:rsid w:val="00170339"/>
    <w:rsid w:val="00170597"/>
    <w:rsid w:val="001705D1"/>
    <w:rsid w:val="001705E6"/>
    <w:rsid w:val="0017089D"/>
    <w:rsid w:val="00170BF0"/>
    <w:rsid w:val="00171B26"/>
    <w:rsid w:val="00171ED7"/>
    <w:rsid w:val="0017205D"/>
    <w:rsid w:val="00172357"/>
    <w:rsid w:val="00173EBB"/>
    <w:rsid w:val="001744A0"/>
    <w:rsid w:val="00174DF1"/>
    <w:rsid w:val="00175122"/>
    <w:rsid w:val="001752D6"/>
    <w:rsid w:val="00175A35"/>
    <w:rsid w:val="00176004"/>
    <w:rsid w:val="001762D9"/>
    <w:rsid w:val="0017634C"/>
    <w:rsid w:val="001764AA"/>
    <w:rsid w:val="00176E06"/>
    <w:rsid w:val="00176FFF"/>
    <w:rsid w:val="00177180"/>
    <w:rsid w:val="00177571"/>
    <w:rsid w:val="00177B94"/>
    <w:rsid w:val="00177E9F"/>
    <w:rsid w:val="00177EC1"/>
    <w:rsid w:val="00180151"/>
    <w:rsid w:val="00180436"/>
    <w:rsid w:val="00180703"/>
    <w:rsid w:val="00180797"/>
    <w:rsid w:val="0018083A"/>
    <w:rsid w:val="001808F2"/>
    <w:rsid w:val="00180FC7"/>
    <w:rsid w:val="00181066"/>
    <w:rsid w:val="00181076"/>
    <w:rsid w:val="001811CF"/>
    <w:rsid w:val="00181556"/>
    <w:rsid w:val="001816AE"/>
    <w:rsid w:val="00181AAA"/>
    <w:rsid w:val="00181F96"/>
    <w:rsid w:val="00182375"/>
    <w:rsid w:val="0018270E"/>
    <w:rsid w:val="0018276C"/>
    <w:rsid w:val="0018277B"/>
    <w:rsid w:val="00182853"/>
    <w:rsid w:val="0018294A"/>
    <w:rsid w:val="00182A19"/>
    <w:rsid w:val="00182E7B"/>
    <w:rsid w:val="0018300E"/>
    <w:rsid w:val="001830B6"/>
    <w:rsid w:val="0018371F"/>
    <w:rsid w:val="0018395C"/>
    <w:rsid w:val="00183A59"/>
    <w:rsid w:val="00183E42"/>
    <w:rsid w:val="00183ED2"/>
    <w:rsid w:val="0018417C"/>
    <w:rsid w:val="001841B8"/>
    <w:rsid w:val="001849C8"/>
    <w:rsid w:val="00184D83"/>
    <w:rsid w:val="001850A1"/>
    <w:rsid w:val="001853EC"/>
    <w:rsid w:val="00185680"/>
    <w:rsid w:val="00185C29"/>
    <w:rsid w:val="00185D52"/>
    <w:rsid w:val="00185DD7"/>
    <w:rsid w:val="00185FFD"/>
    <w:rsid w:val="001860CB"/>
    <w:rsid w:val="00186138"/>
    <w:rsid w:val="00186420"/>
    <w:rsid w:val="001864A9"/>
    <w:rsid w:val="00186569"/>
    <w:rsid w:val="00186572"/>
    <w:rsid w:val="0018664E"/>
    <w:rsid w:val="00186A63"/>
    <w:rsid w:val="00186B97"/>
    <w:rsid w:val="00186D05"/>
    <w:rsid w:val="00186D8E"/>
    <w:rsid w:val="00186DD1"/>
    <w:rsid w:val="00187966"/>
    <w:rsid w:val="0018797F"/>
    <w:rsid w:val="00187A6B"/>
    <w:rsid w:val="00187B44"/>
    <w:rsid w:val="00187BE1"/>
    <w:rsid w:val="00187C85"/>
    <w:rsid w:val="00190055"/>
    <w:rsid w:val="001901BB"/>
    <w:rsid w:val="00190237"/>
    <w:rsid w:val="001907F7"/>
    <w:rsid w:val="001908A1"/>
    <w:rsid w:val="00190936"/>
    <w:rsid w:val="001909C7"/>
    <w:rsid w:val="001909D5"/>
    <w:rsid w:val="00190EAB"/>
    <w:rsid w:val="0019101A"/>
    <w:rsid w:val="001911A9"/>
    <w:rsid w:val="0019137E"/>
    <w:rsid w:val="0019154E"/>
    <w:rsid w:val="0019155B"/>
    <w:rsid w:val="001915DE"/>
    <w:rsid w:val="0019184A"/>
    <w:rsid w:val="00191A42"/>
    <w:rsid w:val="00191AC9"/>
    <w:rsid w:val="00191EA9"/>
    <w:rsid w:val="00192084"/>
    <w:rsid w:val="00192381"/>
    <w:rsid w:val="0019243B"/>
    <w:rsid w:val="00192522"/>
    <w:rsid w:val="001926E5"/>
    <w:rsid w:val="00192756"/>
    <w:rsid w:val="00192A68"/>
    <w:rsid w:val="00192C51"/>
    <w:rsid w:val="001938CC"/>
    <w:rsid w:val="001938FD"/>
    <w:rsid w:val="00193A63"/>
    <w:rsid w:val="00193BE8"/>
    <w:rsid w:val="00193C65"/>
    <w:rsid w:val="001943DF"/>
    <w:rsid w:val="0019451A"/>
    <w:rsid w:val="00194605"/>
    <w:rsid w:val="00194633"/>
    <w:rsid w:val="00194E0C"/>
    <w:rsid w:val="00194EF5"/>
    <w:rsid w:val="00194FBD"/>
    <w:rsid w:val="0019543C"/>
    <w:rsid w:val="00195AA5"/>
    <w:rsid w:val="00195B42"/>
    <w:rsid w:val="00195CA3"/>
    <w:rsid w:val="00195E50"/>
    <w:rsid w:val="00195EC5"/>
    <w:rsid w:val="00195F2F"/>
    <w:rsid w:val="001961B0"/>
    <w:rsid w:val="001962B5"/>
    <w:rsid w:val="00196DCD"/>
    <w:rsid w:val="00196DE3"/>
    <w:rsid w:val="00196F36"/>
    <w:rsid w:val="0019703F"/>
    <w:rsid w:val="00197076"/>
    <w:rsid w:val="00197170"/>
    <w:rsid w:val="001976CF"/>
    <w:rsid w:val="00197ADD"/>
    <w:rsid w:val="00197EC1"/>
    <w:rsid w:val="001A020C"/>
    <w:rsid w:val="001A098B"/>
    <w:rsid w:val="001A0994"/>
    <w:rsid w:val="001A09C8"/>
    <w:rsid w:val="001A0C87"/>
    <w:rsid w:val="001A0D52"/>
    <w:rsid w:val="001A1094"/>
    <w:rsid w:val="001A12A7"/>
    <w:rsid w:val="001A1466"/>
    <w:rsid w:val="001A1A60"/>
    <w:rsid w:val="001A1C01"/>
    <w:rsid w:val="001A1EC3"/>
    <w:rsid w:val="001A20DB"/>
    <w:rsid w:val="001A212F"/>
    <w:rsid w:val="001A2215"/>
    <w:rsid w:val="001A2328"/>
    <w:rsid w:val="001A2339"/>
    <w:rsid w:val="001A239E"/>
    <w:rsid w:val="001A23A0"/>
    <w:rsid w:val="001A2A95"/>
    <w:rsid w:val="001A2CE7"/>
    <w:rsid w:val="001A2DA3"/>
    <w:rsid w:val="001A390E"/>
    <w:rsid w:val="001A3BD4"/>
    <w:rsid w:val="001A3CC9"/>
    <w:rsid w:val="001A3D77"/>
    <w:rsid w:val="001A3E14"/>
    <w:rsid w:val="001A3E76"/>
    <w:rsid w:val="001A3FAD"/>
    <w:rsid w:val="001A41A3"/>
    <w:rsid w:val="001A41F1"/>
    <w:rsid w:val="001A45FE"/>
    <w:rsid w:val="001A4CB4"/>
    <w:rsid w:val="001A4CE1"/>
    <w:rsid w:val="001A5128"/>
    <w:rsid w:val="001A513D"/>
    <w:rsid w:val="001A5169"/>
    <w:rsid w:val="001A579F"/>
    <w:rsid w:val="001A5D99"/>
    <w:rsid w:val="001A69FB"/>
    <w:rsid w:val="001A6B72"/>
    <w:rsid w:val="001A6C44"/>
    <w:rsid w:val="001A6D8D"/>
    <w:rsid w:val="001A7396"/>
    <w:rsid w:val="001A751D"/>
    <w:rsid w:val="001A77D1"/>
    <w:rsid w:val="001A7892"/>
    <w:rsid w:val="001A794D"/>
    <w:rsid w:val="001A7982"/>
    <w:rsid w:val="001A7FE3"/>
    <w:rsid w:val="001B02C3"/>
    <w:rsid w:val="001B056E"/>
    <w:rsid w:val="001B0C6A"/>
    <w:rsid w:val="001B0EE0"/>
    <w:rsid w:val="001B0FB2"/>
    <w:rsid w:val="001B1226"/>
    <w:rsid w:val="001B177C"/>
    <w:rsid w:val="001B1937"/>
    <w:rsid w:val="001B1C6E"/>
    <w:rsid w:val="001B1DF1"/>
    <w:rsid w:val="001B23C2"/>
    <w:rsid w:val="001B240A"/>
    <w:rsid w:val="001B26FD"/>
    <w:rsid w:val="001B28B5"/>
    <w:rsid w:val="001B2E38"/>
    <w:rsid w:val="001B31BB"/>
    <w:rsid w:val="001B34F9"/>
    <w:rsid w:val="001B3600"/>
    <w:rsid w:val="001B3DB0"/>
    <w:rsid w:val="001B3DDD"/>
    <w:rsid w:val="001B4BF6"/>
    <w:rsid w:val="001B4F20"/>
    <w:rsid w:val="001B500C"/>
    <w:rsid w:val="001B5301"/>
    <w:rsid w:val="001B535B"/>
    <w:rsid w:val="001B5553"/>
    <w:rsid w:val="001B557C"/>
    <w:rsid w:val="001B57B4"/>
    <w:rsid w:val="001B57E8"/>
    <w:rsid w:val="001B59A0"/>
    <w:rsid w:val="001B5B2D"/>
    <w:rsid w:val="001B5D10"/>
    <w:rsid w:val="001B5E9E"/>
    <w:rsid w:val="001B6173"/>
    <w:rsid w:val="001B621E"/>
    <w:rsid w:val="001B6228"/>
    <w:rsid w:val="001B68EC"/>
    <w:rsid w:val="001B6986"/>
    <w:rsid w:val="001B6A8B"/>
    <w:rsid w:val="001B7008"/>
    <w:rsid w:val="001B74CB"/>
    <w:rsid w:val="001B785A"/>
    <w:rsid w:val="001B7B60"/>
    <w:rsid w:val="001B7BB0"/>
    <w:rsid w:val="001B7F02"/>
    <w:rsid w:val="001C05AD"/>
    <w:rsid w:val="001C0735"/>
    <w:rsid w:val="001C0736"/>
    <w:rsid w:val="001C0CB3"/>
    <w:rsid w:val="001C0E85"/>
    <w:rsid w:val="001C11B3"/>
    <w:rsid w:val="001C12D6"/>
    <w:rsid w:val="001C1330"/>
    <w:rsid w:val="001C1666"/>
    <w:rsid w:val="001C1E73"/>
    <w:rsid w:val="001C2487"/>
    <w:rsid w:val="001C24FF"/>
    <w:rsid w:val="001C2BA4"/>
    <w:rsid w:val="001C2EC7"/>
    <w:rsid w:val="001C317B"/>
    <w:rsid w:val="001C358D"/>
    <w:rsid w:val="001C3741"/>
    <w:rsid w:val="001C3B45"/>
    <w:rsid w:val="001C3DA4"/>
    <w:rsid w:val="001C3EE8"/>
    <w:rsid w:val="001C4415"/>
    <w:rsid w:val="001C4578"/>
    <w:rsid w:val="001C4C81"/>
    <w:rsid w:val="001C4E70"/>
    <w:rsid w:val="001C55B1"/>
    <w:rsid w:val="001C57A1"/>
    <w:rsid w:val="001C6039"/>
    <w:rsid w:val="001C65C9"/>
    <w:rsid w:val="001C66D6"/>
    <w:rsid w:val="001C6752"/>
    <w:rsid w:val="001C68EE"/>
    <w:rsid w:val="001C69AB"/>
    <w:rsid w:val="001C7311"/>
    <w:rsid w:val="001C733D"/>
    <w:rsid w:val="001C76C9"/>
    <w:rsid w:val="001C7A2D"/>
    <w:rsid w:val="001C7B23"/>
    <w:rsid w:val="001C7BAA"/>
    <w:rsid w:val="001C7C8F"/>
    <w:rsid w:val="001C7D2C"/>
    <w:rsid w:val="001C7D4A"/>
    <w:rsid w:val="001D0090"/>
    <w:rsid w:val="001D01F4"/>
    <w:rsid w:val="001D040C"/>
    <w:rsid w:val="001D05C3"/>
    <w:rsid w:val="001D060D"/>
    <w:rsid w:val="001D06D1"/>
    <w:rsid w:val="001D0705"/>
    <w:rsid w:val="001D0742"/>
    <w:rsid w:val="001D09DD"/>
    <w:rsid w:val="001D0DC7"/>
    <w:rsid w:val="001D0EA0"/>
    <w:rsid w:val="001D0ED3"/>
    <w:rsid w:val="001D0FD6"/>
    <w:rsid w:val="001D17ED"/>
    <w:rsid w:val="001D1A90"/>
    <w:rsid w:val="001D2418"/>
    <w:rsid w:val="001D25CB"/>
    <w:rsid w:val="001D2F99"/>
    <w:rsid w:val="001D3412"/>
    <w:rsid w:val="001D3958"/>
    <w:rsid w:val="001D3A2D"/>
    <w:rsid w:val="001D3E82"/>
    <w:rsid w:val="001D3F3C"/>
    <w:rsid w:val="001D46C4"/>
    <w:rsid w:val="001D46F2"/>
    <w:rsid w:val="001D4823"/>
    <w:rsid w:val="001D4857"/>
    <w:rsid w:val="001D487C"/>
    <w:rsid w:val="001D4E0E"/>
    <w:rsid w:val="001D4EAA"/>
    <w:rsid w:val="001D501D"/>
    <w:rsid w:val="001D5076"/>
    <w:rsid w:val="001D5245"/>
    <w:rsid w:val="001D53CE"/>
    <w:rsid w:val="001D5C13"/>
    <w:rsid w:val="001D5E40"/>
    <w:rsid w:val="001D62C4"/>
    <w:rsid w:val="001D63A7"/>
    <w:rsid w:val="001D65AF"/>
    <w:rsid w:val="001D6899"/>
    <w:rsid w:val="001D6C87"/>
    <w:rsid w:val="001D6F77"/>
    <w:rsid w:val="001D7443"/>
    <w:rsid w:val="001D78F4"/>
    <w:rsid w:val="001D7947"/>
    <w:rsid w:val="001E0183"/>
    <w:rsid w:val="001E0190"/>
    <w:rsid w:val="001E0C45"/>
    <w:rsid w:val="001E172D"/>
    <w:rsid w:val="001E1AB4"/>
    <w:rsid w:val="001E233E"/>
    <w:rsid w:val="001E24E9"/>
    <w:rsid w:val="001E2AAA"/>
    <w:rsid w:val="001E2FB2"/>
    <w:rsid w:val="001E2FE1"/>
    <w:rsid w:val="001E31DB"/>
    <w:rsid w:val="001E3911"/>
    <w:rsid w:val="001E3C2A"/>
    <w:rsid w:val="001E3D3F"/>
    <w:rsid w:val="001E3E71"/>
    <w:rsid w:val="001E3ECA"/>
    <w:rsid w:val="001E4232"/>
    <w:rsid w:val="001E4284"/>
    <w:rsid w:val="001E444D"/>
    <w:rsid w:val="001E485B"/>
    <w:rsid w:val="001E48D7"/>
    <w:rsid w:val="001E4B15"/>
    <w:rsid w:val="001E4CFB"/>
    <w:rsid w:val="001E4E3D"/>
    <w:rsid w:val="001E54B4"/>
    <w:rsid w:val="001E550E"/>
    <w:rsid w:val="001E5651"/>
    <w:rsid w:val="001E5F69"/>
    <w:rsid w:val="001E6038"/>
    <w:rsid w:val="001E608E"/>
    <w:rsid w:val="001E6218"/>
    <w:rsid w:val="001E67C6"/>
    <w:rsid w:val="001E6C0A"/>
    <w:rsid w:val="001E7010"/>
    <w:rsid w:val="001E70BF"/>
    <w:rsid w:val="001E74AB"/>
    <w:rsid w:val="001E7B39"/>
    <w:rsid w:val="001E7BF6"/>
    <w:rsid w:val="001E7C92"/>
    <w:rsid w:val="001E7D21"/>
    <w:rsid w:val="001E7F77"/>
    <w:rsid w:val="001F02EE"/>
    <w:rsid w:val="001F0859"/>
    <w:rsid w:val="001F098F"/>
    <w:rsid w:val="001F0AEF"/>
    <w:rsid w:val="001F0BD0"/>
    <w:rsid w:val="001F0E4C"/>
    <w:rsid w:val="001F10EC"/>
    <w:rsid w:val="001F1417"/>
    <w:rsid w:val="001F1A68"/>
    <w:rsid w:val="001F1B0B"/>
    <w:rsid w:val="001F1F9F"/>
    <w:rsid w:val="001F2C34"/>
    <w:rsid w:val="001F2CD9"/>
    <w:rsid w:val="001F2EDB"/>
    <w:rsid w:val="001F30B7"/>
    <w:rsid w:val="001F3323"/>
    <w:rsid w:val="001F3336"/>
    <w:rsid w:val="001F337F"/>
    <w:rsid w:val="001F3419"/>
    <w:rsid w:val="001F3928"/>
    <w:rsid w:val="001F3BF4"/>
    <w:rsid w:val="001F3C9C"/>
    <w:rsid w:val="001F3CBD"/>
    <w:rsid w:val="001F445C"/>
    <w:rsid w:val="001F48F7"/>
    <w:rsid w:val="001F522E"/>
    <w:rsid w:val="001F54A8"/>
    <w:rsid w:val="001F57C6"/>
    <w:rsid w:val="001F5A97"/>
    <w:rsid w:val="001F5A9B"/>
    <w:rsid w:val="001F5C8F"/>
    <w:rsid w:val="001F5CEA"/>
    <w:rsid w:val="001F6048"/>
    <w:rsid w:val="001F620F"/>
    <w:rsid w:val="001F62E0"/>
    <w:rsid w:val="001F6748"/>
    <w:rsid w:val="001F6D76"/>
    <w:rsid w:val="001F7081"/>
    <w:rsid w:val="001F724B"/>
    <w:rsid w:val="001F733C"/>
    <w:rsid w:val="001F76AE"/>
    <w:rsid w:val="001F78E7"/>
    <w:rsid w:val="001F7986"/>
    <w:rsid w:val="0020018B"/>
    <w:rsid w:val="00200703"/>
    <w:rsid w:val="00200999"/>
    <w:rsid w:val="00200A09"/>
    <w:rsid w:val="00200B9E"/>
    <w:rsid w:val="00200C0A"/>
    <w:rsid w:val="002011C2"/>
    <w:rsid w:val="00201316"/>
    <w:rsid w:val="002014C9"/>
    <w:rsid w:val="00201711"/>
    <w:rsid w:val="002018A6"/>
    <w:rsid w:val="002018C6"/>
    <w:rsid w:val="00201E9B"/>
    <w:rsid w:val="002021C7"/>
    <w:rsid w:val="002028B2"/>
    <w:rsid w:val="00202A9E"/>
    <w:rsid w:val="00202BC8"/>
    <w:rsid w:val="00203624"/>
    <w:rsid w:val="00203961"/>
    <w:rsid w:val="00203B0E"/>
    <w:rsid w:val="002042EF"/>
    <w:rsid w:val="0020466C"/>
    <w:rsid w:val="0020469D"/>
    <w:rsid w:val="00204815"/>
    <w:rsid w:val="00204889"/>
    <w:rsid w:val="00204A91"/>
    <w:rsid w:val="002050CE"/>
    <w:rsid w:val="00205140"/>
    <w:rsid w:val="0020523D"/>
    <w:rsid w:val="00205412"/>
    <w:rsid w:val="002055D9"/>
    <w:rsid w:val="002058AE"/>
    <w:rsid w:val="00205D13"/>
    <w:rsid w:val="00205E5B"/>
    <w:rsid w:val="00206173"/>
    <w:rsid w:val="002061D7"/>
    <w:rsid w:val="002065A7"/>
    <w:rsid w:val="002067B3"/>
    <w:rsid w:val="00206908"/>
    <w:rsid w:val="00206C7A"/>
    <w:rsid w:val="00206D38"/>
    <w:rsid w:val="00206FE3"/>
    <w:rsid w:val="0020707D"/>
    <w:rsid w:val="00207310"/>
    <w:rsid w:val="0020754A"/>
    <w:rsid w:val="00207591"/>
    <w:rsid w:val="00207716"/>
    <w:rsid w:val="00207980"/>
    <w:rsid w:val="00207A19"/>
    <w:rsid w:val="002100A8"/>
    <w:rsid w:val="0021010F"/>
    <w:rsid w:val="002101A8"/>
    <w:rsid w:val="002104DF"/>
    <w:rsid w:val="002108C7"/>
    <w:rsid w:val="0021098A"/>
    <w:rsid w:val="00210D44"/>
    <w:rsid w:val="002112D8"/>
    <w:rsid w:val="00211805"/>
    <w:rsid w:val="00211E4E"/>
    <w:rsid w:val="00212027"/>
    <w:rsid w:val="002121AC"/>
    <w:rsid w:val="0021223A"/>
    <w:rsid w:val="00212428"/>
    <w:rsid w:val="002125A9"/>
    <w:rsid w:val="0021270A"/>
    <w:rsid w:val="00212D12"/>
    <w:rsid w:val="00212E78"/>
    <w:rsid w:val="00212FC0"/>
    <w:rsid w:val="002130FB"/>
    <w:rsid w:val="0021359B"/>
    <w:rsid w:val="00213619"/>
    <w:rsid w:val="002138C4"/>
    <w:rsid w:val="00213E38"/>
    <w:rsid w:val="00213F00"/>
    <w:rsid w:val="002140E3"/>
    <w:rsid w:val="002144BC"/>
    <w:rsid w:val="002148AB"/>
    <w:rsid w:val="0021492A"/>
    <w:rsid w:val="002149CA"/>
    <w:rsid w:val="00214F92"/>
    <w:rsid w:val="00215282"/>
    <w:rsid w:val="00215446"/>
    <w:rsid w:val="00215AB7"/>
    <w:rsid w:val="00215D2B"/>
    <w:rsid w:val="00215D50"/>
    <w:rsid w:val="002163D2"/>
    <w:rsid w:val="0021663B"/>
    <w:rsid w:val="0021672B"/>
    <w:rsid w:val="002168C3"/>
    <w:rsid w:val="00216908"/>
    <w:rsid w:val="002169FB"/>
    <w:rsid w:val="00216FA6"/>
    <w:rsid w:val="00217257"/>
    <w:rsid w:val="0021777F"/>
    <w:rsid w:val="00217859"/>
    <w:rsid w:val="0021795C"/>
    <w:rsid w:val="00217D2E"/>
    <w:rsid w:val="002200BC"/>
    <w:rsid w:val="0022015C"/>
    <w:rsid w:val="00220323"/>
    <w:rsid w:val="0022074E"/>
    <w:rsid w:val="002208AC"/>
    <w:rsid w:val="00220C84"/>
    <w:rsid w:val="00220DA6"/>
    <w:rsid w:val="00221217"/>
    <w:rsid w:val="0022127A"/>
    <w:rsid w:val="0022148C"/>
    <w:rsid w:val="002218D3"/>
    <w:rsid w:val="0022190E"/>
    <w:rsid w:val="00221BF0"/>
    <w:rsid w:val="00221E9E"/>
    <w:rsid w:val="00222471"/>
    <w:rsid w:val="00222680"/>
    <w:rsid w:val="002227A6"/>
    <w:rsid w:val="00222C26"/>
    <w:rsid w:val="00222F9E"/>
    <w:rsid w:val="0022320A"/>
    <w:rsid w:val="00223ABC"/>
    <w:rsid w:val="00224664"/>
    <w:rsid w:val="002247AB"/>
    <w:rsid w:val="00224B9F"/>
    <w:rsid w:val="00224DF6"/>
    <w:rsid w:val="00224E5F"/>
    <w:rsid w:val="00225209"/>
    <w:rsid w:val="00225433"/>
    <w:rsid w:val="0022547A"/>
    <w:rsid w:val="0022578E"/>
    <w:rsid w:val="00225B24"/>
    <w:rsid w:val="002267F4"/>
    <w:rsid w:val="0022682F"/>
    <w:rsid w:val="00226853"/>
    <w:rsid w:val="00226BBE"/>
    <w:rsid w:val="00226BE7"/>
    <w:rsid w:val="00226F6F"/>
    <w:rsid w:val="00227089"/>
    <w:rsid w:val="002271C4"/>
    <w:rsid w:val="002271DC"/>
    <w:rsid w:val="002274E1"/>
    <w:rsid w:val="002278B9"/>
    <w:rsid w:val="002278FF"/>
    <w:rsid w:val="0022793E"/>
    <w:rsid w:val="00227969"/>
    <w:rsid w:val="0022799F"/>
    <w:rsid w:val="00227A5B"/>
    <w:rsid w:val="00227DDC"/>
    <w:rsid w:val="00227F74"/>
    <w:rsid w:val="00227FEC"/>
    <w:rsid w:val="002300C3"/>
    <w:rsid w:val="0023042C"/>
    <w:rsid w:val="00230674"/>
    <w:rsid w:val="0023088E"/>
    <w:rsid w:val="002308C6"/>
    <w:rsid w:val="00230DE7"/>
    <w:rsid w:val="00231049"/>
    <w:rsid w:val="002314D2"/>
    <w:rsid w:val="00231A32"/>
    <w:rsid w:val="00231E2C"/>
    <w:rsid w:val="002325B3"/>
    <w:rsid w:val="002329AD"/>
    <w:rsid w:val="00232CE5"/>
    <w:rsid w:val="002332CF"/>
    <w:rsid w:val="00233387"/>
    <w:rsid w:val="002334CE"/>
    <w:rsid w:val="0023351C"/>
    <w:rsid w:val="00233AB0"/>
    <w:rsid w:val="00233FEB"/>
    <w:rsid w:val="0023403E"/>
    <w:rsid w:val="00234054"/>
    <w:rsid w:val="0023417E"/>
    <w:rsid w:val="0023497D"/>
    <w:rsid w:val="00235031"/>
    <w:rsid w:val="00235442"/>
    <w:rsid w:val="0023576F"/>
    <w:rsid w:val="0023586A"/>
    <w:rsid w:val="0023594C"/>
    <w:rsid w:val="00235B7F"/>
    <w:rsid w:val="00236128"/>
    <w:rsid w:val="002362EF"/>
    <w:rsid w:val="0023639D"/>
    <w:rsid w:val="0023674B"/>
    <w:rsid w:val="00236A3F"/>
    <w:rsid w:val="00236AF3"/>
    <w:rsid w:val="00236CCC"/>
    <w:rsid w:val="00237009"/>
    <w:rsid w:val="002372A6"/>
    <w:rsid w:val="002374F0"/>
    <w:rsid w:val="002376B3"/>
    <w:rsid w:val="00237F4B"/>
    <w:rsid w:val="002401EA"/>
    <w:rsid w:val="0024022D"/>
    <w:rsid w:val="002404CC"/>
    <w:rsid w:val="00240608"/>
    <w:rsid w:val="00240D06"/>
    <w:rsid w:val="00240DCD"/>
    <w:rsid w:val="00240EEF"/>
    <w:rsid w:val="002411EF"/>
    <w:rsid w:val="00241438"/>
    <w:rsid w:val="00242093"/>
    <w:rsid w:val="00242166"/>
    <w:rsid w:val="00242A4E"/>
    <w:rsid w:val="00242C97"/>
    <w:rsid w:val="002439BF"/>
    <w:rsid w:val="00243A38"/>
    <w:rsid w:val="00244817"/>
    <w:rsid w:val="00245E32"/>
    <w:rsid w:val="00245FAD"/>
    <w:rsid w:val="00245FB6"/>
    <w:rsid w:val="00245FB9"/>
    <w:rsid w:val="002460AA"/>
    <w:rsid w:val="00246160"/>
    <w:rsid w:val="0024666D"/>
    <w:rsid w:val="002466E4"/>
    <w:rsid w:val="002466EB"/>
    <w:rsid w:val="0024681D"/>
    <w:rsid w:val="0024692E"/>
    <w:rsid w:val="00246A7E"/>
    <w:rsid w:val="00247411"/>
    <w:rsid w:val="00247619"/>
    <w:rsid w:val="0024771C"/>
    <w:rsid w:val="002477CC"/>
    <w:rsid w:val="00247914"/>
    <w:rsid w:val="00247DAA"/>
    <w:rsid w:val="00247F21"/>
    <w:rsid w:val="0025008D"/>
    <w:rsid w:val="002500B0"/>
    <w:rsid w:val="0025048B"/>
    <w:rsid w:val="002505D3"/>
    <w:rsid w:val="00250622"/>
    <w:rsid w:val="002508ED"/>
    <w:rsid w:val="00250A46"/>
    <w:rsid w:val="00250C36"/>
    <w:rsid w:val="00250E62"/>
    <w:rsid w:val="002510C0"/>
    <w:rsid w:val="002517E9"/>
    <w:rsid w:val="00251B81"/>
    <w:rsid w:val="00251EAE"/>
    <w:rsid w:val="002522D1"/>
    <w:rsid w:val="00252491"/>
    <w:rsid w:val="002524B3"/>
    <w:rsid w:val="00252705"/>
    <w:rsid w:val="00252786"/>
    <w:rsid w:val="002529EF"/>
    <w:rsid w:val="00252A06"/>
    <w:rsid w:val="002533CF"/>
    <w:rsid w:val="002534C9"/>
    <w:rsid w:val="00253713"/>
    <w:rsid w:val="0025389C"/>
    <w:rsid w:val="002538B8"/>
    <w:rsid w:val="00253B10"/>
    <w:rsid w:val="00253F28"/>
    <w:rsid w:val="00253F45"/>
    <w:rsid w:val="00254001"/>
    <w:rsid w:val="00254056"/>
    <w:rsid w:val="00254E40"/>
    <w:rsid w:val="002550DB"/>
    <w:rsid w:val="00255150"/>
    <w:rsid w:val="00255423"/>
    <w:rsid w:val="00255730"/>
    <w:rsid w:val="002558D4"/>
    <w:rsid w:val="002559BE"/>
    <w:rsid w:val="00255B07"/>
    <w:rsid w:val="00255DE8"/>
    <w:rsid w:val="00255FB5"/>
    <w:rsid w:val="00256018"/>
    <w:rsid w:val="0025603D"/>
    <w:rsid w:val="00256092"/>
    <w:rsid w:val="00256204"/>
    <w:rsid w:val="0025639B"/>
    <w:rsid w:val="002565B3"/>
    <w:rsid w:val="00256A38"/>
    <w:rsid w:val="00256F68"/>
    <w:rsid w:val="00256FA3"/>
    <w:rsid w:val="00257353"/>
    <w:rsid w:val="00257459"/>
    <w:rsid w:val="00257531"/>
    <w:rsid w:val="002575CF"/>
    <w:rsid w:val="00257AEE"/>
    <w:rsid w:val="00257BED"/>
    <w:rsid w:val="00257DD2"/>
    <w:rsid w:val="00257EA4"/>
    <w:rsid w:val="00257F34"/>
    <w:rsid w:val="00260583"/>
    <w:rsid w:val="00260E6D"/>
    <w:rsid w:val="0026103A"/>
    <w:rsid w:val="00261660"/>
    <w:rsid w:val="002618BA"/>
    <w:rsid w:val="00261AA5"/>
    <w:rsid w:val="00261F3F"/>
    <w:rsid w:val="002623DB"/>
    <w:rsid w:val="002624EB"/>
    <w:rsid w:val="00262A5C"/>
    <w:rsid w:val="00262B94"/>
    <w:rsid w:val="00262BF8"/>
    <w:rsid w:val="00262C82"/>
    <w:rsid w:val="00262D9F"/>
    <w:rsid w:val="002633ED"/>
    <w:rsid w:val="00263527"/>
    <w:rsid w:val="002635F5"/>
    <w:rsid w:val="00263A17"/>
    <w:rsid w:val="00263B6C"/>
    <w:rsid w:val="00263B80"/>
    <w:rsid w:val="00263E86"/>
    <w:rsid w:val="00263EB3"/>
    <w:rsid w:val="00264093"/>
    <w:rsid w:val="002640E1"/>
    <w:rsid w:val="002644AF"/>
    <w:rsid w:val="0026472C"/>
    <w:rsid w:val="00264855"/>
    <w:rsid w:val="002649A0"/>
    <w:rsid w:val="00264E67"/>
    <w:rsid w:val="00264FA0"/>
    <w:rsid w:val="00265089"/>
    <w:rsid w:val="002650C8"/>
    <w:rsid w:val="0026533A"/>
    <w:rsid w:val="00265A41"/>
    <w:rsid w:val="00265A77"/>
    <w:rsid w:val="00266177"/>
    <w:rsid w:val="00266260"/>
    <w:rsid w:val="002664E9"/>
    <w:rsid w:val="002668ED"/>
    <w:rsid w:val="0026693C"/>
    <w:rsid w:val="002669E2"/>
    <w:rsid w:val="0026751C"/>
    <w:rsid w:val="0026753C"/>
    <w:rsid w:val="00267CB2"/>
    <w:rsid w:val="00267CC5"/>
    <w:rsid w:val="00267F2E"/>
    <w:rsid w:val="0027009D"/>
    <w:rsid w:val="00270318"/>
    <w:rsid w:val="0027058B"/>
    <w:rsid w:val="002708E3"/>
    <w:rsid w:val="0027096E"/>
    <w:rsid w:val="00270B57"/>
    <w:rsid w:val="00270BD3"/>
    <w:rsid w:val="00270ECD"/>
    <w:rsid w:val="00271068"/>
    <w:rsid w:val="00271689"/>
    <w:rsid w:val="00271A23"/>
    <w:rsid w:val="00271C05"/>
    <w:rsid w:val="00272398"/>
    <w:rsid w:val="0027259D"/>
    <w:rsid w:val="0027263D"/>
    <w:rsid w:val="0027291A"/>
    <w:rsid w:val="00272C97"/>
    <w:rsid w:val="00273092"/>
    <w:rsid w:val="00273139"/>
    <w:rsid w:val="002736BE"/>
    <w:rsid w:val="002736C7"/>
    <w:rsid w:val="0027380D"/>
    <w:rsid w:val="002738C3"/>
    <w:rsid w:val="00273C66"/>
    <w:rsid w:val="00273DC5"/>
    <w:rsid w:val="00273EE0"/>
    <w:rsid w:val="002740FA"/>
    <w:rsid w:val="0027411E"/>
    <w:rsid w:val="002741D2"/>
    <w:rsid w:val="00274269"/>
    <w:rsid w:val="00274648"/>
    <w:rsid w:val="00274771"/>
    <w:rsid w:val="002747D7"/>
    <w:rsid w:val="002747E8"/>
    <w:rsid w:val="0027482D"/>
    <w:rsid w:val="00274832"/>
    <w:rsid w:val="002749B4"/>
    <w:rsid w:val="00274EAD"/>
    <w:rsid w:val="0027545F"/>
    <w:rsid w:val="002754E0"/>
    <w:rsid w:val="00275812"/>
    <w:rsid w:val="0027590B"/>
    <w:rsid w:val="002759CF"/>
    <w:rsid w:val="00275A02"/>
    <w:rsid w:val="00275C61"/>
    <w:rsid w:val="00275F90"/>
    <w:rsid w:val="002760A4"/>
    <w:rsid w:val="002766F7"/>
    <w:rsid w:val="0027691F"/>
    <w:rsid w:val="00276A1B"/>
    <w:rsid w:val="00276A2E"/>
    <w:rsid w:val="00276D08"/>
    <w:rsid w:val="0027708D"/>
    <w:rsid w:val="002770A3"/>
    <w:rsid w:val="00277441"/>
    <w:rsid w:val="0027748C"/>
    <w:rsid w:val="00277EB3"/>
    <w:rsid w:val="00277FC9"/>
    <w:rsid w:val="002801CD"/>
    <w:rsid w:val="0028032B"/>
    <w:rsid w:val="00280351"/>
    <w:rsid w:val="002803B8"/>
    <w:rsid w:val="0028047F"/>
    <w:rsid w:val="00280503"/>
    <w:rsid w:val="002808CA"/>
    <w:rsid w:val="0028093A"/>
    <w:rsid w:val="00280DD3"/>
    <w:rsid w:val="00280EC4"/>
    <w:rsid w:val="00281040"/>
    <w:rsid w:val="002814AD"/>
    <w:rsid w:val="002818A7"/>
    <w:rsid w:val="002819FB"/>
    <w:rsid w:val="00281A81"/>
    <w:rsid w:val="00281AEC"/>
    <w:rsid w:val="00281B59"/>
    <w:rsid w:val="00281F38"/>
    <w:rsid w:val="002824E9"/>
    <w:rsid w:val="0028270A"/>
    <w:rsid w:val="0028288D"/>
    <w:rsid w:val="0028296B"/>
    <w:rsid w:val="00282A8B"/>
    <w:rsid w:val="00282C98"/>
    <w:rsid w:val="00282EB7"/>
    <w:rsid w:val="00283026"/>
    <w:rsid w:val="00283056"/>
    <w:rsid w:val="002838D7"/>
    <w:rsid w:val="00283B85"/>
    <w:rsid w:val="00283FB3"/>
    <w:rsid w:val="002841BF"/>
    <w:rsid w:val="00284360"/>
    <w:rsid w:val="00284433"/>
    <w:rsid w:val="00284819"/>
    <w:rsid w:val="0028494D"/>
    <w:rsid w:val="00284970"/>
    <w:rsid w:val="00284A1C"/>
    <w:rsid w:val="00284BC8"/>
    <w:rsid w:val="00284EF9"/>
    <w:rsid w:val="00284F53"/>
    <w:rsid w:val="002851AF"/>
    <w:rsid w:val="00285263"/>
    <w:rsid w:val="002856D9"/>
    <w:rsid w:val="002858EF"/>
    <w:rsid w:val="00285969"/>
    <w:rsid w:val="00285EA1"/>
    <w:rsid w:val="00285EF7"/>
    <w:rsid w:val="002860C7"/>
    <w:rsid w:val="00286223"/>
    <w:rsid w:val="00286789"/>
    <w:rsid w:val="002867BF"/>
    <w:rsid w:val="00286F95"/>
    <w:rsid w:val="00287355"/>
    <w:rsid w:val="002873B4"/>
    <w:rsid w:val="00287A46"/>
    <w:rsid w:val="00287CCA"/>
    <w:rsid w:val="00287EA4"/>
    <w:rsid w:val="002905BD"/>
    <w:rsid w:val="0029086C"/>
    <w:rsid w:val="002909BB"/>
    <w:rsid w:val="00290E01"/>
    <w:rsid w:val="00291263"/>
    <w:rsid w:val="002913E8"/>
    <w:rsid w:val="002915A9"/>
    <w:rsid w:val="002917FC"/>
    <w:rsid w:val="002918DD"/>
    <w:rsid w:val="00291BC0"/>
    <w:rsid w:val="00291C72"/>
    <w:rsid w:val="00291CD6"/>
    <w:rsid w:val="00291F94"/>
    <w:rsid w:val="002921F6"/>
    <w:rsid w:val="00292403"/>
    <w:rsid w:val="00292728"/>
    <w:rsid w:val="002928EE"/>
    <w:rsid w:val="00292BED"/>
    <w:rsid w:val="00292CBF"/>
    <w:rsid w:val="00292DBE"/>
    <w:rsid w:val="00292DE6"/>
    <w:rsid w:val="002930EE"/>
    <w:rsid w:val="0029340C"/>
    <w:rsid w:val="00293A5C"/>
    <w:rsid w:val="00293C09"/>
    <w:rsid w:val="00293D77"/>
    <w:rsid w:val="00293DCF"/>
    <w:rsid w:val="00293EB0"/>
    <w:rsid w:val="00293FEA"/>
    <w:rsid w:val="002940EC"/>
    <w:rsid w:val="00294529"/>
    <w:rsid w:val="0029497F"/>
    <w:rsid w:val="00294B17"/>
    <w:rsid w:val="00294F3E"/>
    <w:rsid w:val="00295136"/>
    <w:rsid w:val="0029557A"/>
    <w:rsid w:val="002956BC"/>
    <w:rsid w:val="002956D7"/>
    <w:rsid w:val="002959F6"/>
    <w:rsid w:val="0029687D"/>
    <w:rsid w:val="00296A8D"/>
    <w:rsid w:val="00296FE8"/>
    <w:rsid w:val="00297653"/>
    <w:rsid w:val="002978E7"/>
    <w:rsid w:val="00297A2A"/>
    <w:rsid w:val="00297D44"/>
    <w:rsid w:val="002A04BA"/>
    <w:rsid w:val="002A04E3"/>
    <w:rsid w:val="002A0528"/>
    <w:rsid w:val="002A0553"/>
    <w:rsid w:val="002A0612"/>
    <w:rsid w:val="002A0FF2"/>
    <w:rsid w:val="002A1003"/>
    <w:rsid w:val="002A1019"/>
    <w:rsid w:val="002A1316"/>
    <w:rsid w:val="002A13ED"/>
    <w:rsid w:val="002A14E5"/>
    <w:rsid w:val="002A1618"/>
    <w:rsid w:val="002A1819"/>
    <w:rsid w:val="002A1879"/>
    <w:rsid w:val="002A18C1"/>
    <w:rsid w:val="002A18EC"/>
    <w:rsid w:val="002A192B"/>
    <w:rsid w:val="002A1A45"/>
    <w:rsid w:val="002A1EFD"/>
    <w:rsid w:val="002A1F75"/>
    <w:rsid w:val="002A2470"/>
    <w:rsid w:val="002A2AD8"/>
    <w:rsid w:val="002A2F7D"/>
    <w:rsid w:val="002A318E"/>
    <w:rsid w:val="002A3261"/>
    <w:rsid w:val="002A3C6A"/>
    <w:rsid w:val="002A3D95"/>
    <w:rsid w:val="002A421F"/>
    <w:rsid w:val="002A4314"/>
    <w:rsid w:val="002A43E9"/>
    <w:rsid w:val="002A4422"/>
    <w:rsid w:val="002A45DB"/>
    <w:rsid w:val="002A4796"/>
    <w:rsid w:val="002A479E"/>
    <w:rsid w:val="002A4D28"/>
    <w:rsid w:val="002A4EFB"/>
    <w:rsid w:val="002A5342"/>
    <w:rsid w:val="002A54C7"/>
    <w:rsid w:val="002A5658"/>
    <w:rsid w:val="002A59D3"/>
    <w:rsid w:val="002A5B9E"/>
    <w:rsid w:val="002A5D77"/>
    <w:rsid w:val="002A6308"/>
    <w:rsid w:val="002A63CA"/>
    <w:rsid w:val="002A6909"/>
    <w:rsid w:val="002A697B"/>
    <w:rsid w:val="002A6ECE"/>
    <w:rsid w:val="002A7024"/>
    <w:rsid w:val="002A71F8"/>
    <w:rsid w:val="002A7475"/>
    <w:rsid w:val="002A7502"/>
    <w:rsid w:val="002A7732"/>
    <w:rsid w:val="002A7745"/>
    <w:rsid w:val="002A77EF"/>
    <w:rsid w:val="002A7958"/>
    <w:rsid w:val="002A7D6B"/>
    <w:rsid w:val="002A7FDE"/>
    <w:rsid w:val="002B074B"/>
    <w:rsid w:val="002B0926"/>
    <w:rsid w:val="002B0B21"/>
    <w:rsid w:val="002B11F4"/>
    <w:rsid w:val="002B11FF"/>
    <w:rsid w:val="002B1340"/>
    <w:rsid w:val="002B135B"/>
    <w:rsid w:val="002B1984"/>
    <w:rsid w:val="002B1D95"/>
    <w:rsid w:val="002B1DBA"/>
    <w:rsid w:val="002B2000"/>
    <w:rsid w:val="002B2202"/>
    <w:rsid w:val="002B2208"/>
    <w:rsid w:val="002B2C7A"/>
    <w:rsid w:val="002B2EC8"/>
    <w:rsid w:val="002B3137"/>
    <w:rsid w:val="002B33AB"/>
    <w:rsid w:val="002B3829"/>
    <w:rsid w:val="002B3846"/>
    <w:rsid w:val="002B388C"/>
    <w:rsid w:val="002B3AF7"/>
    <w:rsid w:val="002B3D8F"/>
    <w:rsid w:val="002B3E2C"/>
    <w:rsid w:val="002B40B3"/>
    <w:rsid w:val="002B434A"/>
    <w:rsid w:val="002B480F"/>
    <w:rsid w:val="002B4927"/>
    <w:rsid w:val="002B4D4D"/>
    <w:rsid w:val="002B4FB6"/>
    <w:rsid w:val="002B5176"/>
    <w:rsid w:val="002B52F3"/>
    <w:rsid w:val="002B55E9"/>
    <w:rsid w:val="002B5BAB"/>
    <w:rsid w:val="002B5C39"/>
    <w:rsid w:val="002B5F9C"/>
    <w:rsid w:val="002B617E"/>
    <w:rsid w:val="002B625F"/>
    <w:rsid w:val="002B629A"/>
    <w:rsid w:val="002B64BF"/>
    <w:rsid w:val="002B682E"/>
    <w:rsid w:val="002B6877"/>
    <w:rsid w:val="002B74EC"/>
    <w:rsid w:val="002B77A3"/>
    <w:rsid w:val="002B7A70"/>
    <w:rsid w:val="002B7AF7"/>
    <w:rsid w:val="002B7BCC"/>
    <w:rsid w:val="002C02B1"/>
    <w:rsid w:val="002C0406"/>
    <w:rsid w:val="002C0CE1"/>
    <w:rsid w:val="002C0FC9"/>
    <w:rsid w:val="002C11F3"/>
    <w:rsid w:val="002C1288"/>
    <w:rsid w:val="002C14C6"/>
    <w:rsid w:val="002C1845"/>
    <w:rsid w:val="002C1910"/>
    <w:rsid w:val="002C1A1F"/>
    <w:rsid w:val="002C1B2F"/>
    <w:rsid w:val="002C1CB1"/>
    <w:rsid w:val="002C1EF1"/>
    <w:rsid w:val="002C21AF"/>
    <w:rsid w:val="002C22A7"/>
    <w:rsid w:val="002C2562"/>
    <w:rsid w:val="002C2945"/>
    <w:rsid w:val="002C2F2C"/>
    <w:rsid w:val="002C34BA"/>
    <w:rsid w:val="002C38CF"/>
    <w:rsid w:val="002C3B41"/>
    <w:rsid w:val="002C4144"/>
    <w:rsid w:val="002C4388"/>
    <w:rsid w:val="002C43B4"/>
    <w:rsid w:val="002C4B31"/>
    <w:rsid w:val="002C529D"/>
    <w:rsid w:val="002C56C6"/>
    <w:rsid w:val="002C57C5"/>
    <w:rsid w:val="002C584F"/>
    <w:rsid w:val="002C5A50"/>
    <w:rsid w:val="002C5C44"/>
    <w:rsid w:val="002C6039"/>
    <w:rsid w:val="002C604F"/>
    <w:rsid w:val="002C656F"/>
    <w:rsid w:val="002C6AD0"/>
    <w:rsid w:val="002C6C97"/>
    <w:rsid w:val="002C7003"/>
    <w:rsid w:val="002C70B0"/>
    <w:rsid w:val="002C785F"/>
    <w:rsid w:val="002C7B32"/>
    <w:rsid w:val="002C7C56"/>
    <w:rsid w:val="002C7D7E"/>
    <w:rsid w:val="002C7F51"/>
    <w:rsid w:val="002D0048"/>
    <w:rsid w:val="002D037B"/>
    <w:rsid w:val="002D0436"/>
    <w:rsid w:val="002D04F3"/>
    <w:rsid w:val="002D08F4"/>
    <w:rsid w:val="002D098C"/>
    <w:rsid w:val="002D0C40"/>
    <w:rsid w:val="002D119B"/>
    <w:rsid w:val="002D1365"/>
    <w:rsid w:val="002D19CC"/>
    <w:rsid w:val="002D1A89"/>
    <w:rsid w:val="002D1B5A"/>
    <w:rsid w:val="002D1D87"/>
    <w:rsid w:val="002D1DB8"/>
    <w:rsid w:val="002D1DC5"/>
    <w:rsid w:val="002D1F90"/>
    <w:rsid w:val="002D2035"/>
    <w:rsid w:val="002D2832"/>
    <w:rsid w:val="002D2840"/>
    <w:rsid w:val="002D2D82"/>
    <w:rsid w:val="002D2F56"/>
    <w:rsid w:val="002D3269"/>
    <w:rsid w:val="002D3360"/>
    <w:rsid w:val="002D3371"/>
    <w:rsid w:val="002D3A0D"/>
    <w:rsid w:val="002D3CEA"/>
    <w:rsid w:val="002D4757"/>
    <w:rsid w:val="002D488F"/>
    <w:rsid w:val="002D49DF"/>
    <w:rsid w:val="002D4C5C"/>
    <w:rsid w:val="002D4ED2"/>
    <w:rsid w:val="002D5858"/>
    <w:rsid w:val="002D5A4D"/>
    <w:rsid w:val="002D5EFB"/>
    <w:rsid w:val="002D63F6"/>
    <w:rsid w:val="002D701F"/>
    <w:rsid w:val="002D7374"/>
    <w:rsid w:val="002D795B"/>
    <w:rsid w:val="002D7C0D"/>
    <w:rsid w:val="002D7C8F"/>
    <w:rsid w:val="002E0122"/>
    <w:rsid w:val="002E0203"/>
    <w:rsid w:val="002E07FD"/>
    <w:rsid w:val="002E0833"/>
    <w:rsid w:val="002E0B65"/>
    <w:rsid w:val="002E0BBE"/>
    <w:rsid w:val="002E0D17"/>
    <w:rsid w:val="002E0EB4"/>
    <w:rsid w:val="002E1079"/>
    <w:rsid w:val="002E10AF"/>
    <w:rsid w:val="002E1132"/>
    <w:rsid w:val="002E13BF"/>
    <w:rsid w:val="002E1D00"/>
    <w:rsid w:val="002E1DDF"/>
    <w:rsid w:val="002E1E81"/>
    <w:rsid w:val="002E23DB"/>
    <w:rsid w:val="002E2526"/>
    <w:rsid w:val="002E2685"/>
    <w:rsid w:val="002E2894"/>
    <w:rsid w:val="002E33DD"/>
    <w:rsid w:val="002E33E7"/>
    <w:rsid w:val="002E37D0"/>
    <w:rsid w:val="002E3F15"/>
    <w:rsid w:val="002E4125"/>
    <w:rsid w:val="002E4191"/>
    <w:rsid w:val="002E42D3"/>
    <w:rsid w:val="002E44F5"/>
    <w:rsid w:val="002E4CB3"/>
    <w:rsid w:val="002E4FED"/>
    <w:rsid w:val="002E5154"/>
    <w:rsid w:val="002E57A5"/>
    <w:rsid w:val="002E59CA"/>
    <w:rsid w:val="002E5E10"/>
    <w:rsid w:val="002E62FD"/>
    <w:rsid w:val="002E6790"/>
    <w:rsid w:val="002E6799"/>
    <w:rsid w:val="002E6A11"/>
    <w:rsid w:val="002E6B27"/>
    <w:rsid w:val="002E6D4A"/>
    <w:rsid w:val="002E6FF5"/>
    <w:rsid w:val="002E72B4"/>
    <w:rsid w:val="002E7759"/>
    <w:rsid w:val="002E7EBC"/>
    <w:rsid w:val="002F0109"/>
    <w:rsid w:val="002F028C"/>
    <w:rsid w:val="002F079B"/>
    <w:rsid w:val="002F0FC2"/>
    <w:rsid w:val="002F1013"/>
    <w:rsid w:val="002F11A6"/>
    <w:rsid w:val="002F12FB"/>
    <w:rsid w:val="002F13D4"/>
    <w:rsid w:val="002F1414"/>
    <w:rsid w:val="002F1444"/>
    <w:rsid w:val="002F17DB"/>
    <w:rsid w:val="002F17EE"/>
    <w:rsid w:val="002F1816"/>
    <w:rsid w:val="002F185E"/>
    <w:rsid w:val="002F1A4F"/>
    <w:rsid w:val="002F1BC4"/>
    <w:rsid w:val="002F1C69"/>
    <w:rsid w:val="002F22D1"/>
    <w:rsid w:val="002F231C"/>
    <w:rsid w:val="002F2AC1"/>
    <w:rsid w:val="002F309F"/>
    <w:rsid w:val="002F313D"/>
    <w:rsid w:val="002F3148"/>
    <w:rsid w:val="002F3845"/>
    <w:rsid w:val="002F3DE8"/>
    <w:rsid w:val="002F3E52"/>
    <w:rsid w:val="002F3F13"/>
    <w:rsid w:val="002F3F4F"/>
    <w:rsid w:val="002F4277"/>
    <w:rsid w:val="002F4286"/>
    <w:rsid w:val="002F42CF"/>
    <w:rsid w:val="002F42F5"/>
    <w:rsid w:val="002F4755"/>
    <w:rsid w:val="002F4798"/>
    <w:rsid w:val="002F47A5"/>
    <w:rsid w:val="002F4B22"/>
    <w:rsid w:val="002F4CA0"/>
    <w:rsid w:val="002F4D82"/>
    <w:rsid w:val="002F5340"/>
    <w:rsid w:val="002F5AFC"/>
    <w:rsid w:val="002F5D97"/>
    <w:rsid w:val="002F617F"/>
    <w:rsid w:val="002F627E"/>
    <w:rsid w:val="002F62BE"/>
    <w:rsid w:val="002F63DB"/>
    <w:rsid w:val="002F644C"/>
    <w:rsid w:val="002F699B"/>
    <w:rsid w:val="002F69B0"/>
    <w:rsid w:val="002F6E7E"/>
    <w:rsid w:val="002F7430"/>
    <w:rsid w:val="002F75FF"/>
    <w:rsid w:val="002F7600"/>
    <w:rsid w:val="002F79BF"/>
    <w:rsid w:val="002F7A1A"/>
    <w:rsid w:val="002F7CF7"/>
    <w:rsid w:val="002F7D9F"/>
    <w:rsid w:val="002F7DFB"/>
    <w:rsid w:val="003001BC"/>
    <w:rsid w:val="0030037E"/>
    <w:rsid w:val="00300495"/>
    <w:rsid w:val="00300648"/>
    <w:rsid w:val="00300749"/>
    <w:rsid w:val="003009E4"/>
    <w:rsid w:val="00300C5C"/>
    <w:rsid w:val="00301442"/>
    <w:rsid w:val="00301483"/>
    <w:rsid w:val="0030175E"/>
    <w:rsid w:val="00301DE9"/>
    <w:rsid w:val="00301FC6"/>
    <w:rsid w:val="00302005"/>
    <w:rsid w:val="0030214C"/>
    <w:rsid w:val="0030225E"/>
    <w:rsid w:val="0030249B"/>
    <w:rsid w:val="0030255B"/>
    <w:rsid w:val="00302A7B"/>
    <w:rsid w:val="00302AE2"/>
    <w:rsid w:val="00302ED2"/>
    <w:rsid w:val="003030A2"/>
    <w:rsid w:val="00303AF0"/>
    <w:rsid w:val="00303BC1"/>
    <w:rsid w:val="003041D0"/>
    <w:rsid w:val="003042F3"/>
    <w:rsid w:val="00304570"/>
    <w:rsid w:val="00304960"/>
    <w:rsid w:val="003049AA"/>
    <w:rsid w:val="00304B4D"/>
    <w:rsid w:val="003050C2"/>
    <w:rsid w:val="00305412"/>
    <w:rsid w:val="00305635"/>
    <w:rsid w:val="00305C00"/>
    <w:rsid w:val="00306052"/>
    <w:rsid w:val="003060AD"/>
    <w:rsid w:val="0030636F"/>
    <w:rsid w:val="0030649B"/>
    <w:rsid w:val="00306A19"/>
    <w:rsid w:val="00306D68"/>
    <w:rsid w:val="00306F86"/>
    <w:rsid w:val="00306FFB"/>
    <w:rsid w:val="003070C2"/>
    <w:rsid w:val="0030717E"/>
    <w:rsid w:val="003079F9"/>
    <w:rsid w:val="00307A2B"/>
    <w:rsid w:val="00307EA3"/>
    <w:rsid w:val="003100FB"/>
    <w:rsid w:val="003107B7"/>
    <w:rsid w:val="00310B65"/>
    <w:rsid w:val="00310B96"/>
    <w:rsid w:val="00310C39"/>
    <w:rsid w:val="00310EF7"/>
    <w:rsid w:val="00310F97"/>
    <w:rsid w:val="0031107D"/>
    <w:rsid w:val="003111C1"/>
    <w:rsid w:val="00311D78"/>
    <w:rsid w:val="00311FCB"/>
    <w:rsid w:val="003120A3"/>
    <w:rsid w:val="003120E7"/>
    <w:rsid w:val="003122F4"/>
    <w:rsid w:val="003123F3"/>
    <w:rsid w:val="003124E6"/>
    <w:rsid w:val="0031276E"/>
    <w:rsid w:val="00312DD6"/>
    <w:rsid w:val="00313528"/>
    <w:rsid w:val="00313591"/>
    <w:rsid w:val="0031362C"/>
    <w:rsid w:val="00313B08"/>
    <w:rsid w:val="00313D74"/>
    <w:rsid w:val="00313F36"/>
    <w:rsid w:val="00314A95"/>
    <w:rsid w:val="00314CD4"/>
    <w:rsid w:val="0031503C"/>
    <w:rsid w:val="00315842"/>
    <w:rsid w:val="00315A4C"/>
    <w:rsid w:val="00315E54"/>
    <w:rsid w:val="0031617E"/>
    <w:rsid w:val="00316992"/>
    <w:rsid w:val="00316A3B"/>
    <w:rsid w:val="00316DCA"/>
    <w:rsid w:val="00317181"/>
    <w:rsid w:val="0031732A"/>
    <w:rsid w:val="00317B78"/>
    <w:rsid w:val="00320724"/>
    <w:rsid w:val="00320749"/>
    <w:rsid w:val="003208A6"/>
    <w:rsid w:val="00321022"/>
    <w:rsid w:val="00321303"/>
    <w:rsid w:val="00321AA3"/>
    <w:rsid w:val="00321AD6"/>
    <w:rsid w:val="00321E5E"/>
    <w:rsid w:val="00322214"/>
    <w:rsid w:val="00322529"/>
    <w:rsid w:val="003225A7"/>
    <w:rsid w:val="0032260E"/>
    <w:rsid w:val="00322A13"/>
    <w:rsid w:val="00322AD7"/>
    <w:rsid w:val="00322CA5"/>
    <w:rsid w:val="00322EB5"/>
    <w:rsid w:val="00323412"/>
    <w:rsid w:val="0032356C"/>
    <w:rsid w:val="003237FB"/>
    <w:rsid w:val="00323C1A"/>
    <w:rsid w:val="00323C57"/>
    <w:rsid w:val="00323F64"/>
    <w:rsid w:val="00324224"/>
    <w:rsid w:val="00324518"/>
    <w:rsid w:val="00324644"/>
    <w:rsid w:val="003246BC"/>
    <w:rsid w:val="0032483E"/>
    <w:rsid w:val="00324ABF"/>
    <w:rsid w:val="00324EA8"/>
    <w:rsid w:val="00324EEB"/>
    <w:rsid w:val="00324F0F"/>
    <w:rsid w:val="00325116"/>
    <w:rsid w:val="0032515A"/>
    <w:rsid w:val="00325699"/>
    <w:rsid w:val="003256A3"/>
    <w:rsid w:val="00325C9A"/>
    <w:rsid w:val="00325F1D"/>
    <w:rsid w:val="00326402"/>
    <w:rsid w:val="003265E3"/>
    <w:rsid w:val="0032680E"/>
    <w:rsid w:val="003268D5"/>
    <w:rsid w:val="003269A4"/>
    <w:rsid w:val="0032702E"/>
    <w:rsid w:val="003271B0"/>
    <w:rsid w:val="00327430"/>
    <w:rsid w:val="00327552"/>
    <w:rsid w:val="00327A74"/>
    <w:rsid w:val="00327EBC"/>
    <w:rsid w:val="00330789"/>
    <w:rsid w:val="0033085F"/>
    <w:rsid w:val="0033095D"/>
    <w:rsid w:val="00330A4E"/>
    <w:rsid w:val="00330B07"/>
    <w:rsid w:val="00330E70"/>
    <w:rsid w:val="00330F49"/>
    <w:rsid w:val="003310B8"/>
    <w:rsid w:val="00331451"/>
    <w:rsid w:val="00331A7D"/>
    <w:rsid w:val="00331E05"/>
    <w:rsid w:val="00332203"/>
    <w:rsid w:val="0033236F"/>
    <w:rsid w:val="0033283A"/>
    <w:rsid w:val="0033285F"/>
    <w:rsid w:val="00332DF1"/>
    <w:rsid w:val="00332E70"/>
    <w:rsid w:val="00332F7A"/>
    <w:rsid w:val="0033312F"/>
    <w:rsid w:val="003332A5"/>
    <w:rsid w:val="003332AF"/>
    <w:rsid w:val="00333486"/>
    <w:rsid w:val="00333762"/>
    <w:rsid w:val="00333A9C"/>
    <w:rsid w:val="00333AFE"/>
    <w:rsid w:val="00333ED6"/>
    <w:rsid w:val="003340C6"/>
    <w:rsid w:val="003340E5"/>
    <w:rsid w:val="0033434A"/>
    <w:rsid w:val="0033486B"/>
    <w:rsid w:val="00334CF7"/>
    <w:rsid w:val="00334E6F"/>
    <w:rsid w:val="00334F6D"/>
    <w:rsid w:val="00335040"/>
    <w:rsid w:val="00335502"/>
    <w:rsid w:val="003355C9"/>
    <w:rsid w:val="00335846"/>
    <w:rsid w:val="0033586C"/>
    <w:rsid w:val="003359B9"/>
    <w:rsid w:val="00335D75"/>
    <w:rsid w:val="0033611E"/>
    <w:rsid w:val="003364A0"/>
    <w:rsid w:val="00336584"/>
    <w:rsid w:val="003367B1"/>
    <w:rsid w:val="00336850"/>
    <w:rsid w:val="00336BC3"/>
    <w:rsid w:val="00336DA7"/>
    <w:rsid w:val="00336DCA"/>
    <w:rsid w:val="00336E27"/>
    <w:rsid w:val="00336F08"/>
    <w:rsid w:val="003370D3"/>
    <w:rsid w:val="0033729A"/>
    <w:rsid w:val="00337305"/>
    <w:rsid w:val="00337503"/>
    <w:rsid w:val="0033765D"/>
    <w:rsid w:val="00337B29"/>
    <w:rsid w:val="00337C0C"/>
    <w:rsid w:val="00337D87"/>
    <w:rsid w:val="003404A6"/>
    <w:rsid w:val="0034158B"/>
    <w:rsid w:val="003417BA"/>
    <w:rsid w:val="00341B69"/>
    <w:rsid w:val="00341E89"/>
    <w:rsid w:val="00342094"/>
    <w:rsid w:val="003424B5"/>
    <w:rsid w:val="0034252A"/>
    <w:rsid w:val="00342551"/>
    <w:rsid w:val="00342656"/>
    <w:rsid w:val="003426F0"/>
    <w:rsid w:val="003427C8"/>
    <w:rsid w:val="003428B3"/>
    <w:rsid w:val="0034298B"/>
    <w:rsid w:val="003429B2"/>
    <w:rsid w:val="00342A91"/>
    <w:rsid w:val="00342BF3"/>
    <w:rsid w:val="00342CF7"/>
    <w:rsid w:val="00342F93"/>
    <w:rsid w:val="003435C1"/>
    <w:rsid w:val="003436B3"/>
    <w:rsid w:val="0034378A"/>
    <w:rsid w:val="0034383C"/>
    <w:rsid w:val="00343BDE"/>
    <w:rsid w:val="00343C94"/>
    <w:rsid w:val="00343CAC"/>
    <w:rsid w:val="00343F79"/>
    <w:rsid w:val="0034403F"/>
    <w:rsid w:val="0034416F"/>
    <w:rsid w:val="00344192"/>
    <w:rsid w:val="0034420F"/>
    <w:rsid w:val="00344495"/>
    <w:rsid w:val="00344693"/>
    <w:rsid w:val="00344779"/>
    <w:rsid w:val="003448B1"/>
    <w:rsid w:val="00344BBC"/>
    <w:rsid w:val="00344D65"/>
    <w:rsid w:val="00344F08"/>
    <w:rsid w:val="00345135"/>
    <w:rsid w:val="00345271"/>
    <w:rsid w:val="00345392"/>
    <w:rsid w:val="00345483"/>
    <w:rsid w:val="003458D9"/>
    <w:rsid w:val="00345D4D"/>
    <w:rsid w:val="003460B9"/>
    <w:rsid w:val="003462D6"/>
    <w:rsid w:val="00346C2E"/>
    <w:rsid w:val="003472B8"/>
    <w:rsid w:val="003472F1"/>
    <w:rsid w:val="00347996"/>
    <w:rsid w:val="00347BC0"/>
    <w:rsid w:val="00347C33"/>
    <w:rsid w:val="00347CCC"/>
    <w:rsid w:val="00350601"/>
    <w:rsid w:val="00350702"/>
    <w:rsid w:val="00350AEA"/>
    <w:rsid w:val="00350C7E"/>
    <w:rsid w:val="00350F4A"/>
    <w:rsid w:val="00350FF8"/>
    <w:rsid w:val="003510D5"/>
    <w:rsid w:val="00351379"/>
    <w:rsid w:val="0035141D"/>
    <w:rsid w:val="003516F1"/>
    <w:rsid w:val="003518F9"/>
    <w:rsid w:val="00352320"/>
    <w:rsid w:val="003525C0"/>
    <w:rsid w:val="00352B34"/>
    <w:rsid w:val="00352DB3"/>
    <w:rsid w:val="0035321D"/>
    <w:rsid w:val="00353F7D"/>
    <w:rsid w:val="0035401E"/>
    <w:rsid w:val="00354060"/>
    <w:rsid w:val="0035460A"/>
    <w:rsid w:val="00354661"/>
    <w:rsid w:val="003546F9"/>
    <w:rsid w:val="00354B25"/>
    <w:rsid w:val="00354BAB"/>
    <w:rsid w:val="00354D27"/>
    <w:rsid w:val="00354EBB"/>
    <w:rsid w:val="00354FBB"/>
    <w:rsid w:val="00354FC2"/>
    <w:rsid w:val="003552CB"/>
    <w:rsid w:val="003553B9"/>
    <w:rsid w:val="0035542E"/>
    <w:rsid w:val="0035547B"/>
    <w:rsid w:val="0035564B"/>
    <w:rsid w:val="0035565F"/>
    <w:rsid w:val="003556B6"/>
    <w:rsid w:val="00355958"/>
    <w:rsid w:val="00355A36"/>
    <w:rsid w:val="00355D25"/>
    <w:rsid w:val="00355DAD"/>
    <w:rsid w:val="00355FB9"/>
    <w:rsid w:val="003560EE"/>
    <w:rsid w:val="0035614B"/>
    <w:rsid w:val="003562DA"/>
    <w:rsid w:val="003563FF"/>
    <w:rsid w:val="0035664F"/>
    <w:rsid w:val="00356A2E"/>
    <w:rsid w:val="00356F06"/>
    <w:rsid w:val="003572FD"/>
    <w:rsid w:val="00357773"/>
    <w:rsid w:val="003579B1"/>
    <w:rsid w:val="00357A46"/>
    <w:rsid w:val="00357BF7"/>
    <w:rsid w:val="00357F87"/>
    <w:rsid w:val="00360017"/>
    <w:rsid w:val="003601B1"/>
    <w:rsid w:val="00360541"/>
    <w:rsid w:val="003608A8"/>
    <w:rsid w:val="00360C90"/>
    <w:rsid w:val="00361101"/>
    <w:rsid w:val="0036132F"/>
    <w:rsid w:val="00361A1E"/>
    <w:rsid w:val="00361FB2"/>
    <w:rsid w:val="003621B9"/>
    <w:rsid w:val="003621FC"/>
    <w:rsid w:val="0036233F"/>
    <w:rsid w:val="00362344"/>
    <w:rsid w:val="00362373"/>
    <w:rsid w:val="003623E1"/>
    <w:rsid w:val="00362BC8"/>
    <w:rsid w:val="003633F1"/>
    <w:rsid w:val="0036345E"/>
    <w:rsid w:val="003634B1"/>
    <w:rsid w:val="00363574"/>
    <w:rsid w:val="003636E9"/>
    <w:rsid w:val="003639A1"/>
    <w:rsid w:val="0036412C"/>
    <w:rsid w:val="003648B5"/>
    <w:rsid w:val="0036499B"/>
    <w:rsid w:val="003649FC"/>
    <w:rsid w:val="00364C8E"/>
    <w:rsid w:val="00364CF4"/>
    <w:rsid w:val="00364E52"/>
    <w:rsid w:val="00365282"/>
    <w:rsid w:val="003652CE"/>
    <w:rsid w:val="00365474"/>
    <w:rsid w:val="0036554C"/>
    <w:rsid w:val="0036572A"/>
    <w:rsid w:val="00365AB3"/>
    <w:rsid w:val="00365AFD"/>
    <w:rsid w:val="00365B45"/>
    <w:rsid w:val="00365C91"/>
    <w:rsid w:val="003674BC"/>
    <w:rsid w:val="0036788E"/>
    <w:rsid w:val="00370273"/>
    <w:rsid w:val="003706DD"/>
    <w:rsid w:val="00370B15"/>
    <w:rsid w:val="00370FF2"/>
    <w:rsid w:val="00371013"/>
    <w:rsid w:val="00371398"/>
    <w:rsid w:val="00371422"/>
    <w:rsid w:val="003715D4"/>
    <w:rsid w:val="0037171C"/>
    <w:rsid w:val="00371899"/>
    <w:rsid w:val="0037290B"/>
    <w:rsid w:val="00372BD6"/>
    <w:rsid w:val="00372E2B"/>
    <w:rsid w:val="00373034"/>
    <w:rsid w:val="0037304B"/>
    <w:rsid w:val="003730AC"/>
    <w:rsid w:val="00373628"/>
    <w:rsid w:val="00373688"/>
    <w:rsid w:val="00373A44"/>
    <w:rsid w:val="00374588"/>
    <w:rsid w:val="00374639"/>
    <w:rsid w:val="00374A93"/>
    <w:rsid w:val="00374F44"/>
    <w:rsid w:val="00374F6E"/>
    <w:rsid w:val="0037588D"/>
    <w:rsid w:val="00375F1E"/>
    <w:rsid w:val="00376039"/>
    <w:rsid w:val="00376276"/>
    <w:rsid w:val="0037638B"/>
    <w:rsid w:val="00376467"/>
    <w:rsid w:val="00377084"/>
    <w:rsid w:val="003772F2"/>
    <w:rsid w:val="00377308"/>
    <w:rsid w:val="00377421"/>
    <w:rsid w:val="0037759B"/>
    <w:rsid w:val="003777AE"/>
    <w:rsid w:val="003779DA"/>
    <w:rsid w:val="00377A10"/>
    <w:rsid w:val="00377E35"/>
    <w:rsid w:val="00377E6E"/>
    <w:rsid w:val="0038008B"/>
    <w:rsid w:val="00380965"/>
    <w:rsid w:val="00380B50"/>
    <w:rsid w:val="00380BC0"/>
    <w:rsid w:val="00380C91"/>
    <w:rsid w:val="00380DBC"/>
    <w:rsid w:val="00380FB1"/>
    <w:rsid w:val="0038159A"/>
    <w:rsid w:val="00381EC8"/>
    <w:rsid w:val="00382118"/>
    <w:rsid w:val="003828BB"/>
    <w:rsid w:val="00382A33"/>
    <w:rsid w:val="003831E8"/>
    <w:rsid w:val="00383539"/>
    <w:rsid w:val="003839F0"/>
    <w:rsid w:val="00383D43"/>
    <w:rsid w:val="00383FAB"/>
    <w:rsid w:val="003841D6"/>
    <w:rsid w:val="003841FC"/>
    <w:rsid w:val="00384467"/>
    <w:rsid w:val="0038476E"/>
    <w:rsid w:val="00384A23"/>
    <w:rsid w:val="00384B72"/>
    <w:rsid w:val="00384F33"/>
    <w:rsid w:val="0038515B"/>
    <w:rsid w:val="003856D0"/>
    <w:rsid w:val="003858A6"/>
    <w:rsid w:val="00386188"/>
    <w:rsid w:val="00386767"/>
    <w:rsid w:val="0038687E"/>
    <w:rsid w:val="00386982"/>
    <w:rsid w:val="00386C61"/>
    <w:rsid w:val="00386D1D"/>
    <w:rsid w:val="00386E89"/>
    <w:rsid w:val="00387365"/>
    <w:rsid w:val="0038764F"/>
    <w:rsid w:val="00387BA8"/>
    <w:rsid w:val="00387DE8"/>
    <w:rsid w:val="00387F1F"/>
    <w:rsid w:val="00387FB7"/>
    <w:rsid w:val="0039025D"/>
    <w:rsid w:val="00390505"/>
    <w:rsid w:val="0039069E"/>
    <w:rsid w:val="00390706"/>
    <w:rsid w:val="00390825"/>
    <w:rsid w:val="003908C5"/>
    <w:rsid w:val="00390970"/>
    <w:rsid w:val="00390C94"/>
    <w:rsid w:val="003910E1"/>
    <w:rsid w:val="003912F2"/>
    <w:rsid w:val="00391474"/>
    <w:rsid w:val="00391B7E"/>
    <w:rsid w:val="00392518"/>
    <w:rsid w:val="00392713"/>
    <w:rsid w:val="00392763"/>
    <w:rsid w:val="0039277E"/>
    <w:rsid w:val="00392802"/>
    <w:rsid w:val="00392804"/>
    <w:rsid w:val="003928DD"/>
    <w:rsid w:val="00392B35"/>
    <w:rsid w:val="00392B83"/>
    <w:rsid w:val="00392CB7"/>
    <w:rsid w:val="00392D07"/>
    <w:rsid w:val="00392DCC"/>
    <w:rsid w:val="00392E68"/>
    <w:rsid w:val="003934E2"/>
    <w:rsid w:val="00393600"/>
    <w:rsid w:val="003937ED"/>
    <w:rsid w:val="00393DF9"/>
    <w:rsid w:val="0039417C"/>
    <w:rsid w:val="0039422B"/>
    <w:rsid w:val="00394294"/>
    <w:rsid w:val="0039462D"/>
    <w:rsid w:val="00394734"/>
    <w:rsid w:val="00394743"/>
    <w:rsid w:val="0039494B"/>
    <w:rsid w:val="00394EFA"/>
    <w:rsid w:val="003953E0"/>
    <w:rsid w:val="00395D62"/>
    <w:rsid w:val="00396111"/>
    <w:rsid w:val="00396160"/>
    <w:rsid w:val="003965F8"/>
    <w:rsid w:val="00396638"/>
    <w:rsid w:val="0039688A"/>
    <w:rsid w:val="00396B82"/>
    <w:rsid w:val="00396F26"/>
    <w:rsid w:val="00397088"/>
    <w:rsid w:val="003971EC"/>
    <w:rsid w:val="00397211"/>
    <w:rsid w:val="0039749C"/>
    <w:rsid w:val="00397720"/>
    <w:rsid w:val="003978FF"/>
    <w:rsid w:val="00397B4B"/>
    <w:rsid w:val="00397D75"/>
    <w:rsid w:val="00397ED4"/>
    <w:rsid w:val="003A060B"/>
    <w:rsid w:val="003A0831"/>
    <w:rsid w:val="003A0CAC"/>
    <w:rsid w:val="003A0D56"/>
    <w:rsid w:val="003A0E8B"/>
    <w:rsid w:val="003A10C2"/>
    <w:rsid w:val="003A139E"/>
    <w:rsid w:val="003A169B"/>
    <w:rsid w:val="003A1739"/>
    <w:rsid w:val="003A1783"/>
    <w:rsid w:val="003A17E1"/>
    <w:rsid w:val="003A1866"/>
    <w:rsid w:val="003A199F"/>
    <w:rsid w:val="003A207C"/>
    <w:rsid w:val="003A2287"/>
    <w:rsid w:val="003A26A8"/>
    <w:rsid w:val="003A2A54"/>
    <w:rsid w:val="003A34A0"/>
    <w:rsid w:val="003A3595"/>
    <w:rsid w:val="003A371A"/>
    <w:rsid w:val="003A3D0A"/>
    <w:rsid w:val="003A3F80"/>
    <w:rsid w:val="003A4513"/>
    <w:rsid w:val="003A45F6"/>
    <w:rsid w:val="003A4780"/>
    <w:rsid w:val="003A4EF2"/>
    <w:rsid w:val="003A53FC"/>
    <w:rsid w:val="003A578C"/>
    <w:rsid w:val="003A5C8C"/>
    <w:rsid w:val="003A60EB"/>
    <w:rsid w:val="003A627D"/>
    <w:rsid w:val="003A62E3"/>
    <w:rsid w:val="003A6572"/>
    <w:rsid w:val="003A6862"/>
    <w:rsid w:val="003A68D3"/>
    <w:rsid w:val="003A7347"/>
    <w:rsid w:val="003A742C"/>
    <w:rsid w:val="003A7617"/>
    <w:rsid w:val="003A763A"/>
    <w:rsid w:val="003A771C"/>
    <w:rsid w:val="003A7840"/>
    <w:rsid w:val="003A7B17"/>
    <w:rsid w:val="003A7D48"/>
    <w:rsid w:val="003B05D8"/>
    <w:rsid w:val="003B0683"/>
    <w:rsid w:val="003B096F"/>
    <w:rsid w:val="003B0986"/>
    <w:rsid w:val="003B09AD"/>
    <w:rsid w:val="003B0D2D"/>
    <w:rsid w:val="003B17F8"/>
    <w:rsid w:val="003B1F1C"/>
    <w:rsid w:val="003B2039"/>
    <w:rsid w:val="003B20FE"/>
    <w:rsid w:val="003B2463"/>
    <w:rsid w:val="003B24D0"/>
    <w:rsid w:val="003B2695"/>
    <w:rsid w:val="003B2817"/>
    <w:rsid w:val="003B283A"/>
    <w:rsid w:val="003B2A62"/>
    <w:rsid w:val="003B2EF0"/>
    <w:rsid w:val="003B2FF7"/>
    <w:rsid w:val="003B3618"/>
    <w:rsid w:val="003B37F3"/>
    <w:rsid w:val="003B4802"/>
    <w:rsid w:val="003B4838"/>
    <w:rsid w:val="003B483A"/>
    <w:rsid w:val="003B4A0D"/>
    <w:rsid w:val="003B4A0F"/>
    <w:rsid w:val="003B4EA8"/>
    <w:rsid w:val="003B4FEB"/>
    <w:rsid w:val="003B592A"/>
    <w:rsid w:val="003B5B1D"/>
    <w:rsid w:val="003B5B8D"/>
    <w:rsid w:val="003B5BF8"/>
    <w:rsid w:val="003B5D75"/>
    <w:rsid w:val="003B5DF4"/>
    <w:rsid w:val="003B602F"/>
    <w:rsid w:val="003B625B"/>
    <w:rsid w:val="003B6580"/>
    <w:rsid w:val="003B695C"/>
    <w:rsid w:val="003B6B90"/>
    <w:rsid w:val="003B7379"/>
    <w:rsid w:val="003B752F"/>
    <w:rsid w:val="003B7598"/>
    <w:rsid w:val="003B763D"/>
    <w:rsid w:val="003B7805"/>
    <w:rsid w:val="003B7893"/>
    <w:rsid w:val="003B7F49"/>
    <w:rsid w:val="003C008B"/>
    <w:rsid w:val="003C0508"/>
    <w:rsid w:val="003C0563"/>
    <w:rsid w:val="003C06EF"/>
    <w:rsid w:val="003C0B08"/>
    <w:rsid w:val="003C0DE2"/>
    <w:rsid w:val="003C0E7F"/>
    <w:rsid w:val="003C0F32"/>
    <w:rsid w:val="003C11FC"/>
    <w:rsid w:val="003C1715"/>
    <w:rsid w:val="003C1C76"/>
    <w:rsid w:val="003C20DC"/>
    <w:rsid w:val="003C2119"/>
    <w:rsid w:val="003C2335"/>
    <w:rsid w:val="003C24A7"/>
    <w:rsid w:val="003C280D"/>
    <w:rsid w:val="003C2B97"/>
    <w:rsid w:val="003C2C4F"/>
    <w:rsid w:val="003C327B"/>
    <w:rsid w:val="003C32C3"/>
    <w:rsid w:val="003C3508"/>
    <w:rsid w:val="003C36A0"/>
    <w:rsid w:val="003C38E9"/>
    <w:rsid w:val="003C435F"/>
    <w:rsid w:val="003C43F1"/>
    <w:rsid w:val="003C444D"/>
    <w:rsid w:val="003C4468"/>
    <w:rsid w:val="003C481F"/>
    <w:rsid w:val="003C48AD"/>
    <w:rsid w:val="003C4B7B"/>
    <w:rsid w:val="003C4C64"/>
    <w:rsid w:val="003C4FB6"/>
    <w:rsid w:val="003C5243"/>
    <w:rsid w:val="003C5A12"/>
    <w:rsid w:val="003C5D29"/>
    <w:rsid w:val="003C5FC6"/>
    <w:rsid w:val="003C64F2"/>
    <w:rsid w:val="003C67B6"/>
    <w:rsid w:val="003C6C93"/>
    <w:rsid w:val="003C6DD7"/>
    <w:rsid w:val="003C6F57"/>
    <w:rsid w:val="003C6F99"/>
    <w:rsid w:val="003C712B"/>
    <w:rsid w:val="003C7157"/>
    <w:rsid w:val="003C72BC"/>
    <w:rsid w:val="003C7714"/>
    <w:rsid w:val="003C7AFE"/>
    <w:rsid w:val="003C7F2F"/>
    <w:rsid w:val="003D0210"/>
    <w:rsid w:val="003D0293"/>
    <w:rsid w:val="003D0627"/>
    <w:rsid w:val="003D0B1B"/>
    <w:rsid w:val="003D0DB6"/>
    <w:rsid w:val="003D1109"/>
    <w:rsid w:val="003D182B"/>
    <w:rsid w:val="003D1950"/>
    <w:rsid w:val="003D1C64"/>
    <w:rsid w:val="003D1C77"/>
    <w:rsid w:val="003D1CB6"/>
    <w:rsid w:val="003D1CEC"/>
    <w:rsid w:val="003D2BE1"/>
    <w:rsid w:val="003D2F58"/>
    <w:rsid w:val="003D3285"/>
    <w:rsid w:val="003D3649"/>
    <w:rsid w:val="003D3695"/>
    <w:rsid w:val="003D39BC"/>
    <w:rsid w:val="003D3E59"/>
    <w:rsid w:val="003D3E7B"/>
    <w:rsid w:val="003D4139"/>
    <w:rsid w:val="003D49FB"/>
    <w:rsid w:val="003D4CDB"/>
    <w:rsid w:val="003D4D4A"/>
    <w:rsid w:val="003D4FD9"/>
    <w:rsid w:val="003D5144"/>
    <w:rsid w:val="003D5456"/>
    <w:rsid w:val="003D559A"/>
    <w:rsid w:val="003D5703"/>
    <w:rsid w:val="003D585C"/>
    <w:rsid w:val="003D587C"/>
    <w:rsid w:val="003D58D3"/>
    <w:rsid w:val="003D5A55"/>
    <w:rsid w:val="003D5DBB"/>
    <w:rsid w:val="003D5EE3"/>
    <w:rsid w:val="003D6204"/>
    <w:rsid w:val="003D6DD9"/>
    <w:rsid w:val="003D7876"/>
    <w:rsid w:val="003D7D81"/>
    <w:rsid w:val="003E0180"/>
    <w:rsid w:val="003E0373"/>
    <w:rsid w:val="003E0409"/>
    <w:rsid w:val="003E047C"/>
    <w:rsid w:val="003E05DC"/>
    <w:rsid w:val="003E06AB"/>
    <w:rsid w:val="003E06C1"/>
    <w:rsid w:val="003E0C0A"/>
    <w:rsid w:val="003E0DBF"/>
    <w:rsid w:val="003E0E52"/>
    <w:rsid w:val="003E0E82"/>
    <w:rsid w:val="003E0FBA"/>
    <w:rsid w:val="003E108B"/>
    <w:rsid w:val="003E1173"/>
    <w:rsid w:val="003E13DF"/>
    <w:rsid w:val="003E1554"/>
    <w:rsid w:val="003E1950"/>
    <w:rsid w:val="003E1DD2"/>
    <w:rsid w:val="003E1E36"/>
    <w:rsid w:val="003E1FEC"/>
    <w:rsid w:val="003E2594"/>
    <w:rsid w:val="003E2664"/>
    <w:rsid w:val="003E269C"/>
    <w:rsid w:val="003E2B4D"/>
    <w:rsid w:val="003E2EFF"/>
    <w:rsid w:val="003E3089"/>
    <w:rsid w:val="003E3128"/>
    <w:rsid w:val="003E331A"/>
    <w:rsid w:val="003E3338"/>
    <w:rsid w:val="003E38B0"/>
    <w:rsid w:val="003E3A52"/>
    <w:rsid w:val="003E3B46"/>
    <w:rsid w:val="003E3CF2"/>
    <w:rsid w:val="003E45E1"/>
    <w:rsid w:val="003E499D"/>
    <w:rsid w:val="003E4D40"/>
    <w:rsid w:val="003E4D87"/>
    <w:rsid w:val="003E564A"/>
    <w:rsid w:val="003E5746"/>
    <w:rsid w:val="003E5849"/>
    <w:rsid w:val="003E59F7"/>
    <w:rsid w:val="003E5A55"/>
    <w:rsid w:val="003E5B0F"/>
    <w:rsid w:val="003E5B4B"/>
    <w:rsid w:val="003E5CBC"/>
    <w:rsid w:val="003E5D64"/>
    <w:rsid w:val="003E5DC0"/>
    <w:rsid w:val="003E5F63"/>
    <w:rsid w:val="003E65A0"/>
    <w:rsid w:val="003E676B"/>
    <w:rsid w:val="003E6868"/>
    <w:rsid w:val="003E6E71"/>
    <w:rsid w:val="003E738D"/>
    <w:rsid w:val="003E7785"/>
    <w:rsid w:val="003E78C2"/>
    <w:rsid w:val="003E7CB0"/>
    <w:rsid w:val="003E7E24"/>
    <w:rsid w:val="003E7F07"/>
    <w:rsid w:val="003F0351"/>
    <w:rsid w:val="003F0554"/>
    <w:rsid w:val="003F08A5"/>
    <w:rsid w:val="003F0948"/>
    <w:rsid w:val="003F096D"/>
    <w:rsid w:val="003F0BF3"/>
    <w:rsid w:val="003F11F8"/>
    <w:rsid w:val="003F1433"/>
    <w:rsid w:val="003F15EF"/>
    <w:rsid w:val="003F1CDA"/>
    <w:rsid w:val="003F1E97"/>
    <w:rsid w:val="003F20DA"/>
    <w:rsid w:val="003F241D"/>
    <w:rsid w:val="003F246F"/>
    <w:rsid w:val="003F2A11"/>
    <w:rsid w:val="003F2A70"/>
    <w:rsid w:val="003F2CF3"/>
    <w:rsid w:val="003F2D6D"/>
    <w:rsid w:val="003F361B"/>
    <w:rsid w:val="003F36C5"/>
    <w:rsid w:val="003F3C32"/>
    <w:rsid w:val="003F3CE0"/>
    <w:rsid w:val="003F3D18"/>
    <w:rsid w:val="003F3D7F"/>
    <w:rsid w:val="003F4373"/>
    <w:rsid w:val="003F4B02"/>
    <w:rsid w:val="003F4CE2"/>
    <w:rsid w:val="003F512C"/>
    <w:rsid w:val="003F561A"/>
    <w:rsid w:val="003F5740"/>
    <w:rsid w:val="003F5D04"/>
    <w:rsid w:val="003F5DCD"/>
    <w:rsid w:val="003F5E1F"/>
    <w:rsid w:val="003F616A"/>
    <w:rsid w:val="003F6241"/>
    <w:rsid w:val="003F65D9"/>
    <w:rsid w:val="003F664F"/>
    <w:rsid w:val="003F66D0"/>
    <w:rsid w:val="003F67FC"/>
    <w:rsid w:val="003F6B5F"/>
    <w:rsid w:val="003F6DF0"/>
    <w:rsid w:val="003F71F2"/>
    <w:rsid w:val="003F7E06"/>
    <w:rsid w:val="004002F6"/>
    <w:rsid w:val="00400729"/>
    <w:rsid w:val="004009AD"/>
    <w:rsid w:val="00400ED7"/>
    <w:rsid w:val="00400F8F"/>
    <w:rsid w:val="0040104A"/>
    <w:rsid w:val="0040126E"/>
    <w:rsid w:val="004012EB"/>
    <w:rsid w:val="0040145C"/>
    <w:rsid w:val="004016B8"/>
    <w:rsid w:val="004019DD"/>
    <w:rsid w:val="00401A8C"/>
    <w:rsid w:val="00401BD3"/>
    <w:rsid w:val="00401E93"/>
    <w:rsid w:val="00401ED9"/>
    <w:rsid w:val="00402024"/>
    <w:rsid w:val="0040226B"/>
    <w:rsid w:val="00402967"/>
    <w:rsid w:val="00402999"/>
    <w:rsid w:val="00402E80"/>
    <w:rsid w:val="00402E97"/>
    <w:rsid w:val="00402FA4"/>
    <w:rsid w:val="00403275"/>
    <w:rsid w:val="004036B1"/>
    <w:rsid w:val="00403727"/>
    <w:rsid w:val="0040392D"/>
    <w:rsid w:val="00403CBE"/>
    <w:rsid w:val="00403CDD"/>
    <w:rsid w:val="00403FDA"/>
    <w:rsid w:val="00404110"/>
    <w:rsid w:val="004047D9"/>
    <w:rsid w:val="00404D23"/>
    <w:rsid w:val="00404F25"/>
    <w:rsid w:val="0040500C"/>
    <w:rsid w:val="0040503F"/>
    <w:rsid w:val="004051A9"/>
    <w:rsid w:val="0040557A"/>
    <w:rsid w:val="0040588D"/>
    <w:rsid w:val="00405AC1"/>
    <w:rsid w:val="00405E2C"/>
    <w:rsid w:val="00405FFB"/>
    <w:rsid w:val="00406236"/>
    <w:rsid w:val="004062E8"/>
    <w:rsid w:val="004062F3"/>
    <w:rsid w:val="004063B1"/>
    <w:rsid w:val="00406A6A"/>
    <w:rsid w:val="0040751D"/>
    <w:rsid w:val="0040752C"/>
    <w:rsid w:val="00407659"/>
    <w:rsid w:val="00407CCC"/>
    <w:rsid w:val="00407F61"/>
    <w:rsid w:val="004103DE"/>
    <w:rsid w:val="00410409"/>
    <w:rsid w:val="004106CE"/>
    <w:rsid w:val="004108D0"/>
    <w:rsid w:val="00410ACD"/>
    <w:rsid w:val="00410E0F"/>
    <w:rsid w:val="00411103"/>
    <w:rsid w:val="00411129"/>
    <w:rsid w:val="00411456"/>
    <w:rsid w:val="0041169A"/>
    <w:rsid w:val="00411AFA"/>
    <w:rsid w:val="00411C89"/>
    <w:rsid w:val="004121D9"/>
    <w:rsid w:val="0041245D"/>
    <w:rsid w:val="00412967"/>
    <w:rsid w:val="00413061"/>
    <w:rsid w:val="0041348F"/>
    <w:rsid w:val="00413D3F"/>
    <w:rsid w:val="00413F0D"/>
    <w:rsid w:val="00413FF5"/>
    <w:rsid w:val="00414AFE"/>
    <w:rsid w:val="00414B6A"/>
    <w:rsid w:val="00414FBA"/>
    <w:rsid w:val="00415157"/>
    <w:rsid w:val="00415214"/>
    <w:rsid w:val="004153F0"/>
    <w:rsid w:val="004159D1"/>
    <w:rsid w:val="00415BA5"/>
    <w:rsid w:val="00415F6C"/>
    <w:rsid w:val="0041602E"/>
    <w:rsid w:val="00416435"/>
    <w:rsid w:val="00416762"/>
    <w:rsid w:val="0041693B"/>
    <w:rsid w:val="00416BA4"/>
    <w:rsid w:val="00416C52"/>
    <w:rsid w:val="00416D9C"/>
    <w:rsid w:val="00416E5B"/>
    <w:rsid w:val="00416FB6"/>
    <w:rsid w:val="004172C6"/>
    <w:rsid w:val="0041743D"/>
    <w:rsid w:val="00417BE5"/>
    <w:rsid w:val="00417FED"/>
    <w:rsid w:val="0042010A"/>
    <w:rsid w:val="00420247"/>
    <w:rsid w:val="004203D0"/>
    <w:rsid w:val="0042090F"/>
    <w:rsid w:val="00420DE8"/>
    <w:rsid w:val="00420E9F"/>
    <w:rsid w:val="0042105A"/>
    <w:rsid w:val="00421066"/>
    <w:rsid w:val="0042130A"/>
    <w:rsid w:val="00421351"/>
    <w:rsid w:val="00421758"/>
    <w:rsid w:val="0042189E"/>
    <w:rsid w:val="00422549"/>
    <w:rsid w:val="004226BC"/>
    <w:rsid w:val="00422A92"/>
    <w:rsid w:val="00422BD9"/>
    <w:rsid w:val="004230FD"/>
    <w:rsid w:val="004232F1"/>
    <w:rsid w:val="004232FD"/>
    <w:rsid w:val="00423581"/>
    <w:rsid w:val="004238A8"/>
    <w:rsid w:val="00423EBE"/>
    <w:rsid w:val="0042427A"/>
    <w:rsid w:val="00424774"/>
    <w:rsid w:val="00424B0C"/>
    <w:rsid w:val="00424B18"/>
    <w:rsid w:val="00424D08"/>
    <w:rsid w:val="00424D45"/>
    <w:rsid w:val="00424F12"/>
    <w:rsid w:val="00424F72"/>
    <w:rsid w:val="00425027"/>
    <w:rsid w:val="00425123"/>
    <w:rsid w:val="004252BD"/>
    <w:rsid w:val="00425411"/>
    <w:rsid w:val="00425606"/>
    <w:rsid w:val="0042567E"/>
    <w:rsid w:val="00425740"/>
    <w:rsid w:val="0042588C"/>
    <w:rsid w:val="004258A6"/>
    <w:rsid w:val="0042640B"/>
    <w:rsid w:val="004268E2"/>
    <w:rsid w:val="00426BF9"/>
    <w:rsid w:val="00426DA4"/>
    <w:rsid w:val="00426FB4"/>
    <w:rsid w:val="00427A87"/>
    <w:rsid w:val="00427B61"/>
    <w:rsid w:val="00427C90"/>
    <w:rsid w:val="00427CAC"/>
    <w:rsid w:val="00427F09"/>
    <w:rsid w:val="0043021E"/>
    <w:rsid w:val="004303EA"/>
    <w:rsid w:val="00430404"/>
    <w:rsid w:val="00430632"/>
    <w:rsid w:val="00430641"/>
    <w:rsid w:val="0043065E"/>
    <w:rsid w:val="004306DB"/>
    <w:rsid w:val="0043086E"/>
    <w:rsid w:val="00430E7C"/>
    <w:rsid w:val="0043150C"/>
    <w:rsid w:val="00431AED"/>
    <w:rsid w:val="00432072"/>
    <w:rsid w:val="0043215C"/>
    <w:rsid w:val="0043244B"/>
    <w:rsid w:val="004325A6"/>
    <w:rsid w:val="00432CAC"/>
    <w:rsid w:val="00432E9B"/>
    <w:rsid w:val="0043343F"/>
    <w:rsid w:val="00433649"/>
    <w:rsid w:val="004336F4"/>
    <w:rsid w:val="004337F3"/>
    <w:rsid w:val="00433A4E"/>
    <w:rsid w:val="00433CED"/>
    <w:rsid w:val="00434041"/>
    <w:rsid w:val="00434145"/>
    <w:rsid w:val="00434172"/>
    <w:rsid w:val="00434241"/>
    <w:rsid w:val="00434351"/>
    <w:rsid w:val="004345F3"/>
    <w:rsid w:val="004349CE"/>
    <w:rsid w:val="00434A45"/>
    <w:rsid w:val="00434C22"/>
    <w:rsid w:val="004352E4"/>
    <w:rsid w:val="004353C1"/>
    <w:rsid w:val="0043554D"/>
    <w:rsid w:val="004356EE"/>
    <w:rsid w:val="00435760"/>
    <w:rsid w:val="00435780"/>
    <w:rsid w:val="00435B96"/>
    <w:rsid w:val="00435C52"/>
    <w:rsid w:val="00435CC5"/>
    <w:rsid w:val="004361B5"/>
    <w:rsid w:val="00436222"/>
    <w:rsid w:val="0043642C"/>
    <w:rsid w:val="00436BF7"/>
    <w:rsid w:val="004370ED"/>
    <w:rsid w:val="00437B87"/>
    <w:rsid w:val="00437D8D"/>
    <w:rsid w:val="004407E9"/>
    <w:rsid w:val="004411CC"/>
    <w:rsid w:val="00441536"/>
    <w:rsid w:val="0044158A"/>
    <w:rsid w:val="00441AF4"/>
    <w:rsid w:val="00441D3E"/>
    <w:rsid w:val="004420E7"/>
    <w:rsid w:val="00442586"/>
    <w:rsid w:val="004425AE"/>
    <w:rsid w:val="00442872"/>
    <w:rsid w:val="00442A83"/>
    <w:rsid w:val="00442DEA"/>
    <w:rsid w:val="00443052"/>
    <w:rsid w:val="0044316E"/>
    <w:rsid w:val="00443204"/>
    <w:rsid w:val="00443D2E"/>
    <w:rsid w:val="00443D7A"/>
    <w:rsid w:val="00444072"/>
    <w:rsid w:val="00444111"/>
    <w:rsid w:val="00444311"/>
    <w:rsid w:val="004445DA"/>
    <w:rsid w:val="0044460D"/>
    <w:rsid w:val="00444673"/>
    <w:rsid w:val="004448DA"/>
    <w:rsid w:val="00444D6E"/>
    <w:rsid w:val="00444FF6"/>
    <w:rsid w:val="00445265"/>
    <w:rsid w:val="00445309"/>
    <w:rsid w:val="00445413"/>
    <w:rsid w:val="00445659"/>
    <w:rsid w:val="00445771"/>
    <w:rsid w:val="004458A0"/>
    <w:rsid w:val="00445C5A"/>
    <w:rsid w:val="00445D3D"/>
    <w:rsid w:val="00445E5F"/>
    <w:rsid w:val="00445F6C"/>
    <w:rsid w:val="004465C8"/>
    <w:rsid w:val="004465E5"/>
    <w:rsid w:val="00446620"/>
    <w:rsid w:val="004466E8"/>
    <w:rsid w:val="00446726"/>
    <w:rsid w:val="00446860"/>
    <w:rsid w:val="0044687D"/>
    <w:rsid w:val="00446D28"/>
    <w:rsid w:val="00447160"/>
    <w:rsid w:val="004474F5"/>
    <w:rsid w:val="00447684"/>
    <w:rsid w:val="00447755"/>
    <w:rsid w:val="00447987"/>
    <w:rsid w:val="004501E8"/>
    <w:rsid w:val="0045027B"/>
    <w:rsid w:val="0045046B"/>
    <w:rsid w:val="004505BC"/>
    <w:rsid w:val="00450769"/>
    <w:rsid w:val="00450878"/>
    <w:rsid w:val="00450995"/>
    <w:rsid w:val="00450B23"/>
    <w:rsid w:val="00450D7F"/>
    <w:rsid w:val="00450E10"/>
    <w:rsid w:val="00451053"/>
    <w:rsid w:val="0045153F"/>
    <w:rsid w:val="00451621"/>
    <w:rsid w:val="00451A57"/>
    <w:rsid w:val="00451BC2"/>
    <w:rsid w:val="00451D9E"/>
    <w:rsid w:val="00452469"/>
    <w:rsid w:val="0045257C"/>
    <w:rsid w:val="0045265D"/>
    <w:rsid w:val="00452930"/>
    <w:rsid w:val="004529BD"/>
    <w:rsid w:val="004529D9"/>
    <w:rsid w:val="00452A6A"/>
    <w:rsid w:val="00452D70"/>
    <w:rsid w:val="004530E7"/>
    <w:rsid w:val="004531EB"/>
    <w:rsid w:val="00453311"/>
    <w:rsid w:val="0045367F"/>
    <w:rsid w:val="0045375F"/>
    <w:rsid w:val="00453874"/>
    <w:rsid w:val="004539C8"/>
    <w:rsid w:val="00453B7E"/>
    <w:rsid w:val="00453D3A"/>
    <w:rsid w:val="00453D96"/>
    <w:rsid w:val="00453EE7"/>
    <w:rsid w:val="00453F33"/>
    <w:rsid w:val="00454504"/>
    <w:rsid w:val="004546CF"/>
    <w:rsid w:val="0045472F"/>
    <w:rsid w:val="004547DE"/>
    <w:rsid w:val="004547E5"/>
    <w:rsid w:val="00454B47"/>
    <w:rsid w:val="00454D6B"/>
    <w:rsid w:val="00454F75"/>
    <w:rsid w:val="00455289"/>
    <w:rsid w:val="00455473"/>
    <w:rsid w:val="004558C6"/>
    <w:rsid w:val="004559CE"/>
    <w:rsid w:val="004563F0"/>
    <w:rsid w:val="00456509"/>
    <w:rsid w:val="00456574"/>
    <w:rsid w:val="00456DB2"/>
    <w:rsid w:val="00457031"/>
    <w:rsid w:val="004570C4"/>
    <w:rsid w:val="004571BF"/>
    <w:rsid w:val="004572D0"/>
    <w:rsid w:val="004575FA"/>
    <w:rsid w:val="0045762C"/>
    <w:rsid w:val="0045770C"/>
    <w:rsid w:val="00457771"/>
    <w:rsid w:val="00457DE6"/>
    <w:rsid w:val="00457E9E"/>
    <w:rsid w:val="0046087D"/>
    <w:rsid w:val="00460B9D"/>
    <w:rsid w:val="00460F18"/>
    <w:rsid w:val="00460FCD"/>
    <w:rsid w:val="00461043"/>
    <w:rsid w:val="0046143A"/>
    <w:rsid w:val="00461984"/>
    <w:rsid w:val="00461A92"/>
    <w:rsid w:val="00461D68"/>
    <w:rsid w:val="0046238F"/>
    <w:rsid w:val="0046255E"/>
    <w:rsid w:val="004626B9"/>
    <w:rsid w:val="00462757"/>
    <w:rsid w:val="0046289F"/>
    <w:rsid w:val="004628A4"/>
    <w:rsid w:val="00462E33"/>
    <w:rsid w:val="0046314A"/>
    <w:rsid w:val="00463232"/>
    <w:rsid w:val="00463449"/>
    <w:rsid w:val="004636C0"/>
    <w:rsid w:val="00463A2D"/>
    <w:rsid w:val="00463CAC"/>
    <w:rsid w:val="00463DE5"/>
    <w:rsid w:val="00463FA3"/>
    <w:rsid w:val="00464060"/>
    <w:rsid w:val="004642A4"/>
    <w:rsid w:val="00464656"/>
    <w:rsid w:val="0046480A"/>
    <w:rsid w:val="00464885"/>
    <w:rsid w:val="004649E0"/>
    <w:rsid w:val="00464F60"/>
    <w:rsid w:val="004651D1"/>
    <w:rsid w:val="00465436"/>
    <w:rsid w:val="00465B8C"/>
    <w:rsid w:val="00465D41"/>
    <w:rsid w:val="00466604"/>
    <w:rsid w:val="0046679D"/>
    <w:rsid w:val="004669F3"/>
    <w:rsid w:val="00466B3B"/>
    <w:rsid w:val="00466D94"/>
    <w:rsid w:val="00466E51"/>
    <w:rsid w:val="00466E69"/>
    <w:rsid w:val="00466ED0"/>
    <w:rsid w:val="004679CF"/>
    <w:rsid w:val="00467A6D"/>
    <w:rsid w:val="00467B4B"/>
    <w:rsid w:val="00467E19"/>
    <w:rsid w:val="004708DD"/>
    <w:rsid w:val="00470B3F"/>
    <w:rsid w:val="00470C32"/>
    <w:rsid w:val="004710C8"/>
    <w:rsid w:val="00471456"/>
    <w:rsid w:val="004717B7"/>
    <w:rsid w:val="0047202F"/>
    <w:rsid w:val="00472127"/>
    <w:rsid w:val="00472182"/>
    <w:rsid w:val="00472346"/>
    <w:rsid w:val="004729FE"/>
    <w:rsid w:val="00472FB3"/>
    <w:rsid w:val="00473036"/>
    <w:rsid w:val="004733B8"/>
    <w:rsid w:val="00473434"/>
    <w:rsid w:val="00473A18"/>
    <w:rsid w:val="00473B8E"/>
    <w:rsid w:val="00473CBC"/>
    <w:rsid w:val="00474210"/>
    <w:rsid w:val="00474239"/>
    <w:rsid w:val="00474451"/>
    <w:rsid w:val="004746D7"/>
    <w:rsid w:val="00474ADE"/>
    <w:rsid w:val="00474B6E"/>
    <w:rsid w:val="00475204"/>
    <w:rsid w:val="00475325"/>
    <w:rsid w:val="00475383"/>
    <w:rsid w:val="004757C0"/>
    <w:rsid w:val="004757C1"/>
    <w:rsid w:val="00475929"/>
    <w:rsid w:val="00475A12"/>
    <w:rsid w:val="00475B7B"/>
    <w:rsid w:val="00475ECA"/>
    <w:rsid w:val="00475F4D"/>
    <w:rsid w:val="00476244"/>
    <w:rsid w:val="00476296"/>
    <w:rsid w:val="00476716"/>
    <w:rsid w:val="00476AA8"/>
    <w:rsid w:val="00476D83"/>
    <w:rsid w:val="00476FB3"/>
    <w:rsid w:val="0047737D"/>
    <w:rsid w:val="004774A1"/>
    <w:rsid w:val="0047762C"/>
    <w:rsid w:val="004779A8"/>
    <w:rsid w:val="0048002E"/>
    <w:rsid w:val="0048018E"/>
    <w:rsid w:val="004805E1"/>
    <w:rsid w:val="00480620"/>
    <w:rsid w:val="004807F6"/>
    <w:rsid w:val="004813FA"/>
    <w:rsid w:val="00481932"/>
    <w:rsid w:val="00481A1B"/>
    <w:rsid w:val="00481A54"/>
    <w:rsid w:val="00481B5E"/>
    <w:rsid w:val="00481D3C"/>
    <w:rsid w:val="00481F5F"/>
    <w:rsid w:val="00481FAD"/>
    <w:rsid w:val="00482263"/>
    <w:rsid w:val="0048293F"/>
    <w:rsid w:val="00482AD1"/>
    <w:rsid w:val="00482EB9"/>
    <w:rsid w:val="00483049"/>
    <w:rsid w:val="00483131"/>
    <w:rsid w:val="00483421"/>
    <w:rsid w:val="004837B2"/>
    <w:rsid w:val="0048380E"/>
    <w:rsid w:val="004838C2"/>
    <w:rsid w:val="00483A0C"/>
    <w:rsid w:val="00483B12"/>
    <w:rsid w:val="00484074"/>
    <w:rsid w:val="00484078"/>
    <w:rsid w:val="0048427B"/>
    <w:rsid w:val="004848DD"/>
    <w:rsid w:val="0048493C"/>
    <w:rsid w:val="00484958"/>
    <w:rsid w:val="00484E78"/>
    <w:rsid w:val="00484E98"/>
    <w:rsid w:val="00484EEE"/>
    <w:rsid w:val="00485371"/>
    <w:rsid w:val="00485456"/>
    <w:rsid w:val="00485853"/>
    <w:rsid w:val="004859DB"/>
    <w:rsid w:val="00485AEE"/>
    <w:rsid w:val="00485D22"/>
    <w:rsid w:val="00485FCE"/>
    <w:rsid w:val="00486745"/>
    <w:rsid w:val="00486750"/>
    <w:rsid w:val="00486E3B"/>
    <w:rsid w:val="00487156"/>
    <w:rsid w:val="004873C2"/>
    <w:rsid w:val="004873F8"/>
    <w:rsid w:val="004874AA"/>
    <w:rsid w:val="004875B2"/>
    <w:rsid w:val="004875C9"/>
    <w:rsid w:val="004876D7"/>
    <w:rsid w:val="004878F7"/>
    <w:rsid w:val="00487FB5"/>
    <w:rsid w:val="00487FDB"/>
    <w:rsid w:val="0049017D"/>
    <w:rsid w:val="00490398"/>
    <w:rsid w:val="004905D0"/>
    <w:rsid w:val="00490623"/>
    <w:rsid w:val="00490972"/>
    <w:rsid w:val="00490A03"/>
    <w:rsid w:val="00490D01"/>
    <w:rsid w:val="00490E99"/>
    <w:rsid w:val="0049169E"/>
    <w:rsid w:val="00491F46"/>
    <w:rsid w:val="00491FE5"/>
    <w:rsid w:val="00492387"/>
    <w:rsid w:val="0049242E"/>
    <w:rsid w:val="0049243A"/>
    <w:rsid w:val="004924E1"/>
    <w:rsid w:val="004926AD"/>
    <w:rsid w:val="004927A4"/>
    <w:rsid w:val="00492BF9"/>
    <w:rsid w:val="00492C63"/>
    <w:rsid w:val="00492D04"/>
    <w:rsid w:val="00492FCB"/>
    <w:rsid w:val="004930C3"/>
    <w:rsid w:val="004930C4"/>
    <w:rsid w:val="004932FA"/>
    <w:rsid w:val="00493562"/>
    <w:rsid w:val="004938D1"/>
    <w:rsid w:val="00493A40"/>
    <w:rsid w:val="00493AB8"/>
    <w:rsid w:val="00493E26"/>
    <w:rsid w:val="00494B0C"/>
    <w:rsid w:val="00494E62"/>
    <w:rsid w:val="004951A8"/>
    <w:rsid w:val="0049536F"/>
    <w:rsid w:val="004955F2"/>
    <w:rsid w:val="004956F6"/>
    <w:rsid w:val="00495732"/>
    <w:rsid w:val="004957EE"/>
    <w:rsid w:val="0049597D"/>
    <w:rsid w:val="00495DF2"/>
    <w:rsid w:val="00495E2C"/>
    <w:rsid w:val="004965C9"/>
    <w:rsid w:val="004969D0"/>
    <w:rsid w:val="00496C41"/>
    <w:rsid w:val="00496F0D"/>
    <w:rsid w:val="0049790E"/>
    <w:rsid w:val="00497CF9"/>
    <w:rsid w:val="004A017B"/>
    <w:rsid w:val="004A077D"/>
    <w:rsid w:val="004A07BE"/>
    <w:rsid w:val="004A091B"/>
    <w:rsid w:val="004A0CE6"/>
    <w:rsid w:val="004A1039"/>
    <w:rsid w:val="004A12CE"/>
    <w:rsid w:val="004A13C9"/>
    <w:rsid w:val="004A16D1"/>
    <w:rsid w:val="004A1AE7"/>
    <w:rsid w:val="004A1DC6"/>
    <w:rsid w:val="004A1E31"/>
    <w:rsid w:val="004A2522"/>
    <w:rsid w:val="004A2577"/>
    <w:rsid w:val="004A291C"/>
    <w:rsid w:val="004A2ECF"/>
    <w:rsid w:val="004A2EE5"/>
    <w:rsid w:val="004A311A"/>
    <w:rsid w:val="004A3136"/>
    <w:rsid w:val="004A3350"/>
    <w:rsid w:val="004A37CC"/>
    <w:rsid w:val="004A3819"/>
    <w:rsid w:val="004A3939"/>
    <w:rsid w:val="004A3B16"/>
    <w:rsid w:val="004A3D19"/>
    <w:rsid w:val="004A3EE3"/>
    <w:rsid w:val="004A4596"/>
    <w:rsid w:val="004A45C6"/>
    <w:rsid w:val="004A4741"/>
    <w:rsid w:val="004A4C7B"/>
    <w:rsid w:val="004A4D1B"/>
    <w:rsid w:val="004A4D95"/>
    <w:rsid w:val="004A4DD6"/>
    <w:rsid w:val="004A513D"/>
    <w:rsid w:val="004A52D1"/>
    <w:rsid w:val="004A56CD"/>
    <w:rsid w:val="004A57E1"/>
    <w:rsid w:val="004A61BC"/>
    <w:rsid w:val="004A644A"/>
    <w:rsid w:val="004A6462"/>
    <w:rsid w:val="004A6696"/>
    <w:rsid w:val="004A66B5"/>
    <w:rsid w:val="004A66BF"/>
    <w:rsid w:val="004A6712"/>
    <w:rsid w:val="004A6E15"/>
    <w:rsid w:val="004A6E1B"/>
    <w:rsid w:val="004A70E3"/>
    <w:rsid w:val="004A76F1"/>
    <w:rsid w:val="004A77D5"/>
    <w:rsid w:val="004A78B9"/>
    <w:rsid w:val="004A7A67"/>
    <w:rsid w:val="004A7BC2"/>
    <w:rsid w:val="004A7E13"/>
    <w:rsid w:val="004A7FBF"/>
    <w:rsid w:val="004B0233"/>
    <w:rsid w:val="004B04D4"/>
    <w:rsid w:val="004B0B97"/>
    <w:rsid w:val="004B0BAD"/>
    <w:rsid w:val="004B103B"/>
    <w:rsid w:val="004B1204"/>
    <w:rsid w:val="004B1469"/>
    <w:rsid w:val="004B1C45"/>
    <w:rsid w:val="004B23E4"/>
    <w:rsid w:val="004B2F86"/>
    <w:rsid w:val="004B30F9"/>
    <w:rsid w:val="004B32BA"/>
    <w:rsid w:val="004B35DD"/>
    <w:rsid w:val="004B3603"/>
    <w:rsid w:val="004B391D"/>
    <w:rsid w:val="004B3C06"/>
    <w:rsid w:val="004B3C25"/>
    <w:rsid w:val="004B3EC2"/>
    <w:rsid w:val="004B4422"/>
    <w:rsid w:val="004B44D2"/>
    <w:rsid w:val="004B49DB"/>
    <w:rsid w:val="004B4B8E"/>
    <w:rsid w:val="004B4BD2"/>
    <w:rsid w:val="004B4D38"/>
    <w:rsid w:val="004B4F93"/>
    <w:rsid w:val="004B5357"/>
    <w:rsid w:val="004B557D"/>
    <w:rsid w:val="004B56AD"/>
    <w:rsid w:val="004B5C91"/>
    <w:rsid w:val="004B60D3"/>
    <w:rsid w:val="004B622F"/>
    <w:rsid w:val="004B632B"/>
    <w:rsid w:val="004B6A59"/>
    <w:rsid w:val="004B6F4D"/>
    <w:rsid w:val="004B7836"/>
    <w:rsid w:val="004B7A66"/>
    <w:rsid w:val="004B7B87"/>
    <w:rsid w:val="004B7BF3"/>
    <w:rsid w:val="004C025E"/>
    <w:rsid w:val="004C04B7"/>
    <w:rsid w:val="004C0DCB"/>
    <w:rsid w:val="004C0E5E"/>
    <w:rsid w:val="004C0FA2"/>
    <w:rsid w:val="004C112D"/>
    <w:rsid w:val="004C12A1"/>
    <w:rsid w:val="004C1455"/>
    <w:rsid w:val="004C16B4"/>
    <w:rsid w:val="004C19B1"/>
    <w:rsid w:val="004C1CCA"/>
    <w:rsid w:val="004C1E01"/>
    <w:rsid w:val="004C204F"/>
    <w:rsid w:val="004C206C"/>
    <w:rsid w:val="004C2444"/>
    <w:rsid w:val="004C255A"/>
    <w:rsid w:val="004C256A"/>
    <w:rsid w:val="004C26B3"/>
    <w:rsid w:val="004C2BCE"/>
    <w:rsid w:val="004C2D3E"/>
    <w:rsid w:val="004C2E6D"/>
    <w:rsid w:val="004C30F0"/>
    <w:rsid w:val="004C372E"/>
    <w:rsid w:val="004C3B74"/>
    <w:rsid w:val="004C42D1"/>
    <w:rsid w:val="004C4893"/>
    <w:rsid w:val="004C4B09"/>
    <w:rsid w:val="004C4E82"/>
    <w:rsid w:val="004C53BE"/>
    <w:rsid w:val="004C56EF"/>
    <w:rsid w:val="004C64E6"/>
    <w:rsid w:val="004C6512"/>
    <w:rsid w:val="004C667F"/>
    <w:rsid w:val="004C66CE"/>
    <w:rsid w:val="004C6994"/>
    <w:rsid w:val="004C69D8"/>
    <w:rsid w:val="004C6D40"/>
    <w:rsid w:val="004C7DAC"/>
    <w:rsid w:val="004D00B2"/>
    <w:rsid w:val="004D011E"/>
    <w:rsid w:val="004D069A"/>
    <w:rsid w:val="004D0820"/>
    <w:rsid w:val="004D0A43"/>
    <w:rsid w:val="004D0E6A"/>
    <w:rsid w:val="004D0F67"/>
    <w:rsid w:val="004D0FCA"/>
    <w:rsid w:val="004D1142"/>
    <w:rsid w:val="004D15A7"/>
    <w:rsid w:val="004D16AF"/>
    <w:rsid w:val="004D1C60"/>
    <w:rsid w:val="004D1FA9"/>
    <w:rsid w:val="004D2241"/>
    <w:rsid w:val="004D224E"/>
    <w:rsid w:val="004D24E4"/>
    <w:rsid w:val="004D26CC"/>
    <w:rsid w:val="004D2B01"/>
    <w:rsid w:val="004D2DBC"/>
    <w:rsid w:val="004D2DD0"/>
    <w:rsid w:val="004D2EBF"/>
    <w:rsid w:val="004D2F6A"/>
    <w:rsid w:val="004D2FED"/>
    <w:rsid w:val="004D3105"/>
    <w:rsid w:val="004D3113"/>
    <w:rsid w:val="004D34E4"/>
    <w:rsid w:val="004D37F6"/>
    <w:rsid w:val="004D3B29"/>
    <w:rsid w:val="004D3DBE"/>
    <w:rsid w:val="004D3EE2"/>
    <w:rsid w:val="004D3EFD"/>
    <w:rsid w:val="004D3F41"/>
    <w:rsid w:val="004D3F88"/>
    <w:rsid w:val="004D3FC6"/>
    <w:rsid w:val="004D440F"/>
    <w:rsid w:val="004D4410"/>
    <w:rsid w:val="004D4451"/>
    <w:rsid w:val="004D48A4"/>
    <w:rsid w:val="004D4997"/>
    <w:rsid w:val="004D509B"/>
    <w:rsid w:val="004D54A6"/>
    <w:rsid w:val="004D5608"/>
    <w:rsid w:val="004D5727"/>
    <w:rsid w:val="004D5745"/>
    <w:rsid w:val="004D597C"/>
    <w:rsid w:val="004D5981"/>
    <w:rsid w:val="004D5C8E"/>
    <w:rsid w:val="004D5EFB"/>
    <w:rsid w:val="004D6125"/>
    <w:rsid w:val="004D715C"/>
    <w:rsid w:val="004D728D"/>
    <w:rsid w:val="004D7343"/>
    <w:rsid w:val="004D74D5"/>
    <w:rsid w:val="004D7508"/>
    <w:rsid w:val="004D7787"/>
    <w:rsid w:val="004D78D0"/>
    <w:rsid w:val="004D7C80"/>
    <w:rsid w:val="004D7E05"/>
    <w:rsid w:val="004D7E48"/>
    <w:rsid w:val="004E09FA"/>
    <w:rsid w:val="004E0B4C"/>
    <w:rsid w:val="004E0BA6"/>
    <w:rsid w:val="004E0F75"/>
    <w:rsid w:val="004E13F3"/>
    <w:rsid w:val="004E1554"/>
    <w:rsid w:val="004E1599"/>
    <w:rsid w:val="004E19D2"/>
    <w:rsid w:val="004E1FE3"/>
    <w:rsid w:val="004E2026"/>
    <w:rsid w:val="004E202D"/>
    <w:rsid w:val="004E20A5"/>
    <w:rsid w:val="004E23CC"/>
    <w:rsid w:val="004E2460"/>
    <w:rsid w:val="004E260E"/>
    <w:rsid w:val="004E333F"/>
    <w:rsid w:val="004E3643"/>
    <w:rsid w:val="004E37BF"/>
    <w:rsid w:val="004E39D2"/>
    <w:rsid w:val="004E3BDC"/>
    <w:rsid w:val="004E4066"/>
    <w:rsid w:val="004E4167"/>
    <w:rsid w:val="004E43DA"/>
    <w:rsid w:val="004E440C"/>
    <w:rsid w:val="004E4454"/>
    <w:rsid w:val="004E48F7"/>
    <w:rsid w:val="004E4D19"/>
    <w:rsid w:val="004E51BD"/>
    <w:rsid w:val="004E51BE"/>
    <w:rsid w:val="004E55D9"/>
    <w:rsid w:val="004E5673"/>
    <w:rsid w:val="004E5709"/>
    <w:rsid w:val="004E57B6"/>
    <w:rsid w:val="004E595A"/>
    <w:rsid w:val="004E5B50"/>
    <w:rsid w:val="004E5CC2"/>
    <w:rsid w:val="004E6421"/>
    <w:rsid w:val="004E6783"/>
    <w:rsid w:val="004E6823"/>
    <w:rsid w:val="004E6900"/>
    <w:rsid w:val="004E69FB"/>
    <w:rsid w:val="004E6A78"/>
    <w:rsid w:val="004E6AF2"/>
    <w:rsid w:val="004E6BB4"/>
    <w:rsid w:val="004E6CB7"/>
    <w:rsid w:val="004E6CFD"/>
    <w:rsid w:val="004E71A4"/>
    <w:rsid w:val="004E739F"/>
    <w:rsid w:val="004E7622"/>
    <w:rsid w:val="004E7DC3"/>
    <w:rsid w:val="004E7DD7"/>
    <w:rsid w:val="004F0305"/>
    <w:rsid w:val="004F05A4"/>
    <w:rsid w:val="004F0C8E"/>
    <w:rsid w:val="004F1164"/>
    <w:rsid w:val="004F137A"/>
    <w:rsid w:val="004F1469"/>
    <w:rsid w:val="004F161F"/>
    <w:rsid w:val="004F186A"/>
    <w:rsid w:val="004F1C72"/>
    <w:rsid w:val="004F1DFB"/>
    <w:rsid w:val="004F1ECA"/>
    <w:rsid w:val="004F1FED"/>
    <w:rsid w:val="004F2108"/>
    <w:rsid w:val="004F21DB"/>
    <w:rsid w:val="004F26F5"/>
    <w:rsid w:val="004F2817"/>
    <w:rsid w:val="004F2BB6"/>
    <w:rsid w:val="004F304B"/>
    <w:rsid w:val="004F318A"/>
    <w:rsid w:val="004F346E"/>
    <w:rsid w:val="004F3507"/>
    <w:rsid w:val="004F353D"/>
    <w:rsid w:val="004F395F"/>
    <w:rsid w:val="004F3BA8"/>
    <w:rsid w:val="004F3E41"/>
    <w:rsid w:val="004F3F2B"/>
    <w:rsid w:val="004F434B"/>
    <w:rsid w:val="004F43D4"/>
    <w:rsid w:val="004F4606"/>
    <w:rsid w:val="004F4A6C"/>
    <w:rsid w:val="004F4BCE"/>
    <w:rsid w:val="004F4E6F"/>
    <w:rsid w:val="004F4EDC"/>
    <w:rsid w:val="004F5275"/>
    <w:rsid w:val="004F543A"/>
    <w:rsid w:val="004F563A"/>
    <w:rsid w:val="004F5675"/>
    <w:rsid w:val="004F5A65"/>
    <w:rsid w:val="004F5BD2"/>
    <w:rsid w:val="004F5CA4"/>
    <w:rsid w:val="004F5D63"/>
    <w:rsid w:val="004F5F3B"/>
    <w:rsid w:val="004F6196"/>
    <w:rsid w:val="004F6369"/>
    <w:rsid w:val="004F64B3"/>
    <w:rsid w:val="004F6593"/>
    <w:rsid w:val="004F6BBF"/>
    <w:rsid w:val="004F6D62"/>
    <w:rsid w:val="004F73B6"/>
    <w:rsid w:val="004F74C0"/>
    <w:rsid w:val="004F796B"/>
    <w:rsid w:val="004F7D77"/>
    <w:rsid w:val="005003FF"/>
    <w:rsid w:val="00500B62"/>
    <w:rsid w:val="00501108"/>
    <w:rsid w:val="005016D9"/>
    <w:rsid w:val="0050183B"/>
    <w:rsid w:val="00501842"/>
    <w:rsid w:val="00501EB9"/>
    <w:rsid w:val="005025C2"/>
    <w:rsid w:val="005029EB"/>
    <w:rsid w:val="00502A67"/>
    <w:rsid w:val="00502A90"/>
    <w:rsid w:val="00502CFF"/>
    <w:rsid w:val="00502D6F"/>
    <w:rsid w:val="00502E83"/>
    <w:rsid w:val="005037DB"/>
    <w:rsid w:val="005038EC"/>
    <w:rsid w:val="005039D9"/>
    <w:rsid w:val="005044DE"/>
    <w:rsid w:val="00504995"/>
    <w:rsid w:val="00505026"/>
    <w:rsid w:val="005054D6"/>
    <w:rsid w:val="00505508"/>
    <w:rsid w:val="0050565E"/>
    <w:rsid w:val="00505966"/>
    <w:rsid w:val="00505B6F"/>
    <w:rsid w:val="00505DFC"/>
    <w:rsid w:val="00505F43"/>
    <w:rsid w:val="005062DC"/>
    <w:rsid w:val="00506336"/>
    <w:rsid w:val="00506350"/>
    <w:rsid w:val="00506354"/>
    <w:rsid w:val="0050668B"/>
    <w:rsid w:val="00506F57"/>
    <w:rsid w:val="0050710F"/>
    <w:rsid w:val="005071F8"/>
    <w:rsid w:val="005071FA"/>
    <w:rsid w:val="005074B9"/>
    <w:rsid w:val="00507826"/>
    <w:rsid w:val="00507BC1"/>
    <w:rsid w:val="00507BE3"/>
    <w:rsid w:val="00507EC7"/>
    <w:rsid w:val="005101EC"/>
    <w:rsid w:val="00510281"/>
    <w:rsid w:val="00510441"/>
    <w:rsid w:val="005104E2"/>
    <w:rsid w:val="005105CB"/>
    <w:rsid w:val="0051062B"/>
    <w:rsid w:val="005106FA"/>
    <w:rsid w:val="005108A9"/>
    <w:rsid w:val="00510B90"/>
    <w:rsid w:val="00510CC3"/>
    <w:rsid w:val="00510E48"/>
    <w:rsid w:val="00510EB9"/>
    <w:rsid w:val="0051104B"/>
    <w:rsid w:val="005110D9"/>
    <w:rsid w:val="00511101"/>
    <w:rsid w:val="00511329"/>
    <w:rsid w:val="00511331"/>
    <w:rsid w:val="0051183A"/>
    <w:rsid w:val="0051183B"/>
    <w:rsid w:val="005121E3"/>
    <w:rsid w:val="005127A9"/>
    <w:rsid w:val="005127C7"/>
    <w:rsid w:val="00512A0A"/>
    <w:rsid w:val="00512AB5"/>
    <w:rsid w:val="00512C7B"/>
    <w:rsid w:val="0051335E"/>
    <w:rsid w:val="00513BD1"/>
    <w:rsid w:val="005140E0"/>
    <w:rsid w:val="00514151"/>
    <w:rsid w:val="00514353"/>
    <w:rsid w:val="005144A9"/>
    <w:rsid w:val="005146A3"/>
    <w:rsid w:val="005147DF"/>
    <w:rsid w:val="00514883"/>
    <w:rsid w:val="00514A40"/>
    <w:rsid w:val="00514AA8"/>
    <w:rsid w:val="00514B68"/>
    <w:rsid w:val="00514DF9"/>
    <w:rsid w:val="00514FFF"/>
    <w:rsid w:val="0051517E"/>
    <w:rsid w:val="00515293"/>
    <w:rsid w:val="00515492"/>
    <w:rsid w:val="005155F0"/>
    <w:rsid w:val="00515C9E"/>
    <w:rsid w:val="00515D7E"/>
    <w:rsid w:val="00515E2F"/>
    <w:rsid w:val="00515F38"/>
    <w:rsid w:val="00515F64"/>
    <w:rsid w:val="00515FE3"/>
    <w:rsid w:val="005160A6"/>
    <w:rsid w:val="00516440"/>
    <w:rsid w:val="00516611"/>
    <w:rsid w:val="005166BF"/>
    <w:rsid w:val="00516715"/>
    <w:rsid w:val="00516785"/>
    <w:rsid w:val="0051699C"/>
    <w:rsid w:val="00516A6F"/>
    <w:rsid w:val="00516AD7"/>
    <w:rsid w:val="00516C1B"/>
    <w:rsid w:val="00517256"/>
    <w:rsid w:val="005172C5"/>
    <w:rsid w:val="00517386"/>
    <w:rsid w:val="005174B2"/>
    <w:rsid w:val="00517A89"/>
    <w:rsid w:val="00517B68"/>
    <w:rsid w:val="00517F44"/>
    <w:rsid w:val="00520296"/>
    <w:rsid w:val="0052051E"/>
    <w:rsid w:val="00520878"/>
    <w:rsid w:val="00520E9D"/>
    <w:rsid w:val="0052120C"/>
    <w:rsid w:val="0052158B"/>
    <w:rsid w:val="0052163C"/>
    <w:rsid w:val="005216F3"/>
    <w:rsid w:val="005216FE"/>
    <w:rsid w:val="00521978"/>
    <w:rsid w:val="00521A0E"/>
    <w:rsid w:val="00521F54"/>
    <w:rsid w:val="005222C5"/>
    <w:rsid w:val="00522308"/>
    <w:rsid w:val="005223C0"/>
    <w:rsid w:val="00522C82"/>
    <w:rsid w:val="0052327D"/>
    <w:rsid w:val="005234AA"/>
    <w:rsid w:val="00523930"/>
    <w:rsid w:val="00523A83"/>
    <w:rsid w:val="00524193"/>
    <w:rsid w:val="0052419D"/>
    <w:rsid w:val="00524A99"/>
    <w:rsid w:val="00524B61"/>
    <w:rsid w:val="00524C30"/>
    <w:rsid w:val="005254EB"/>
    <w:rsid w:val="00525601"/>
    <w:rsid w:val="00525819"/>
    <w:rsid w:val="005258AA"/>
    <w:rsid w:val="00525B19"/>
    <w:rsid w:val="00526317"/>
    <w:rsid w:val="0052672B"/>
    <w:rsid w:val="005267D7"/>
    <w:rsid w:val="00526AA0"/>
    <w:rsid w:val="00526C20"/>
    <w:rsid w:val="00526F4F"/>
    <w:rsid w:val="005271BF"/>
    <w:rsid w:val="00527363"/>
    <w:rsid w:val="005278B3"/>
    <w:rsid w:val="005301F8"/>
    <w:rsid w:val="00530F6A"/>
    <w:rsid w:val="0053118C"/>
    <w:rsid w:val="005312FC"/>
    <w:rsid w:val="00531692"/>
    <w:rsid w:val="0053174D"/>
    <w:rsid w:val="00531D9C"/>
    <w:rsid w:val="00531DFB"/>
    <w:rsid w:val="00531DFE"/>
    <w:rsid w:val="00531F96"/>
    <w:rsid w:val="00532062"/>
    <w:rsid w:val="00532178"/>
    <w:rsid w:val="0053238A"/>
    <w:rsid w:val="0053267D"/>
    <w:rsid w:val="0053286F"/>
    <w:rsid w:val="005328A5"/>
    <w:rsid w:val="00532B51"/>
    <w:rsid w:val="00532CFB"/>
    <w:rsid w:val="00532E5A"/>
    <w:rsid w:val="00533325"/>
    <w:rsid w:val="005336BE"/>
    <w:rsid w:val="00533D0F"/>
    <w:rsid w:val="00533E93"/>
    <w:rsid w:val="00534153"/>
    <w:rsid w:val="0053464F"/>
    <w:rsid w:val="00534C3E"/>
    <w:rsid w:val="00534D9C"/>
    <w:rsid w:val="00534F3E"/>
    <w:rsid w:val="0053521E"/>
    <w:rsid w:val="0053524E"/>
    <w:rsid w:val="005356BD"/>
    <w:rsid w:val="00535BE4"/>
    <w:rsid w:val="0053603D"/>
    <w:rsid w:val="005360AB"/>
    <w:rsid w:val="0053627A"/>
    <w:rsid w:val="005364D8"/>
    <w:rsid w:val="005364F4"/>
    <w:rsid w:val="00537088"/>
    <w:rsid w:val="0053761A"/>
    <w:rsid w:val="0053768B"/>
    <w:rsid w:val="00537749"/>
    <w:rsid w:val="00537948"/>
    <w:rsid w:val="00537A2E"/>
    <w:rsid w:val="00537CD7"/>
    <w:rsid w:val="00537EA1"/>
    <w:rsid w:val="00537F02"/>
    <w:rsid w:val="00537F88"/>
    <w:rsid w:val="00540EDF"/>
    <w:rsid w:val="00540EFD"/>
    <w:rsid w:val="00540F62"/>
    <w:rsid w:val="0054101E"/>
    <w:rsid w:val="005413B2"/>
    <w:rsid w:val="00541B06"/>
    <w:rsid w:val="00541C9B"/>
    <w:rsid w:val="00541CB7"/>
    <w:rsid w:val="00541CBF"/>
    <w:rsid w:val="00541D04"/>
    <w:rsid w:val="00541D46"/>
    <w:rsid w:val="00541E6D"/>
    <w:rsid w:val="00541F62"/>
    <w:rsid w:val="0054211C"/>
    <w:rsid w:val="00542592"/>
    <w:rsid w:val="00542742"/>
    <w:rsid w:val="00542925"/>
    <w:rsid w:val="00542975"/>
    <w:rsid w:val="00542C5F"/>
    <w:rsid w:val="00543658"/>
    <w:rsid w:val="0054370F"/>
    <w:rsid w:val="0054429C"/>
    <w:rsid w:val="005443AF"/>
    <w:rsid w:val="00544702"/>
    <w:rsid w:val="00544C74"/>
    <w:rsid w:val="00544F41"/>
    <w:rsid w:val="00544FB8"/>
    <w:rsid w:val="00545386"/>
    <w:rsid w:val="00545555"/>
    <w:rsid w:val="00545E37"/>
    <w:rsid w:val="00546187"/>
    <w:rsid w:val="005461D0"/>
    <w:rsid w:val="0054653A"/>
    <w:rsid w:val="0054660C"/>
    <w:rsid w:val="00546801"/>
    <w:rsid w:val="00546954"/>
    <w:rsid w:val="0054698B"/>
    <w:rsid w:val="00546A3E"/>
    <w:rsid w:val="00546C48"/>
    <w:rsid w:val="00546ED1"/>
    <w:rsid w:val="0054712D"/>
    <w:rsid w:val="00547550"/>
    <w:rsid w:val="00547656"/>
    <w:rsid w:val="00547A06"/>
    <w:rsid w:val="00547BB0"/>
    <w:rsid w:val="00547D41"/>
    <w:rsid w:val="0055004D"/>
    <w:rsid w:val="005503A5"/>
    <w:rsid w:val="00550418"/>
    <w:rsid w:val="00550727"/>
    <w:rsid w:val="005509C5"/>
    <w:rsid w:val="00550A5E"/>
    <w:rsid w:val="00550A99"/>
    <w:rsid w:val="00550E63"/>
    <w:rsid w:val="005518E3"/>
    <w:rsid w:val="005520B2"/>
    <w:rsid w:val="0055253D"/>
    <w:rsid w:val="005525E5"/>
    <w:rsid w:val="00552612"/>
    <w:rsid w:val="00552662"/>
    <w:rsid w:val="00553540"/>
    <w:rsid w:val="005536E2"/>
    <w:rsid w:val="00553788"/>
    <w:rsid w:val="0055392E"/>
    <w:rsid w:val="00553999"/>
    <w:rsid w:val="00553B8D"/>
    <w:rsid w:val="00553F5C"/>
    <w:rsid w:val="00553F6E"/>
    <w:rsid w:val="005541C3"/>
    <w:rsid w:val="00554343"/>
    <w:rsid w:val="00554BF7"/>
    <w:rsid w:val="00554C01"/>
    <w:rsid w:val="00554C32"/>
    <w:rsid w:val="00554E69"/>
    <w:rsid w:val="00555041"/>
    <w:rsid w:val="00555310"/>
    <w:rsid w:val="005557B4"/>
    <w:rsid w:val="00555AB3"/>
    <w:rsid w:val="00555C69"/>
    <w:rsid w:val="00555D14"/>
    <w:rsid w:val="00555EEE"/>
    <w:rsid w:val="005562A4"/>
    <w:rsid w:val="005564E3"/>
    <w:rsid w:val="00556528"/>
    <w:rsid w:val="0055653C"/>
    <w:rsid w:val="00556A33"/>
    <w:rsid w:val="00556BA8"/>
    <w:rsid w:val="00556C58"/>
    <w:rsid w:val="00556FB1"/>
    <w:rsid w:val="005572AE"/>
    <w:rsid w:val="00557927"/>
    <w:rsid w:val="00557B1A"/>
    <w:rsid w:val="00557CAF"/>
    <w:rsid w:val="00557EB7"/>
    <w:rsid w:val="00560048"/>
    <w:rsid w:val="00560221"/>
    <w:rsid w:val="00560224"/>
    <w:rsid w:val="0056030F"/>
    <w:rsid w:val="0056047A"/>
    <w:rsid w:val="0056056B"/>
    <w:rsid w:val="0056087F"/>
    <w:rsid w:val="00560AF2"/>
    <w:rsid w:val="00560BCC"/>
    <w:rsid w:val="00560C74"/>
    <w:rsid w:val="005611B4"/>
    <w:rsid w:val="00561204"/>
    <w:rsid w:val="005612B7"/>
    <w:rsid w:val="00561706"/>
    <w:rsid w:val="00561AAD"/>
    <w:rsid w:val="00561C1F"/>
    <w:rsid w:val="00561D17"/>
    <w:rsid w:val="00561FC0"/>
    <w:rsid w:val="00562018"/>
    <w:rsid w:val="00562285"/>
    <w:rsid w:val="005622B1"/>
    <w:rsid w:val="00562B0A"/>
    <w:rsid w:val="00562B3C"/>
    <w:rsid w:val="00562E33"/>
    <w:rsid w:val="00563010"/>
    <w:rsid w:val="005632C8"/>
    <w:rsid w:val="005633DC"/>
    <w:rsid w:val="0056348E"/>
    <w:rsid w:val="00563684"/>
    <w:rsid w:val="005636A9"/>
    <w:rsid w:val="0056395A"/>
    <w:rsid w:val="00563AC9"/>
    <w:rsid w:val="00563D10"/>
    <w:rsid w:val="00563D52"/>
    <w:rsid w:val="00564270"/>
    <w:rsid w:val="00564757"/>
    <w:rsid w:val="00564779"/>
    <w:rsid w:val="00564A77"/>
    <w:rsid w:val="00565C39"/>
    <w:rsid w:val="00565E7D"/>
    <w:rsid w:val="00565FC8"/>
    <w:rsid w:val="0056609C"/>
    <w:rsid w:val="005660B8"/>
    <w:rsid w:val="0056614A"/>
    <w:rsid w:val="0056646E"/>
    <w:rsid w:val="005667BF"/>
    <w:rsid w:val="00566878"/>
    <w:rsid w:val="0056698F"/>
    <w:rsid w:val="00566BA1"/>
    <w:rsid w:val="00566C77"/>
    <w:rsid w:val="005676C1"/>
    <w:rsid w:val="005679A0"/>
    <w:rsid w:val="00567A6E"/>
    <w:rsid w:val="00567D71"/>
    <w:rsid w:val="00567FCC"/>
    <w:rsid w:val="005701BF"/>
    <w:rsid w:val="0057027B"/>
    <w:rsid w:val="005702CC"/>
    <w:rsid w:val="005702F5"/>
    <w:rsid w:val="00570C2E"/>
    <w:rsid w:val="00570D19"/>
    <w:rsid w:val="00570EDA"/>
    <w:rsid w:val="00571102"/>
    <w:rsid w:val="00571191"/>
    <w:rsid w:val="005714CE"/>
    <w:rsid w:val="0057179B"/>
    <w:rsid w:val="005717F3"/>
    <w:rsid w:val="00571C09"/>
    <w:rsid w:val="00572443"/>
    <w:rsid w:val="0057260A"/>
    <w:rsid w:val="005726FA"/>
    <w:rsid w:val="00572EEE"/>
    <w:rsid w:val="005730C6"/>
    <w:rsid w:val="00573126"/>
    <w:rsid w:val="00573A00"/>
    <w:rsid w:val="00573BC0"/>
    <w:rsid w:val="00574155"/>
    <w:rsid w:val="005742A8"/>
    <w:rsid w:val="005743D8"/>
    <w:rsid w:val="00574469"/>
    <w:rsid w:val="0057450D"/>
    <w:rsid w:val="005747F3"/>
    <w:rsid w:val="0057480E"/>
    <w:rsid w:val="005756DE"/>
    <w:rsid w:val="005757F7"/>
    <w:rsid w:val="00575857"/>
    <w:rsid w:val="005758E7"/>
    <w:rsid w:val="00575A85"/>
    <w:rsid w:val="00575BFB"/>
    <w:rsid w:val="005761C7"/>
    <w:rsid w:val="005762C8"/>
    <w:rsid w:val="00576546"/>
    <w:rsid w:val="00576B19"/>
    <w:rsid w:val="00576BDD"/>
    <w:rsid w:val="00576E02"/>
    <w:rsid w:val="00576E57"/>
    <w:rsid w:val="00577478"/>
    <w:rsid w:val="00577483"/>
    <w:rsid w:val="00580662"/>
    <w:rsid w:val="0058076E"/>
    <w:rsid w:val="00580D87"/>
    <w:rsid w:val="00580EE1"/>
    <w:rsid w:val="00580F45"/>
    <w:rsid w:val="0058100A"/>
    <w:rsid w:val="005810A7"/>
    <w:rsid w:val="005817B3"/>
    <w:rsid w:val="00581A67"/>
    <w:rsid w:val="00581EE5"/>
    <w:rsid w:val="00581FC6"/>
    <w:rsid w:val="005825F6"/>
    <w:rsid w:val="00583488"/>
    <w:rsid w:val="005835E4"/>
    <w:rsid w:val="005836DF"/>
    <w:rsid w:val="0058371C"/>
    <w:rsid w:val="0058417D"/>
    <w:rsid w:val="00584681"/>
    <w:rsid w:val="00584818"/>
    <w:rsid w:val="00584ACC"/>
    <w:rsid w:val="00584D8F"/>
    <w:rsid w:val="00584F08"/>
    <w:rsid w:val="0058520E"/>
    <w:rsid w:val="00585429"/>
    <w:rsid w:val="00585BFA"/>
    <w:rsid w:val="0058639D"/>
    <w:rsid w:val="00586806"/>
    <w:rsid w:val="00586878"/>
    <w:rsid w:val="005868DE"/>
    <w:rsid w:val="005868E4"/>
    <w:rsid w:val="00586928"/>
    <w:rsid w:val="00586A1B"/>
    <w:rsid w:val="00586B5D"/>
    <w:rsid w:val="00586C71"/>
    <w:rsid w:val="00586F45"/>
    <w:rsid w:val="005870C9"/>
    <w:rsid w:val="005871F9"/>
    <w:rsid w:val="0058720B"/>
    <w:rsid w:val="0058757F"/>
    <w:rsid w:val="00587A2F"/>
    <w:rsid w:val="00587A83"/>
    <w:rsid w:val="00587DA5"/>
    <w:rsid w:val="00587EEB"/>
    <w:rsid w:val="005904CF"/>
    <w:rsid w:val="005909AA"/>
    <w:rsid w:val="00590C62"/>
    <w:rsid w:val="005911B4"/>
    <w:rsid w:val="00591270"/>
    <w:rsid w:val="0059131C"/>
    <w:rsid w:val="0059132E"/>
    <w:rsid w:val="005916DB"/>
    <w:rsid w:val="005919B2"/>
    <w:rsid w:val="00591C06"/>
    <w:rsid w:val="00591C32"/>
    <w:rsid w:val="00592441"/>
    <w:rsid w:val="00592755"/>
    <w:rsid w:val="005927F4"/>
    <w:rsid w:val="00592A69"/>
    <w:rsid w:val="00592BE0"/>
    <w:rsid w:val="00592C8A"/>
    <w:rsid w:val="00592CB3"/>
    <w:rsid w:val="00593514"/>
    <w:rsid w:val="00593A13"/>
    <w:rsid w:val="00593D72"/>
    <w:rsid w:val="00594353"/>
    <w:rsid w:val="0059496E"/>
    <w:rsid w:val="00594D50"/>
    <w:rsid w:val="00594E04"/>
    <w:rsid w:val="00595423"/>
    <w:rsid w:val="00595439"/>
    <w:rsid w:val="00595642"/>
    <w:rsid w:val="00595CD4"/>
    <w:rsid w:val="00595E4C"/>
    <w:rsid w:val="005960EB"/>
    <w:rsid w:val="00596508"/>
    <w:rsid w:val="00596938"/>
    <w:rsid w:val="00596A6F"/>
    <w:rsid w:val="00596B9D"/>
    <w:rsid w:val="005970EF"/>
    <w:rsid w:val="005974A7"/>
    <w:rsid w:val="005974C4"/>
    <w:rsid w:val="00597950"/>
    <w:rsid w:val="00597952"/>
    <w:rsid w:val="00597B5F"/>
    <w:rsid w:val="005A0024"/>
    <w:rsid w:val="005A04F2"/>
    <w:rsid w:val="005A04FA"/>
    <w:rsid w:val="005A05C6"/>
    <w:rsid w:val="005A0A67"/>
    <w:rsid w:val="005A0C53"/>
    <w:rsid w:val="005A0DF9"/>
    <w:rsid w:val="005A1003"/>
    <w:rsid w:val="005A139A"/>
    <w:rsid w:val="005A1F7F"/>
    <w:rsid w:val="005A27A9"/>
    <w:rsid w:val="005A2A11"/>
    <w:rsid w:val="005A31A9"/>
    <w:rsid w:val="005A329E"/>
    <w:rsid w:val="005A341A"/>
    <w:rsid w:val="005A3AFE"/>
    <w:rsid w:val="005A3F0F"/>
    <w:rsid w:val="005A4135"/>
    <w:rsid w:val="005A4136"/>
    <w:rsid w:val="005A4536"/>
    <w:rsid w:val="005A4540"/>
    <w:rsid w:val="005A4742"/>
    <w:rsid w:val="005A4874"/>
    <w:rsid w:val="005A4A54"/>
    <w:rsid w:val="005A4EE1"/>
    <w:rsid w:val="005A51C6"/>
    <w:rsid w:val="005A60D8"/>
    <w:rsid w:val="005A62F2"/>
    <w:rsid w:val="005A644C"/>
    <w:rsid w:val="005A6766"/>
    <w:rsid w:val="005A6C0D"/>
    <w:rsid w:val="005A6CCA"/>
    <w:rsid w:val="005A6D4C"/>
    <w:rsid w:val="005A70CE"/>
    <w:rsid w:val="005A71F5"/>
    <w:rsid w:val="005A79A1"/>
    <w:rsid w:val="005A7AFC"/>
    <w:rsid w:val="005A7B6C"/>
    <w:rsid w:val="005A7B71"/>
    <w:rsid w:val="005A7BFB"/>
    <w:rsid w:val="005A7CBB"/>
    <w:rsid w:val="005A7D17"/>
    <w:rsid w:val="005B0050"/>
    <w:rsid w:val="005B00D3"/>
    <w:rsid w:val="005B08AB"/>
    <w:rsid w:val="005B08C5"/>
    <w:rsid w:val="005B094C"/>
    <w:rsid w:val="005B0DC2"/>
    <w:rsid w:val="005B0DDC"/>
    <w:rsid w:val="005B1627"/>
    <w:rsid w:val="005B1769"/>
    <w:rsid w:val="005B1EF8"/>
    <w:rsid w:val="005B20E6"/>
    <w:rsid w:val="005B2F38"/>
    <w:rsid w:val="005B31DC"/>
    <w:rsid w:val="005B344F"/>
    <w:rsid w:val="005B3514"/>
    <w:rsid w:val="005B390A"/>
    <w:rsid w:val="005B3A87"/>
    <w:rsid w:val="005B3AA6"/>
    <w:rsid w:val="005B3E50"/>
    <w:rsid w:val="005B3F45"/>
    <w:rsid w:val="005B42CD"/>
    <w:rsid w:val="005B4B5B"/>
    <w:rsid w:val="005B4B76"/>
    <w:rsid w:val="005B4DD0"/>
    <w:rsid w:val="005B4E24"/>
    <w:rsid w:val="005B5096"/>
    <w:rsid w:val="005B542A"/>
    <w:rsid w:val="005B5513"/>
    <w:rsid w:val="005B59F0"/>
    <w:rsid w:val="005B5D99"/>
    <w:rsid w:val="005B6043"/>
    <w:rsid w:val="005B6147"/>
    <w:rsid w:val="005B652F"/>
    <w:rsid w:val="005B65A6"/>
    <w:rsid w:val="005B6743"/>
    <w:rsid w:val="005B6882"/>
    <w:rsid w:val="005B68BE"/>
    <w:rsid w:val="005B6B0F"/>
    <w:rsid w:val="005B6B2F"/>
    <w:rsid w:val="005B6CFC"/>
    <w:rsid w:val="005B6D9A"/>
    <w:rsid w:val="005B6EE9"/>
    <w:rsid w:val="005B716A"/>
    <w:rsid w:val="005B769C"/>
    <w:rsid w:val="005B7BC4"/>
    <w:rsid w:val="005B7FCA"/>
    <w:rsid w:val="005C02B9"/>
    <w:rsid w:val="005C046F"/>
    <w:rsid w:val="005C082F"/>
    <w:rsid w:val="005C0A9D"/>
    <w:rsid w:val="005C1020"/>
    <w:rsid w:val="005C110C"/>
    <w:rsid w:val="005C1444"/>
    <w:rsid w:val="005C19C7"/>
    <w:rsid w:val="005C1D63"/>
    <w:rsid w:val="005C2124"/>
    <w:rsid w:val="005C2672"/>
    <w:rsid w:val="005C2754"/>
    <w:rsid w:val="005C2B0E"/>
    <w:rsid w:val="005C2B65"/>
    <w:rsid w:val="005C2B76"/>
    <w:rsid w:val="005C2EB8"/>
    <w:rsid w:val="005C34FF"/>
    <w:rsid w:val="005C37DC"/>
    <w:rsid w:val="005C37E8"/>
    <w:rsid w:val="005C39AD"/>
    <w:rsid w:val="005C400A"/>
    <w:rsid w:val="005C4BE1"/>
    <w:rsid w:val="005C4C53"/>
    <w:rsid w:val="005C4DB5"/>
    <w:rsid w:val="005C5102"/>
    <w:rsid w:val="005C51EE"/>
    <w:rsid w:val="005C52D7"/>
    <w:rsid w:val="005C537A"/>
    <w:rsid w:val="005C53F2"/>
    <w:rsid w:val="005C561A"/>
    <w:rsid w:val="005C61B8"/>
    <w:rsid w:val="005C6455"/>
    <w:rsid w:val="005C6894"/>
    <w:rsid w:val="005C6CDA"/>
    <w:rsid w:val="005C6FCC"/>
    <w:rsid w:val="005C7046"/>
    <w:rsid w:val="005C74E7"/>
    <w:rsid w:val="005C760E"/>
    <w:rsid w:val="005C7852"/>
    <w:rsid w:val="005C7BB1"/>
    <w:rsid w:val="005C7C57"/>
    <w:rsid w:val="005C7CF6"/>
    <w:rsid w:val="005D010C"/>
    <w:rsid w:val="005D04D0"/>
    <w:rsid w:val="005D0861"/>
    <w:rsid w:val="005D08AB"/>
    <w:rsid w:val="005D0992"/>
    <w:rsid w:val="005D0AE1"/>
    <w:rsid w:val="005D0B5F"/>
    <w:rsid w:val="005D0BDE"/>
    <w:rsid w:val="005D0D94"/>
    <w:rsid w:val="005D0EB5"/>
    <w:rsid w:val="005D0FAF"/>
    <w:rsid w:val="005D111F"/>
    <w:rsid w:val="005D1121"/>
    <w:rsid w:val="005D121E"/>
    <w:rsid w:val="005D17FA"/>
    <w:rsid w:val="005D196D"/>
    <w:rsid w:val="005D1FC0"/>
    <w:rsid w:val="005D22C3"/>
    <w:rsid w:val="005D2417"/>
    <w:rsid w:val="005D280C"/>
    <w:rsid w:val="005D2A6E"/>
    <w:rsid w:val="005D2DF3"/>
    <w:rsid w:val="005D2E1E"/>
    <w:rsid w:val="005D30E1"/>
    <w:rsid w:val="005D32F9"/>
    <w:rsid w:val="005D3706"/>
    <w:rsid w:val="005D43B0"/>
    <w:rsid w:val="005D487D"/>
    <w:rsid w:val="005D49AE"/>
    <w:rsid w:val="005D4C88"/>
    <w:rsid w:val="005D502B"/>
    <w:rsid w:val="005D5106"/>
    <w:rsid w:val="005D5198"/>
    <w:rsid w:val="005D527F"/>
    <w:rsid w:val="005D5337"/>
    <w:rsid w:val="005D536C"/>
    <w:rsid w:val="005D55DB"/>
    <w:rsid w:val="005D58D7"/>
    <w:rsid w:val="005D5AD3"/>
    <w:rsid w:val="005D5BF0"/>
    <w:rsid w:val="005D5D6F"/>
    <w:rsid w:val="005D5FAF"/>
    <w:rsid w:val="005D660D"/>
    <w:rsid w:val="005D67F1"/>
    <w:rsid w:val="005D6908"/>
    <w:rsid w:val="005D6A04"/>
    <w:rsid w:val="005D6A93"/>
    <w:rsid w:val="005D6E5A"/>
    <w:rsid w:val="005D746C"/>
    <w:rsid w:val="005D75CB"/>
    <w:rsid w:val="005D76E2"/>
    <w:rsid w:val="005D79CE"/>
    <w:rsid w:val="005D79EA"/>
    <w:rsid w:val="005D7A9D"/>
    <w:rsid w:val="005D7B56"/>
    <w:rsid w:val="005D7FF5"/>
    <w:rsid w:val="005E064C"/>
    <w:rsid w:val="005E0718"/>
    <w:rsid w:val="005E0931"/>
    <w:rsid w:val="005E0A69"/>
    <w:rsid w:val="005E1308"/>
    <w:rsid w:val="005E1668"/>
    <w:rsid w:val="005E1755"/>
    <w:rsid w:val="005E18CA"/>
    <w:rsid w:val="005E198A"/>
    <w:rsid w:val="005E1C3A"/>
    <w:rsid w:val="005E1D82"/>
    <w:rsid w:val="005E1D93"/>
    <w:rsid w:val="005E2104"/>
    <w:rsid w:val="005E215C"/>
    <w:rsid w:val="005E2227"/>
    <w:rsid w:val="005E225A"/>
    <w:rsid w:val="005E2CDE"/>
    <w:rsid w:val="005E2D3C"/>
    <w:rsid w:val="005E2DDB"/>
    <w:rsid w:val="005E2DDC"/>
    <w:rsid w:val="005E3048"/>
    <w:rsid w:val="005E317D"/>
    <w:rsid w:val="005E32D5"/>
    <w:rsid w:val="005E34A4"/>
    <w:rsid w:val="005E366D"/>
    <w:rsid w:val="005E3AB2"/>
    <w:rsid w:val="005E3BF4"/>
    <w:rsid w:val="005E4054"/>
    <w:rsid w:val="005E488A"/>
    <w:rsid w:val="005E495A"/>
    <w:rsid w:val="005E58CC"/>
    <w:rsid w:val="005E5B8A"/>
    <w:rsid w:val="005E5FCF"/>
    <w:rsid w:val="005E616F"/>
    <w:rsid w:val="005E675D"/>
    <w:rsid w:val="005E683A"/>
    <w:rsid w:val="005E71D3"/>
    <w:rsid w:val="005E749A"/>
    <w:rsid w:val="005E7754"/>
    <w:rsid w:val="005E77FF"/>
    <w:rsid w:val="005E7808"/>
    <w:rsid w:val="005F015F"/>
    <w:rsid w:val="005F0610"/>
    <w:rsid w:val="005F0768"/>
    <w:rsid w:val="005F07F9"/>
    <w:rsid w:val="005F0A75"/>
    <w:rsid w:val="005F0CDA"/>
    <w:rsid w:val="005F0D0C"/>
    <w:rsid w:val="005F0E07"/>
    <w:rsid w:val="005F0E40"/>
    <w:rsid w:val="005F10C0"/>
    <w:rsid w:val="005F10EE"/>
    <w:rsid w:val="005F1662"/>
    <w:rsid w:val="005F1899"/>
    <w:rsid w:val="005F1A9D"/>
    <w:rsid w:val="005F2A24"/>
    <w:rsid w:val="005F2B52"/>
    <w:rsid w:val="005F3668"/>
    <w:rsid w:val="005F3878"/>
    <w:rsid w:val="005F3944"/>
    <w:rsid w:val="005F3DB5"/>
    <w:rsid w:val="005F4010"/>
    <w:rsid w:val="005F40CD"/>
    <w:rsid w:val="005F43F6"/>
    <w:rsid w:val="005F4463"/>
    <w:rsid w:val="005F477C"/>
    <w:rsid w:val="005F4CF4"/>
    <w:rsid w:val="005F537A"/>
    <w:rsid w:val="005F551D"/>
    <w:rsid w:val="005F5630"/>
    <w:rsid w:val="005F5748"/>
    <w:rsid w:val="005F5947"/>
    <w:rsid w:val="005F59CF"/>
    <w:rsid w:val="005F6527"/>
    <w:rsid w:val="005F6765"/>
    <w:rsid w:val="005F6D38"/>
    <w:rsid w:val="005F7256"/>
    <w:rsid w:val="005F776E"/>
    <w:rsid w:val="005F7C58"/>
    <w:rsid w:val="00600130"/>
    <w:rsid w:val="006004A9"/>
    <w:rsid w:val="006004E6"/>
    <w:rsid w:val="006004F5"/>
    <w:rsid w:val="00600524"/>
    <w:rsid w:val="00600792"/>
    <w:rsid w:val="00600A14"/>
    <w:rsid w:val="00600AF8"/>
    <w:rsid w:val="00600E82"/>
    <w:rsid w:val="00601025"/>
    <w:rsid w:val="0060133E"/>
    <w:rsid w:val="00601353"/>
    <w:rsid w:val="006016A6"/>
    <w:rsid w:val="00601B77"/>
    <w:rsid w:val="00601C6D"/>
    <w:rsid w:val="00601EED"/>
    <w:rsid w:val="006022B4"/>
    <w:rsid w:val="0060287C"/>
    <w:rsid w:val="00602958"/>
    <w:rsid w:val="0060295C"/>
    <w:rsid w:val="00602C63"/>
    <w:rsid w:val="00602FD6"/>
    <w:rsid w:val="0060384D"/>
    <w:rsid w:val="00603A03"/>
    <w:rsid w:val="006042C0"/>
    <w:rsid w:val="0060437D"/>
    <w:rsid w:val="00604835"/>
    <w:rsid w:val="00604A7E"/>
    <w:rsid w:val="00604D93"/>
    <w:rsid w:val="00604FC2"/>
    <w:rsid w:val="00605226"/>
    <w:rsid w:val="00605251"/>
    <w:rsid w:val="00605757"/>
    <w:rsid w:val="006057D6"/>
    <w:rsid w:val="0060595B"/>
    <w:rsid w:val="00605A76"/>
    <w:rsid w:val="00605AFD"/>
    <w:rsid w:val="00605DAC"/>
    <w:rsid w:val="0060632D"/>
    <w:rsid w:val="0060680D"/>
    <w:rsid w:val="00606878"/>
    <w:rsid w:val="00606B17"/>
    <w:rsid w:val="00606D4B"/>
    <w:rsid w:val="00606E55"/>
    <w:rsid w:val="00606E77"/>
    <w:rsid w:val="00607438"/>
    <w:rsid w:val="00607740"/>
    <w:rsid w:val="00607C7C"/>
    <w:rsid w:val="00607EE3"/>
    <w:rsid w:val="00607FF3"/>
    <w:rsid w:val="006101ED"/>
    <w:rsid w:val="00610302"/>
    <w:rsid w:val="0061072B"/>
    <w:rsid w:val="006109C6"/>
    <w:rsid w:val="00610DAC"/>
    <w:rsid w:val="006110C5"/>
    <w:rsid w:val="0061149C"/>
    <w:rsid w:val="0061169F"/>
    <w:rsid w:val="0061179E"/>
    <w:rsid w:val="00611C20"/>
    <w:rsid w:val="00611F6E"/>
    <w:rsid w:val="006121AE"/>
    <w:rsid w:val="006123D4"/>
    <w:rsid w:val="006124C8"/>
    <w:rsid w:val="00612AAB"/>
    <w:rsid w:val="00612B29"/>
    <w:rsid w:val="00612CD3"/>
    <w:rsid w:val="00613249"/>
    <w:rsid w:val="0061324C"/>
    <w:rsid w:val="006133E2"/>
    <w:rsid w:val="00613755"/>
    <w:rsid w:val="00613819"/>
    <w:rsid w:val="006138CD"/>
    <w:rsid w:val="00613AF8"/>
    <w:rsid w:val="00614125"/>
    <w:rsid w:val="006141ED"/>
    <w:rsid w:val="006143FE"/>
    <w:rsid w:val="00614569"/>
    <w:rsid w:val="006145BF"/>
    <w:rsid w:val="00614A56"/>
    <w:rsid w:val="00614C40"/>
    <w:rsid w:val="00614C60"/>
    <w:rsid w:val="00614C6F"/>
    <w:rsid w:val="00614CD5"/>
    <w:rsid w:val="00614D28"/>
    <w:rsid w:val="00615076"/>
    <w:rsid w:val="0061529D"/>
    <w:rsid w:val="00615303"/>
    <w:rsid w:val="00615747"/>
    <w:rsid w:val="00615823"/>
    <w:rsid w:val="00615B9C"/>
    <w:rsid w:val="00615CCA"/>
    <w:rsid w:val="00615D71"/>
    <w:rsid w:val="00615F63"/>
    <w:rsid w:val="00616420"/>
    <w:rsid w:val="00616489"/>
    <w:rsid w:val="006166F0"/>
    <w:rsid w:val="006167AD"/>
    <w:rsid w:val="006169C2"/>
    <w:rsid w:val="00616C1E"/>
    <w:rsid w:val="00616F6B"/>
    <w:rsid w:val="006170D3"/>
    <w:rsid w:val="006171F7"/>
    <w:rsid w:val="0061755F"/>
    <w:rsid w:val="0061772D"/>
    <w:rsid w:val="00617EE1"/>
    <w:rsid w:val="00620071"/>
    <w:rsid w:val="006201D2"/>
    <w:rsid w:val="00620215"/>
    <w:rsid w:val="00620453"/>
    <w:rsid w:val="0062091C"/>
    <w:rsid w:val="00620AF3"/>
    <w:rsid w:val="00620DA4"/>
    <w:rsid w:val="00621001"/>
    <w:rsid w:val="006214EA"/>
    <w:rsid w:val="006215B6"/>
    <w:rsid w:val="00621BDB"/>
    <w:rsid w:val="00621F0F"/>
    <w:rsid w:val="0062206B"/>
    <w:rsid w:val="0062206F"/>
    <w:rsid w:val="00622453"/>
    <w:rsid w:val="00622823"/>
    <w:rsid w:val="00622865"/>
    <w:rsid w:val="00622942"/>
    <w:rsid w:val="00622A78"/>
    <w:rsid w:val="00622DB5"/>
    <w:rsid w:val="00622DF9"/>
    <w:rsid w:val="006230EC"/>
    <w:rsid w:val="00623CAB"/>
    <w:rsid w:val="006241BA"/>
    <w:rsid w:val="0062425C"/>
    <w:rsid w:val="006245E0"/>
    <w:rsid w:val="00624B44"/>
    <w:rsid w:val="00624CED"/>
    <w:rsid w:val="00625807"/>
    <w:rsid w:val="00625CEF"/>
    <w:rsid w:val="00625F56"/>
    <w:rsid w:val="00625F57"/>
    <w:rsid w:val="0062604E"/>
    <w:rsid w:val="006260AB"/>
    <w:rsid w:val="006263B6"/>
    <w:rsid w:val="0062641A"/>
    <w:rsid w:val="006266D6"/>
    <w:rsid w:val="00626753"/>
    <w:rsid w:val="006268DA"/>
    <w:rsid w:val="00626B1D"/>
    <w:rsid w:val="00626B57"/>
    <w:rsid w:val="00626F25"/>
    <w:rsid w:val="00627217"/>
    <w:rsid w:val="006274BE"/>
    <w:rsid w:val="00627A8D"/>
    <w:rsid w:val="00627D30"/>
    <w:rsid w:val="00627F6B"/>
    <w:rsid w:val="00630322"/>
    <w:rsid w:val="00630AEC"/>
    <w:rsid w:val="006311E5"/>
    <w:rsid w:val="0063174D"/>
    <w:rsid w:val="00631BB4"/>
    <w:rsid w:val="00631C57"/>
    <w:rsid w:val="00631C9C"/>
    <w:rsid w:val="00631CCF"/>
    <w:rsid w:val="00631EBF"/>
    <w:rsid w:val="006321DC"/>
    <w:rsid w:val="006321F7"/>
    <w:rsid w:val="00632434"/>
    <w:rsid w:val="006325B3"/>
    <w:rsid w:val="006326BE"/>
    <w:rsid w:val="0063273E"/>
    <w:rsid w:val="00632796"/>
    <w:rsid w:val="00632A73"/>
    <w:rsid w:val="00632C18"/>
    <w:rsid w:val="00632E25"/>
    <w:rsid w:val="0063326E"/>
    <w:rsid w:val="0063337D"/>
    <w:rsid w:val="00633689"/>
    <w:rsid w:val="00633839"/>
    <w:rsid w:val="00633858"/>
    <w:rsid w:val="00633BED"/>
    <w:rsid w:val="00634043"/>
    <w:rsid w:val="00634387"/>
    <w:rsid w:val="00634807"/>
    <w:rsid w:val="00634B1E"/>
    <w:rsid w:val="00634CA7"/>
    <w:rsid w:val="00635536"/>
    <w:rsid w:val="00635854"/>
    <w:rsid w:val="00635945"/>
    <w:rsid w:val="00635A52"/>
    <w:rsid w:val="00635FFE"/>
    <w:rsid w:val="00636568"/>
    <w:rsid w:val="006367B6"/>
    <w:rsid w:val="006378BE"/>
    <w:rsid w:val="00637BAB"/>
    <w:rsid w:val="00637C14"/>
    <w:rsid w:val="00640090"/>
    <w:rsid w:val="00640265"/>
    <w:rsid w:val="006402A4"/>
    <w:rsid w:val="0064079B"/>
    <w:rsid w:val="006408FB"/>
    <w:rsid w:val="00640BFB"/>
    <w:rsid w:val="006413BC"/>
    <w:rsid w:val="006414A2"/>
    <w:rsid w:val="00641B35"/>
    <w:rsid w:val="006422A6"/>
    <w:rsid w:val="00642621"/>
    <w:rsid w:val="0064279E"/>
    <w:rsid w:val="00642B5E"/>
    <w:rsid w:val="00642F6E"/>
    <w:rsid w:val="00642FD1"/>
    <w:rsid w:val="006430D1"/>
    <w:rsid w:val="006432C6"/>
    <w:rsid w:val="006432D8"/>
    <w:rsid w:val="0064337B"/>
    <w:rsid w:val="00643E40"/>
    <w:rsid w:val="00643E92"/>
    <w:rsid w:val="00644269"/>
    <w:rsid w:val="0064426E"/>
    <w:rsid w:val="006444A2"/>
    <w:rsid w:val="006444E6"/>
    <w:rsid w:val="0064456F"/>
    <w:rsid w:val="006449D3"/>
    <w:rsid w:val="00644DC3"/>
    <w:rsid w:val="00645115"/>
    <w:rsid w:val="0064537A"/>
    <w:rsid w:val="00645388"/>
    <w:rsid w:val="00645AE5"/>
    <w:rsid w:val="00645B3E"/>
    <w:rsid w:val="00645BF2"/>
    <w:rsid w:val="00645D90"/>
    <w:rsid w:val="00645EAE"/>
    <w:rsid w:val="00646015"/>
    <w:rsid w:val="00646270"/>
    <w:rsid w:val="00646380"/>
    <w:rsid w:val="00646938"/>
    <w:rsid w:val="00646C2D"/>
    <w:rsid w:val="00646CDC"/>
    <w:rsid w:val="00650442"/>
    <w:rsid w:val="00650782"/>
    <w:rsid w:val="0065080A"/>
    <w:rsid w:val="00650819"/>
    <w:rsid w:val="0065097E"/>
    <w:rsid w:val="006509F1"/>
    <w:rsid w:val="00650AC3"/>
    <w:rsid w:val="00650BA1"/>
    <w:rsid w:val="0065167C"/>
    <w:rsid w:val="006519F8"/>
    <w:rsid w:val="00651A32"/>
    <w:rsid w:val="00651B06"/>
    <w:rsid w:val="0065238C"/>
    <w:rsid w:val="00652747"/>
    <w:rsid w:val="0065285F"/>
    <w:rsid w:val="006529E2"/>
    <w:rsid w:val="00652B23"/>
    <w:rsid w:val="00652E60"/>
    <w:rsid w:val="00653081"/>
    <w:rsid w:val="0065321D"/>
    <w:rsid w:val="00653600"/>
    <w:rsid w:val="00653826"/>
    <w:rsid w:val="00653915"/>
    <w:rsid w:val="00653E6B"/>
    <w:rsid w:val="006540B9"/>
    <w:rsid w:val="0065410C"/>
    <w:rsid w:val="006543F2"/>
    <w:rsid w:val="00654554"/>
    <w:rsid w:val="00654E0B"/>
    <w:rsid w:val="0065562F"/>
    <w:rsid w:val="006558ED"/>
    <w:rsid w:val="00655971"/>
    <w:rsid w:val="00655B82"/>
    <w:rsid w:val="00655E4E"/>
    <w:rsid w:val="006562DD"/>
    <w:rsid w:val="00656356"/>
    <w:rsid w:val="00656461"/>
    <w:rsid w:val="00656BC4"/>
    <w:rsid w:val="00656C41"/>
    <w:rsid w:val="00656EA8"/>
    <w:rsid w:val="006573CB"/>
    <w:rsid w:val="0065743E"/>
    <w:rsid w:val="00657560"/>
    <w:rsid w:val="006575B1"/>
    <w:rsid w:val="00657911"/>
    <w:rsid w:val="00657C6A"/>
    <w:rsid w:val="00660137"/>
    <w:rsid w:val="006605D6"/>
    <w:rsid w:val="006606D4"/>
    <w:rsid w:val="00660C25"/>
    <w:rsid w:val="00660D69"/>
    <w:rsid w:val="00660E30"/>
    <w:rsid w:val="00660FC6"/>
    <w:rsid w:val="00660FEC"/>
    <w:rsid w:val="00661333"/>
    <w:rsid w:val="00661455"/>
    <w:rsid w:val="00661603"/>
    <w:rsid w:val="00661693"/>
    <w:rsid w:val="006618CC"/>
    <w:rsid w:val="006626F8"/>
    <w:rsid w:val="00662854"/>
    <w:rsid w:val="006629BA"/>
    <w:rsid w:val="00662D4E"/>
    <w:rsid w:val="00662E9B"/>
    <w:rsid w:val="0066321C"/>
    <w:rsid w:val="0066340E"/>
    <w:rsid w:val="00663CA4"/>
    <w:rsid w:val="00663F5F"/>
    <w:rsid w:val="00664057"/>
    <w:rsid w:val="0066411A"/>
    <w:rsid w:val="006645B8"/>
    <w:rsid w:val="006648A4"/>
    <w:rsid w:val="00664A54"/>
    <w:rsid w:val="00664A73"/>
    <w:rsid w:val="00664AF0"/>
    <w:rsid w:val="00664B21"/>
    <w:rsid w:val="00664C44"/>
    <w:rsid w:val="00664CAF"/>
    <w:rsid w:val="00664D13"/>
    <w:rsid w:val="00664FB3"/>
    <w:rsid w:val="00665228"/>
    <w:rsid w:val="00665307"/>
    <w:rsid w:val="00665680"/>
    <w:rsid w:val="006656DA"/>
    <w:rsid w:val="006658C5"/>
    <w:rsid w:val="00666A93"/>
    <w:rsid w:val="00666B6A"/>
    <w:rsid w:val="00666D79"/>
    <w:rsid w:val="00666E38"/>
    <w:rsid w:val="00666EDF"/>
    <w:rsid w:val="00667041"/>
    <w:rsid w:val="006674D6"/>
    <w:rsid w:val="0066756F"/>
    <w:rsid w:val="00667948"/>
    <w:rsid w:val="006701DD"/>
    <w:rsid w:val="00670483"/>
    <w:rsid w:val="006706E5"/>
    <w:rsid w:val="00670808"/>
    <w:rsid w:val="00670B18"/>
    <w:rsid w:val="00670C51"/>
    <w:rsid w:val="00670CC9"/>
    <w:rsid w:val="00670CE2"/>
    <w:rsid w:val="00670DE2"/>
    <w:rsid w:val="00670F99"/>
    <w:rsid w:val="00671131"/>
    <w:rsid w:val="00671B26"/>
    <w:rsid w:val="00671CD9"/>
    <w:rsid w:val="00672099"/>
    <w:rsid w:val="00672192"/>
    <w:rsid w:val="0067228B"/>
    <w:rsid w:val="00672354"/>
    <w:rsid w:val="0067256F"/>
    <w:rsid w:val="00672758"/>
    <w:rsid w:val="006727B2"/>
    <w:rsid w:val="00672E13"/>
    <w:rsid w:val="00672E1C"/>
    <w:rsid w:val="006730B9"/>
    <w:rsid w:val="0067339F"/>
    <w:rsid w:val="006734B5"/>
    <w:rsid w:val="00673674"/>
    <w:rsid w:val="00673940"/>
    <w:rsid w:val="00673970"/>
    <w:rsid w:val="00673C1C"/>
    <w:rsid w:val="00674006"/>
    <w:rsid w:val="006740A9"/>
    <w:rsid w:val="0067429D"/>
    <w:rsid w:val="006744C3"/>
    <w:rsid w:val="0067484C"/>
    <w:rsid w:val="006750E4"/>
    <w:rsid w:val="0067528B"/>
    <w:rsid w:val="006754F3"/>
    <w:rsid w:val="006755BF"/>
    <w:rsid w:val="00675733"/>
    <w:rsid w:val="0067573B"/>
    <w:rsid w:val="00675908"/>
    <w:rsid w:val="00675D1C"/>
    <w:rsid w:val="00675D6B"/>
    <w:rsid w:val="00675E3E"/>
    <w:rsid w:val="00675E74"/>
    <w:rsid w:val="00675EB5"/>
    <w:rsid w:val="00675F23"/>
    <w:rsid w:val="006768D4"/>
    <w:rsid w:val="00676D6C"/>
    <w:rsid w:val="00676DF2"/>
    <w:rsid w:val="006771F8"/>
    <w:rsid w:val="0067738A"/>
    <w:rsid w:val="0067760A"/>
    <w:rsid w:val="00677715"/>
    <w:rsid w:val="0067774E"/>
    <w:rsid w:val="006778D1"/>
    <w:rsid w:val="00677C6F"/>
    <w:rsid w:val="00677E47"/>
    <w:rsid w:val="00680686"/>
    <w:rsid w:val="00680BB6"/>
    <w:rsid w:val="00680DE1"/>
    <w:rsid w:val="00681115"/>
    <w:rsid w:val="006813E1"/>
    <w:rsid w:val="00681AA5"/>
    <w:rsid w:val="00681D22"/>
    <w:rsid w:val="00681F61"/>
    <w:rsid w:val="006821D8"/>
    <w:rsid w:val="0068232C"/>
    <w:rsid w:val="0068237A"/>
    <w:rsid w:val="00682439"/>
    <w:rsid w:val="00682729"/>
    <w:rsid w:val="00682F20"/>
    <w:rsid w:val="00683177"/>
    <w:rsid w:val="00683550"/>
    <w:rsid w:val="006837CF"/>
    <w:rsid w:val="00683B88"/>
    <w:rsid w:val="00683D9A"/>
    <w:rsid w:val="00684283"/>
    <w:rsid w:val="006843E0"/>
    <w:rsid w:val="006845A6"/>
    <w:rsid w:val="00684E38"/>
    <w:rsid w:val="0068516B"/>
    <w:rsid w:val="00685CF9"/>
    <w:rsid w:val="00686004"/>
    <w:rsid w:val="00686165"/>
    <w:rsid w:val="006861C6"/>
    <w:rsid w:val="00686278"/>
    <w:rsid w:val="0068659E"/>
    <w:rsid w:val="006865E1"/>
    <w:rsid w:val="00686BFD"/>
    <w:rsid w:val="00687183"/>
    <w:rsid w:val="00687418"/>
    <w:rsid w:val="0068759A"/>
    <w:rsid w:val="006875DE"/>
    <w:rsid w:val="00687975"/>
    <w:rsid w:val="00687BAC"/>
    <w:rsid w:val="00687CED"/>
    <w:rsid w:val="00687E19"/>
    <w:rsid w:val="00690186"/>
    <w:rsid w:val="006904AB"/>
    <w:rsid w:val="006905FB"/>
    <w:rsid w:val="006906B3"/>
    <w:rsid w:val="00690841"/>
    <w:rsid w:val="0069095F"/>
    <w:rsid w:val="00690DF4"/>
    <w:rsid w:val="00690F50"/>
    <w:rsid w:val="00691919"/>
    <w:rsid w:val="00691CA9"/>
    <w:rsid w:val="00691CB5"/>
    <w:rsid w:val="00691DD9"/>
    <w:rsid w:val="00692430"/>
    <w:rsid w:val="0069295C"/>
    <w:rsid w:val="00692AFB"/>
    <w:rsid w:val="00692ECE"/>
    <w:rsid w:val="00692F00"/>
    <w:rsid w:val="00692F94"/>
    <w:rsid w:val="006933C7"/>
    <w:rsid w:val="006934A1"/>
    <w:rsid w:val="006936F2"/>
    <w:rsid w:val="00693792"/>
    <w:rsid w:val="00693C77"/>
    <w:rsid w:val="00693F76"/>
    <w:rsid w:val="00694039"/>
    <w:rsid w:val="00694081"/>
    <w:rsid w:val="00694224"/>
    <w:rsid w:val="0069428F"/>
    <w:rsid w:val="0069440C"/>
    <w:rsid w:val="006949F6"/>
    <w:rsid w:val="00694F48"/>
    <w:rsid w:val="00694F63"/>
    <w:rsid w:val="00694F7A"/>
    <w:rsid w:val="00694FD2"/>
    <w:rsid w:val="006952F2"/>
    <w:rsid w:val="00695578"/>
    <w:rsid w:val="006955D5"/>
    <w:rsid w:val="006957F9"/>
    <w:rsid w:val="006957FA"/>
    <w:rsid w:val="006958E3"/>
    <w:rsid w:val="0069592B"/>
    <w:rsid w:val="00695AE0"/>
    <w:rsid w:val="00695C90"/>
    <w:rsid w:val="0069633D"/>
    <w:rsid w:val="00696729"/>
    <w:rsid w:val="00696DAC"/>
    <w:rsid w:val="00697240"/>
    <w:rsid w:val="006977FB"/>
    <w:rsid w:val="006A031F"/>
    <w:rsid w:val="006A03B3"/>
    <w:rsid w:val="006A0504"/>
    <w:rsid w:val="006A058C"/>
    <w:rsid w:val="006A08EA"/>
    <w:rsid w:val="006A1089"/>
    <w:rsid w:val="006A1217"/>
    <w:rsid w:val="006A1F83"/>
    <w:rsid w:val="006A22D9"/>
    <w:rsid w:val="006A24B4"/>
    <w:rsid w:val="006A24DE"/>
    <w:rsid w:val="006A2B07"/>
    <w:rsid w:val="006A2B40"/>
    <w:rsid w:val="006A2C2C"/>
    <w:rsid w:val="006A2C2F"/>
    <w:rsid w:val="006A2FDF"/>
    <w:rsid w:val="006A313D"/>
    <w:rsid w:val="006A3255"/>
    <w:rsid w:val="006A382D"/>
    <w:rsid w:val="006A3A1A"/>
    <w:rsid w:val="006A3D8C"/>
    <w:rsid w:val="006A4343"/>
    <w:rsid w:val="006A44DA"/>
    <w:rsid w:val="006A457B"/>
    <w:rsid w:val="006A45AE"/>
    <w:rsid w:val="006A477F"/>
    <w:rsid w:val="006A4AAA"/>
    <w:rsid w:val="006A4BAA"/>
    <w:rsid w:val="006A4D04"/>
    <w:rsid w:val="006A523D"/>
    <w:rsid w:val="006A5240"/>
    <w:rsid w:val="006A53D5"/>
    <w:rsid w:val="006A546F"/>
    <w:rsid w:val="006A551E"/>
    <w:rsid w:val="006A57CF"/>
    <w:rsid w:val="006A592E"/>
    <w:rsid w:val="006A5952"/>
    <w:rsid w:val="006A597E"/>
    <w:rsid w:val="006A6AB7"/>
    <w:rsid w:val="006A6B26"/>
    <w:rsid w:val="006A6BAB"/>
    <w:rsid w:val="006A6EE1"/>
    <w:rsid w:val="006A6FA2"/>
    <w:rsid w:val="006A7220"/>
    <w:rsid w:val="006A7494"/>
    <w:rsid w:val="006A777A"/>
    <w:rsid w:val="006A7853"/>
    <w:rsid w:val="006A7B02"/>
    <w:rsid w:val="006A7D19"/>
    <w:rsid w:val="006B026C"/>
    <w:rsid w:val="006B04FE"/>
    <w:rsid w:val="006B0799"/>
    <w:rsid w:val="006B091A"/>
    <w:rsid w:val="006B0B6C"/>
    <w:rsid w:val="006B0F2D"/>
    <w:rsid w:val="006B0F64"/>
    <w:rsid w:val="006B14FA"/>
    <w:rsid w:val="006B19C5"/>
    <w:rsid w:val="006B1AF9"/>
    <w:rsid w:val="006B1B33"/>
    <w:rsid w:val="006B2273"/>
    <w:rsid w:val="006B2295"/>
    <w:rsid w:val="006B22A3"/>
    <w:rsid w:val="006B22BC"/>
    <w:rsid w:val="006B255F"/>
    <w:rsid w:val="006B2896"/>
    <w:rsid w:val="006B2AF4"/>
    <w:rsid w:val="006B303A"/>
    <w:rsid w:val="006B311E"/>
    <w:rsid w:val="006B3155"/>
    <w:rsid w:val="006B3234"/>
    <w:rsid w:val="006B32F1"/>
    <w:rsid w:val="006B331F"/>
    <w:rsid w:val="006B364B"/>
    <w:rsid w:val="006B38C7"/>
    <w:rsid w:val="006B39C1"/>
    <w:rsid w:val="006B422D"/>
    <w:rsid w:val="006B4387"/>
    <w:rsid w:val="006B53AC"/>
    <w:rsid w:val="006B5872"/>
    <w:rsid w:val="006B5AA8"/>
    <w:rsid w:val="006B5D73"/>
    <w:rsid w:val="006B5E7C"/>
    <w:rsid w:val="006B60F7"/>
    <w:rsid w:val="006B61D0"/>
    <w:rsid w:val="006B6205"/>
    <w:rsid w:val="006B6331"/>
    <w:rsid w:val="006B668C"/>
    <w:rsid w:val="006B678B"/>
    <w:rsid w:val="006B6DA7"/>
    <w:rsid w:val="006B71C9"/>
    <w:rsid w:val="006B7DC3"/>
    <w:rsid w:val="006C0021"/>
    <w:rsid w:val="006C024C"/>
    <w:rsid w:val="006C02DD"/>
    <w:rsid w:val="006C0381"/>
    <w:rsid w:val="006C08F1"/>
    <w:rsid w:val="006C0CFB"/>
    <w:rsid w:val="006C1169"/>
    <w:rsid w:val="006C1237"/>
    <w:rsid w:val="006C1362"/>
    <w:rsid w:val="006C13BD"/>
    <w:rsid w:val="006C1770"/>
    <w:rsid w:val="006C19AC"/>
    <w:rsid w:val="006C1E67"/>
    <w:rsid w:val="006C1ECE"/>
    <w:rsid w:val="006C2367"/>
    <w:rsid w:val="006C247D"/>
    <w:rsid w:val="006C335E"/>
    <w:rsid w:val="006C3672"/>
    <w:rsid w:val="006C397D"/>
    <w:rsid w:val="006C3D51"/>
    <w:rsid w:val="006C3DD6"/>
    <w:rsid w:val="006C401C"/>
    <w:rsid w:val="006C405F"/>
    <w:rsid w:val="006C471B"/>
    <w:rsid w:val="006C526E"/>
    <w:rsid w:val="006C5566"/>
    <w:rsid w:val="006C5AFE"/>
    <w:rsid w:val="006C5C20"/>
    <w:rsid w:val="006C645D"/>
    <w:rsid w:val="006C6604"/>
    <w:rsid w:val="006C6FCA"/>
    <w:rsid w:val="006C7062"/>
    <w:rsid w:val="006C70EB"/>
    <w:rsid w:val="006C7194"/>
    <w:rsid w:val="006C72DA"/>
    <w:rsid w:val="006C73FD"/>
    <w:rsid w:val="006C7576"/>
    <w:rsid w:val="006C77E8"/>
    <w:rsid w:val="006C7C5F"/>
    <w:rsid w:val="006C7CFA"/>
    <w:rsid w:val="006C7EBB"/>
    <w:rsid w:val="006C7FC2"/>
    <w:rsid w:val="006D0076"/>
    <w:rsid w:val="006D00FC"/>
    <w:rsid w:val="006D0577"/>
    <w:rsid w:val="006D06C8"/>
    <w:rsid w:val="006D0CBE"/>
    <w:rsid w:val="006D0E75"/>
    <w:rsid w:val="006D0FA1"/>
    <w:rsid w:val="006D0FAF"/>
    <w:rsid w:val="006D1304"/>
    <w:rsid w:val="006D14F7"/>
    <w:rsid w:val="006D204B"/>
    <w:rsid w:val="006D2473"/>
    <w:rsid w:val="006D2602"/>
    <w:rsid w:val="006D28B4"/>
    <w:rsid w:val="006D2A41"/>
    <w:rsid w:val="006D2C2C"/>
    <w:rsid w:val="006D2CCD"/>
    <w:rsid w:val="006D30D3"/>
    <w:rsid w:val="006D37D3"/>
    <w:rsid w:val="006D38F0"/>
    <w:rsid w:val="006D3E3C"/>
    <w:rsid w:val="006D42C7"/>
    <w:rsid w:val="006D432A"/>
    <w:rsid w:val="006D442A"/>
    <w:rsid w:val="006D47CA"/>
    <w:rsid w:val="006D4A81"/>
    <w:rsid w:val="006D4CEB"/>
    <w:rsid w:val="006D4E0D"/>
    <w:rsid w:val="006D5088"/>
    <w:rsid w:val="006D5B35"/>
    <w:rsid w:val="006D5C16"/>
    <w:rsid w:val="006D5C1E"/>
    <w:rsid w:val="006D5CB9"/>
    <w:rsid w:val="006D6069"/>
    <w:rsid w:val="006D60C4"/>
    <w:rsid w:val="006D62F4"/>
    <w:rsid w:val="006D65E9"/>
    <w:rsid w:val="006D703F"/>
    <w:rsid w:val="006D724D"/>
    <w:rsid w:val="006D751E"/>
    <w:rsid w:val="006D7FA1"/>
    <w:rsid w:val="006E0093"/>
    <w:rsid w:val="006E0470"/>
    <w:rsid w:val="006E0C47"/>
    <w:rsid w:val="006E0C7B"/>
    <w:rsid w:val="006E0E3C"/>
    <w:rsid w:val="006E0E55"/>
    <w:rsid w:val="006E0EB1"/>
    <w:rsid w:val="006E10F2"/>
    <w:rsid w:val="006E139D"/>
    <w:rsid w:val="006E160B"/>
    <w:rsid w:val="006E179C"/>
    <w:rsid w:val="006E18DF"/>
    <w:rsid w:val="006E1B44"/>
    <w:rsid w:val="006E23EB"/>
    <w:rsid w:val="006E2518"/>
    <w:rsid w:val="006E2D1A"/>
    <w:rsid w:val="006E30F2"/>
    <w:rsid w:val="006E337B"/>
    <w:rsid w:val="006E3385"/>
    <w:rsid w:val="006E374F"/>
    <w:rsid w:val="006E37AC"/>
    <w:rsid w:val="006E3A3A"/>
    <w:rsid w:val="006E3B95"/>
    <w:rsid w:val="006E3CC3"/>
    <w:rsid w:val="006E436B"/>
    <w:rsid w:val="006E471C"/>
    <w:rsid w:val="006E553C"/>
    <w:rsid w:val="006E5613"/>
    <w:rsid w:val="006E56D5"/>
    <w:rsid w:val="006E5FC7"/>
    <w:rsid w:val="006E60BE"/>
    <w:rsid w:val="006E6456"/>
    <w:rsid w:val="006E67C4"/>
    <w:rsid w:val="006E6A02"/>
    <w:rsid w:val="006E6BF0"/>
    <w:rsid w:val="006E6DD8"/>
    <w:rsid w:val="006E6ED9"/>
    <w:rsid w:val="006E6EF3"/>
    <w:rsid w:val="006E7064"/>
    <w:rsid w:val="006E727A"/>
    <w:rsid w:val="006E7A17"/>
    <w:rsid w:val="006E7C07"/>
    <w:rsid w:val="006F01A1"/>
    <w:rsid w:val="006F04F4"/>
    <w:rsid w:val="006F05A7"/>
    <w:rsid w:val="006F0923"/>
    <w:rsid w:val="006F0C36"/>
    <w:rsid w:val="006F0C80"/>
    <w:rsid w:val="006F103D"/>
    <w:rsid w:val="006F10A0"/>
    <w:rsid w:val="006F111F"/>
    <w:rsid w:val="006F13E7"/>
    <w:rsid w:val="006F1400"/>
    <w:rsid w:val="006F179D"/>
    <w:rsid w:val="006F1800"/>
    <w:rsid w:val="006F1920"/>
    <w:rsid w:val="006F1960"/>
    <w:rsid w:val="006F19FE"/>
    <w:rsid w:val="006F1A6D"/>
    <w:rsid w:val="006F1BD9"/>
    <w:rsid w:val="006F1FAE"/>
    <w:rsid w:val="006F2BB4"/>
    <w:rsid w:val="006F2C34"/>
    <w:rsid w:val="006F3360"/>
    <w:rsid w:val="006F3804"/>
    <w:rsid w:val="006F3A48"/>
    <w:rsid w:val="006F3CB9"/>
    <w:rsid w:val="006F3DDC"/>
    <w:rsid w:val="006F3F11"/>
    <w:rsid w:val="006F4656"/>
    <w:rsid w:val="006F504E"/>
    <w:rsid w:val="006F529C"/>
    <w:rsid w:val="006F529F"/>
    <w:rsid w:val="006F5506"/>
    <w:rsid w:val="006F5E13"/>
    <w:rsid w:val="006F5E95"/>
    <w:rsid w:val="006F619F"/>
    <w:rsid w:val="006F656C"/>
    <w:rsid w:val="006F6649"/>
    <w:rsid w:val="006F676A"/>
    <w:rsid w:val="006F6A6D"/>
    <w:rsid w:val="006F6DFC"/>
    <w:rsid w:val="006F72A3"/>
    <w:rsid w:val="006F73F6"/>
    <w:rsid w:val="006F77AF"/>
    <w:rsid w:val="006F7E13"/>
    <w:rsid w:val="0070015C"/>
    <w:rsid w:val="007003C6"/>
    <w:rsid w:val="00700454"/>
    <w:rsid w:val="00700486"/>
    <w:rsid w:val="00700670"/>
    <w:rsid w:val="00700693"/>
    <w:rsid w:val="0070070E"/>
    <w:rsid w:val="007008D3"/>
    <w:rsid w:val="00701226"/>
    <w:rsid w:val="007012D0"/>
    <w:rsid w:val="00701969"/>
    <w:rsid w:val="00701AA6"/>
    <w:rsid w:val="00701C38"/>
    <w:rsid w:val="00701CDB"/>
    <w:rsid w:val="007022B2"/>
    <w:rsid w:val="007023A2"/>
    <w:rsid w:val="00702EC5"/>
    <w:rsid w:val="007030C0"/>
    <w:rsid w:val="0070338A"/>
    <w:rsid w:val="00703923"/>
    <w:rsid w:val="00703D56"/>
    <w:rsid w:val="00703E26"/>
    <w:rsid w:val="007041D6"/>
    <w:rsid w:val="00704441"/>
    <w:rsid w:val="007045C3"/>
    <w:rsid w:val="00704676"/>
    <w:rsid w:val="007046C9"/>
    <w:rsid w:val="0070481A"/>
    <w:rsid w:val="0070483B"/>
    <w:rsid w:val="00704980"/>
    <w:rsid w:val="00704996"/>
    <w:rsid w:val="00704B57"/>
    <w:rsid w:val="00704C26"/>
    <w:rsid w:val="00704D1D"/>
    <w:rsid w:val="00704DD4"/>
    <w:rsid w:val="00704EB6"/>
    <w:rsid w:val="0070509C"/>
    <w:rsid w:val="007053D6"/>
    <w:rsid w:val="0070596F"/>
    <w:rsid w:val="00706481"/>
    <w:rsid w:val="00706524"/>
    <w:rsid w:val="00706642"/>
    <w:rsid w:val="00706B84"/>
    <w:rsid w:val="00706BE9"/>
    <w:rsid w:val="00707014"/>
    <w:rsid w:val="00707C10"/>
    <w:rsid w:val="00707F03"/>
    <w:rsid w:val="007109E2"/>
    <w:rsid w:val="00710E13"/>
    <w:rsid w:val="00711116"/>
    <w:rsid w:val="00711598"/>
    <w:rsid w:val="007115DA"/>
    <w:rsid w:val="00711647"/>
    <w:rsid w:val="00711849"/>
    <w:rsid w:val="00711B86"/>
    <w:rsid w:val="00711E37"/>
    <w:rsid w:val="00712048"/>
    <w:rsid w:val="00712707"/>
    <w:rsid w:val="00712748"/>
    <w:rsid w:val="0071275C"/>
    <w:rsid w:val="00712B14"/>
    <w:rsid w:val="00712D29"/>
    <w:rsid w:val="00712EF0"/>
    <w:rsid w:val="00713057"/>
    <w:rsid w:val="00713591"/>
    <w:rsid w:val="00713970"/>
    <w:rsid w:val="00713E17"/>
    <w:rsid w:val="00713E4F"/>
    <w:rsid w:val="0071436F"/>
    <w:rsid w:val="0071490E"/>
    <w:rsid w:val="00714A82"/>
    <w:rsid w:val="00715123"/>
    <w:rsid w:val="0071529A"/>
    <w:rsid w:val="007153F1"/>
    <w:rsid w:val="0071541F"/>
    <w:rsid w:val="00715910"/>
    <w:rsid w:val="00715AB9"/>
    <w:rsid w:val="00715C58"/>
    <w:rsid w:val="00715D28"/>
    <w:rsid w:val="00715D95"/>
    <w:rsid w:val="00715EF5"/>
    <w:rsid w:val="007161EC"/>
    <w:rsid w:val="007167FE"/>
    <w:rsid w:val="00716CFC"/>
    <w:rsid w:val="00716EFE"/>
    <w:rsid w:val="00717735"/>
    <w:rsid w:val="0071793E"/>
    <w:rsid w:val="00717C00"/>
    <w:rsid w:val="00717C59"/>
    <w:rsid w:val="00717DAC"/>
    <w:rsid w:val="007200D4"/>
    <w:rsid w:val="007202C1"/>
    <w:rsid w:val="00720B26"/>
    <w:rsid w:val="00720BF2"/>
    <w:rsid w:val="00720C06"/>
    <w:rsid w:val="00720FD2"/>
    <w:rsid w:val="007215B0"/>
    <w:rsid w:val="007218DC"/>
    <w:rsid w:val="0072195A"/>
    <w:rsid w:val="007219DB"/>
    <w:rsid w:val="00721ABD"/>
    <w:rsid w:val="00721B97"/>
    <w:rsid w:val="00721E5B"/>
    <w:rsid w:val="00721F42"/>
    <w:rsid w:val="00721FED"/>
    <w:rsid w:val="00722539"/>
    <w:rsid w:val="00722A12"/>
    <w:rsid w:val="00722D05"/>
    <w:rsid w:val="00722D56"/>
    <w:rsid w:val="00722F9F"/>
    <w:rsid w:val="007231BF"/>
    <w:rsid w:val="0072354A"/>
    <w:rsid w:val="00723C4F"/>
    <w:rsid w:val="00723DE7"/>
    <w:rsid w:val="00723E0C"/>
    <w:rsid w:val="0072418C"/>
    <w:rsid w:val="00724579"/>
    <w:rsid w:val="0072478D"/>
    <w:rsid w:val="007248A3"/>
    <w:rsid w:val="00724908"/>
    <w:rsid w:val="00724AA0"/>
    <w:rsid w:val="00724D87"/>
    <w:rsid w:val="00724ED0"/>
    <w:rsid w:val="00724EDE"/>
    <w:rsid w:val="00724FC3"/>
    <w:rsid w:val="0072506B"/>
    <w:rsid w:val="007250E4"/>
    <w:rsid w:val="00725140"/>
    <w:rsid w:val="007254DD"/>
    <w:rsid w:val="0072561D"/>
    <w:rsid w:val="0072566D"/>
    <w:rsid w:val="007259CD"/>
    <w:rsid w:val="00725CB1"/>
    <w:rsid w:val="007260A7"/>
    <w:rsid w:val="007261E9"/>
    <w:rsid w:val="007262C9"/>
    <w:rsid w:val="007265B9"/>
    <w:rsid w:val="00726A45"/>
    <w:rsid w:val="00726CD0"/>
    <w:rsid w:val="00726CD9"/>
    <w:rsid w:val="007274D6"/>
    <w:rsid w:val="00727C0E"/>
    <w:rsid w:val="00727FBF"/>
    <w:rsid w:val="0073008C"/>
    <w:rsid w:val="007306BB"/>
    <w:rsid w:val="00730F9B"/>
    <w:rsid w:val="0073142D"/>
    <w:rsid w:val="007316FD"/>
    <w:rsid w:val="0073173D"/>
    <w:rsid w:val="007317DF"/>
    <w:rsid w:val="0073191A"/>
    <w:rsid w:val="00731921"/>
    <w:rsid w:val="00731F33"/>
    <w:rsid w:val="00732148"/>
    <w:rsid w:val="007322E5"/>
    <w:rsid w:val="00732586"/>
    <w:rsid w:val="00732970"/>
    <w:rsid w:val="007329E0"/>
    <w:rsid w:val="00733113"/>
    <w:rsid w:val="0073321B"/>
    <w:rsid w:val="0073340F"/>
    <w:rsid w:val="00733813"/>
    <w:rsid w:val="00733902"/>
    <w:rsid w:val="00733B04"/>
    <w:rsid w:val="00733DBB"/>
    <w:rsid w:val="00733DBD"/>
    <w:rsid w:val="00733E21"/>
    <w:rsid w:val="00733F00"/>
    <w:rsid w:val="00733F56"/>
    <w:rsid w:val="00733FB7"/>
    <w:rsid w:val="0073406E"/>
    <w:rsid w:val="0073417B"/>
    <w:rsid w:val="00734255"/>
    <w:rsid w:val="007348EF"/>
    <w:rsid w:val="00734D5A"/>
    <w:rsid w:val="00734E8E"/>
    <w:rsid w:val="00734E9D"/>
    <w:rsid w:val="0073574F"/>
    <w:rsid w:val="00735F8A"/>
    <w:rsid w:val="00735F8B"/>
    <w:rsid w:val="007360A0"/>
    <w:rsid w:val="007361C3"/>
    <w:rsid w:val="00736350"/>
    <w:rsid w:val="00736600"/>
    <w:rsid w:val="007366D3"/>
    <w:rsid w:val="00736AD9"/>
    <w:rsid w:val="00736FCB"/>
    <w:rsid w:val="0073706A"/>
    <w:rsid w:val="0073741E"/>
    <w:rsid w:val="00737574"/>
    <w:rsid w:val="007377DA"/>
    <w:rsid w:val="00737B4A"/>
    <w:rsid w:val="00737C8E"/>
    <w:rsid w:val="00737F9B"/>
    <w:rsid w:val="0074024C"/>
    <w:rsid w:val="0074046A"/>
    <w:rsid w:val="00740BB3"/>
    <w:rsid w:val="00740E99"/>
    <w:rsid w:val="0074122C"/>
    <w:rsid w:val="007415C1"/>
    <w:rsid w:val="00741B02"/>
    <w:rsid w:val="007423E9"/>
    <w:rsid w:val="00742653"/>
    <w:rsid w:val="00742B30"/>
    <w:rsid w:val="00743094"/>
    <w:rsid w:val="007431BB"/>
    <w:rsid w:val="0074327A"/>
    <w:rsid w:val="00743365"/>
    <w:rsid w:val="0074369A"/>
    <w:rsid w:val="00743B45"/>
    <w:rsid w:val="00743C80"/>
    <w:rsid w:val="00743D8A"/>
    <w:rsid w:val="0074414B"/>
    <w:rsid w:val="0074479B"/>
    <w:rsid w:val="00744A6C"/>
    <w:rsid w:val="00744A92"/>
    <w:rsid w:val="00744B0D"/>
    <w:rsid w:val="00744EB8"/>
    <w:rsid w:val="0074537E"/>
    <w:rsid w:val="00745417"/>
    <w:rsid w:val="0074544E"/>
    <w:rsid w:val="007455EE"/>
    <w:rsid w:val="00745A87"/>
    <w:rsid w:val="00745E46"/>
    <w:rsid w:val="00746308"/>
    <w:rsid w:val="00746363"/>
    <w:rsid w:val="007463FC"/>
    <w:rsid w:val="0074655E"/>
    <w:rsid w:val="00746571"/>
    <w:rsid w:val="00746635"/>
    <w:rsid w:val="00746AFE"/>
    <w:rsid w:val="00747012"/>
    <w:rsid w:val="00747117"/>
    <w:rsid w:val="00747667"/>
    <w:rsid w:val="007477B0"/>
    <w:rsid w:val="007477F1"/>
    <w:rsid w:val="007479C3"/>
    <w:rsid w:val="00747B32"/>
    <w:rsid w:val="00747F4E"/>
    <w:rsid w:val="007501A7"/>
    <w:rsid w:val="007504E4"/>
    <w:rsid w:val="00750600"/>
    <w:rsid w:val="00750715"/>
    <w:rsid w:val="0075090C"/>
    <w:rsid w:val="00750D37"/>
    <w:rsid w:val="0075121E"/>
    <w:rsid w:val="00751393"/>
    <w:rsid w:val="00751C03"/>
    <w:rsid w:val="00752383"/>
    <w:rsid w:val="00752685"/>
    <w:rsid w:val="00752917"/>
    <w:rsid w:val="007529E1"/>
    <w:rsid w:val="00752C09"/>
    <w:rsid w:val="00752E91"/>
    <w:rsid w:val="00752F86"/>
    <w:rsid w:val="007530E9"/>
    <w:rsid w:val="00753750"/>
    <w:rsid w:val="00753A32"/>
    <w:rsid w:val="0075409E"/>
    <w:rsid w:val="007543D8"/>
    <w:rsid w:val="00754869"/>
    <w:rsid w:val="00754B8A"/>
    <w:rsid w:val="00754C73"/>
    <w:rsid w:val="00754CE2"/>
    <w:rsid w:val="00754EB2"/>
    <w:rsid w:val="00754EC5"/>
    <w:rsid w:val="00755146"/>
    <w:rsid w:val="007553E4"/>
    <w:rsid w:val="00755449"/>
    <w:rsid w:val="0075546B"/>
    <w:rsid w:val="00755871"/>
    <w:rsid w:val="00755CB3"/>
    <w:rsid w:val="007560E7"/>
    <w:rsid w:val="00756178"/>
    <w:rsid w:val="007561C2"/>
    <w:rsid w:val="00756538"/>
    <w:rsid w:val="007565D6"/>
    <w:rsid w:val="00756748"/>
    <w:rsid w:val="007568CD"/>
    <w:rsid w:val="00756B06"/>
    <w:rsid w:val="00756D82"/>
    <w:rsid w:val="00757787"/>
    <w:rsid w:val="00757816"/>
    <w:rsid w:val="00757878"/>
    <w:rsid w:val="00757C3B"/>
    <w:rsid w:val="00757FA4"/>
    <w:rsid w:val="00760122"/>
    <w:rsid w:val="00760160"/>
    <w:rsid w:val="007601D2"/>
    <w:rsid w:val="00760231"/>
    <w:rsid w:val="00760310"/>
    <w:rsid w:val="00760403"/>
    <w:rsid w:val="00760946"/>
    <w:rsid w:val="00760A02"/>
    <w:rsid w:val="00760B77"/>
    <w:rsid w:val="00760D00"/>
    <w:rsid w:val="00760FDC"/>
    <w:rsid w:val="00761155"/>
    <w:rsid w:val="00761AE6"/>
    <w:rsid w:val="00761C73"/>
    <w:rsid w:val="00761CEF"/>
    <w:rsid w:val="00761E3C"/>
    <w:rsid w:val="00762DA1"/>
    <w:rsid w:val="00762F1B"/>
    <w:rsid w:val="0076323B"/>
    <w:rsid w:val="00763305"/>
    <w:rsid w:val="00763333"/>
    <w:rsid w:val="0076364E"/>
    <w:rsid w:val="00763B29"/>
    <w:rsid w:val="00763CF8"/>
    <w:rsid w:val="0076417F"/>
    <w:rsid w:val="0076490F"/>
    <w:rsid w:val="00764EB3"/>
    <w:rsid w:val="00764F8B"/>
    <w:rsid w:val="00764F90"/>
    <w:rsid w:val="00765400"/>
    <w:rsid w:val="007655EC"/>
    <w:rsid w:val="00765739"/>
    <w:rsid w:val="00765937"/>
    <w:rsid w:val="00766230"/>
    <w:rsid w:val="00766426"/>
    <w:rsid w:val="00766468"/>
    <w:rsid w:val="007664CB"/>
    <w:rsid w:val="00766C94"/>
    <w:rsid w:val="00766CC2"/>
    <w:rsid w:val="00766FC2"/>
    <w:rsid w:val="007672BB"/>
    <w:rsid w:val="00767763"/>
    <w:rsid w:val="00767862"/>
    <w:rsid w:val="00767972"/>
    <w:rsid w:val="00767B0E"/>
    <w:rsid w:val="00767B40"/>
    <w:rsid w:val="00767B49"/>
    <w:rsid w:val="00767F0D"/>
    <w:rsid w:val="007707A1"/>
    <w:rsid w:val="00770900"/>
    <w:rsid w:val="00770CC0"/>
    <w:rsid w:val="0077156C"/>
    <w:rsid w:val="007716AA"/>
    <w:rsid w:val="00771824"/>
    <w:rsid w:val="00771AAD"/>
    <w:rsid w:val="007723C0"/>
    <w:rsid w:val="00772547"/>
    <w:rsid w:val="007728CA"/>
    <w:rsid w:val="00772A81"/>
    <w:rsid w:val="00772B78"/>
    <w:rsid w:val="00772D63"/>
    <w:rsid w:val="00772F23"/>
    <w:rsid w:val="0077303C"/>
    <w:rsid w:val="0077320E"/>
    <w:rsid w:val="00773229"/>
    <w:rsid w:val="00773809"/>
    <w:rsid w:val="007739CE"/>
    <w:rsid w:val="007739DC"/>
    <w:rsid w:val="00773BAA"/>
    <w:rsid w:val="0077423B"/>
    <w:rsid w:val="00774374"/>
    <w:rsid w:val="007743DF"/>
    <w:rsid w:val="00774543"/>
    <w:rsid w:val="00774823"/>
    <w:rsid w:val="00774F3C"/>
    <w:rsid w:val="007753F9"/>
    <w:rsid w:val="00775400"/>
    <w:rsid w:val="00775435"/>
    <w:rsid w:val="0077545B"/>
    <w:rsid w:val="00775702"/>
    <w:rsid w:val="00775BBE"/>
    <w:rsid w:val="00775F46"/>
    <w:rsid w:val="0077630D"/>
    <w:rsid w:val="00776344"/>
    <w:rsid w:val="007764AC"/>
    <w:rsid w:val="00776651"/>
    <w:rsid w:val="00776A5A"/>
    <w:rsid w:val="00776C67"/>
    <w:rsid w:val="00776F13"/>
    <w:rsid w:val="00777053"/>
    <w:rsid w:val="007776C1"/>
    <w:rsid w:val="00777DDD"/>
    <w:rsid w:val="00777F26"/>
    <w:rsid w:val="00777F6F"/>
    <w:rsid w:val="00780205"/>
    <w:rsid w:val="00780557"/>
    <w:rsid w:val="0078099B"/>
    <w:rsid w:val="007811FF"/>
    <w:rsid w:val="007814C5"/>
    <w:rsid w:val="007819DE"/>
    <w:rsid w:val="00781BCC"/>
    <w:rsid w:val="00781CAA"/>
    <w:rsid w:val="00781CC9"/>
    <w:rsid w:val="00781DA3"/>
    <w:rsid w:val="007820F0"/>
    <w:rsid w:val="0078243C"/>
    <w:rsid w:val="0078249A"/>
    <w:rsid w:val="0078255B"/>
    <w:rsid w:val="00782909"/>
    <w:rsid w:val="00782965"/>
    <w:rsid w:val="007829C2"/>
    <w:rsid w:val="00782B4E"/>
    <w:rsid w:val="00782DD2"/>
    <w:rsid w:val="007830BF"/>
    <w:rsid w:val="007831A5"/>
    <w:rsid w:val="00783340"/>
    <w:rsid w:val="007835E1"/>
    <w:rsid w:val="007836B1"/>
    <w:rsid w:val="007838E5"/>
    <w:rsid w:val="007841D3"/>
    <w:rsid w:val="007842C0"/>
    <w:rsid w:val="00784526"/>
    <w:rsid w:val="007846C8"/>
    <w:rsid w:val="0078482F"/>
    <w:rsid w:val="00784891"/>
    <w:rsid w:val="007848B3"/>
    <w:rsid w:val="0078494A"/>
    <w:rsid w:val="0078506C"/>
    <w:rsid w:val="0078509F"/>
    <w:rsid w:val="007854EE"/>
    <w:rsid w:val="007855C5"/>
    <w:rsid w:val="0078563E"/>
    <w:rsid w:val="00785981"/>
    <w:rsid w:val="00786141"/>
    <w:rsid w:val="0078647C"/>
    <w:rsid w:val="007869E0"/>
    <w:rsid w:val="007871BC"/>
    <w:rsid w:val="00787364"/>
    <w:rsid w:val="007873A2"/>
    <w:rsid w:val="0078743D"/>
    <w:rsid w:val="00787565"/>
    <w:rsid w:val="00787639"/>
    <w:rsid w:val="007877DA"/>
    <w:rsid w:val="00790053"/>
    <w:rsid w:val="007900F2"/>
    <w:rsid w:val="00790100"/>
    <w:rsid w:val="00790749"/>
    <w:rsid w:val="007909E7"/>
    <w:rsid w:val="00790DBD"/>
    <w:rsid w:val="007910BD"/>
    <w:rsid w:val="0079124B"/>
    <w:rsid w:val="007913A9"/>
    <w:rsid w:val="007913DA"/>
    <w:rsid w:val="007915C5"/>
    <w:rsid w:val="00791666"/>
    <w:rsid w:val="00791718"/>
    <w:rsid w:val="007918A8"/>
    <w:rsid w:val="00791C86"/>
    <w:rsid w:val="00791DCA"/>
    <w:rsid w:val="00792490"/>
    <w:rsid w:val="0079261D"/>
    <w:rsid w:val="0079270F"/>
    <w:rsid w:val="00792850"/>
    <w:rsid w:val="007929B7"/>
    <w:rsid w:val="00792A85"/>
    <w:rsid w:val="007931AE"/>
    <w:rsid w:val="0079322C"/>
    <w:rsid w:val="00793763"/>
    <w:rsid w:val="00793B3F"/>
    <w:rsid w:val="00793C93"/>
    <w:rsid w:val="00793DE0"/>
    <w:rsid w:val="007940A6"/>
    <w:rsid w:val="0079433F"/>
    <w:rsid w:val="007943C7"/>
    <w:rsid w:val="00794499"/>
    <w:rsid w:val="00794AE3"/>
    <w:rsid w:val="00794F1E"/>
    <w:rsid w:val="0079552B"/>
    <w:rsid w:val="00795564"/>
    <w:rsid w:val="00795A26"/>
    <w:rsid w:val="00795CB9"/>
    <w:rsid w:val="00796551"/>
    <w:rsid w:val="00796B48"/>
    <w:rsid w:val="00796B86"/>
    <w:rsid w:val="00796BEF"/>
    <w:rsid w:val="00796DCE"/>
    <w:rsid w:val="00796DD0"/>
    <w:rsid w:val="007975E9"/>
    <w:rsid w:val="00797A80"/>
    <w:rsid w:val="007A0CF4"/>
    <w:rsid w:val="007A121F"/>
    <w:rsid w:val="007A1329"/>
    <w:rsid w:val="007A1426"/>
    <w:rsid w:val="007A1462"/>
    <w:rsid w:val="007A16D4"/>
    <w:rsid w:val="007A18C8"/>
    <w:rsid w:val="007A1A22"/>
    <w:rsid w:val="007A21B4"/>
    <w:rsid w:val="007A230C"/>
    <w:rsid w:val="007A2594"/>
    <w:rsid w:val="007A26B9"/>
    <w:rsid w:val="007A2AB7"/>
    <w:rsid w:val="007A2BDB"/>
    <w:rsid w:val="007A2D20"/>
    <w:rsid w:val="007A3178"/>
    <w:rsid w:val="007A3292"/>
    <w:rsid w:val="007A3A24"/>
    <w:rsid w:val="007A3E8B"/>
    <w:rsid w:val="007A459D"/>
    <w:rsid w:val="007A51B8"/>
    <w:rsid w:val="007A5A65"/>
    <w:rsid w:val="007A5CCB"/>
    <w:rsid w:val="007A5CDE"/>
    <w:rsid w:val="007A5FE9"/>
    <w:rsid w:val="007A60CC"/>
    <w:rsid w:val="007A669C"/>
    <w:rsid w:val="007A66DD"/>
    <w:rsid w:val="007A6935"/>
    <w:rsid w:val="007A697A"/>
    <w:rsid w:val="007A6E21"/>
    <w:rsid w:val="007A74BB"/>
    <w:rsid w:val="007A7E92"/>
    <w:rsid w:val="007A7F30"/>
    <w:rsid w:val="007B0284"/>
    <w:rsid w:val="007B0290"/>
    <w:rsid w:val="007B04FF"/>
    <w:rsid w:val="007B05D0"/>
    <w:rsid w:val="007B081F"/>
    <w:rsid w:val="007B0885"/>
    <w:rsid w:val="007B109D"/>
    <w:rsid w:val="007B1204"/>
    <w:rsid w:val="007B1578"/>
    <w:rsid w:val="007B1D59"/>
    <w:rsid w:val="007B1F94"/>
    <w:rsid w:val="007B276B"/>
    <w:rsid w:val="007B2D2E"/>
    <w:rsid w:val="007B2F96"/>
    <w:rsid w:val="007B36AD"/>
    <w:rsid w:val="007B3E07"/>
    <w:rsid w:val="007B4582"/>
    <w:rsid w:val="007B474B"/>
    <w:rsid w:val="007B4799"/>
    <w:rsid w:val="007B480D"/>
    <w:rsid w:val="007B4BE9"/>
    <w:rsid w:val="007B5071"/>
    <w:rsid w:val="007B5151"/>
    <w:rsid w:val="007B5289"/>
    <w:rsid w:val="007B6031"/>
    <w:rsid w:val="007B6292"/>
    <w:rsid w:val="007B6505"/>
    <w:rsid w:val="007B6616"/>
    <w:rsid w:val="007B6627"/>
    <w:rsid w:val="007B695D"/>
    <w:rsid w:val="007B6F1E"/>
    <w:rsid w:val="007B7992"/>
    <w:rsid w:val="007B7F15"/>
    <w:rsid w:val="007C0388"/>
    <w:rsid w:val="007C04BF"/>
    <w:rsid w:val="007C07AD"/>
    <w:rsid w:val="007C091A"/>
    <w:rsid w:val="007C0A2C"/>
    <w:rsid w:val="007C0B63"/>
    <w:rsid w:val="007C0C3D"/>
    <w:rsid w:val="007C0CFE"/>
    <w:rsid w:val="007C107E"/>
    <w:rsid w:val="007C1B68"/>
    <w:rsid w:val="007C1FEE"/>
    <w:rsid w:val="007C2159"/>
    <w:rsid w:val="007C21D2"/>
    <w:rsid w:val="007C2D7C"/>
    <w:rsid w:val="007C2E98"/>
    <w:rsid w:val="007C2F60"/>
    <w:rsid w:val="007C32FB"/>
    <w:rsid w:val="007C335C"/>
    <w:rsid w:val="007C3567"/>
    <w:rsid w:val="007C373F"/>
    <w:rsid w:val="007C386D"/>
    <w:rsid w:val="007C3D49"/>
    <w:rsid w:val="007C3E4C"/>
    <w:rsid w:val="007C3E62"/>
    <w:rsid w:val="007C3F7D"/>
    <w:rsid w:val="007C3FC3"/>
    <w:rsid w:val="007C4175"/>
    <w:rsid w:val="007C467B"/>
    <w:rsid w:val="007C4700"/>
    <w:rsid w:val="007C4853"/>
    <w:rsid w:val="007C4C28"/>
    <w:rsid w:val="007C4DCC"/>
    <w:rsid w:val="007C4DD0"/>
    <w:rsid w:val="007C4ECA"/>
    <w:rsid w:val="007C4FAE"/>
    <w:rsid w:val="007C503A"/>
    <w:rsid w:val="007C5113"/>
    <w:rsid w:val="007C5671"/>
    <w:rsid w:val="007C5816"/>
    <w:rsid w:val="007C5A8B"/>
    <w:rsid w:val="007C5BC5"/>
    <w:rsid w:val="007C6077"/>
    <w:rsid w:val="007C636D"/>
    <w:rsid w:val="007C6847"/>
    <w:rsid w:val="007C6A3C"/>
    <w:rsid w:val="007C6EB7"/>
    <w:rsid w:val="007C6EFF"/>
    <w:rsid w:val="007C7259"/>
    <w:rsid w:val="007C7398"/>
    <w:rsid w:val="007C759E"/>
    <w:rsid w:val="007C7668"/>
    <w:rsid w:val="007C7749"/>
    <w:rsid w:val="007C7BCE"/>
    <w:rsid w:val="007D0010"/>
    <w:rsid w:val="007D0169"/>
    <w:rsid w:val="007D05DB"/>
    <w:rsid w:val="007D062E"/>
    <w:rsid w:val="007D0898"/>
    <w:rsid w:val="007D0901"/>
    <w:rsid w:val="007D0CB2"/>
    <w:rsid w:val="007D1003"/>
    <w:rsid w:val="007D1726"/>
    <w:rsid w:val="007D176A"/>
    <w:rsid w:val="007D1774"/>
    <w:rsid w:val="007D1949"/>
    <w:rsid w:val="007D1B87"/>
    <w:rsid w:val="007D1F4E"/>
    <w:rsid w:val="007D20FE"/>
    <w:rsid w:val="007D2516"/>
    <w:rsid w:val="007D334A"/>
    <w:rsid w:val="007D47A8"/>
    <w:rsid w:val="007D48C9"/>
    <w:rsid w:val="007D48CF"/>
    <w:rsid w:val="007D4938"/>
    <w:rsid w:val="007D4BCC"/>
    <w:rsid w:val="007D4EC8"/>
    <w:rsid w:val="007D53A3"/>
    <w:rsid w:val="007D53E1"/>
    <w:rsid w:val="007D544B"/>
    <w:rsid w:val="007D5456"/>
    <w:rsid w:val="007D56A7"/>
    <w:rsid w:val="007D5AA6"/>
    <w:rsid w:val="007D5D90"/>
    <w:rsid w:val="007D5E75"/>
    <w:rsid w:val="007D653A"/>
    <w:rsid w:val="007D6862"/>
    <w:rsid w:val="007D68AF"/>
    <w:rsid w:val="007D6900"/>
    <w:rsid w:val="007D6971"/>
    <w:rsid w:val="007D6E7A"/>
    <w:rsid w:val="007D7477"/>
    <w:rsid w:val="007D7CA4"/>
    <w:rsid w:val="007D7DB8"/>
    <w:rsid w:val="007D7FF2"/>
    <w:rsid w:val="007E0159"/>
    <w:rsid w:val="007E0326"/>
    <w:rsid w:val="007E043E"/>
    <w:rsid w:val="007E053B"/>
    <w:rsid w:val="007E0652"/>
    <w:rsid w:val="007E07A6"/>
    <w:rsid w:val="007E08E9"/>
    <w:rsid w:val="007E154C"/>
    <w:rsid w:val="007E1643"/>
    <w:rsid w:val="007E1A13"/>
    <w:rsid w:val="007E1A86"/>
    <w:rsid w:val="007E1E00"/>
    <w:rsid w:val="007E1E9B"/>
    <w:rsid w:val="007E1EBD"/>
    <w:rsid w:val="007E1F7F"/>
    <w:rsid w:val="007E1FED"/>
    <w:rsid w:val="007E20E3"/>
    <w:rsid w:val="007E26A9"/>
    <w:rsid w:val="007E29C1"/>
    <w:rsid w:val="007E2AB9"/>
    <w:rsid w:val="007E2C5A"/>
    <w:rsid w:val="007E2D34"/>
    <w:rsid w:val="007E2DEC"/>
    <w:rsid w:val="007E2FAB"/>
    <w:rsid w:val="007E310C"/>
    <w:rsid w:val="007E32C2"/>
    <w:rsid w:val="007E33E9"/>
    <w:rsid w:val="007E3435"/>
    <w:rsid w:val="007E3B8A"/>
    <w:rsid w:val="007E3F71"/>
    <w:rsid w:val="007E48A6"/>
    <w:rsid w:val="007E4F21"/>
    <w:rsid w:val="007E4F7C"/>
    <w:rsid w:val="007E51DB"/>
    <w:rsid w:val="007E5334"/>
    <w:rsid w:val="007E5366"/>
    <w:rsid w:val="007E54C7"/>
    <w:rsid w:val="007E54E0"/>
    <w:rsid w:val="007E5570"/>
    <w:rsid w:val="007E58FF"/>
    <w:rsid w:val="007E5E6D"/>
    <w:rsid w:val="007E6456"/>
    <w:rsid w:val="007E6461"/>
    <w:rsid w:val="007E65BC"/>
    <w:rsid w:val="007E68C9"/>
    <w:rsid w:val="007E6C30"/>
    <w:rsid w:val="007E7687"/>
    <w:rsid w:val="007E7A87"/>
    <w:rsid w:val="007E7D4C"/>
    <w:rsid w:val="007F009B"/>
    <w:rsid w:val="007F05CF"/>
    <w:rsid w:val="007F06D4"/>
    <w:rsid w:val="007F0ADA"/>
    <w:rsid w:val="007F0CDA"/>
    <w:rsid w:val="007F0CF5"/>
    <w:rsid w:val="007F11DA"/>
    <w:rsid w:val="007F1267"/>
    <w:rsid w:val="007F1731"/>
    <w:rsid w:val="007F197A"/>
    <w:rsid w:val="007F1D7F"/>
    <w:rsid w:val="007F1ED4"/>
    <w:rsid w:val="007F23AB"/>
    <w:rsid w:val="007F292F"/>
    <w:rsid w:val="007F2BD1"/>
    <w:rsid w:val="007F2EC0"/>
    <w:rsid w:val="007F2F1C"/>
    <w:rsid w:val="007F2F50"/>
    <w:rsid w:val="007F2FBD"/>
    <w:rsid w:val="007F301A"/>
    <w:rsid w:val="007F315E"/>
    <w:rsid w:val="007F31B9"/>
    <w:rsid w:val="007F39F0"/>
    <w:rsid w:val="007F3DA9"/>
    <w:rsid w:val="007F463C"/>
    <w:rsid w:val="007F4B28"/>
    <w:rsid w:val="007F4CC3"/>
    <w:rsid w:val="007F4E1E"/>
    <w:rsid w:val="007F5EDD"/>
    <w:rsid w:val="007F6AD1"/>
    <w:rsid w:val="007F6B6D"/>
    <w:rsid w:val="007F708B"/>
    <w:rsid w:val="007F7204"/>
    <w:rsid w:val="007F7556"/>
    <w:rsid w:val="007F756D"/>
    <w:rsid w:val="007F758C"/>
    <w:rsid w:val="007F75B8"/>
    <w:rsid w:val="007F7A0E"/>
    <w:rsid w:val="007F7D52"/>
    <w:rsid w:val="007F7F71"/>
    <w:rsid w:val="008006FA"/>
    <w:rsid w:val="00800A28"/>
    <w:rsid w:val="00800A2B"/>
    <w:rsid w:val="00800C20"/>
    <w:rsid w:val="00800CDE"/>
    <w:rsid w:val="008012D3"/>
    <w:rsid w:val="00801D3A"/>
    <w:rsid w:val="008022BF"/>
    <w:rsid w:val="0080257B"/>
    <w:rsid w:val="0080280A"/>
    <w:rsid w:val="00802B1F"/>
    <w:rsid w:val="00802B78"/>
    <w:rsid w:val="00803295"/>
    <w:rsid w:val="00803432"/>
    <w:rsid w:val="00803480"/>
    <w:rsid w:val="0080361D"/>
    <w:rsid w:val="00803C49"/>
    <w:rsid w:val="00803E9E"/>
    <w:rsid w:val="00803EE9"/>
    <w:rsid w:val="00803FBF"/>
    <w:rsid w:val="00804040"/>
    <w:rsid w:val="008043EA"/>
    <w:rsid w:val="008046EA"/>
    <w:rsid w:val="00804B7B"/>
    <w:rsid w:val="00805185"/>
    <w:rsid w:val="008052E9"/>
    <w:rsid w:val="008059B9"/>
    <w:rsid w:val="00805AD8"/>
    <w:rsid w:val="00805BFE"/>
    <w:rsid w:val="00805C78"/>
    <w:rsid w:val="00805D53"/>
    <w:rsid w:val="0080625B"/>
    <w:rsid w:val="00806621"/>
    <w:rsid w:val="0080666B"/>
    <w:rsid w:val="00806DE7"/>
    <w:rsid w:val="00806E9F"/>
    <w:rsid w:val="00806EB5"/>
    <w:rsid w:val="00806EFD"/>
    <w:rsid w:val="0080714E"/>
    <w:rsid w:val="00807431"/>
    <w:rsid w:val="00807791"/>
    <w:rsid w:val="008079DB"/>
    <w:rsid w:val="00807A88"/>
    <w:rsid w:val="008100C6"/>
    <w:rsid w:val="00810308"/>
    <w:rsid w:val="0081044F"/>
    <w:rsid w:val="00810674"/>
    <w:rsid w:val="00810C33"/>
    <w:rsid w:val="00811020"/>
    <w:rsid w:val="008110B7"/>
    <w:rsid w:val="00811309"/>
    <w:rsid w:val="00811A5F"/>
    <w:rsid w:val="00811B19"/>
    <w:rsid w:val="00811CC7"/>
    <w:rsid w:val="00811E7B"/>
    <w:rsid w:val="0081218E"/>
    <w:rsid w:val="008125E4"/>
    <w:rsid w:val="008125FF"/>
    <w:rsid w:val="0081266B"/>
    <w:rsid w:val="00812939"/>
    <w:rsid w:val="00812971"/>
    <w:rsid w:val="00812F86"/>
    <w:rsid w:val="00813042"/>
    <w:rsid w:val="00813132"/>
    <w:rsid w:val="008132DC"/>
    <w:rsid w:val="008139DA"/>
    <w:rsid w:val="00813B1E"/>
    <w:rsid w:val="00813D2D"/>
    <w:rsid w:val="00813DE5"/>
    <w:rsid w:val="008142B2"/>
    <w:rsid w:val="00814329"/>
    <w:rsid w:val="00814361"/>
    <w:rsid w:val="0081437C"/>
    <w:rsid w:val="008144F7"/>
    <w:rsid w:val="008145E1"/>
    <w:rsid w:val="0081480E"/>
    <w:rsid w:val="00814BC8"/>
    <w:rsid w:val="00814D2F"/>
    <w:rsid w:val="008151F6"/>
    <w:rsid w:val="008153B3"/>
    <w:rsid w:val="00815C26"/>
    <w:rsid w:val="00815F15"/>
    <w:rsid w:val="00816160"/>
    <w:rsid w:val="00816271"/>
    <w:rsid w:val="0081670D"/>
    <w:rsid w:val="0081685C"/>
    <w:rsid w:val="008168BF"/>
    <w:rsid w:val="008168E9"/>
    <w:rsid w:val="00816A32"/>
    <w:rsid w:val="00816AA7"/>
    <w:rsid w:val="00816E79"/>
    <w:rsid w:val="008174BE"/>
    <w:rsid w:val="008178F7"/>
    <w:rsid w:val="00817E2A"/>
    <w:rsid w:val="008201D8"/>
    <w:rsid w:val="00820702"/>
    <w:rsid w:val="008208F4"/>
    <w:rsid w:val="00820B77"/>
    <w:rsid w:val="00820CED"/>
    <w:rsid w:val="008213D5"/>
    <w:rsid w:val="008214A0"/>
    <w:rsid w:val="008215AB"/>
    <w:rsid w:val="008217F9"/>
    <w:rsid w:val="00821F53"/>
    <w:rsid w:val="008221BF"/>
    <w:rsid w:val="00822337"/>
    <w:rsid w:val="0082241A"/>
    <w:rsid w:val="00823272"/>
    <w:rsid w:val="0082330F"/>
    <w:rsid w:val="00823535"/>
    <w:rsid w:val="00823680"/>
    <w:rsid w:val="008236F9"/>
    <w:rsid w:val="00823A66"/>
    <w:rsid w:val="00823A98"/>
    <w:rsid w:val="008241C8"/>
    <w:rsid w:val="00824402"/>
    <w:rsid w:val="008247D2"/>
    <w:rsid w:val="00825065"/>
    <w:rsid w:val="008250F0"/>
    <w:rsid w:val="00825580"/>
    <w:rsid w:val="00825E37"/>
    <w:rsid w:val="00826736"/>
    <w:rsid w:val="008268D4"/>
    <w:rsid w:val="00826BFB"/>
    <w:rsid w:val="00826CD4"/>
    <w:rsid w:val="008271C6"/>
    <w:rsid w:val="00827282"/>
    <w:rsid w:val="008272F3"/>
    <w:rsid w:val="0082734B"/>
    <w:rsid w:val="0082759E"/>
    <w:rsid w:val="00827607"/>
    <w:rsid w:val="00827692"/>
    <w:rsid w:val="00827792"/>
    <w:rsid w:val="00827EAF"/>
    <w:rsid w:val="00827FFD"/>
    <w:rsid w:val="008300D5"/>
    <w:rsid w:val="00830294"/>
    <w:rsid w:val="00830873"/>
    <w:rsid w:val="0083099E"/>
    <w:rsid w:val="00830C20"/>
    <w:rsid w:val="00830CAE"/>
    <w:rsid w:val="00830D27"/>
    <w:rsid w:val="00830EBD"/>
    <w:rsid w:val="0083103A"/>
    <w:rsid w:val="008311C8"/>
    <w:rsid w:val="00831314"/>
    <w:rsid w:val="0083151C"/>
    <w:rsid w:val="008317EB"/>
    <w:rsid w:val="00831B66"/>
    <w:rsid w:val="00831BEA"/>
    <w:rsid w:val="00831FB1"/>
    <w:rsid w:val="00832231"/>
    <w:rsid w:val="00832C51"/>
    <w:rsid w:val="00833271"/>
    <w:rsid w:val="008332A9"/>
    <w:rsid w:val="0083338B"/>
    <w:rsid w:val="008338F2"/>
    <w:rsid w:val="00833920"/>
    <w:rsid w:val="00833EB5"/>
    <w:rsid w:val="008340FA"/>
    <w:rsid w:val="0083410E"/>
    <w:rsid w:val="00834243"/>
    <w:rsid w:val="0083435D"/>
    <w:rsid w:val="008343F9"/>
    <w:rsid w:val="00834599"/>
    <w:rsid w:val="00834A75"/>
    <w:rsid w:val="00834B45"/>
    <w:rsid w:val="00834C50"/>
    <w:rsid w:val="00834CB5"/>
    <w:rsid w:val="00834DBD"/>
    <w:rsid w:val="00834DD0"/>
    <w:rsid w:val="00835036"/>
    <w:rsid w:val="0083515F"/>
    <w:rsid w:val="008356AE"/>
    <w:rsid w:val="00835780"/>
    <w:rsid w:val="00835A84"/>
    <w:rsid w:val="00835AE2"/>
    <w:rsid w:val="00835B9F"/>
    <w:rsid w:val="00835DFB"/>
    <w:rsid w:val="008361B4"/>
    <w:rsid w:val="008367D9"/>
    <w:rsid w:val="008368A8"/>
    <w:rsid w:val="00836913"/>
    <w:rsid w:val="00836DE9"/>
    <w:rsid w:val="00836ED4"/>
    <w:rsid w:val="00836FCD"/>
    <w:rsid w:val="00837292"/>
    <w:rsid w:val="0083764E"/>
    <w:rsid w:val="008377F5"/>
    <w:rsid w:val="008378B4"/>
    <w:rsid w:val="00837A25"/>
    <w:rsid w:val="00837D6B"/>
    <w:rsid w:val="008400CE"/>
    <w:rsid w:val="0084020B"/>
    <w:rsid w:val="00840541"/>
    <w:rsid w:val="008405F2"/>
    <w:rsid w:val="0084066E"/>
    <w:rsid w:val="00840A01"/>
    <w:rsid w:val="008413B8"/>
    <w:rsid w:val="008413C1"/>
    <w:rsid w:val="00841695"/>
    <w:rsid w:val="0084199F"/>
    <w:rsid w:val="008419D8"/>
    <w:rsid w:val="008423B1"/>
    <w:rsid w:val="00842778"/>
    <w:rsid w:val="008429D9"/>
    <w:rsid w:val="00842C90"/>
    <w:rsid w:val="00843489"/>
    <w:rsid w:val="008437CE"/>
    <w:rsid w:val="00843C91"/>
    <w:rsid w:val="00843EF3"/>
    <w:rsid w:val="00843F3C"/>
    <w:rsid w:val="00844095"/>
    <w:rsid w:val="00844336"/>
    <w:rsid w:val="0084444C"/>
    <w:rsid w:val="00844704"/>
    <w:rsid w:val="008449BB"/>
    <w:rsid w:val="00844FEF"/>
    <w:rsid w:val="008450E9"/>
    <w:rsid w:val="00845334"/>
    <w:rsid w:val="0084544D"/>
    <w:rsid w:val="008456D4"/>
    <w:rsid w:val="00845749"/>
    <w:rsid w:val="00845ACF"/>
    <w:rsid w:val="00845D99"/>
    <w:rsid w:val="00845ED9"/>
    <w:rsid w:val="0084602D"/>
    <w:rsid w:val="00846718"/>
    <w:rsid w:val="00846973"/>
    <w:rsid w:val="00846E00"/>
    <w:rsid w:val="00847154"/>
    <w:rsid w:val="0084722F"/>
    <w:rsid w:val="00847296"/>
    <w:rsid w:val="008474F8"/>
    <w:rsid w:val="008476E4"/>
    <w:rsid w:val="008478CA"/>
    <w:rsid w:val="008478D8"/>
    <w:rsid w:val="00847DDD"/>
    <w:rsid w:val="00850131"/>
    <w:rsid w:val="00850330"/>
    <w:rsid w:val="00850685"/>
    <w:rsid w:val="00850703"/>
    <w:rsid w:val="00850EF7"/>
    <w:rsid w:val="00851098"/>
    <w:rsid w:val="0085166A"/>
    <w:rsid w:val="00851A33"/>
    <w:rsid w:val="0085249D"/>
    <w:rsid w:val="0085283C"/>
    <w:rsid w:val="008528FF"/>
    <w:rsid w:val="00852BB3"/>
    <w:rsid w:val="00852BDC"/>
    <w:rsid w:val="00852EB7"/>
    <w:rsid w:val="00852F90"/>
    <w:rsid w:val="0085313D"/>
    <w:rsid w:val="008531AE"/>
    <w:rsid w:val="008536D1"/>
    <w:rsid w:val="00853872"/>
    <w:rsid w:val="008538B1"/>
    <w:rsid w:val="00854069"/>
    <w:rsid w:val="0085408F"/>
    <w:rsid w:val="008540FD"/>
    <w:rsid w:val="00854654"/>
    <w:rsid w:val="008546FD"/>
    <w:rsid w:val="00854A47"/>
    <w:rsid w:val="00854C1F"/>
    <w:rsid w:val="00854C62"/>
    <w:rsid w:val="00854F22"/>
    <w:rsid w:val="00855189"/>
    <w:rsid w:val="0085520F"/>
    <w:rsid w:val="008552B5"/>
    <w:rsid w:val="00855618"/>
    <w:rsid w:val="00855732"/>
    <w:rsid w:val="00855905"/>
    <w:rsid w:val="00855C7F"/>
    <w:rsid w:val="00855E33"/>
    <w:rsid w:val="00856170"/>
    <w:rsid w:val="008561BC"/>
    <w:rsid w:val="008563EB"/>
    <w:rsid w:val="0085690E"/>
    <w:rsid w:val="00856B18"/>
    <w:rsid w:val="00856C36"/>
    <w:rsid w:val="00856DB7"/>
    <w:rsid w:val="0085787C"/>
    <w:rsid w:val="00857969"/>
    <w:rsid w:val="00857B00"/>
    <w:rsid w:val="00857DAF"/>
    <w:rsid w:val="00860946"/>
    <w:rsid w:val="00860B69"/>
    <w:rsid w:val="00860C5A"/>
    <w:rsid w:val="008611B4"/>
    <w:rsid w:val="0086124E"/>
    <w:rsid w:val="008613C0"/>
    <w:rsid w:val="0086140B"/>
    <w:rsid w:val="008614F3"/>
    <w:rsid w:val="0086152D"/>
    <w:rsid w:val="0086179D"/>
    <w:rsid w:val="00861821"/>
    <w:rsid w:val="008618A8"/>
    <w:rsid w:val="0086192F"/>
    <w:rsid w:val="008619E5"/>
    <w:rsid w:val="00861D08"/>
    <w:rsid w:val="00861E7B"/>
    <w:rsid w:val="00861E7E"/>
    <w:rsid w:val="008621A7"/>
    <w:rsid w:val="008624D0"/>
    <w:rsid w:val="008627A6"/>
    <w:rsid w:val="00862C19"/>
    <w:rsid w:val="00862F46"/>
    <w:rsid w:val="008633E6"/>
    <w:rsid w:val="0086357E"/>
    <w:rsid w:val="008636C3"/>
    <w:rsid w:val="00863A45"/>
    <w:rsid w:val="00863DD1"/>
    <w:rsid w:val="008646F0"/>
    <w:rsid w:val="00864739"/>
    <w:rsid w:val="008647AF"/>
    <w:rsid w:val="00864888"/>
    <w:rsid w:val="00864F6E"/>
    <w:rsid w:val="00865095"/>
    <w:rsid w:val="00865664"/>
    <w:rsid w:val="00865B7A"/>
    <w:rsid w:val="00865CF8"/>
    <w:rsid w:val="00866158"/>
    <w:rsid w:val="00866403"/>
    <w:rsid w:val="008664A6"/>
    <w:rsid w:val="008665CF"/>
    <w:rsid w:val="0086669E"/>
    <w:rsid w:val="00866A31"/>
    <w:rsid w:val="00866A6F"/>
    <w:rsid w:val="008670C4"/>
    <w:rsid w:val="0086759B"/>
    <w:rsid w:val="0087034E"/>
    <w:rsid w:val="008703F6"/>
    <w:rsid w:val="00870565"/>
    <w:rsid w:val="00870682"/>
    <w:rsid w:val="00870686"/>
    <w:rsid w:val="008706C6"/>
    <w:rsid w:val="00870A36"/>
    <w:rsid w:val="00870C68"/>
    <w:rsid w:val="00870CFB"/>
    <w:rsid w:val="00870E42"/>
    <w:rsid w:val="008711A8"/>
    <w:rsid w:val="00871359"/>
    <w:rsid w:val="00871642"/>
    <w:rsid w:val="008719AF"/>
    <w:rsid w:val="00871B61"/>
    <w:rsid w:val="00871D48"/>
    <w:rsid w:val="00871F5C"/>
    <w:rsid w:val="00872539"/>
    <w:rsid w:val="00872A27"/>
    <w:rsid w:val="00872B7A"/>
    <w:rsid w:val="00872BFE"/>
    <w:rsid w:val="00872D6C"/>
    <w:rsid w:val="008730C0"/>
    <w:rsid w:val="008735F9"/>
    <w:rsid w:val="00874131"/>
    <w:rsid w:val="00874795"/>
    <w:rsid w:val="008750B4"/>
    <w:rsid w:val="00875386"/>
    <w:rsid w:val="008754D9"/>
    <w:rsid w:val="00875717"/>
    <w:rsid w:val="008759FE"/>
    <w:rsid w:val="00875EF2"/>
    <w:rsid w:val="0087605A"/>
    <w:rsid w:val="008765FA"/>
    <w:rsid w:val="0087682B"/>
    <w:rsid w:val="00876848"/>
    <w:rsid w:val="00876929"/>
    <w:rsid w:val="00876B6E"/>
    <w:rsid w:val="00876E72"/>
    <w:rsid w:val="00876EBB"/>
    <w:rsid w:val="00877362"/>
    <w:rsid w:val="008773FE"/>
    <w:rsid w:val="008774A4"/>
    <w:rsid w:val="00877795"/>
    <w:rsid w:val="0087798E"/>
    <w:rsid w:val="00877B2A"/>
    <w:rsid w:val="00877B92"/>
    <w:rsid w:val="00880165"/>
    <w:rsid w:val="00880506"/>
    <w:rsid w:val="00880E85"/>
    <w:rsid w:val="008811DE"/>
    <w:rsid w:val="008817DD"/>
    <w:rsid w:val="00881CEE"/>
    <w:rsid w:val="00881FC0"/>
    <w:rsid w:val="008822D3"/>
    <w:rsid w:val="008828DE"/>
    <w:rsid w:val="00882A15"/>
    <w:rsid w:val="00882AB2"/>
    <w:rsid w:val="00882C24"/>
    <w:rsid w:val="00883528"/>
    <w:rsid w:val="008836A6"/>
    <w:rsid w:val="008837C7"/>
    <w:rsid w:val="008845AD"/>
    <w:rsid w:val="008845F5"/>
    <w:rsid w:val="00884C86"/>
    <w:rsid w:val="00884E33"/>
    <w:rsid w:val="00885355"/>
    <w:rsid w:val="008855C9"/>
    <w:rsid w:val="008857FE"/>
    <w:rsid w:val="008864B1"/>
    <w:rsid w:val="00886D45"/>
    <w:rsid w:val="00886D64"/>
    <w:rsid w:val="00886FF6"/>
    <w:rsid w:val="008871C5"/>
    <w:rsid w:val="0088794A"/>
    <w:rsid w:val="00887B85"/>
    <w:rsid w:val="00887C12"/>
    <w:rsid w:val="00887C5E"/>
    <w:rsid w:val="0089042F"/>
    <w:rsid w:val="00890A4D"/>
    <w:rsid w:val="00890AD3"/>
    <w:rsid w:val="00890C17"/>
    <w:rsid w:val="00890F57"/>
    <w:rsid w:val="00891180"/>
    <w:rsid w:val="0089156A"/>
    <w:rsid w:val="008916A4"/>
    <w:rsid w:val="00891A6C"/>
    <w:rsid w:val="00891CD0"/>
    <w:rsid w:val="00891D25"/>
    <w:rsid w:val="0089215F"/>
    <w:rsid w:val="008922BB"/>
    <w:rsid w:val="0089252C"/>
    <w:rsid w:val="00892550"/>
    <w:rsid w:val="00892982"/>
    <w:rsid w:val="00892D08"/>
    <w:rsid w:val="00892D7D"/>
    <w:rsid w:val="00892EC8"/>
    <w:rsid w:val="00893374"/>
    <w:rsid w:val="0089359D"/>
    <w:rsid w:val="0089360C"/>
    <w:rsid w:val="008937FC"/>
    <w:rsid w:val="00893EBA"/>
    <w:rsid w:val="00893F8C"/>
    <w:rsid w:val="008946EF"/>
    <w:rsid w:val="0089473C"/>
    <w:rsid w:val="008947E7"/>
    <w:rsid w:val="00894CF4"/>
    <w:rsid w:val="00894EEE"/>
    <w:rsid w:val="00894FEF"/>
    <w:rsid w:val="0089530F"/>
    <w:rsid w:val="00895656"/>
    <w:rsid w:val="0089567E"/>
    <w:rsid w:val="00895A0C"/>
    <w:rsid w:val="00896050"/>
    <w:rsid w:val="00896051"/>
    <w:rsid w:val="00896132"/>
    <w:rsid w:val="008966FF"/>
    <w:rsid w:val="008969B8"/>
    <w:rsid w:val="00896B0E"/>
    <w:rsid w:val="00896EA6"/>
    <w:rsid w:val="0089759C"/>
    <w:rsid w:val="00897678"/>
    <w:rsid w:val="00897735"/>
    <w:rsid w:val="008977C0"/>
    <w:rsid w:val="00897A95"/>
    <w:rsid w:val="00897BB6"/>
    <w:rsid w:val="00897D97"/>
    <w:rsid w:val="008A0079"/>
    <w:rsid w:val="008A033A"/>
    <w:rsid w:val="008A0369"/>
    <w:rsid w:val="008A039B"/>
    <w:rsid w:val="008A099C"/>
    <w:rsid w:val="008A0BE2"/>
    <w:rsid w:val="008A0D63"/>
    <w:rsid w:val="008A1187"/>
    <w:rsid w:val="008A13A4"/>
    <w:rsid w:val="008A1596"/>
    <w:rsid w:val="008A1777"/>
    <w:rsid w:val="008A17EF"/>
    <w:rsid w:val="008A1837"/>
    <w:rsid w:val="008A1CFD"/>
    <w:rsid w:val="008A1DEE"/>
    <w:rsid w:val="008A1E3A"/>
    <w:rsid w:val="008A23AA"/>
    <w:rsid w:val="008A27E2"/>
    <w:rsid w:val="008A2944"/>
    <w:rsid w:val="008A2A0C"/>
    <w:rsid w:val="008A2E5B"/>
    <w:rsid w:val="008A3115"/>
    <w:rsid w:val="008A3260"/>
    <w:rsid w:val="008A336B"/>
    <w:rsid w:val="008A357B"/>
    <w:rsid w:val="008A3596"/>
    <w:rsid w:val="008A3BC5"/>
    <w:rsid w:val="008A422F"/>
    <w:rsid w:val="008A4589"/>
    <w:rsid w:val="008A4B3E"/>
    <w:rsid w:val="008A4DB7"/>
    <w:rsid w:val="008A5112"/>
    <w:rsid w:val="008A52C5"/>
    <w:rsid w:val="008A535E"/>
    <w:rsid w:val="008A58A8"/>
    <w:rsid w:val="008A5A92"/>
    <w:rsid w:val="008A622D"/>
    <w:rsid w:val="008A6652"/>
    <w:rsid w:val="008A6A23"/>
    <w:rsid w:val="008A6A7F"/>
    <w:rsid w:val="008A6FF0"/>
    <w:rsid w:val="008A733B"/>
    <w:rsid w:val="008A74A0"/>
    <w:rsid w:val="008A763C"/>
    <w:rsid w:val="008A7EAE"/>
    <w:rsid w:val="008A7F88"/>
    <w:rsid w:val="008B057F"/>
    <w:rsid w:val="008B0649"/>
    <w:rsid w:val="008B0761"/>
    <w:rsid w:val="008B1061"/>
    <w:rsid w:val="008B1193"/>
    <w:rsid w:val="008B1499"/>
    <w:rsid w:val="008B187A"/>
    <w:rsid w:val="008B1B53"/>
    <w:rsid w:val="008B1ED7"/>
    <w:rsid w:val="008B2058"/>
    <w:rsid w:val="008B2287"/>
    <w:rsid w:val="008B23FA"/>
    <w:rsid w:val="008B24E9"/>
    <w:rsid w:val="008B29A4"/>
    <w:rsid w:val="008B2B43"/>
    <w:rsid w:val="008B2D20"/>
    <w:rsid w:val="008B3165"/>
    <w:rsid w:val="008B339E"/>
    <w:rsid w:val="008B3446"/>
    <w:rsid w:val="008B358C"/>
    <w:rsid w:val="008B366D"/>
    <w:rsid w:val="008B3CD4"/>
    <w:rsid w:val="008B49B6"/>
    <w:rsid w:val="008B4F82"/>
    <w:rsid w:val="008B51F9"/>
    <w:rsid w:val="008B526F"/>
    <w:rsid w:val="008B544E"/>
    <w:rsid w:val="008B5522"/>
    <w:rsid w:val="008B5572"/>
    <w:rsid w:val="008B5646"/>
    <w:rsid w:val="008B57FA"/>
    <w:rsid w:val="008B593F"/>
    <w:rsid w:val="008B5A12"/>
    <w:rsid w:val="008B5BD8"/>
    <w:rsid w:val="008B5E3C"/>
    <w:rsid w:val="008B608A"/>
    <w:rsid w:val="008B6341"/>
    <w:rsid w:val="008B67FD"/>
    <w:rsid w:val="008B683F"/>
    <w:rsid w:val="008B6891"/>
    <w:rsid w:val="008B6B70"/>
    <w:rsid w:val="008B72AE"/>
    <w:rsid w:val="008B7626"/>
    <w:rsid w:val="008B76C9"/>
    <w:rsid w:val="008B77FD"/>
    <w:rsid w:val="008B7D45"/>
    <w:rsid w:val="008B7DA2"/>
    <w:rsid w:val="008B7E5F"/>
    <w:rsid w:val="008B7FA2"/>
    <w:rsid w:val="008C0004"/>
    <w:rsid w:val="008C005A"/>
    <w:rsid w:val="008C01C4"/>
    <w:rsid w:val="008C04D2"/>
    <w:rsid w:val="008C053F"/>
    <w:rsid w:val="008C081F"/>
    <w:rsid w:val="008C0B59"/>
    <w:rsid w:val="008C1146"/>
    <w:rsid w:val="008C14BB"/>
    <w:rsid w:val="008C14CA"/>
    <w:rsid w:val="008C14D8"/>
    <w:rsid w:val="008C1CCD"/>
    <w:rsid w:val="008C1E28"/>
    <w:rsid w:val="008C1F76"/>
    <w:rsid w:val="008C2278"/>
    <w:rsid w:val="008C2759"/>
    <w:rsid w:val="008C28E0"/>
    <w:rsid w:val="008C2DC6"/>
    <w:rsid w:val="008C2E9D"/>
    <w:rsid w:val="008C398D"/>
    <w:rsid w:val="008C3CCC"/>
    <w:rsid w:val="008C3CF6"/>
    <w:rsid w:val="008C4957"/>
    <w:rsid w:val="008C4A05"/>
    <w:rsid w:val="008C4C81"/>
    <w:rsid w:val="008C4F68"/>
    <w:rsid w:val="008C5327"/>
    <w:rsid w:val="008C545B"/>
    <w:rsid w:val="008C55BD"/>
    <w:rsid w:val="008C577D"/>
    <w:rsid w:val="008C57E8"/>
    <w:rsid w:val="008C605F"/>
    <w:rsid w:val="008C630B"/>
    <w:rsid w:val="008C666C"/>
    <w:rsid w:val="008C670F"/>
    <w:rsid w:val="008C679D"/>
    <w:rsid w:val="008C69CC"/>
    <w:rsid w:val="008C6D18"/>
    <w:rsid w:val="008C7132"/>
    <w:rsid w:val="008C7256"/>
    <w:rsid w:val="008C73D2"/>
    <w:rsid w:val="008C76D8"/>
    <w:rsid w:val="008C780F"/>
    <w:rsid w:val="008C78A7"/>
    <w:rsid w:val="008C79B0"/>
    <w:rsid w:val="008C7CA2"/>
    <w:rsid w:val="008C7D3B"/>
    <w:rsid w:val="008C7D8C"/>
    <w:rsid w:val="008C7EA9"/>
    <w:rsid w:val="008D026D"/>
    <w:rsid w:val="008D02D2"/>
    <w:rsid w:val="008D047A"/>
    <w:rsid w:val="008D0781"/>
    <w:rsid w:val="008D07F8"/>
    <w:rsid w:val="008D0C29"/>
    <w:rsid w:val="008D0DAE"/>
    <w:rsid w:val="008D0EFB"/>
    <w:rsid w:val="008D0FE2"/>
    <w:rsid w:val="008D15A6"/>
    <w:rsid w:val="008D1705"/>
    <w:rsid w:val="008D17CF"/>
    <w:rsid w:val="008D1810"/>
    <w:rsid w:val="008D1AD3"/>
    <w:rsid w:val="008D1B6D"/>
    <w:rsid w:val="008D1BEC"/>
    <w:rsid w:val="008D1E78"/>
    <w:rsid w:val="008D1EE6"/>
    <w:rsid w:val="008D2058"/>
    <w:rsid w:val="008D2554"/>
    <w:rsid w:val="008D288E"/>
    <w:rsid w:val="008D292D"/>
    <w:rsid w:val="008D2942"/>
    <w:rsid w:val="008D29B9"/>
    <w:rsid w:val="008D29EF"/>
    <w:rsid w:val="008D2A1A"/>
    <w:rsid w:val="008D2A5B"/>
    <w:rsid w:val="008D2DBD"/>
    <w:rsid w:val="008D2DCE"/>
    <w:rsid w:val="008D323C"/>
    <w:rsid w:val="008D339F"/>
    <w:rsid w:val="008D35D8"/>
    <w:rsid w:val="008D3827"/>
    <w:rsid w:val="008D3893"/>
    <w:rsid w:val="008D38AC"/>
    <w:rsid w:val="008D394A"/>
    <w:rsid w:val="008D3952"/>
    <w:rsid w:val="008D3C74"/>
    <w:rsid w:val="008D412E"/>
    <w:rsid w:val="008D4DCE"/>
    <w:rsid w:val="008D4F5C"/>
    <w:rsid w:val="008D5391"/>
    <w:rsid w:val="008D5587"/>
    <w:rsid w:val="008D5711"/>
    <w:rsid w:val="008D5886"/>
    <w:rsid w:val="008D590F"/>
    <w:rsid w:val="008D5AC1"/>
    <w:rsid w:val="008D5CCD"/>
    <w:rsid w:val="008D5D81"/>
    <w:rsid w:val="008D5DA1"/>
    <w:rsid w:val="008D6317"/>
    <w:rsid w:val="008D64C0"/>
    <w:rsid w:val="008D6A04"/>
    <w:rsid w:val="008D6ACE"/>
    <w:rsid w:val="008D6AE8"/>
    <w:rsid w:val="008D6F2E"/>
    <w:rsid w:val="008D7404"/>
    <w:rsid w:val="008D7E6E"/>
    <w:rsid w:val="008D7F38"/>
    <w:rsid w:val="008E13EE"/>
    <w:rsid w:val="008E1459"/>
    <w:rsid w:val="008E1589"/>
    <w:rsid w:val="008E15E9"/>
    <w:rsid w:val="008E15EA"/>
    <w:rsid w:val="008E16CB"/>
    <w:rsid w:val="008E1A62"/>
    <w:rsid w:val="008E1CCC"/>
    <w:rsid w:val="008E1DAF"/>
    <w:rsid w:val="008E209B"/>
    <w:rsid w:val="008E20CA"/>
    <w:rsid w:val="008E21FD"/>
    <w:rsid w:val="008E2278"/>
    <w:rsid w:val="008E2675"/>
    <w:rsid w:val="008E2A12"/>
    <w:rsid w:val="008E301F"/>
    <w:rsid w:val="008E3239"/>
    <w:rsid w:val="008E3359"/>
    <w:rsid w:val="008E3549"/>
    <w:rsid w:val="008E35ED"/>
    <w:rsid w:val="008E38A3"/>
    <w:rsid w:val="008E4034"/>
    <w:rsid w:val="008E4281"/>
    <w:rsid w:val="008E49AF"/>
    <w:rsid w:val="008E4D00"/>
    <w:rsid w:val="008E5023"/>
    <w:rsid w:val="008E50EF"/>
    <w:rsid w:val="008E5930"/>
    <w:rsid w:val="008E6292"/>
    <w:rsid w:val="008E6384"/>
    <w:rsid w:val="008E6461"/>
    <w:rsid w:val="008E69F5"/>
    <w:rsid w:val="008E6B54"/>
    <w:rsid w:val="008E6B96"/>
    <w:rsid w:val="008E6BAE"/>
    <w:rsid w:val="008E7204"/>
    <w:rsid w:val="008E7320"/>
    <w:rsid w:val="008E73E9"/>
    <w:rsid w:val="008E7A32"/>
    <w:rsid w:val="008E7D11"/>
    <w:rsid w:val="008E7DBB"/>
    <w:rsid w:val="008E7FF1"/>
    <w:rsid w:val="008F0061"/>
    <w:rsid w:val="008F0440"/>
    <w:rsid w:val="008F0507"/>
    <w:rsid w:val="008F097F"/>
    <w:rsid w:val="008F0A0F"/>
    <w:rsid w:val="008F0A99"/>
    <w:rsid w:val="008F0CE9"/>
    <w:rsid w:val="008F130F"/>
    <w:rsid w:val="008F1680"/>
    <w:rsid w:val="008F1760"/>
    <w:rsid w:val="008F18D3"/>
    <w:rsid w:val="008F19A7"/>
    <w:rsid w:val="008F1B58"/>
    <w:rsid w:val="008F1C78"/>
    <w:rsid w:val="008F204D"/>
    <w:rsid w:val="008F221C"/>
    <w:rsid w:val="008F24EC"/>
    <w:rsid w:val="008F25ED"/>
    <w:rsid w:val="008F2799"/>
    <w:rsid w:val="008F29BC"/>
    <w:rsid w:val="008F332D"/>
    <w:rsid w:val="008F33FC"/>
    <w:rsid w:val="008F3F4C"/>
    <w:rsid w:val="008F41E8"/>
    <w:rsid w:val="008F473B"/>
    <w:rsid w:val="008F477B"/>
    <w:rsid w:val="008F480B"/>
    <w:rsid w:val="008F4CDC"/>
    <w:rsid w:val="008F56AF"/>
    <w:rsid w:val="008F59C8"/>
    <w:rsid w:val="008F5E3F"/>
    <w:rsid w:val="008F5EC7"/>
    <w:rsid w:val="008F5F6C"/>
    <w:rsid w:val="008F5F84"/>
    <w:rsid w:val="008F636D"/>
    <w:rsid w:val="008F6436"/>
    <w:rsid w:val="008F64BD"/>
    <w:rsid w:val="008F6514"/>
    <w:rsid w:val="008F671D"/>
    <w:rsid w:val="008F6735"/>
    <w:rsid w:val="008F6739"/>
    <w:rsid w:val="008F6749"/>
    <w:rsid w:val="008F6790"/>
    <w:rsid w:val="008F6D0E"/>
    <w:rsid w:val="008F6D10"/>
    <w:rsid w:val="008F6E57"/>
    <w:rsid w:val="008F72A4"/>
    <w:rsid w:val="008F7474"/>
    <w:rsid w:val="008F7B51"/>
    <w:rsid w:val="00900017"/>
    <w:rsid w:val="0090004B"/>
    <w:rsid w:val="009001C4"/>
    <w:rsid w:val="00900329"/>
    <w:rsid w:val="009003D0"/>
    <w:rsid w:val="00900750"/>
    <w:rsid w:val="00900825"/>
    <w:rsid w:val="00900AA3"/>
    <w:rsid w:val="00900C60"/>
    <w:rsid w:val="0090157B"/>
    <w:rsid w:val="00901D25"/>
    <w:rsid w:val="00901D7E"/>
    <w:rsid w:val="00901E0E"/>
    <w:rsid w:val="0090211E"/>
    <w:rsid w:val="009022FB"/>
    <w:rsid w:val="0090264E"/>
    <w:rsid w:val="009028E9"/>
    <w:rsid w:val="009029F0"/>
    <w:rsid w:val="0090336B"/>
    <w:rsid w:val="0090361E"/>
    <w:rsid w:val="00903827"/>
    <w:rsid w:val="00903856"/>
    <w:rsid w:val="00903967"/>
    <w:rsid w:val="00903B9A"/>
    <w:rsid w:val="00903C5F"/>
    <w:rsid w:val="00903F37"/>
    <w:rsid w:val="00904244"/>
    <w:rsid w:val="00904360"/>
    <w:rsid w:val="00904A8F"/>
    <w:rsid w:val="00904B47"/>
    <w:rsid w:val="00904C84"/>
    <w:rsid w:val="00905563"/>
    <w:rsid w:val="00905921"/>
    <w:rsid w:val="00906143"/>
    <w:rsid w:val="009063D7"/>
    <w:rsid w:val="0090668F"/>
    <w:rsid w:val="00906759"/>
    <w:rsid w:val="0090682B"/>
    <w:rsid w:val="00906BF1"/>
    <w:rsid w:val="00906F17"/>
    <w:rsid w:val="00906F87"/>
    <w:rsid w:val="009070EE"/>
    <w:rsid w:val="00907367"/>
    <w:rsid w:val="009074CE"/>
    <w:rsid w:val="009074D5"/>
    <w:rsid w:val="00907581"/>
    <w:rsid w:val="009078A5"/>
    <w:rsid w:val="009078F6"/>
    <w:rsid w:val="00907A62"/>
    <w:rsid w:val="00907A7B"/>
    <w:rsid w:val="00907B3B"/>
    <w:rsid w:val="00907BB8"/>
    <w:rsid w:val="0091000E"/>
    <w:rsid w:val="00910342"/>
    <w:rsid w:val="00910638"/>
    <w:rsid w:val="00910A1D"/>
    <w:rsid w:val="00910ADB"/>
    <w:rsid w:val="00910B19"/>
    <w:rsid w:val="00910CAA"/>
    <w:rsid w:val="00910DC7"/>
    <w:rsid w:val="009116DA"/>
    <w:rsid w:val="00911BF2"/>
    <w:rsid w:val="00911D0E"/>
    <w:rsid w:val="00911D91"/>
    <w:rsid w:val="00911EAB"/>
    <w:rsid w:val="00911F28"/>
    <w:rsid w:val="0091226B"/>
    <w:rsid w:val="0091293C"/>
    <w:rsid w:val="00912CB0"/>
    <w:rsid w:val="00912D19"/>
    <w:rsid w:val="009137CA"/>
    <w:rsid w:val="00913903"/>
    <w:rsid w:val="00913988"/>
    <w:rsid w:val="009143E8"/>
    <w:rsid w:val="009143F5"/>
    <w:rsid w:val="00914B55"/>
    <w:rsid w:val="00914DBE"/>
    <w:rsid w:val="00914DE8"/>
    <w:rsid w:val="00914EDE"/>
    <w:rsid w:val="00914F27"/>
    <w:rsid w:val="00915012"/>
    <w:rsid w:val="00915D0D"/>
    <w:rsid w:val="00915D5A"/>
    <w:rsid w:val="00915D8C"/>
    <w:rsid w:val="00915E6E"/>
    <w:rsid w:val="0091627E"/>
    <w:rsid w:val="00916457"/>
    <w:rsid w:val="009164CA"/>
    <w:rsid w:val="0091652C"/>
    <w:rsid w:val="00916AEE"/>
    <w:rsid w:val="00916EAF"/>
    <w:rsid w:val="00917274"/>
    <w:rsid w:val="009172C0"/>
    <w:rsid w:val="00917C2D"/>
    <w:rsid w:val="00917D89"/>
    <w:rsid w:val="00917EF1"/>
    <w:rsid w:val="00920567"/>
    <w:rsid w:val="00920B4E"/>
    <w:rsid w:val="00920BE5"/>
    <w:rsid w:val="009210AF"/>
    <w:rsid w:val="009211DF"/>
    <w:rsid w:val="00921501"/>
    <w:rsid w:val="009216C0"/>
    <w:rsid w:val="009216DB"/>
    <w:rsid w:val="00921730"/>
    <w:rsid w:val="00921777"/>
    <w:rsid w:val="00921985"/>
    <w:rsid w:val="00921EDD"/>
    <w:rsid w:val="00922181"/>
    <w:rsid w:val="0092225B"/>
    <w:rsid w:val="009222D4"/>
    <w:rsid w:val="009225FF"/>
    <w:rsid w:val="009227E2"/>
    <w:rsid w:val="00922892"/>
    <w:rsid w:val="009228B0"/>
    <w:rsid w:val="00922BD8"/>
    <w:rsid w:val="009230F1"/>
    <w:rsid w:val="009234F3"/>
    <w:rsid w:val="009237AB"/>
    <w:rsid w:val="009238C2"/>
    <w:rsid w:val="009242DA"/>
    <w:rsid w:val="0092471D"/>
    <w:rsid w:val="009247E4"/>
    <w:rsid w:val="009247F4"/>
    <w:rsid w:val="0092499C"/>
    <w:rsid w:val="00924BF0"/>
    <w:rsid w:val="00924E73"/>
    <w:rsid w:val="0092503C"/>
    <w:rsid w:val="0092526C"/>
    <w:rsid w:val="00925AA5"/>
    <w:rsid w:val="00925B74"/>
    <w:rsid w:val="00925F52"/>
    <w:rsid w:val="009264B8"/>
    <w:rsid w:val="0092673B"/>
    <w:rsid w:val="00926865"/>
    <w:rsid w:val="00926DE2"/>
    <w:rsid w:val="00926FF1"/>
    <w:rsid w:val="00927188"/>
    <w:rsid w:val="0092725F"/>
    <w:rsid w:val="0092739F"/>
    <w:rsid w:val="00927BB0"/>
    <w:rsid w:val="00927C64"/>
    <w:rsid w:val="00927EC2"/>
    <w:rsid w:val="00927EC9"/>
    <w:rsid w:val="009300C5"/>
    <w:rsid w:val="009305C8"/>
    <w:rsid w:val="009307A0"/>
    <w:rsid w:val="009307CF"/>
    <w:rsid w:val="00930800"/>
    <w:rsid w:val="0093088A"/>
    <w:rsid w:val="009309D8"/>
    <w:rsid w:val="00930B03"/>
    <w:rsid w:val="00930DDB"/>
    <w:rsid w:val="00930F7A"/>
    <w:rsid w:val="00930F96"/>
    <w:rsid w:val="00931042"/>
    <w:rsid w:val="009312E8"/>
    <w:rsid w:val="009314FA"/>
    <w:rsid w:val="009315D6"/>
    <w:rsid w:val="009318D4"/>
    <w:rsid w:val="00931F90"/>
    <w:rsid w:val="009321D8"/>
    <w:rsid w:val="00932297"/>
    <w:rsid w:val="009326E9"/>
    <w:rsid w:val="00932810"/>
    <w:rsid w:val="009328E0"/>
    <w:rsid w:val="00932C2D"/>
    <w:rsid w:val="00932D2F"/>
    <w:rsid w:val="00933367"/>
    <w:rsid w:val="009335E6"/>
    <w:rsid w:val="009337ED"/>
    <w:rsid w:val="00933963"/>
    <w:rsid w:val="009339D7"/>
    <w:rsid w:val="00933AD4"/>
    <w:rsid w:val="00933D33"/>
    <w:rsid w:val="00933DA7"/>
    <w:rsid w:val="00933DF5"/>
    <w:rsid w:val="009341F8"/>
    <w:rsid w:val="009343FB"/>
    <w:rsid w:val="009348A1"/>
    <w:rsid w:val="00934A12"/>
    <w:rsid w:val="00934B0D"/>
    <w:rsid w:val="009350B9"/>
    <w:rsid w:val="00935641"/>
    <w:rsid w:val="0093574B"/>
    <w:rsid w:val="00935C4C"/>
    <w:rsid w:val="00935CF8"/>
    <w:rsid w:val="009361F9"/>
    <w:rsid w:val="00936A29"/>
    <w:rsid w:val="00936CF1"/>
    <w:rsid w:val="00936D41"/>
    <w:rsid w:val="00936F23"/>
    <w:rsid w:val="00936FEE"/>
    <w:rsid w:val="009370A1"/>
    <w:rsid w:val="0093719D"/>
    <w:rsid w:val="00937586"/>
    <w:rsid w:val="00937FED"/>
    <w:rsid w:val="0094003A"/>
    <w:rsid w:val="0094019D"/>
    <w:rsid w:val="00940468"/>
    <w:rsid w:val="00940A13"/>
    <w:rsid w:val="00940EE5"/>
    <w:rsid w:val="009414BA"/>
    <w:rsid w:val="009414F0"/>
    <w:rsid w:val="009415C7"/>
    <w:rsid w:val="009415D2"/>
    <w:rsid w:val="00941626"/>
    <w:rsid w:val="009416FE"/>
    <w:rsid w:val="0094182D"/>
    <w:rsid w:val="00941880"/>
    <w:rsid w:val="0094193D"/>
    <w:rsid w:val="00941A39"/>
    <w:rsid w:val="00941AE1"/>
    <w:rsid w:val="00941C16"/>
    <w:rsid w:val="00941CF3"/>
    <w:rsid w:val="009422EB"/>
    <w:rsid w:val="009426FD"/>
    <w:rsid w:val="00942C11"/>
    <w:rsid w:val="00942D5D"/>
    <w:rsid w:val="009431C8"/>
    <w:rsid w:val="009434C4"/>
    <w:rsid w:val="0094363A"/>
    <w:rsid w:val="0094368D"/>
    <w:rsid w:val="009439F0"/>
    <w:rsid w:val="00943BBF"/>
    <w:rsid w:val="00943C04"/>
    <w:rsid w:val="00943D2A"/>
    <w:rsid w:val="00943E05"/>
    <w:rsid w:val="00943E5D"/>
    <w:rsid w:val="00944760"/>
    <w:rsid w:val="00944847"/>
    <w:rsid w:val="00944E83"/>
    <w:rsid w:val="00944FCF"/>
    <w:rsid w:val="00945183"/>
    <w:rsid w:val="009451A7"/>
    <w:rsid w:val="009451CA"/>
    <w:rsid w:val="009453D8"/>
    <w:rsid w:val="009455DE"/>
    <w:rsid w:val="009457EB"/>
    <w:rsid w:val="0094590B"/>
    <w:rsid w:val="00945A10"/>
    <w:rsid w:val="00945B82"/>
    <w:rsid w:val="00945CAA"/>
    <w:rsid w:val="0094618F"/>
    <w:rsid w:val="00946354"/>
    <w:rsid w:val="00946361"/>
    <w:rsid w:val="00946686"/>
    <w:rsid w:val="009466D9"/>
    <w:rsid w:val="00946A41"/>
    <w:rsid w:val="00946A6F"/>
    <w:rsid w:val="00946A91"/>
    <w:rsid w:val="00946B7B"/>
    <w:rsid w:val="00946C53"/>
    <w:rsid w:val="00946F32"/>
    <w:rsid w:val="00947124"/>
    <w:rsid w:val="00947FC9"/>
    <w:rsid w:val="00950010"/>
    <w:rsid w:val="00950036"/>
    <w:rsid w:val="0095019A"/>
    <w:rsid w:val="00950A4A"/>
    <w:rsid w:val="00951170"/>
    <w:rsid w:val="0095136C"/>
    <w:rsid w:val="00951853"/>
    <w:rsid w:val="00951A88"/>
    <w:rsid w:val="00951BAB"/>
    <w:rsid w:val="009520B3"/>
    <w:rsid w:val="00952253"/>
    <w:rsid w:val="00952281"/>
    <w:rsid w:val="00952338"/>
    <w:rsid w:val="009524C1"/>
    <w:rsid w:val="009528ED"/>
    <w:rsid w:val="00952A55"/>
    <w:rsid w:val="00952DA8"/>
    <w:rsid w:val="00952DC0"/>
    <w:rsid w:val="00953288"/>
    <w:rsid w:val="009538E3"/>
    <w:rsid w:val="00953D77"/>
    <w:rsid w:val="00954223"/>
    <w:rsid w:val="00954670"/>
    <w:rsid w:val="00954778"/>
    <w:rsid w:val="009547E4"/>
    <w:rsid w:val="009549A8"/>
    <w:rsid w:val="00954AC4"/>
    <w:rsid w:val="00954C12"/>
    <w:rsid w:val="00954CF3"/>
    <w:rsid w:val="00954E93"/>
    <w:rsid w:val="00954E9F"/>
    <w:rsid w:val="00955104"/>
    <w:rsid w:val="009555C0"/>
    <w:rsid w:val="009555FB"/>
    <w:rsid w:val="00955859"/>
    <w:rsid w:val="009558D0"/>
    <w:rsid w:val="0095599F"/>
    <w:rsid w:val="00955E79"/>
    <w:rsid w:val="0095624A"/>
    <w:rsid w:val="009565C6"/>
    <w:rsid w:val="00956C3D"/>
    <w:rsid w:val="00957117"/>
    <w:rsid w:val="0095754C"/>
    <w:rsid w:val="0095759F"/>
    <w:rsid w:val="00957D25"/>
    <w:rsid w:val="00957ED8"/>
    <w:rsid w:val="00960627"/>
    <w:rsid w:val="00960C15"/>
    <w:rsid w:val="00960E28"/>
    <w:rsid w:val="009610A1"/>
    <w:rsid w:val="00961592"/>
    <w:rsid w:val="00961658"/>
    <w:rsid w:val="00961693"/>
    <w:rsid w:val="009617A0"/>
    <w:rsid w:val="00961D97"/>
    <w:rsid w:val="009623FB"/>
    <w:rsid w:val="009624FF"/>
    <w:rsid w:val="0096250F"/>
    <w:rsid w:val="00962971"/>
    <w:rsid w:val="00962BAE"/>
    <w:rsid w:val="00962E02"/>
    <w:rsid w:val="0096304E"/>
    <w:rsid w:val="0096379C"/>
    <w:rsid w:val="009639A6"/>
    <w:rsid w:val="00963E8D"/>
    <w:rsid w:val="00964664"/>
    <w:rsid w:val="00965107"/>
    <w:rsid w:val="00965190"/>
    <w:rsid w:val="0096546A"/>
    <w:rsid w:val="0096548A"/>
    <w:rsid w:val="0096577A"/>
    <w:rsid w:val="00965BBE"/>
    <w:rsid w:val="00965CC6"/>
    <w:rsid w:val="00966202"/>
    <w:rsid w:val="00966582"/>
    <w:rsid w:val="009665EC"/>
    <w:rsid w:val="00966789"/>
    <w:rsid w:val="009667F6"/>
    <w:rsid w:val="00966D13"/>
    <w:rsid w:val="00967549"/>
    <w:rsid w:val="0096781C"/>
    <w:rsid w:val="00967853"/>
    <w:rsid w:val="00967961"/>
    <w:rsid w:val="00970093"/>
    <w:rsid w:val="009700D9"/>
    <w:rsid w:val="0097095E"/>
    <w:rsid w:val="00970A0C"/>
    <w:rsid w:val="00970A63"/>
    <w:rsid w:val="00970C0D"/>
    <w:rsid w:val="009714A7"/>
    <w:rsid w:val="00971666"/>
    <w:rsid w:val="00971804"/>
    <w:rsid w:val="00971A47"/>
    <w:rsid w:val="00971E29"/>
    <w:rsid w:val="00971EF6"/>
    <w:rsid w:val="00972040"/>
    <w:rsid w:val="009722AF"/>
    <w:rsid w:val="00972C42"/>
    <w:rsid w:val="00973216"/>
    <w:rsid w:val="009732EC"/>
    <w:rsid w:val="0097350D"/>
    <w:rsid w:val="00973D40"/>
    <w:rsid w:val="00973E90"/>
    <w:rsid w:val="009746D4"/>
    <w:rsid w:val="00974AE2"/>
    <w:rsid w:val="00974B86"/>
    <w:rsid w:val="00974EB6"/>
    <w:rsid w:val="009750A7"/>
    <w:rsid w:val="00975561"/>
    <w:rsid w:val="0097571C"/>
    <w:rsid w:val="009759B2"/>
    <w:rsid w:val="00975CD3"/>
    <w:rsid w:val="00975F07"/>
    <w:rsid w:val="0097602E"/>
    <w:rsid w:val="00976250"/>
    <w:rsid w:val="0097643E"/>
    <w:rsid w:val="0097668F"/>
    <w:rsid w:val="00976802"/>
    <w:rsid w:val="00976C9C"/>
    <w:rsid w:val="00976DE6"/>
    <w:rsid w:val="009771FA"/>
    <w:rsid w:val="009801F4"/>
    <w:rsid w:val="00980794"/>
    <w:rsid w:val="0098089C"/>
    <w:rsid w:val="00980AF6"/>
    <w:rsid w:val="00980C9F"/>
    <w:rsid w:val="00980DFD"/>
    <w:rsid w:val="0098110A"/>
    <w:rsid w:val="0098111D"/>
    <w:rsid w:val="00981206"/>
    <w:rsid w:val="00981380"/>
    <w:rsid w:val="009813EC"/>
    <w:rsid w:val="00981641"/>
    <w:rsid w:val="00981867"/>
    <w:rsid w:val="00981A43"/>
    <w:rsid w:val="00981C5B"/>
    <w:rsid w:val="00981DEF"/>
    <w:rsid w:val="00981F1F"/>
    <w:rsid w:val="0098201C"/>
    <w:rsid w:val="00982060"/>
    <w:rsid w:val="0098209B"/>
    <w:rsid w:val="009820B2"/>
    <w:rsid w:val="009821B9"/>
    <w:rsid w:val="009821CE"/>
    <w:rsid w:val="00982666"/>
    <w:rsid w:val="009826B1"/>
    <w:rsid w:val="009826E0"/>
    <w:rsid w:val="00982CB2"/>
    <w:rsid w:val="00982D25"/>
    <w:rsid w:val="00982F66"/>
    <w:rsid w:val="00982FCF"/>
    <w:rsid w:val="009833A1"/>
    <w:rsid w:val="0098356E"/>
    <w:rsid w:val="00983AB4"/>
    <w:rsid w:val="00983B4B"/>
    <w:rsid w:val="00983B9D"/>
    <w:rsid w:val="00983FCF"/>
    <w:rsid w:val="00984C86"/>
    <w:rsid w:val="00984EBB"/>
    <w:rsid w:val="00984FF4"/>
    <w:rsid w:val="009852CF"/>
    <w:rsid w:val="009852DE"/>
    <w:rsid w:val="0098545B"/>
    <w:rsid w:val="0098562A"/>
    <w:rsid w:val="00985A7F"/>
    <w:rsid w:val="00985B9A"/>
    <w:rsid w:val="00985C73"/>
    <w:rsid w:val="00985E29"/>
    <w:rsid w:val="00986053"/>
    <w:rsid w:val="0098664F"/>
    <w:rsid w:val="009866A5"/>
    <w:rsid w:val="00986B07"/>
    <w:rsid w:val="00987250"/>
    <w:rsid w:val="00987493"/>
    <w:rsid w:val="009878CE"/>
    <w:rsid w:val="00987A89"/>
    <w:rsid w:val="00987E38"/>
    <w:rsid w:val="00987E9C"/>
    <w:rsid w:val="00990201"/>
    <w:rsid w:val="0099091A"/>
    <w:rsid w:val="0099094C"/>
    <w:rsid w:val="00990A20"/>
    <w:rsid w:val="00990D55"/>
    <w:rsid w:val="00991049"/>
    <w:rsid w:val="00991599"/>
    <w:rsid w:val="009918DF"/>
    <w:rsid w:val="00991965"/>
    <w:rsid w:val="00991BFF"/>
    <w:rsid w:val="009922B9"/>
    <w:rsid w:val="00992434"/>
    <w:rsid w:val="009925F9"/>
    <w:rsid w:val="009927E5"/>
    <w:rsid w:val="00992872"/>
    <w:rsid w:val="009929FA"/>
    <w:rsid w:val="00992DAC"/>
    <w:rsid w:val="00993831"/>
    <w:rsid w:val="00993B46"/>
    <w:rsid w:val="00993C67"/>
    <w:rsid w:val="00994184"/>
    <w:rsid w:val="00994808"/>
    <w:rsid w:val="0099489E"/>
    <w:rsid w:val="0099490C"/>
    <w:rsid w:val="00994928"/>
    <w:rsid w:val="00994B1C"/>
    <w:rsid w:val="00994FCD"/>
    <w:rsid w:val="0099528E"/>
    <w:rsid w:val="0099546A"/>
    <w:rsid w:val="009958D6"/>
    <w:rsid w:val="009959A9"/>
    <w:rsid w:val="0099618A"/>
    <w:rsid w:val="0099637B"/>
    <w:rsid w:val="009963DD"/>
    <w:rsid w:val="00996483"/>
    <w:rsid w:val="0099664E"/>
    <w:rsid w:val="009968DD"/>
    <w:rsid w:val="00996F49"/>
    <w:rsid w:val="00996F58"/>
    <w:rsid w:val="00996F7B"/>
    <w:rsid w:val="00996FB8"/>
    <w:rsid w:val="0099731A"/>
    <w:rsid w:val="00997452"/>
    <w:rsid w:val="0099745F"/>
    <w:rsid w:val="009974B6"/>
    <w:rsid w:val="0099752A"/>
    <w:rsid w:val="0099787B"/>
    <w:rsid w:val="009979EA"/>
    <w:rsid w:val="00997BAA"/>
    <w:rsid w:val="00997C63"/>
    <w:rsid w:val="009A02A0"/>
    <w:rsid w:val="009A02F2"/>
    <w:rsid w:val="009A034E"/>
    <w:rsid w:val="009A0626"/>
    <w:rsid w:val="009A075A"/>
    <w:rsid w:val="009A0AD0"/>
    <w:rsid w:val="009A0D84"/>
    <w:rsid w:val="009A0F85"/>
    <w:rsid w:val="009A12CA"/>
    <w:rsid w:val="009A1646"/>
    <w:rsid w:val="009A1AEF"/>
    <w:rsid w:val="009A1C87"/>
    <w:rsid w:val="009A22E9"/>
    <w:rsid w:val="009A2549"/>
    <w:rsid w:val="009A2C99"/>
    <w:rsid w:val="009A2FFA"/>
    <w:rsid w:val="009A34EA"/>
    <w:rsid w:val="009A36CB"/>
    <w:rsid w:val="009A3881"/>
    <w:rsid w:val="009A3C53"/>
    <w:rsid w:val="009A4135"/>
    <w:rsid w:val="009A44E9"/>
    <w:rsid w:val="009A4961"/>
    <w:rsid w:val="009A4C82"/>
    <w:rsid w:val="009A4FA4"/>
    <w:rsid w:val="009A5019"/>
    <w:rsid w:val="009A512F"/>
    <w:rsid w:val="009A54FA"/>
    <w:rsid w:val="009A57E6"/>
    <w:rsid w:val="009A5A65"/>
    <w:rsid w:val="009A5A8C"/>
    <w:rsid w:val="009A5D86"/>
    <w:rsid w:val="009A60DF"/>
    <w:rsid w:val="009A657F"/>
    <w:rsid w:val="009A658F"/>
    <w:rsid w:val="009A65DC"/>
    <w:rsid w:val="009A668A"/>
    <w:rsid w:val="009A67C9"/>
    <w:rsid w:val="009A6949"/>
    <w:rsid w:val="009A6B85"/>
    <w:rsid w:val="009A6F5D"/>
    <w:rsid w:val="009A70B9"/>
    <w:rsid w:val="009A71AA"/>
    <w:rsid w:val="009A74B8"/>
    <w:rsid w:val="009A7552"/>
    <w:rsid w:val="009A7597"/>
    <w:rsid w:val="009A7838"/>
    <w:rsid w:val="009A7BAD"/>
    <w:rsid w:val="009A7E49"/>
    <w:rsid w:val="009B07D5"/>
    <w:rsid w:val="009B0AA7"/>
    <w:rsid w:val="009B0AAF"/>
    <w:rsid w:val="009B0C8E"/>
    <w:rsid w:val="009B126E"/>
    <w:rsid w:val="009B136D"/>
    <w:rsid w:val="009B14F0"/>
    <w:rsid w:val="009B1662"/>
    <w:rsid w:val="009B17AD"/>
    <w:rsid w:val="009B1A65"/>
    <w:rsid w:val="009B24A1"/>
    <w:rsid w:val="009B2543"/>
    <w:rsid w:val="009B2846"/>
    <w:rsid w:val="009B2C57"/>
    <w:rsid w:val="009B2EB6"/>
    <w:rsid w:val="009B30D4"/>
    <w:rsid w:val="009B3401"/>
    <w:rsid w:val="009B3A32"/>
    <w:rsid w:val="009B400E"/>
    <w:rsid w:val="009B458C"/>
    <w:rsid w:val="009B4874"/>
    <w:rsid w:val="009B4AAA"/>
    <w:rsid w:val="009B523A"/>
    <w:rsid w:val="009B52E8"/>
    <w:rsid w:val="009B5BE5"/>
    <w:rsid w:val="009B5E18"/>
    <w:rsid w:val="009B5FDC"/>
    <w:rsid w:val="009B6094"/>
    <w:rsid w:val="009B615B"/>
    <w:rsid w:val="009B6236"/>
    <w:rsid w:val="009B6398"/>
    <w:rsid w:val="009B6722"/>
    <w:rsid w:val="009B6855"/>
    <w:rsid w:val="009B6F8D"/>
    <w:rsid w:val="009B71A2"/>
    <w:rsid w:val="009B72A6"/>
    <w:rsid w:val="009B73F3"/>
    <w:rsid w:val="009B77FB"/>
    <w:rsid w:val="009B7CA6"/>
    <w:rsid w:val="009B7D03"/>
    <w:rsid w:val="009C0002"/>
    <w:rsid w:val="009C022A"/>
    <w:rsid w:val="009C07B2"/>
    <w:rsid w:val="009C0833"/>
    <w:rsid w:val="009C0A93"/>
    <w:rsid w:val="009C0C78"/>
    <w:rsid w:val="009C0D0C"/>
    <w:rsid w:val="009C1400"/>
    <w:rsid w:val="009C15E3"/>
    <w:rsid w:val="009C1947"/>
    <w:rsid w:val="009C1A7C"/>
    <w:rsid w:val="009C1CA4"/>
    <w:rsid w:val="009C1DE5"/>
    <w:rsid w:val="009C1E58"/>
    <w:rsid w:val="009C2047"/>
    <w:rsid w:val="009C2204"/>
    <w:rsid w:val="009C224F"/>
    <w:rsid w:val="009C2687"/>
    <w:rsid w:val="009C2AF3"/>
    <w:rsid w:val="009C2B8E"/>
    <w:rsid w:val="009C2D76"/>
    <w:rsid w:val="009C2E60"/>
    <w:rsid w:val="009C32EA"/>
    <w:rsid w:val="009C3582"/>
    <w:rsid w:val="009C38BC"/>
    <w:rsid w:val="009C397E"/>
    <w:rsid w:val="009C3A35"/>
    <w:rsid w:val="009C3B72"/>
    <w:rsid w:val="009C3E27"/>
    <w:rsid w:val="009C3F8D"/>
    <w:rsid w:val="009C42DA"/>
    <w:rsid w:val="009C440B"/>
    <w:rsid w:val="009C441C"/>
    <w:rsid w:val="009C4ABA"/>
    <w:rsid w:val="009C4AD2"/>
    <w:rsid w:val="009C4D1B"/>
    <w:rsid w:val="009C4E84"/>
    <w:rsid w:val="009C5011"/>
    <w:rsid w:val="009C50FE"/>
    <w:rsid w:val="009C519C"/>
    <w:rsid w:val="009C55D6"/>
    <w:rsid w:val="009C597B"/>
    <w:rsid w:val="009C5ED1"/>
    <w:rsid w:val="009C637F"/>
    <w:rsid w:val="009C6615"/>
    <w:rsid w:val="009C6762"/>
    <w:rsid w:val="009C6830"/>
    <w:rsid w:val="009C69AC"/>
    <w:rsid w:val="009C6CC5"/>
    <w:rsid w:val="009C7404"/>
    <w:rsid w:val="009C74A5"/>
    <w:rsid w:val="009C75A7"/>
    <w:rsid w:val="009C79ED"/>
    <w:rsid w:val="009C7C0F"/>
    <w:rsid w:val="009C7CBC"/>
    <w:rsid w:val="009C7D24"/>
    <w:rsid w:val="009C7F73"/>
    <w:rsid w:val="009D01E1"/>
    <w:rsid w:val="009D0624"/>
    <w:rsid w:val="009D08F3"/>
    <w:rsid w:val="009D0940"/>
    <w:rsid w:val="009D0C5F"/>
    <w:rsid w:val="009D1335"/>
    <w:rsid w:val="009D1384"/>
    <w:rsid w:val="009D1680"/>
    <w:rsid w:val="009D17E8"/>
    <w:rsid w:val="009D1BF7"/>
    <w:rsid w:val="009D1C20"/>
    <w:rsid w:val="009D1EE3"/>
    <w:rsid w:val="009D21A0"/>
    <w:rsid w:val="009D22A2"/>
    <w:rsid w:val="009D2811"/>
    <w:rsid w:val="009D28D5"/>
    <w:rsid w:val="009D2BCA"/>
    <w:rsid w:val="009D34F5"/>
    <w:rsid w:val="009D3C54"/>
    <w:rsid w:val="009D3FE0"/>
    <w:rsid w:val="009D4641"/>
    <w:rsid w:val="009D4B39"/>
    <w:rsid w:val="009D4B5F"/>
    <w:rsid w:val="009D505C"/>
    <w:rsid w:val="009D50B3"/>
    <w:rsid w:val="009D5264"/>
    <w:rsid w:val="009D526D"/>
    <w:rsid w:val="009D5430"/>
    <w:rsid w:val="009D5438"/>
    <w:rsid w:val="009D54DD"/>
    <w:rsid w:val="009D5870"/>
    <w:rsid w:val="009D5A42"/>
    <w:rsid w:val="009D5B88"/>
    <w:rsid w:val="009D5D5F"/>
    <w:rsid w:val="009D5DD6"/>
    <w:rsid w:val="009D6152"/>
    <w:rsid w:val="009D61D2"/>
    <w:rsid w:val="009D6C57"/>
    <w:rsid w:val="009D6C7F"/>
    <w:rsid w:val="009D6D0A"/>
    <w:rsid w:val="009D6D14"/>
    <w:rsid w:val="009D6FCD"/>
    <w:rsid w:val="009D706D"/>
    <w:rsid w:val="009D72D0"/>
    <w:rsid w:val="009D72D4"/>
    <w:rsid w:val="009D740E"/>
    <w:rsid w:val="009D7C59"/>
    <w:rsid w:val="009D7E97"/>
    <w:rsid w:val="009E034F"/>
    <w:rsid w:val="009E0443"/>
    <w:rsid w:val="009E081E"/>
    <w:rsid w:val="009E0A40"/>
    <w:rsid w:val="009E13B2"/>
    <w:rsid w:val="009E1A9A"/>
    <w:rsid w:val="009E2061"/>
    <w:rsid w:val="009E2119"/>
    <w:rsid w:val="009E26BD"/>
    <w:rsid w:val="009E2846"/>
    <w:rsid w:val="009E2978"/>
    <w:rsid w:val="009E2FE3"/>
    <w:rsid w:val="009E3020"/>
    <w:rsid w:val="009E30C2"/>
    <w:rsid w:val="009E3361"/>
    <w:rsid w:val="009E338C"/>
    <w:rsid w:val="009E34B5"/>
    <w:rsid w:val="009E35DE"/>
    <w:rsid w:val="009E35F4"/>
    <w:rsid w:val="009E3630"/>
    <w:rsid w:val="009E3951"/>
    <w:rsid w:val="009E3FE5"/>
    <w:rsid w:val="009E438F"/>
    <w:rsid w:val="009E44FB"/>
    <w:rsid w:val="009E458E"/>
    <w:rsid w:val="009E46AC"/>
    <w:rsid w:val="009E49F3"/>
    <w:rsid w:val="009E4B7E"/>
    <w:rsid w:val="009E4BE4"/>
    <w:rsid w:val="009E502D"/>
    <w:rsid w:val="009E523C"/>
    <w:rsid w:val="009E5407"/>
    <w:rsid w:val="009E542C"/>
    <w:rsid w:val="009E5782"/>
    <w:rsid w:val="009E5A89"/>
    <w:rsid w:val="009E5B8B"/>
    <w:rsid w:val="009E5F27"/>
    <w:rsid w:val="009E6756"/>
    <w:rsid w:val="009E67DF"/>
    <w:rsid w:val="009E6AD4"/>
    <w:rsid w:val="009E6FA1"/>
    <w:rsid w:val="009E7262"/>
    <w:rsid w:val="009E7368"/>
    <w:rsid w:val="009E7983"/>
    <w:rsid w:val="009E7B09"/>
    <w:rsid w:val="009E7B86"/>
    <w:rsid w:val="009E7C52"/>
    <w:rsid w:val="009E7C92"/>
    <w:rsid w:val="009E7D3E"/>
    <w:rsid w:val="009E7DAE"/>
    <w:rsid w:val="009F088E"/>
    <w:rsid w:val="009F0B52"/>
    <w:rsid w:val="009F0D31"/>
    <w:rsid w:val="009F107C"/>
    <w:rsid w:val="009F10A0"/>
    <w:rsid w:val="009F1A58"/>
    <w:rsid w:val="009F1F15"/>
    <w:rsid w:val="009F207B"/>
    <w:rsid w:val="009F23A7"/>
    <w:rsid w:val="009F25A8"/>
    <w:rsid w:val="009F2D2C"/>
    <w:rsid w:val="009F32E5"/>
    <w:rsid w:val="009F35C7"/>
    <w:rsid w:val="009F3696"/>
    <w:rsid w:val="009F3752"/>
    <w:rsid w:val="009F3850"/>
    <w:rsid w:val="009F3F89"/>
    <w:rsid w:val="009F48CD"/>
    <w:rsid w:val="009F490A"/>
    <w:rsid w:val="009F494F"/>
    <w:rsid w:val="009F499E"/>
    <w:rsid w:val="009F52A5"/>
    <w:rsid w:val="009F54FD"/>
    <w:rsid w:val="009F55FC"/>
    <w:rsid w:val="009F576D"/>
    <w:rsid w:val="009F5A15"/>
    <w:rsid w:val="009F5BA0"/>
    <w:rsid w:val="009F5EED"/>
    <w:rsid w:val="009F60BA"/>
    <w:rsid w:val="009F61B0"/>
    <w:rsid w:val="009F6235"/>
    <w:rsid w:val="009F6397"/>
    <w:rsid w:val="009F6606"/>
    <w:rsid w:val="009F6A62"/>
    <w:rsid w:val="009F6D8F"/>
    <w:rsid w:val="009F6E6F"/>
    <w:rsid w:val="009F7112"/>
    <w:rsid w:val="009F7199"/>
    <w:rsid w:val="009F7286"/>
    <w:rsid w:val="009F7315"/>
    <w:rsid w:val="009F738E"/>
    <w:rsid w:val="009F7425"/>
    <w:rsid w:val="009F7554"/>
    <w:rsid w:val="009F77D3"/>
    <w:rsid w:val="00A00373"/>
    <w:rsid w:val="00A003B6"/>
    <w:rsid w:val="00A0044A"/>
    <w:rsid w:val="00A004D9"/>
    <w:rsid w:val="00A004FB"/>
    <w:rsid w:val="00A008BB"/>
    <w:rsid w:val="00A00A0A"/>
    <w:rsid w:val="00A0114F"/>
    <w:rsid w:val="00A0131D"/>
    <w:rsid w:val="00A01600"/>
    <w:rsid w:val="00A01682"/>
    <w:rsid w:val="00A01698"/>
    <w:rsid w:val="00A0174A"/>
    <w:rsid w:val="00A017B6"/>
    <w:rsid w:val="00A01804"/>
    <w:rsid w:val="00A01835"/>
    <w:rsid w:val="00A019A6"/>
    <w:rsid w:val="00A01B56"/>
    <w:rsid w:val="00A01D22"/>
    <w:rsid w:val="00A01EBA"/>
    <w:rsid w:val="00A020A6"/>
    <w:rsid w:val="00A02237"/>
    <w:rsid w:val="00A02467"/>
    <w:rsid w:val="00A025F0"/>
    <w:rsid w:val="00A02C40"/>
    <w:rsid w:val="00A02EF5"/>
    <w:rsid w:val="00A031B8"/>
    <w:rsid w:val="00A0375F"/>
    <w:rsid w:val="00A039A1"/>
    <w:rsid w:val="00A03CC6"/>
    <w:rsid w:val="00A03F10"/>
    <w:rsid w:val="00A04347"/>
    <w:rsid w:val="00A04366"/>
    <w:rsid w:val="00A04B7E"/>
    <w:rsid w:val="00A04CC2"/>
    <w:rsid w:val="00A05164"/>
    <w:rsid w:val="00A0538C"/>
    <w:rsid w:val="00A05B7A"/>
    <w:rsid w:val="00A05C26"/>
    <w:rsid w:val="00A05F47"/>
    <w:rsid w:val="00A063AA"/>
    <w:rsid w:val="00A06522"/>
    <w:rsid w:val="00A067DF"/>
    <w:rsid w:val="00A06869"/>
    <w:rsid w:val="00A0689C"/>
    <w:rsid w:val="00A068CF"/>
    <w:rsid w:val="00A06AC8"/>
    <w:rsid w:val="00A06B58"/>
    <w:rsid w:val="00A06BA6"/>
    <w:rsid w:val="00A06D83"/>
    <w:rsid w:val="00A070ED"/>
    <w:rsid w:val="00A07123"/>
    <w:rsid w:val="00A07276"/>
    <w:rsid w:val="00A07332"/>
    <w:rsid w:val="00A07373"/>
    <w:rsid w:val="00A074D7"/>
    <w:rsid w:val="00A0758A"/>
    <w:rsid w:val="00A07678"/>
    <w:rsid w:val="00A078C1"/>
    <w:rsid w:val="00A10495"/>
    <w:rsid w:val="00A107EA"/>
    <w:rsid w:val="00A108DE"/>
    <w:rsid w:val="00A10D21"/>
    <w:rsid w:val="00A11205"/>
    <w:rsid w:val="00A1120C"/>
    <w:rsid w:val="00A116BA"/>
    <w:rsid w:val="00A11751"/>
    <w:rsid w:val="00A11AFA"/>
    <w:rsid w:val="00A12636"/>
    <w:rsid w:val="00A12721"/>
    <w:rsid w:val="00A12C93"/>
    <w:rsid w:val="00A139F0"/>
    <w:rsid w:val="00A13C4C"/>
    <w:rsid w:val="00A13D33"/>
    <w:rsid w:val="00A14244"/>
    <w:rsid w:val="00A14A5A"/>
    <w:rsid w:val="00A14C6B"/>
    <w:rsid w:val="00A1557D"/>
    <w:rsid w:val="00A15A31"/>
    <w:rsid w:val="00A15DAF"/>
    <w:rsid w:val="00A1635E"/>
    <w:rsid w:val="00A167C0"/>
    <w:rsid w:val="00A16BAE"/>
    <w:rsid w:val="00A16C8C"/>
    <w:rsid w:val="00A16D42"/>
    <w:rsid w:val="00A16E03"/>
    <w:rsid w:val="00A17269"/>
    <w:rsid w:val="00A173C7"/>
    <w:rsid w:val="00A173EB"/>
    <w:rsid w:val="00A17420"/>
    <w:rsid w:val="00A1745F"/>
    <w:rsid w:val="00A178C9"/>
    <w:rsid w:val="00A17B42"/>
    <w:rsid w:val="00A17E70"/>
    <w:rsid w:val="00A20164"/>
    <w:rsid w:val="00A20450"/>
    <w:rsid w:val="00A20587"/>
    <w:rsid w:val="00A20A47"/>
    <w:rsid w:val="00A20F85"/>
    <w:rsid w:val="00A21196"/>
    <w:rsid w:val="00A21402"/>
    <w:rsid w:val="00A21C8A"/>
    <w:rsid w:val="00A21CBB"/>
    <w:rsid w:val="00A22151"/>
    <w:rsid w:val="00A2219C"/>
    <w:rsid w:val="00A222C9"/>
    <w:rsid w:val="00A22312"/>
    <w:rsid w:val="00A224A1"/>
    <w:rsid w:val="00A22A66"/>
    <w:rsid w:val="00A22D3B"/>
    <w:rsid w:val="00A22D69"/>
    <w:rsid w:val="00A231BC"/>
    <w:rsid w:val="00A2339B"/>
    <w:rsid w:val="00A234C4"/>
    <w:rsid w:val="00A239A4"/>
    <w:rsid w:val="00A23DDB"/>
    <w:rsid w:val="00A2401F"/>
    <w:rsid w:val="00A24058"/>
    <w:rsid w:val="00A24143"/>
    <w:rsid w:val="00A245AB"/>
    <w:rsid w:val="00A2485D"/>
    <w:rsid w:val="00A24A14"/>
    <w:rsid w:val="00A24CAC"/>
    <w:rsid w:val="00A25461"/>
    <w:rsid w:val="00A25ABE"/>
    <w:rsid w:val="00A260CD"/>
    <w:rsid w:val="00A261E6"/>
    <w:rsid w:val="00A26338"/>
    <w:rsid w:val="00A2642F"/>
    <w:rsid w:val="00A26949"/>
    <w:rsid w:val="00A26C94"/>
    <w:rsid w:val="00A271CD"/>
    <w:rsid w:val="00A272E6"/>
    <w:rsid w:val="00A274B2"/>
    <w:rsid w:val="00A27973"/>
    <w:rsid w:val="00A27D94"/>
    <w:rsid w:val="00A27ED2"/>
    <w:rsid w:val="00A303A2"/>
    <w:rsid w:val="00A303CC"/>
    <w:rsid w:val="00A307CC"/>
    <w:rsid w:val="00A30A8F"/>
    <w:rsid w:val="00A30B46"/>
    <w:rsid w:val="00A30BBC"/>
    <w:rsid w:val="00A30D10"/>
    <w:rsid w:val="00A30E32"/>
    <w:rsid w:val="00A31648"/>
    <w:rsid w:val="00A31823"/>
    <w:rsid w:val="00A31858"/>
    <w:rsid w:val="00A319B9"/>
    <w:rsid w:val="00A31A72"/>
    <w:rsid w:val="00A31B59"/>
    <w:rsid w:val="00A31BB2"/>
    <w:rsid w:val="00A32464"/>
    <w:rsid w:val="00A326F1"/>
    <w:rsid w:val="00A327C6"/>
    <w:rsid w:val="00A32C88"/>
    <w:rsid w:val="00A32CA3"/>
    <w:rsid w:val="00A32DBC"/>
    <w:rsid w:val="00A32E6A"/>
    <w:rsid w:val="00A3325C"/>
    <w:rsid w:val="00A336D9"/>
    <w:rsid w:val="00A33781"/>
    <w:rsid w:val="00A33C41"/>
    <w:rsid w:val="00A33ED8"/>
    <w:rsid w:val="00A342C5"/>
    <w:rsid w:val="00A3434A"/>
    <w:rsid w:val="00A34460"/>
    <w:rsid w:val="00A34BE2"/>
    <w:rsid w:val="00A34E7A"/>
    <w:rsid w:val="00A34E90"/>
    <w:rsid w:val="00A34EAE"/>
    <w:rsid w:val="00A34FA9"/>
    <w:rsid w:val="00A3506A"/>
    <w:rsid w:val="00A35365"/>
    <w:rsid w:val="00A3558B"/>
    <w:rsid w:val="00A356FC"/>
    <w:rsid w:val="00A359BF"/>
    <w:rsid w:val="00A362B3"/>
    <w:rsid w:val="00A36498"/>
    <w:rsid w:val="00A36985"/>
    <w:rsid w:val="00A36ACE"/>
    <w:rsid w:val="00A36EB5"/>
    <w:rsid w:val="00A36EE8"/>
    <w:rsid w:val="00A36FED"/>
    <w:rsid w:val="00A36FEE"/>
    <w:rsid w:val="00A3741B"/>
    <w:rsid w:val="00A3749B"/>
    <w:rsid w:val="00A37930"/>
    <w:rsid w:val="00A37C9C"/>
    <w:rsid w:val="00A37F97"/>
    <w:rsid w:val="00A400D8"/>
    <w:rsid w:val="00A4018B"/>
    <w:rsid w:val="00A402B4"/>
    <w:rsid w:val="00A4089D"/>
    <w:rsid w:val="00A408F8"/>
    <w:rsid w:val="00A40C85"/>
    <w:rsid w:val="00A40F5C"/>
    <w:rsid w:val="00A40FF1"/>
    <w:rsid w:val="00A41258"/>
    <w:rsid w:val="00A412D6"/>
    <w:rsid w:val="00A41518"/>
    <w:rsid w:val="00A41581"/>
    <w:rsid w:val="00A415FB"/>
    <w:rsid w:val="00A41694"/>
    <w:rsid w:val="00A418B1"/>
    <w:rsid w:val="00A41FC4"/>
    <w:rsid w:val="00A421E5"/>
    <w:rsid w:val="00A4232B"/>
    <w:rsid w:val="00A4238A"/>
    <w:rsid w:val="00A4251C"/>
    <w:rsid w:val="00A427D8"/>
    <w:rsid w:val="00A4284B"/>
    <w:rsid w:val="00A42BA4"/>
    <w:rsid w:val="00A43053"/>
    <w:rsid w:val="00A430B0"/>
    <w:rsid w:val="00A4313F"/>
    <w:rsid w:val="00A432C2"/>
    <w:rsid w:val="00A43511"/>
    <w:rsid w:val="00A436ED"/>
    <w:rsid w:val="00A43969"/>
    <w:rsid w:val="00A43A1B"/>
    <w:rsid w:val="00A43A7E"/>
    <w:rsid w:val="00A43E83"/>
    <w:rsid w:val="00A44031"/>
    <w:rsid w:val="00A44282"/>
    <w:rsid w:val="00A4430F"/>
    <w:rsid w:val="00A443C4"/>
    <w:rsid w:val="00A4455D"/>
    <w:rsid w:val="00A445B0"/>
    <w:rsid w:val="00A4471F"/>
    <w:rsid w:val="00A44837"/>
    <w:rsid w:val="00A44859"/>
    <w:rsid w:val="00A45156"/>
    <w:rsid w:val="00A456D0"/>
    <w:rsid w:val="00A45A3E"/>
    <w:rsid w:val="00A45B57"/>
    <w:rsid w:val="00A45BF2"/>
    <w:rsid w:val="00A45D56"/>
    <w:rsid w:val="00A46598"/>
    <w:rsid w:val="00A46A85"/>
    <w:rsid w:val="00A46D55"/>
    <w:rsid w:val="00A46D6B"/>
    <w:rsid w:val="00A471C4"/>
    <w:rsid w:val="00A47272"/>
    <w:rsid w:val="00A4762E"/>
    <w:rsid w:val="00A478E2"/>
    <w:rsid w:val="00A47D62"/>
    <w:rsid w:val="00A50132"/>
    <w:rsid w:val="00A501A0"/>
    <w:rsid w:val="00A5023D"/>
    <w:rsid w:val="00A504AF"/>
    <w:rsid w:val="00A504CB"/>
    <w:rsid w:val="00A50A86"/>
    <w:rsid w:val="00A50FA0"/>
    <w:rsid w:val="00A510E5"/>
    <w:rsid w:val="00A5186D"/>
    <w:rsid w:val="00A518C8"/>
    <w:rsid w:val="00A51B68"/>
    <w:rsid w:val="00A51FF6"/>
    <w:rsid w:val="00A5272D"/>
    <w:rsid w:val="00A5277E"/>
    <w:rsid w:val="00A528A8"/>
    <w:rsid w:val="00A53017"/>
    <w:rsid w:val="00A53482"/>
    <w:rsid w:val="00A534D1"/>
    <w:rsid w:val="00A53BBE"/>
    <w:rsid w:val="00A53DF4"/>
    <w:rsid w:val="00A5424F"/>
    <w:rsid w:val="00A545B4"/>
    <w:rsid w:val="00A545E9"/>
    <w:rsid w:val="00A5470B"/>
    <w:rsid w:val="00A5474B"/>
    <w:rsid w:val="00A5496B"/>
    <w:rsid w:val="00A54D62"/>
    <w:rsid w:val="00A5541C"/>
    <w:rsid w:val="00A55DDB"/>
    <w:rsid w:val="00A56029"/>
    <w:rsid w:val="00A56631"/>
    <w:rsid w:val="00A56769"/>
    <w:rsid w:val="00A567A9"/>
    <w:rsid w:val="00A5689D"/>
    <w:rsid w:val="00A56F1B"/>
    <w:rsid w:val="00A56FE3"/>
    <w:rsid w:val="00A572C7"/>
    <w:rsid w:val="00A5750F"/>
    <w:rsid w:val="00A57555"/>
    <w:rsid w:val="00A5770D"/>
    <w:rsid w:val="00A5790E"/>
    <w:rsid w:val="00A57935"/>
    <w:rsid w:val="00A57DBB"/>
    <w:rsid w:val="00A57E21"/>
    <w:rsid w:val="00A60071"/>
    <w:rsid w:val="00A602E9"/>
    <w:rsid w:val="00A6032B"/>
    <w:rsid w:val="00A60672"/>
    <w:rsid w:val="00A609D9"/>
    <w:rsid w:val="00A60BA6"/>
    <w:rsid w:val="00A60F50"/>
    <w:rsid w:val="00A60F77"/>
    <w:rsid w:val="00A6112D"/>
    <w:rsid w:val="00A61684"/>
    <w:rsid w:val="00A61CD8"/>
    <w:rsid w:val="00A61D32"/>
    <w:rsid w:val="00A61D94"/>
    <w:rsid w:val="00A627B8"/>
    <w:rsid w:val="00A62ABA"/>
    <w:rsid w:val="00A62C84"/>
    <w:rsid w:val="00A62E42"/>
    <w:rsid w:val="00A62E64"/>
    <w:rsid w:val="00A62ED9"/>
    <w:rsid w:val="00A63174"/>
    <w:rsid w:val="00A6353A"/>
    <w:rsid w:val="00A637CC"/>
    <w:rsid w:val="00A638EA"/>
    <w:rsid w:val="00A63DA6"/>
    <w:rsid w:val="00A64515"/>
    <w:rsid w:val="00A64A71"/>
    <w:rsid w:val="00A64BF0"/>
    <w:rsid w:val="00A652A4"/>
    <w:rsid w:val="00A652B8"/>
    <w:rsid w:val="00A65590"/>
    <w:rsid w:val="00A6596A"/>
    <w:rsid w:val="00A65C77"/>
    <w:rsid w:val="00A65D4F"/>
    <w:rsid w:val="00A65D55"/>
    <w:rsid w:val="00A660CF"/>
    <w:rsid w:val="00A6651A"/>
    <w:rsid w:val="00A66750"/>
    <w:rsid w:val="00A6680F"/>
    <w:rsid w:val="00A66BE6"/>
    <w:rsid w:val="00A670B0"/>
    <w:rsid w:val="00A67250"/>
    <w:rsid w:val="00A67A9F"/>
    <w:rsid w:val="00A67F1E"/>
    <w:rsid w:val="00A67F6A"/>
    <w:rsid w:val="00A67FEB"/>
    <w:rsid w:val="00A7040C"/>
    <w:rsid w:val="00A7066A"/>
    <w:rsid w:val="00A70B36"/>
    <w:rsid w:val="00A70E2D"/>
    <w:rsid w:val="00A70F20"/>
    <w:rsid w:val="00A71120"/>
    <w:rsid w:val="00A717E4"/>
    <w:rsid w:val="00A71AAE"/>
    <w:rsid w:val="00A71E49"/>
    <w:rsid w:val="00A721A4"/>
    <w:rsid w:val="00A72210"/>
    <w:rsid w:val="00A72277"/>
    <w:rsid w:val="00A722F3"/>
    <w:rsid w:val="00A72C15"/>
    <w:rsid w:val="00A72C4B"/>
    <w:rsid w:val="00A72E5B"/>
    <w:rsid w:val="00A72F59"/>
    <w:rsid w:val="00A731B9"/>
    <w:rsid w:val="00A731D9"/>
    <w:rsid w:val="00A7338C"/>
    <w:rsid w:val="00A73728"/>
    <w:rsid w:val="00A73F0E"/>
    <w:rsid w:val="00A74188"/>
    <w:rsid w:val="00A742A5"/>
    <w:rsid w:val="00A7438E"/>
    <w:rsid w:val="00A7485B"/>
    <w:rsid w:val="00A7488D"/>
    <w:rsid w:val="00A748C3"/>
    <w:rsid w:val="00A748C4"/>
    <w:rsid w:val="00A74BD4"/>
    <w:rsid w:val="00A752DE"/>
    <w:rsid w:val="00A754CE"/>
    <w:rsid w:val="00A7558D"/>
    <w:rsid w:val="00A75629"/>
    <w:rsid w:val="00A75862"/>
    <w:rsid w:val="00A7599D"/>
    <w:rsid w:val="00A75B95"/>
    <w:rsid w:val="00A75C00"/>
    <w:rsid w:val="00A76120"/>
    <w:rsid w:val="00A76359"/>
    <w:rsid w:val="00A76701"/>
    <w:rsid w:val="00A76808"/>
    <w:rsid w:val="00A7688C"/>
    <w:rsid w:val="00A76C89"/>
    <w:rsid w:val="00A76F4A"/>
    <w:rsid w:val="00A77039"/>
    <w:rsid w:val="00A772A1"/>
    <w:rsid w:val="00A772AA"/>
    <w:rsid w:val="00A7765F"/>
    <w:rsid w:val="00A77E92"/>
    <w:rsid w:val="00A801FA"/>
    <w:rsid w:val="00A80732"/>
    <w:rsid w:val="00A80DAD"/>
    <w:rsid w:val="00A80E45"/>
    <w:rsid w:val="00A81584"/>
    <w:rsid w:val="00A81622"/>
    <w:rsid w:val="00A81647"/>
    <w:rsid w:val="00A81727"/>
    <w:rsid w:val="00A81733"/>
    <w:rsid w:val="00A81821"/>
    <w:rsid w:val="00A81AAC"/>
    <w:rsid w:val="00A81C66"/>
    <w:rsid w:val="00A81E65"/>
    <w:rsid w:val="00A81EC8"/>
    <w:rsid w:val="00A82206"/>
    <w:rsid w:val="00A82304"/>
    <w:rsid w:val="00A825B5"/>
    <w:rsid w:val="00A8298A"/>
    <w:rsid w:val="00A82EF2"/>
    <w:rsid w:val="00A83218"/>
    <w:rsid w:val="00A83737"/>
    <w:rsid w:val="00A83896"/>
    <w:rsid w:val="00A83BD9"/>
    <w:rsid w:val="00A83CE6"/>
    <w:rsid w:val="00A83DD5"/>
    <w:rsid w:val="00A83EFB"/>
    <w:rsid w:val="00A83FC1"/>
    <w:rsid w:val="00A84399"/>
    <w:rsid w:val="00A843EA"/>
    <w:rsid w:val="00A84DEC"/>
    <w:rsid w:val="00A84E22"/>
    <w:rsid w:val="00A85325"/>
    <w:rsid w:val="00A8537B"/>
    <w:rsid w:val="00A856A4"/>
    <w:rsid w:val="00A8575A"/>
    <w:rsid w:val="00A85A68"/>
    <w:rsid w:val="00A85ACE"/>
    <w:rsid w:val="00A85CD1"/>
    <w:rsid w:val="00A861AE"/>
    <w:rsid w:val="00A86537"/>
    <w:rsid w:val="00A866C6"/>
    <w:rsid w:val="00A86720"/>
    <w:rsid w:val="00A86890"/>
    <w:rsid w:val="00A86AFA"/>
    <w:rsid w:val="00A86E04"/>
    <w:rsid w:val="00A875EA"/>
    <w:rsid w:val="00A8782D"/>
    <w:rsid w:val="00A879EE"/>
    <w:rsid w:val="00A87B17"/>
    <w:rsid w:val="00A87E0C"/>
    <w:rsid w:val="00A87E6E"/>
    <w:rsid w:val="00A87FF0"/>
    <w:rsid w:val="00A90051"/>
    <w:rsid w:val="00A9044A"/>
    <w:rsid w:val="00A907D8"/>
    <w:rsid w:val="00A90B87"/>
    <w:rsid w:val="00A90EB0"/>
    <w:rsid w:val="00A91138"/>
    <w:rsid w:val="00A91162"/>
    <w:rsid w:val="00A9175D"/>
    <w:rsid w:val="00A917FF"/>
    <w:rsid w:val="00A9193D"/>
    <w:rsid w:val="00A91EA7"/>
    <w:rsid w:val="00A9208C"/>
    <w:rsid w:val="00A92219"/>
    <w:rsid w:val="00A92675"/>
    <w:rsid w:val="00A926EC"/>
    <w:rsid w:val="00A92706"/>
    <w:rsid w:val="00A92977"/>
    <w:rsid w:val="00A92B27"/>
    <w:rsid w:val="00A92CBC"/>
    <w:rsid w:val="00A92E54"/>
    <w:rsid w:val="00A92E8F"/>
    <w:rsid w:val="00A92FD3"/>
    <w:rsid w:val="00A93270"/>
    <w:rsid w:val="00A93437"/>
    <w:rsid w:val="00A939BE"/>
    <w:rsid w:val="00A93C3D"/>
    <w:rsid w:val="00A93C5D"/>
    <w:rsid w:val="00A93CB0"/>
    <w:rsid w:val="00A93E4B"/>
    <w:rsid w:val="00A93EFC"/>
    <w:rsid w:val="00A93FCC"/>
    <w:rsid w:val="00A9416A"/>
    <w:rsid w:val="00A9423B"/>
    <w:rsid w:val="00A94641"/>
    <w:rsid w:val="00A94643"/>
    <w:rsid w:val="00A949BF"/>
    <w:rsid w:val="00A94A4B"/>
    <w:rsid w:val="00A94CCA"/>
    <w:rsid w:val="00A94D7A"/>
    <w:rsid w:val="00A94DEF"/>
    <w:rsid w:val="00A94F9D"/>
    <w:rsid w:val="00A952D2"/>
    <w:rsid w:val="00A9539F"/>
    <w:rsid w:val="00A95803"/>
    <w:rsid w:val="00A95A01"/>
    <w:rsid w:val="00A95CC4"/>
    <w:rsid w:val="00A95CE5"/>
    <w:rsid w:val="00A95D01"/>
    <w:rsid w:val="00A95EA7"/>
    <w:rsid w:val="00A96177"/>
    <w:rsid w:val="00A96503"/>
    <w:rsid w:val="00A96A05"/>
    <w:rsid w:val="00A97271"/>
    <w:rsid w:val="00A97455"/>
    <w:rsid w:val="00A978A7"/>
    <w:rsid w:val="00A97DCC"/>
    <w:rsid w:val="00A97ECD"/>
    <w:rsid w:val="00AA0299"/>
    <w:rsid w:val="00AA0313"/>
    <w:rsid w:val="00AA036B"/>
    <w:rsid w:val="00AA03C5"/>
    <w:rsid w:val="00AA0592"/>
    <w:rsid w:val="00AA0640"/>
    <w:rsid w:val="00AA09CD"/>
    <w:rsid w:val="00AA0BEC"/>
    <w:rsid w:val="00AA0DF4"/>
    <w:rsid w:val="00AA0EDA"/>
    <w:rsid w:val="00AA151F"/>
    <w:rsid w:val="00AA1522"/>
    <w:rsid w:val="00AA18C5"/>
    <w:rsid w:val="00AA18D6"/>
    <w:rsid w:val="00AA1AFB"/>
    <w:rsid w:val="00AA1C5A"/>
    <w:rsid w:val="00AA1C97"/>
    <w:rsid w:val="00AA2224"/>
    <w:rsid w:val="00AA22A0"/>
    <w:rsid w:val="00AA23C3"/>
    <w:rsid w:val="00AA286F"/>
    <w:rsid w:val="00AA2A15"/>
    <w:rsid w:val="00AA2A1D"/>
    <w:rsid w:val="00AA2B4F"/>
    <w:rsid w:val="00AA2D5B"/>
    <w:rsid w:val="00AA3682"/>
    <w:rsid w:val="00AA36FD"/>
    <w:rsid w:val="00AA3A91"/>
    <w:rsid w:val="00AA3B18"/>
    <w:rsid w:val="00AA3D26"/>
    <w:rsid w:val="00AA3EC2"/>
    <w:rsid w:val="00AA3F73"/>
    <w:rsid w:val="00AA42F1"/>
    <w:rsid w:val="00AA4628"/>
    <w:rsid w:val="00AA492C"/>
    <w:rsid w:val="00AA493A"/>
    <w:rsid w:val="00AA5370"/>
    <w:rsid w:val="00AA5433"/>
    <w:rsid w:val="00AA56C5"/>
    <w:rsid w:val="00AA5727"/>
    <w:rsid w:val="00AA5B49"/>
    <w:rsid w:val="00AA5FAB"/>
    <w:rsid w:val="00AA628D"/>
    <w:rsid w:val="00AA68EA"/>
    <w:rsid w:val="00AA695B"/>
    <w:rsid w:val="00AA69FC"/>
    <w:rsid w:val="00AA6B13"/>
    <w:rsid w:val="00AA6B57"/>
    <w:rsid w:val="00AA6BCF"/>
    <w:rsid w:val="00AA6C0A"/>
    <w:rsid w:val="00AA6C99"/>
    <w:rsid w:val="00AA6E7F"/>
    <w:rsid w:val="00AA7025"/>
    <w:rsid w:val="00AA720F"/>
    <w:rsid w:val="00AA7336"/>
    <w:rsid w:val="00AA73B1"/>
    <w:rsid w:val="00AA797E"/>
    <w:rsid w:val="00AA7A71"/>
    <w:rsid w:val="00AA7EFC"/>
    <w:rsid w:val="00AA7FB6"/>
    <w:rsid w:val="00AB00CE"/>
    <w:rsid w:val="00AB055B"/>
    <w:rsid w:val="00AB06EE"/>
    <w:rsid w:val="00AB072B"/>
    <w:rsid w:val="00AB0784"/>
    <w:rsid w:val="00AB1512"/>
    <w:rsid w:val="00AB1BBE"/>
    <w:rsid w:val="00AB1DE0"/>
    <w:rsid w:val="00AB1F87"/>
    <w:rsid w:val="00AB2024"/>
    <w:rsid w:val="00AB22A0"/>
    <w:rsid w:val="00AB270E"/>
    <w:rsid w:val="00AB27F5"/>
    <w:rsid w:val="00AB2B33"/>
    <w:rsid w:val="00AB2BD4"/>
    <w:rsid w:val="00AB2CB8"/>
    <w:rsid w:val="00AB31CA"/>
    <w:rsid w:val="00AB3AA5"/>
    <w:rsid w:val="00AB420F"/>
    <w:rsid w:val="00AB42E3"/>
    <w:rsid w:val="00AB44FB"/>
    <w:rsid w:val="00AB4783"/>
    <w:rsid w:val="00AB5016"/>
    <w:rsid w:val="00AB5249"/>
    <w:rsid w:val="00AB537E"/>
    <w:rsid w:val="00AB5BEE"/>
    <w:rsid w:val="00AB600E"/>
    <w:rsid w:val="00AB62D8"/>
    <w:rsid w:val="00AB635A"/>
    <w:rsid w:val="00AB6791"/>
    <w:rsid w:val="00AB70B1"/>
    <w:rsid w:val="00AB717B"/>
    <w:rsid w:val="00AB72FF"/>
    <w:rsid w:val="00AB73C8"/>
    <w:rsid w:val="00AB75F0"/>
    <w:rsid w:val="00AB7B37"/>
    <w:rsid w:val="00AB7D4A"/>
    <w:rsid w:val="00AC0103"/>
    <w:rsid w:val="00AC01C9"/>
    <w:rsid w:val="00AC0CB1"/>
    <w:rsid w:val="00AC14A6"/>
    <w:rsid w:val="00AC15DA"/>
    <w:rsid w:val="00AC1691"/>
    <w:rsid w:val="00AC18AA"/>
    <w:rsid w:val="00AC194B"/>
    <w:rsid w:val="00AC1AD6"/>
    <w:rsid w:val="00AC1DA7"/>
    <w:rsid w:val="00AC1E38"/>
    <w:rsid w:val="00AC209C"/>
    <w:rsid w:val="00AC2477"/>
    <w:rsid w:val="00AC258B"/>
    <w:rsid w:val="00AC2717"/>
    <w:rsid w:val="00AC2AC9"/>
    <w:rsid w:val="00AC2B55"/>
    <w:rsid w:val="00AC2BAF"/>
    <w:rsid w:val="00AC2FE8"/>
    <w:rsid w:val="00AC32D1"/>
    <w:rsid w:val="00AC33CA"/>
    <w:rsid w:val="00AC33EB"/>
    <w:rsid w:val="00AC35F3"/>
    <w:rsid w:val="00AC3619"/>
    <w:rsid w:val="00AC375F"/>
    <w:rsid w:val="00AC3E62"/>
    <w:rsid w:val="00AC3EDA"/>
    <w:rsid w:val="00AC44A6"/>
    <w:rsid w:val="00AC45A1"/>
    <w:rsid w:val="00AC47D8"/>
    <w:rsid w:val="00AC520B"/>
    <w:rsid w:val="00AC56C9"/>
    <w:rsid w:val="00AC5728"/>
    <w:rsid w:val="00AC58C2"/>
    <w:rsid w:val="00AC599B"/>
    <w:rsid w:val="00AC5E39"/>
    <w:rsid w:val="00AC5E8B"/>
    <w:rsid w:val="00AC5F9E"/>
    <w:rsid w:val="00AC627F"/>
    <w:rsid w:val="00AC6339"/>
    <w:rsid w:val="00AC66A2"/>
    <w:rsid w:val="00AC6B00"/>
    <w:rsid w:val="00AC6EB7"/>
    <w:rsid w:val="00AC6F10"/>
    <w:rsid w:val="00AC716E"/>
    <w:rsid w:val="00AC7241"/>
    <w:rsid w:val="00AC72D3"/>
    <w:rsid w:val="00AC75BC"/>
    <w:rsid w:val="00AC75F3"/>
    <w:rsid w:val="00AC772C"/>
    <w:rsid w:val="00AC772E"/>
    <w:rsid w:val="00AC7D2F"/>
    <w:rsid w:val="00AD0589"/>
    <w:rsid w:val="00AD08CF"/>
    <w:rsid w:val="00AD0B99"/>
    <w:rsid w:val="00AD104E"/>
    <w:rsid w:val="00AD162C"/>
    <w:rsid w:val="00AD201C"/>
    <w:rsid w:val="00AD2059"/>
    <w:rsid w:val="00AD2A3A"/>
    <w:rsid w:val="00AD2DF3"/>
    <w:rsid w:val="00AD319C"/>
    <w:rsid w:val="00AD3297"/>
    <w:rsid w:val="00AD34CA"/>
    <w:rsid w:val="00AD36CC"/>
    <w:rsid w:val="00AD3849"/>
    <w:rsid w:val="00AD3C6C"/>
    <w:rsid w:val="00AD3E40"/>
    <w:rsid w:val="00AD3E8F"/>
    <w:rsid w:val="00AD43D1"/>
    <w:rsid w:val="00AD4EB4"/>
    <w:rsid w:val="00AD4F12"/>
    <w:rsid w:val="00AD55C1"/>
    <w:rsid w:val="00AD55C4"/>
    <w:rsid w:val="00AD55F3"/>
    <w:rsid w:val="00AD5A4F"/>
    <w:rsid w:val="00AD6095"/>
    <w:rsid w:val="00AD6219"/>
    <w:rsid w:val="00AD64EA"/>
    <w:rsid w:val="00AD6A18"/>
    <w:rsid w:val="00AD6ABA"/>
    <w:rsid w:val="00AD6AD4"/>
    <w:rsid w:val="00AD6CAE"/>
    <w:rsid w:val="00AD6EA5"/>
    <w:rsid w:val="00AD71EF"/>
    <w:rsid w:val="00AD7328"/>
    <w:rsid w:val="00AD78AD"/>
    <w:rsid w:val="00AE0246"/>
    <w:rsid w:val="00AE04DC"/>
    <w:rsid w:val="00AE059E"/>
    <w:rsid w:val="00AE0BE0"/>
    <w:rsid w:val="00AE0BFB"/>
    <w:rsid w:val="00AE0F36"/>
    <w:rsid w:val="00AE12F6"/>
    <w:rsid w:val="00AE1476"/>
    <w:rsid w:val="00AE14C5"/>
    <w:rsid w:val="00AE16EC"/>
    <w:rsid w:val="00AE1DBD"/>
    <w:rsid w:val="00AE2246"/>
    <w:rsid w:val="00AE248E"/>
    <w:rsid w:val="00AE273D"/>
    <w:rsid w:val="00AE2856"/>
    <w:rsid w:val="00AE28EE"/>
    <w:rsid w:val="00AE2CFB"/>
    <w:rsid w:val="00AE2E35"/>
    <w:rsid w:val="00AE2F90"/>
    <w:rsid w:val="00AE2FEE"/>
    <w:rsid w:val="00AE342C"/>
    <w:rsid w:val="00AE375E"/>
    <w:rsid w:val="00AE3973"/>
    <w:rsid w:val="00AE3B06"/>
    <w:rsid w:val="00AE3BBF"/>
    <w:rsid w:val="00AE3D7E"/>
    <w:rsid w:val="00AE3DE5"/>
    <w:rsid w:val="00AE41CC"/>
    <w:rsid w:val="00AE447C"/>
    <w:rsid w:val="00AE4495"/>
    <w:rsid w:val="00AE45F5"/>
    <w:rsid w:val="00AE47C3"/>
    <w:rsid w:val="00AE52F5"/>
    <w:rsid w:val="00AE5319"/>
    <w:rsid w:val="00AE552C"/>
    <w:rsid w:val="00AE5A3B"/>
    <w:rsid w:val="00AE5CF7"/>
    <w:rsid w:val="00AE68E9"/>
    <w:rsid w:val="00AE6995"/>
    <w:rsid w:val="00AE6C2E"/>
    <w:rsid w:val="00AE6E75"/>
    <w:rsid w:val="00AE6EBD"/>
    <w:rsid w:val="00AE7720"/>
    <w:rsid w:val="00AE7DAD"/>
    <w:rsid w:val="00AE7F93"/>
    <w:rsid w:val="00AF065E"/>
    <w:rsid w:val="00AF06FA"/>
    <w:rsid w:val="00AF07B3"/>
    <w:rsid w:val="00AF0C43"/>
    <w:rsid w:val="00AF0E74"/>
    <w:rsid w:val="00AF16B4"/>
    <w:rsid w:val="00AF238F"/>
    <w:rsid w:val="00AF2566"/>
    <w:rsid w:val="00AF2721"/>
    <w:rsid w:val="00AF2722"/>
    <w:rsid w:val="00AF2771"/>
    <w:rsid w:val="00AF28ED"/>
    <w:rsid w:val="00AF2940"/>
    <w:rsid w:val="00AF2C9F"/>
    <w:rsid w:val="00AF2DA3"/>
    <w:rsid w:val="00AF2F4A"/>
    <w:rsid w:val="00AF2FAA"/>
    <w:rsid w:val="00AF2FF8"/>
    <w:rsid w:val="00AF31AC"/>
    <w:rsid w:val="00AF33F0"/>
    <w:rsid w:val="00AF37A6"/>
    <w:rsid w:val="00AF37AA"/>
    <w:rsid w:val="00AF3B03"/>
    <w:rsid w:val="00AF3B11"/>
    <w:rsid w:val="00AF3D6E"/>
    <w:rsid w:val="00AF41B7"/>
    <w:rsid w:val="00AF47C4"/>
    <w:rsid w:val="00AF4CC7"/>
    <w:rsid w:val="00AF5137"/>
    <w:rsid w:val="00AF53A1"/>
    <w:rsid w:val="00AF55F6"/>
    <w:rsid w:val="00AF5732"/>
    <w:rsid w:val="00AF5AB2"/>
    <w:rsid w:val="00AF5BAD"/>
    <w:rsid w:val="00AF6053"/>
    <w:rsid w:val="00AF623B"/>
    <w:rsid w:val="00AF65B4"/>
    <w:rsid w:val="00AF6FE5"/>
    <w:rsid w:val="00AF71A1"/>
    <w:rsid w:val="00AF770A"/>
    <w:rsid w:val="00AF79AD"/>
    <w:rsid w:val="00AF7B3C"/>
    <w:rsid w:val="00AF7B76"/>
    <w:rsid w:val="00AF7FB4"/>
    <w:rsid w:val="00B00281"/>
    <w:rsid w:val="00B002BF"/>
    <w:rsid w:val="00B008AC"/>
    <w:rsid w:val="00B00D92"/>
    <w:rsid w:val="00B00F59"/>
    <w:rsid w:val="00B0139A"/>
    <w:rsid w:val="00B014CC"/>
    <w:rsid w:val="00B01F1D"/>
    <w:rsid w:val="00B01FD5"/>
    <w:rsid w:val="00B02101"/>
    <w:rsid w:val="00B02273"/>
    <w:rsid w:val="00B0229B"/>
    <w:rsid w:val="00B0284C"/>
    <w:rsid w:val="00B02BFF"/>
    <w:rsid w:val="00B03046"/>
    <w:rsid w:val="00B03098"/>
    <w:rsid w:val="00B031DF"/>
    <w:rsid w:val="00B0357A"/>
    <w:rsid w:val="00B03581"/>
    <w:rsid w:val="00B039D4"/>
    <w:rsid w:val="00B03D35"/>
    <w:rsid w:val="00B03F68"/>
    <w:rsid w:val="00B04117"/>
    <w:rsid w:val="00B0412F"/>
    <w:rsid w:val="00B04933"/>
    <w:rsid w:val="00B04A65"/>
    <w:rsid w:val="00B04B20"/>
    <w:rsid w:val="00B04DC6"/>
    <w:rsid w:val="00B05301"/>
    <w:rsid w:val="00B05660"/>
    <w:rsid w:val="00B05E13"/>
    <w:rsid w:val="00B06092"/>
    <w:rsid w:val="00B0664D"/>
    <w:rsid w:val="00B06921"/>
    <w:rsid w:val="00B069CD"/>
    <w:rsid w:val="00B06B11"/>
    <w:rsid w:val="00B06B98"/>
    <w:rsid w:val="00B06DBE"/>
    <w:rsid w:val="00B071C6"/>
    <w:rsid w:val="00B07638"/>
    <w:rsid w:val="00B077E7"/>
    <w:rsid w:val="00B07CED"/>
    <w:rsid w:val="00B07D1F"/>
    <w:rsid w:val="00B104B8"/>
    <w:rsid w:val="00B106AB"/>
    <w:rsid w:val="00B10847"/>
    <w:rsid w:val="00B10AA2"/>
    <w:rsid w:val="00B1136F"/>
    <w:rsid w:val="00B11AF5"/>
    <w:rsid w:val="00B11B27"/>
    <w:rsid w:val="00B11CF5"/>
    <w:rsid w:val="00B12055"/>
    <w:rsid w:val="00B12904"/>
    <w:rsid w:val="00B12FBC"/>
    <w:rsid w:val="00B12FCC"/>
    <w:rsid w:val="00B12FF0"/>
    <w:rsid w:val="00B140A7"/>
    <w:rsid w:val="00B1449B"/>
    <w:rsid w:val="00B144B0"/>
    <w:rsid w:val="00B14508"/>
    <w:rsid w:val="00B14A4A"/>
    <w:rsid w:val="00B14E05"/>
    <w:rsid w:val="00B14E58"/>
    <w:rsid w:val="00B152E7"/>
    <w:rsid w:val="00B156AF"/>
    <w:rsid w:val="00B15943"/>
    <w:rsid w:val="00B159DF"/>
    <w:rsid w:val="00B15FAA"/>
    <w:rsid w:val="00B16287"/>
    <w:rsid w:val="00B162A4"/>
    <w:rsid w:val="00B16611"/>
    <w:rsid w:val="00B166DF"/>
    <w:rsid w:val="00B16927"/>
    <w:rsid w:val="00B16B8B"/>
    <w:rsid w:val="00B1702F"/>
    <w:rsid w:val="00B171E9"/>
    <w:rsid w:val="00B177C2"/>
    <w:rsid w:val="00B17C82"/>
    <w:rsid w:val="00B17E20"/>
    <w:rsid w:val="00B200AC"/>
    <w:rsid w:val="00B202C0"/>
    <w:rsid w:val="00B20397"/>
    <w:rsid w:val="00B205B9"/>
    <w:rsid w:val="00B2094D"/>
    <w:rsid w:val="00B20B9F"/>
    <w:rsid w:val="00B20F07"/>
    <w:rsid w:val="00B21367"/>
    <w:rsid w:val="00B2163F"/>
    <w:rsid w:val="00B21AB7"/>
    <w:rsid w:val="00B223D1"/>
    <w:rsid w:val="00B224DA"/>
    <w:rsid w:val="00B227B5"/>
    <w:rsid w:val="00B22C42"/>
    <w:rsid w:val="00B22E6D"/>
    <w:rsid w:val="00B233F6"/>
    <w:rsid w:val="00B23878"/>
    <w:rsid w:val="00B238DE"/>
    <w:rsid w:val="00B23956"/>
    <w:rsid w:val="00B23BA4"/>
    <w:rsid w:val="00B23CDE"/>
    <w:rsid w:val="00B242A4"/>
    <w:rsid w:val="00B24314"/>
    <w:rsid w:val="00B24A3A"/>
    <w:rsid w:val="00B24DB8"/>
    <w:rsid w:val="00B24FE7"/>
    <w:rsid w:val="00B2526A"/>
    <w:rsid w:val="00B2539F"/>
    <w:rsid w:val="00B25513"/>
    <w:rsid w:val="00B25881"/>
    <w:rsid w:val="00B25981"/>
    <w:rsid w:val="00B259B2"/>
    <w:rsid w:val="00B25ABD"/>
    <w:rsid w:val="00B262AF"/>
    <w:rsid w:val="00B26AA0"/>
    <w:rsid w:val="00B26B65"/>
    <w:rsid w:val="00B26B92"/>
    <w:rsid w:val="00B271F8"/>
    <w:rsid w:val="00B2740C"/>
    <w:rsid w:val="00B27E53"/>
    <w:rsid w:val="00B27F19"/>
    <w:rsid w:val="00B31069"/>
    <w:rsid w:val="00B31280"/>
    <w:rsid w:val="00B3149D"/>
    <w:rsid w:val="00B314D3"/>
    <w:rsid w:val="00B315BA"/>
    <w:rsid w:val="00B31650"/>
    <w:rsid w:val="00B318CC"/>
    <w:rsid w:val="00B31A22"/>
    <w:rsid w:val="00B31C1F"/>
    <w:rsid w:val="00B31C73"/>
    <w:rsid w:val="00B32089"/>
    <w:rsid w:val="00B32179"/>
    <w:rsid w:val="00B32395"/>
    <w:rsid w:val="00B3277E"/>
    <w:rsid w:val="00B329A9"/>
    <w:rsid w:val="00B32D23"/>
    <w:rsid w:val="00B32D44"/>
    <w:rsid w:val="00B32ED4"/>
    <w:rsid w:val="00B32F9D"/>
    <w:rsid w:val="00B33005"/>
    <w:rsid w:val="00B3326A"/>
    <w:rsid w:val="00B335A0"/>
    <w:rsid w:val="00B34C93"/>
    <w:rsid w:val="00B35317"/>
    <w:rsid w:val="00B35356"/>
    <w:rsid w:val="00B3538E"/>
    <w:rsid w:val="00B355D4"/>
    <w:rsid w:val="00B35648"/>
    <w:rsid w:val="00B3579C"/>
    <w:rsid w:val="00B35DB5"/>
    <w:rsid w:val="00B35DC6"/>
    <w:rsid w:val="00B35E04"/>
    <w:rsid w:val="00B365B5"/>
    <w:rsid w:val="00B3682F"/>
    <w:rsid w:val="00B368A7"/>
    <w:rsid w:val="00B36C42"/>
    <w:rsid w:val="00B36D0B"/>
    <w:rsid w:val="00B36DC0"/>
    <w:rsid w:val="00B36E63"/>
    <w:rsid w:val="00B36F05"/>
    <w:rsid w:val="00B36F34"/>
    <w:rsid w:val="00B370E8"/>
    <w:rsid w:val="00B3727B"/>
    <w:rsid w:val="00B3744B"/>
    <w:rsid w:val="00B37528"/>
    <w:rsid w:val="00B375BC"/>
    <w:rsid w:val="00B37B53"/>
    <w:rsid w:val="00B37F44"/>
    <w:rsid w:val="00B40139"/>
    <w:rsid w:val="00B40201"/>
    <w:rsid w:val="00B404BB"/>
    <w:rsid w:val="00B40926"/>
    <w:rsid w:val="00B40C84"/>
    <w:rsid w:val="00B40CFE"/>
    <w:rsid w:val="00B40D21"/>
    <w:rsid w:val="00B410CF"/>
    <w:rsid w:val="00B41171"/>
    <w:rsid w:val="00B41767"/>
    <w:rsid w:val="00B41A31"/>
    <w:rsid w:val="00B41BC4"/>
    <w:rsid w:val="00B41D01"/>
    <w:rsid w:val="00B41DC9"/>
    <w:rsid w:val="00B41E74"/>
    <w:rsid w:val="00B42081"/>
    <w:rsid w:val="00B42100"/>
    <w:rsid w:val="00B42989"/>
    <w:rsid w:val="00B42CC2"/>
    <w:rsid w:val="00B42F56"/>
    <w:rsid w:val="00B43500"/>
    <w:rsid w:val="00B435EC"/>
    <w:rsid w:val="00B43815"/>
    <w:rsid w:val="00B43918"/>
    <w:rsid w:val="00B440B1"/>
    <w:rsid w:val="00B44245"/>
    <w:rsid w:val="00B44546"/>
    <w:rsid w:val="00B44A64"/>
    <w:rsid w:val="00B44A90"/>
    <w:rsid w:val="00B44BC4"/>
    <w:rsid w:val="00B44C0B"/>
    <w:rsid w:val="00B452DB"/>
    <w:rsid w:val="00B45614"/>
    <w:rsid w:val="00B45672"/>
    <w:rsid w:val="00B4572B"/>
    <w:rsid w:val="00B45B66"/>
    <w:rsid w:val="00B45C68"/>
    <w:rsid w:val="00B45C99"/>
    <w:rsid w:val="00B45E03"/>
    <w:rsid w:val="00B45EBD"/>
    <w:rsid w:val="00B46AFE"/>
    <w:rsid w:val="00B46F12"/>
    <w:rsid w:val="00B46F43"/>
    <w:rsid w:val="00B470EE"/>
    <w:rsid w:val="00B47692"/>
    <w:rsid w:val="00B47769"/>
    <w:rsid w:val="00B5035D"/>
    <w:rsid w:val="00B50364"/>
    <w:rsid w:val="00B503B8"/>
    <w:rsid w:val="00B503EC"/>
    <w:rsid w:val="00B503F7"/>
    <w:rsid w:val="00B504BD"/>
    <w:rsid w:val="00B50529"/>
    <w:rsid w:val="00B505ED"/>
    <w:rsid w:val="00B508CF"/>
    <w:rsid w:val="00B50B64"/>
    <w:rsid w:val="00B50B6F"/>
    <w:rsid w:val="00B50F39"/>
    <w:rsid w:val="00B511E7"/>
    <w:rsid w:val="00B51364"/>
    <w:rsid w:val="00B51472"/>
    <w:rsid w:val="00B519A4"/>
    <w:rsid w:val="00B51A1F"/>
    <w:rsid w:val="00B51A2C"/>
    <w:rsid w:val="00B51E76"/>
    <w:rsid w:val="00B52124"/>
    <w:rsid w:val="00B521C8"/>
    <w:rsid w:val="00B52383"/>
    <w:rsid w:val="00B528BC"/>
    <w:rsid w:val="00B52935"/>
    <w:rsid w:val="00B52B27"/>
    <w:rsid w:val="00B52FD4"/>
    <w:rsid w:val="00B53302"/>
    <w:rsid w:val="00B53500"/>
    <w:rsid w:val="00B53576"/>
    <w:rsid w:val="00B538D3"/>
    <w:rsid w:val="00B53B49"/>
    <w:rsid w:val="00B53C31"/>
    <w:rsid w:val="00B5420D"/>
    <w:rsid w:val="00B5425D"/>
    <w:rsid w:val="00B54354"/>
    <w:rsid w:val="00B546D9"/>
    <w:rsid w:val="00B54FCD"/>
    <w:rsid w:val="00B553AA"/>
    <w:rsid w:val="00B5543F"/>
    <w:rsid w:val="00B5550C"/>
    <w:rsid w:val="00B55690"/>
    <w:rsid w:val="00B558EB"/>
    <w:rsid w:val="00B55D02"/>
    <w:rsid w:val="00B561F9"/>
    <w:rsid w:val="00B5628C"/>
    <w:rsid w:val="00B56433"/>
    <w:rsid w:val="00B564FC"/>
    <w:rsid w:val="00B567D9"/>
    <w:rsid w:val="00B56DC9"/>
    <w:rsid w:val="00B57632"/>
    <w:rsid w:val="00B576F1"/>
    <w:rsid w:val="00B577DF"/>
    <w:rsid w:val="00B57A2A"/>
    <w:rsid w:val="00B57C54"/>
    <w:rsid w:val="00B57C73"/>
    <w:rsid w:val="00B60395"/>
    <w:rsid w:val="00B60684"/>
    <w:rsid w:val="00B608DF"/>
    <w:rsid w:val="00B60A3D"/>
    <w:rsid w:val="00B60C63"/>
    <w:rsid w:val="00B612D6"/>
    <w:rsid w:val="00B61453"/>
    <w:rsid w:val="00B61657"/>
    <w:rsid w:val="00B6165F"/>
    <w:rsid w:val="00B61674"/>
    <w:rsid w:val="00B61E36"/>
    <w:rsid w:val="00B61E37"/>
    <w:rsid w:val="00B6248F"/>
    <w:rsid w:val="00B625D2"/>
    <w:rsid w:val="00B6293B"/>
    <w:rsid w:val="00B62F90"/>
    <w:rsid w:val="00B630B0"/>
    <w:rsid w:val="00B63EF6"/>
    <w:rsid w:val="00B63FC1"/>
    <w:rsid w:val="00B641D5"/>
    <w:rsid w:val="00B64365"/>
    <w:rsid w:val="00B654B7"/>
    <w:rsid w:val="00B6591F"/>
    <w:rsid w:val="00B659D9"/>
    <w:rsid w:val="00B65A07"/>
    <w:rsid w:val="00B65C0B"/>
    <w:rsid w:val="00B65E5A"/>
    <w:rsid w:val="00B66574"/>
    <w:rsid w:val="00B6667A"/>
    <w:rsid w:val="00B669DB"/>
    <w:rsid w:val="00B66A7D"/>
    <w:rsid w:val="00B66B25"/>
    <w:rsid w:val="00B66CC7"/>
    <w:rsid w:val="00B66D69"/>
    <w:rsid w:val="00B66D7F"/>
    <w:rsid w:val="00B6733C"/>
    <w:rsid w:val="00B673F0"/>
    <w:rsid w:val="00B677CD"/>
    <w:rsid w:val="00B67B61"/>
    <w:rsid w:val="00B67F0A"/>
    <w:rsid w:val="00B703B3"/>
    <w:rsid w:val="00B706E2"/>
    <w:rsid w:val="00B708AC"/>
    <w:rsid w:val="00B70989"/>
    <w:rsid w:val="00B70B48"/>
    <w:rsid w:val="00B70B99"/>
    <w:rsid w:val="00B712AF"/>
    <w:rsid w:val="00B71417"/>
    <w:rsid w:val="00B71703"/>
    <w:rsid w:val="00B71866"/>
    <w:rsid w:val="00B718B4"/>
    <w:rsid w:val="00B726A3"/>
    <w:rsid w:val="00B72B66"/>
    <w:rsid w:val="00B72E8A"/>
    <w:rsid w:val="00B730BB"/>
    <w:rsid w:val="00B7353C"/>
    <w:rsid w:val="00B735CD"/>
    <w:rsid w:val="00B739F9"/>
    <w:rsid w:val="00B73DD2"/>
    <w:rsid w:val="00B7400E"/>
    <w:rsid w:val="00B741D5"/>
    <w:rsid w:val="00B7424A"/>
    <w:rsid w:val="00B7438F"/>
    <w:rsid w:val="00B747B7"/>
    <w:rsid w:val="00B74822"/>
    <w:rsid w:val="00B74960"/>
    <w:rsid w:val="00B74D4C"/>
    <w:rsid w:val="00B74F9D"/>
    <w:rsid w:val="00B75202"/>
    <w:rsid w:val="00B7524C"/>
    <w:rsid w:val="00B75478"/>
    <w:rsid w:val="00B75851"/>
    <w:rsid w:val="00B7587E"/>
    <w:rsid w:val="00B75B64"/>
    <w:rsid w:val="00B75CE2"/>
    <w:rsid w:val="00B76523"/>
    <w:rsid w:val="00B767C3"/>
    <w:rsid w:val="00B76CB2"/>
    <w:rsid w:val="00B770FF"/>
    <w:rsid w:val="00B77901"/>
    <w:rsid w:val="00B77997"/>
    <w:rsid w:val="00B779E3"/>
    <w:rsid w:val="00B80469"/>
    <w:rsid w:val="00B809C2"/>
    <w:rsid w:val="00B80AE1"/>
    <w:rsid w:val="00B80C4E"/>
    <w:rsid w:val="00B80C97"/>
    <w:rsid w:val="00B814BA"/>
    <w:rsid w:val="00B8160B"/>
    <w:rsid w:val="00B817B2"/>
    <w:rsid w:val="00B819C6"/>
    <w:rsid w:val="00B81BF3"/>
    <w:rsid w:val="00B81DB9"/>
    <w:rsid w:val="00B81F42"/>
    <w:rsid w:val="00B8214C"/>
    <w:rsid w:val="00B824AC"/>
    <w:rsid w:val="00B82BC7"/>
    <w:rsid w:val="00B82E3E"/>
    <w:rsid w:val="00B82EF9"/>
    <w:rsid w:val="00B83047"/>
    <w:rsid w:val="00B8357C"/>
    <w:rsid w:val="00B83631"/>
    <w:rsid w:val="00B83693"/>
    <w:rsid w:val="00B836B8"/>
    <w:rsid w:val="00B83E18"/>
    <w:rsid w:val="00B83E4B"/>
    <w:rsid w:val="00B83F6C"/>
    <w:rsid w:val="00B83FCE"/>
    <w:rsid w:val="00B84331"/>
    <w:rsid w:val="00B8440B"/>
    <w:rsid w:val="00B84787"/>
    <w:rsid w:val="00B84990"/>
    <w:rsid w:val="00B849EC"/>
    <w:rsid w:val="00B84B86"/>
    <w:rsid w:val="00B84BE6"/>
    <w:rsid w:val="00B84F85"/>
    <w:rsid w:val="00B852CD"/>
    <w:rsid w:val="00B857B8"/>
    <w:rsid w:val="00B85A6F"/>
    <w:rsid w:val="00B85D13"/>
    <w:rsid w:val="00B85F47"/>
    <w:rsid w:val="00B86037"/>
    <w:rsid w:val="00B860C2"/>
    <w:rsid w:val="00B860E4"/>
    <w:rsid w:val="00B860ED"/>
    <w:rsid w:val="00B862CA"/>
    <w:rsid w:val="00B865EB"/>
    <w:rsid w:val="00B86984"/>
    <w:rsid w:val="00B86CBD"/>
    <w:rsid w:val="00B86D04"/>
    <w:rsid w:val="00B8707E"/>
    <w:rsid w:val="00B87270"/>
    <w:rsid w:val="00B87927"/>
    <w:rsid w:val="00B87CC1"/>
    <w:rsid w:val="00B902F7"/>
    <w:rsid w:val="00B90F73"/>
    <w:rsid w:val="00B91094"/>
    <w:rsid w:val="00B9121D"/>
    <w:rsid w:val="00B9140C"/>
    <w:rsid w:val="00B91C37"/>
    <w:rsid w:val="00B920F4"/>
    <w:rsid w:val="00B9214D"/>
    <w:rsid w:val="00B92317"/>
    <w:rsid w:val="00B9249A"/>
    <w:rsid w:val="00B92553"/>
    <w:rsid w:val="00B92619"/>
    <w:rsid w:val="00B92AFC"/>
    <w:rsid w:val="00B92BD0"/>
    <w:rsid w:val="00B92C5E"/>
    <w:rsid w:val="00B93159"/>
    <w:rsid w:val="00B9362E"/>
    <w:rsid w:val="00B93641"/>
    <w:rsid w:val="00B937B9"/>
    <w:rsid w:val="00B93AF1"/>
    <w:rsid w:val="00B93C18"/>
    <w:rsid w:val="00B93CCC"/>
    <w:rsid w:val="00B94000"/>
    <w:rsid w:val="00B94461"/>
    <w:rsid w:val="00B94754"/>
    <w:rsid w:val="00B94B18"/>
    <w:rsid w:val="00B94D42"/>
    <w:rsid w:val="00B94F1F"/>
    <w:rsid w:val="00B95200"/>
    <w:rsid w:val="00B954DF"/>
    <w:rsid w:val="00B955C6"/>
    <w:rsid w:val="00B957A0"/>
    <w:rsid w:val="00B95A09"/>
    <w:rsid w:val="00B95BA8"/>
    <w:rsid w:val="00B95C73"/>
    <w:rsid w:val="00B95F7B"/>
    <w:rsid w:val="00B96355"/>
    <w:rsid w:val="00B970B2"/>
    <w:rsid w:val="00B97279"/>
    <w:rsid w:val="00B97773"/>
    <w:rsid w:val="00B97A3B"/>
    <w:rsid w:val="00B97DAE"/>
    <w:rsid w:val="00B97DF3"/>
    <w:rsid w:val="00BA02E5"/>
    <w:rsid w:val="00BA07E1"/>
    <w:rsid w:val="00BA0918"/>
    <w:rsid w:val="00BA0985"/>
    <w:rsid w:val="00BA0B42"/>
    <w:rsid w:val="00BA0DBC"/>
    <w:rsid w:val="00BA1141"/>
    <w:rsid w:val="00BA122A"/>
    <w:rsid w:val="00BA1472"/>
    <w:rsid w:val="00BA14D1"/>
    <w:rsid w:val="00BA1992"/>
    <w:rsid w:val="00BA1BC4"/>
    <w:rsid w:val="00BA20A3"/>
    <w:rsid w:val="00BA2483"/>
    <w:rsid w:val="00BA260B"/>
    <w:rsid w:val="00BA2B7E"/>
    <w:rsid w:val="00BA3091"/>
    <w:rsid w:val="00BA31D7"/>
    <w:rsid w:val="00BA3625"/>
    <w:rsid w:val="00BA3760"/>
    <w:rsid w:val="00BA3A7A"/>
    <w:rsid w:val="00BA4181"/>
    <w:rsid w:val="00BA41FC"/>
    <w:rsid w:val="00BA43E8"/>
    <w:rsid w:val="00BA441B"/>
    <w:rsid w:val="00BA4DF1"/>
    <w:rsid w:val="00BA578C"/>
    <w:rsid w:val="00BA581A"/>
    <w:rsid w:val="00BA5B33"/>
    <w:rsid w:val="00BA5E56"/>
    <w:rsid w:val="00BA6109"/>
    <w:rsid w:val="00BA6594"/>
    <w:rsid w:val="00BA65E9"/>
    <w:rsid w:val="00BA6BB0"/>
    <w:rsid w:val="00BA7217"/>
    <w:rsid w:val="00BA7386"/>
    <w:rsid w:val="00BA73F7"/>
    <w:rsid w:val="00BA740A"/>
    <w:rsid w:val="00BA7554"/>
    <w:rsid w:val="00BA78A4"/>
    <w:rsid w:val="00BA7AA8"/>
    <w:rsid w:val="00BA7B09"/>
    <w:rsid w:val="00BA7C7E"/>
    <w:rsid w:val="00BA7CEC"/>
    <w:rsid w:val="00BB039F"/>
    <w:rsid w:val="00BB0445"/>
    <w:rsid w:val="00BB0801"/>
    <w:rsid w:val="00BB0910"/>
    <w:rsid w:val="00BB0914"/>
    <w:rsid w:val="00BB0DC4"/>
    <w:rsid w:val="00BB0F3C"/>
    <w:rsid w:val="00BB1260"/>
    <w:rsid w:val="00BB1323"/>
    <w:rsid w:val="00BB18F2"/>
    <w:rsid w:val="00BB19A9"/>
    <w:rsid w:val="00BB1C95"/>
    <w:rsid w:val="00BB1DA0"/>
    <w:rsid w:val="00BB224C"/>
    <w:rsid w:val="00BB2556"/>
    <w:rsid w:val="00BB26A8"/>
    <w:rsid w:val="00BB2A38"/>
    <w:rsid w:val="00BB2D35"/>
    <w:rsid w:val="00BB2E0E"/>
    <w:rsid w:val="00BB303B"/>
    <w:rsid w:val="00BB30A4"/>
    <w:rsid w:val="00BB325E"/>
    <w:rsid w:val="00BB369C"/>
    <w:rsid w:val="00BB3854"/>
    <w:rsid w:val="00BB3973"/>
    <w:rsid w:val="00BB3D2E"/>
    <w:rsid w:val="00BB3DFB"/>
    <w:rsid w:val="00BB401A"/>
    <w:rsid w:val="00BB414A"/>
    <w:rsid w:val="00BB442F"/>
    <w:rsid w:val="00BB4486"/>
    <w:rsid w:val="00BB4835"/>
    <w:rsid w:val="00BB4EC9"/>
    <w:rsid w:val="00BB520E"/>
    <w:rsid w:val="00BB53F5"/>
    <w:rsid w:val="00BB5797"/>
    <w:rsid w:val="00BB5D6F"/>
    <w:rsid w:val="00BB5D72"/>
    <w:rsid w:val="00BB5DBC"/>
    <w:rsid w:val="00BB62EA"/>
    <w:rsid w:val="00BB65E2"/>
    <w:rsid w:val="00BB65F1"/>
    <w:rsid w:val="00BB6A98"/>
    <w:rsid w:val="00BB6B82"/>
    <w:rsid w:val="00BB6E8E"/>
    <w:rsid w:val="00BB7126"/>
    <w:rsid w:val="00BB7292"/>
    <w:rsid w:val="00BB7456"/>
    <w:rsid w:val="00BB78EA"/>
    <w:rsid w:val="00BB79BE"/>
    <w:rsid w:val="00BB7BE1"/>
    <w:rsid w:val="00BC014E"/>
    <w:rsid w:val="00BC033D"/>
    <w:rsid w:val="00BC03D6"/>
    <w:rsid w:val="00BC0414"/>
    <w:rsid w:val="00BC0985"/>
    <w:rsid w:val="00BC0BCB"/>
    <w:rsid w:val="00BC0CBA"/>
    <w:rsid w:val="00BC0EC4"/>
    <w:rsid w:val="00BC11F7"/>
    <w:rsid w:val="00BC138B"/>
    <w:rsid w:val="00BC15CA"/>
    <w:rsid w:val="00BC1733"/>
    <w:rsid w:val="00BC1901"/>
    <w:rsid w:val="00BC1C60"/>
    <w:rsid w:val="00BC1FB5"/>
    <w:rsid w:val="00BC214B"/>
    <w:rsid w:val="00BC2249"/>
    <w:rsid w:val="00BC3254"/>
    <w:rsid w:val="00BC3389"/>
    <w:rsid w:val="00BC338C"/>
    <w:rsid w:val="00BC3719"/>
    <w:rsid w:val="00BC37B5"/>
    <w:rsid w:val="00BC3999"/>
    <w:rsid w:val="00BC3DE6"/>
    <w:rsid w:val="00BC3FE6"/>
    <w:rsid w:val="00BC4072"/>
    <w:rsid w:val="00BC4139"/>
    <w:rsid w:val="00BC4509"/>
    <w:rsid w:val="00BC481A"/>
    <w:rsid w:val="00BC48B9"/>
    <w:rsid w:val="00BC49FB"/>
    <w:rsid w:val="00BC4CE8"/>
    <w:rsid w:val="00BC52ED"/>
    <w:rsid w:val="00BC5420"/>
    <w:rsid w:val="00BC544F"/>
    <w:rsid w:val="00BC5578"/>
    <w:rsid w:val="00BC57B4"/>
    <w:rsid w:val="00BC5B7B"/>
    <w:rsid w:val="00BC5C8F"/>
    <w:rsid w:val="00BC6418"/>
    <w:rsid w:val="00BC662D"/>
    <w:rsid w:val="00BC6918"/>
    <w:rsid w:val="00BC6B5B"/>
    <w:rsid w:val="00BC6E17"/>
    <w:rsid w:val="00BC7048"/>
    <w:rsid w:val="00BC754D"/>
    <w:rsid w:val="00BC77A4"/>
    <w:rsid w:val="00BC7A35"/>
    <w:rsid w:val="00BC7F09"/>
    <w:rsid w:val="00BD00C2"/>
    <w:rsid w:val="00BD0603"/>
    <w:rsid w:val="00BD0A90"/>
    <w:rsid w:val="00BD0E58"/>
    <w:rsid w:val="00BD14A7"/>
    <w:rsid w:val="00BD1705"/>
    <w:rsid w:val="00BD1764"/>
    <w:rsid w:val="00BD199F"/>
    <w:rsid w:val="00BD1CC8"/>
    <w:rsid w:val="00BD1E98"/>
    <w:rsid w:val="00BD2435"/>
    <w:rsid w:val="00BD292E"/>
    <w:rsid w:val="00BD2B83"/>
    <w:rsid w:val="00BD2DCD"/>
    <w:rsid w:val="00BD31B6"/>
    <w:rsid w:val="00BD31D5"/>
    <w:rsid w:val="00BD366B"/>
    <w:rsid w:val="00BD3EEA"/>
    <w:rsid w:val="00BD4029"/>
    <w:rsid w:val="00BD4415"/>
    <w:rsid w:val="00BD4890"/>
    <w:rsid w:val="00BD4AD8"/>
    <w:rsid w:val="00BD4BAB"/>
    <w:rsid w:val="00BD5650"/>
    <w:rsid w:val="00BD59E4"/>
    <w:rsid w:val="00BD5E32"/>
    <w:rsid w:val="00BD6064"/>
    <w:rsid w:val="00BD6303"/>
    <w:rsid w:val="00BD67B3"/>
    <w:rsid w:val="00BD6AF5"/>
    <w:rsid w:val="00BD6DD1"/>
    <w:rsid w:val="00BD6ECC"/>
    <w:rsid w:val="00BD6F24"/>
    <w:rsid w:val="00BD71D5"/>
    <w:rsid w:val="00BD7580"/>
    <w:rsid w:val="00BD7586"/>
    <w:rsid w:val="00BD7B18"/>
    <w:rsid w:val="00BD7B71"/>
    <w:rsid w:val="00BD7FCE"/>
    <w:rsid w:val="00BE005C"/>
    <w:rsid w:val="00BE00E7"/>
    <w:rsid w:val="00BE0259"/>
    <w:rsid w:val="00BE08A2"/>
    <w:rsid w:val="00BE0BE9"/>
    <w:rsid w:val="00BE0EFB"/>
    <w:rsid w:val="00BE1062"/>
    <w:rsid w:val="00BE1518"/>
    <w:rsid w:val="00BE16EB"/>
    <w:rsid w:val="00BE1E57"/>
    <w:rsid w:val="00BE1E79"/>
    <w:rsid w:val="00BE2163"/>
    <w:rsid w:val="00BE250E"/>
    <w:rsid w:val="00BE26BE"/>
    <w:rsid w:val="00BE2D5E"/>
    <w:rsid w:val="00BE2D8C"/>
    <w:rsid w:val="00BE2EDD"/>
    <w:rsid w:val="00BE307C"/>
    <w:rsid w:val="00BE33A6"/>
    <w:rsid w:val="00BE36B1"/>
    <w:rsid w:val="00BE38DE"/>
    <w:rsid w:val="00BE3BD0"/>
    <w:rsid w:val="00BE3DE4"/>
    <w:rsid w:val="00BE3F32"/>
    <w:rsid w:val="00BE4110"/>
    <w:rsid w:val="00BE41C0"/>
    <w:rsid w:val="00BE4323"/>
    <w:rsid w:val="00BE4B1F"/>
    <w:rsid w:val="00BE4BA6"/>
    <w:rsid w:val="00BE4C66"/>
    <w:rsid w:val="00BE4F46"/>
    <w:rsid w:val="00BE50E4"/>
    <w:rsid w:val="00BE5241"/>
    <w:rsid w:val="00BE5F15"/>
    <w:rsid w:val="00BE5F52"/>
    <w:rsid w:val="00BE621D"/>
    <w:rsid w:val="00BE62DC"/>
    <w:rsid w:val="00BE65BA"/>
    <w:rsid w:val="00BE667C"/>
    <w:rsid w:val="00BE7437"/>
    <w:rsid w:val="00BE76AF"/>
    <w:rsid w:val="00BE77D8"/>
    <w:rsid w:val="00BE7A3D"/>
    <w:rsid w:val="00BE7C16"/>
    <w:rsid w:val="00BF00BB"/>
    <w:rsid w:val="00BF0257"/>
    <w:rsid w:val="00BF0426"/>
    <w:rsid w:val="00BF0437"/>
    <w:rsid w:val="00BF0791"/>
    <w:rsid w:val="00BF0AEC"/>
    <w:rsid w:val="00BF0F28"/>
    <w:rsid w:val="00BF0F46"/>
    <w:rsid w:val="00BF1659"/>
    <w:rsid w:val="00BF189E"/>
    <w:rsid w:val="00BF2414"/>
    <w:rsid w:val="00BF2813"/>
    <w:rsid w:val="00BF2D03"/>
    <w:rsid w:val="00BF321F"/>
    <w:rsid w:val="00BF34E6"/>
    <w:rsid w:val="00BF3500"/>
    <w:rsid w:val="00BF35FE"/>
    <w:rsid w:val="00BF3B84"/>
    <w:rsid w:val="00BF3C06"/>
    <w:rsid w:val="00BF3C8C"/>
    <w:rsid w:val="00BF3CCA"/>
    <w:rsid w:val="00BF3D51"/>
    <w:rsid w:val="00BF3DF8"/>
    <w:rsid w:val="00BF3F03"/>
    <w:rsid w:val="00BF46E4"/>
    <w:rsid w:val="00BF5189"/>
    <w:rsid w:val="00BF5317"/>
    <w:rsid w:val="00BF5387"/>
    <w:rsid w:val="00BF559E"/>
    <w:rsid w:val="00BF5F04"/>
    <w:rsid w:val="00BF622A"/>
    <w:rsid w:val="00BF6462"/>
    <w:rsid w:val="00BF6508"/>
    <w:rsid w:val="00BF6F09"/>
    <w:rsid w:val="00BF718D"/>
    <w:rsid w:val="00BF7874"/>
    <w:rsid w:val="00BF7B5E"/>
    <w:rsid w:val="00C00073"/>
    <w:rsid w:val="00C004E6"/>
    <w:rsid w:val="00C0056F"/>
    <w:rsid w:val="00C005F2"/>
    <w:rsid w:val="00C0077C"/>
    <w:rsid w:val="00C0083B"/>
    <w:rsid w:val="00C00CE1"/>
    <w:rsid w:val="00C0107F"/>
    <w:rsid w:val="00C012CB"/>
    <w:rsid w:val="00C013BF"/>
    <w:rsid w:val="00C01460"/>
    <w:rsid w:val="00C0165E"/>
    <w:rsid w:val="00C019C7"/>
    <w:rsid w:val="00C01F14"/>
    <w:rsid w:val="00C023DB"/>
    <w:rsid w:val="00C02536"/>
    <w:rsid w:val="00C028A6"/>
    <w:rsid w:val="00C02D31"/>
    <w:rsid w:val="00C02D42"/>
    <w:rsid w:val="00C02DE2"/>
    <w:rsid w:val="00C031D9"/>
    <w:rsid w:val="00C0342B"/>
    <w:rsid w:val="00C03869"/>
    <w:rsid w:val="00C03A3E"/>
    <w:rsid w:val="00C03B40"/>
    <w:rsid w:val="00C03E34"/>
    <w:rsid w:val="00C0467D"/>
    <w:rsid w:val="00C0498A"/>
    <w:rsid w:val="00C04B3C"/>
    <w:rsid w:val="00C0505C"/>
    <w:rsid w:val="00C050B6"/>
    <w:rsid w:val="00C05541"/>
    <w:rsid w:val="00C0566C"/>
    <w:rsid w:val="00C05713"/>
    <w:rsid w:val="00C058BC"/>
    <w:rsid w:val="00C0599E"/>
    <w:rsid w:val="00C05E26"/>
    <w:rsid w:val="00C05FC2"/>
    <w:rsid w:val="00C06128"/>
    <w:rsid w:val="00C061E1"/>
    <w:rsid w:val="00C06421"/>
    <w:rsid w:val="00C066C5"/>
    <w:rsid w:val="00C0680A"/>
    <w:rsid w:val="00C06884"/>
    <w:rsid w:val="00C068A0"/>
    <w:rsid w:val="00C06AA6"/>
    <w:rsid w:val="00C06B6F"/>
    <w:rsid w:val="00C06BA8"/>
    <w:rsid w:val="00C06FD5"/>
    <w:rsid w:val="00C07231"/>
    <w:rsid w:val="00C0782A"/>
    <w:rsid w:val="00C079E3"/>
    <w:rsid w:val="00C07B8A"/>
    <w:rsid w:val="00C07C8A"/>
    <w:rsid w:val="00C07F3E"/>
    <w:rsid w:val="00C1014D"/>
    <w:rsid w:val="00C10163"/>
    <w:rsid w:val="00C102C5"/>
    <w:rsid w:val="00C10404"/>
    <w:rsid w:val="00C10926"/>
    <w:rsid w:val="00C10D7E"/>
    <w:rsid w:val="00C1150B"/>
    <w:rsid w:val="00C117F8"/>
    <w:rsid w:val="00C11B6A"/>
    <w:rsid w:val="00C11E0E"/>
    <w:rsid w:val="00C11EDB"/>
    <w:rsid w:val="00C1284C"/>
    <w:rsid w:val="00C13264"/>
    <w:rsid w:val="00C13368"/>
    <w:rsid w:val="00C137D2"/>
    <w:rsid w:val="00C1442B"/>
    <w:rsid w:val="00C14458"/>
    <w:rsid w:val="00C146BD"/>
    <w:rsid w:val="00C147E1"/>
    <w:rsid w:val="00C14ACF"/>
    <w:rsid w:val="00C14CC0"/>
    <w:rsid w:val="00C1511A"/>
    <w:rsid w:val="00C1524F"/>
    <w:rsid w:val="00C156BF"/>
    <w:rsid w:val="00C1585E"/>
    <w:rsid w:val="00C159A0"/>
    <w:rsid w:val="00C15C3E"/>
    <w:rsid w:val="00C15CAB"/>
    <w:rsid w:val="00C15D14"/>
    <w:rsid w:val="00C1622D"/>
    <w:rsid w:val="00C16435"/>
    <w:rsid w:val="00C16CEC"/>
    <w:rsid w:val="00C17015"/>
    <w:rsid w:val="00C17249"/>
    <w:rsid w:val="00C202FF"/>
    <w:rsid w:val="00C206EC"/>
    <w:rsid w:val="00C20868"/>
    <w:rsid w:val="00C20F04"/>
    <w:rsid w:val="00C212BB"/>
    <w:rsid w:val="00C2199B"/>
    <w:rsid w:val="00C21A2C"/>
    <w:rsid w:val="00C21B4E"/>
    <w:rsid w:val="00C21DD0"/>
    <w:rsid w:val="00C220C4"/>
    <w:rsid w:val="00C223B6"/>
    <w:rsid w:val="00C22EB6"/>
    <w:rsid w:val="00C2302F"/>
    <w:rsid w:val="00C23602"/>
    <w:rsid w:val="00C236B1"/>
    <w:rsid w:val="00C2371B"/>
    <w:rsid w:val="00C23729"/>
    <w:rsid w:val="00C238F6"/>
    <w:rsid w:val="00C23BA4"/>
    <w:rsid w:val="00C23E62"/>
    <w:rsid w:val="00C240FF"/>
    <w:rsid w:val="00C241C5"/>
    <w:rsid w:val="00C24703"/>
    <w:rsid w:val="00C24983"/>
    <w:rsid w:val="00C24E28"/>
    <w:rsid w:val="00C250A1"/>
    <w:rsid w:val="00C255F3"/>
    <w:rsid w:val="00C2563B"/>
    <w:rsid w:val="00C25BF9"/>
    <w:rsid w:val="00C25E3D"/>
    <w:rsid w:val="00C25F36"/>
    <w:rsid w:val="00C264DF"/>
    <w:rsid w:val="00C26822"/>
    <w:rsid w:val="00C269FB"/>
    <w:rsid w:val="00C2707E"/>
    <w:rsid w:val="00C277CA"/>
    <w:rsid w:val="00C30002"/>
    <w:rsid w:val="00C30139"/>
    <w:rsid w:val="00C30297"/>
    <w:rsid w:val="00C30365"/>
    <w:rsid w:val="00C30484"/>
    <w:rsid w:val="00C307CA"/>
    <w:rsid w:val="00C30916"/>
    <w:rsid w:val="00C30AF0"/>
    <w:rsid w:val="00C30BBA"/>
    <w:rsid w:val="00C31044"/>
    <w:rsid w:val="00C31697"/>
    <w:rsid w:val="00C31902"/>
    <w:rsid w:val="00C319C3"/>
    <w:rsid w:val="00C31AC6"/>
    <w:rsid w:val="00C31D9E"/>
    <w:rsid w:val="00C3225E"/>
    <w:rsid w:val="00C3258C"/>
    <w:rsid w:val="00C32614"/>
    <w:rsid w:val="00C3267C"/>
    <w:rsid w:val="00C32848"/>
    <w:rsid w:val="00C329F1"/>
    <w:rsid w:val="00C32CCF"/>
    <w:rsid w:val="00C32DDB"/>
    <w:rsid w:val="00C333B5"/>
    <w:rsid w:val="00C33928"/>
    <w:rsid w:val="00C33A7D"/>
    <w:rsid w:val="00C33C09"/>
    <w:rsid w:val="00C33EF0"/>
    <w:rsid w:val="00C33EF7"/>
    <w:rsid w:val="00C34031"/>
    <w:rsid w:val="00C341EF"/>
    <w:rsid w:val="00C3435E"/>
    <w:rsid w:val="00C34B02"/>
    <w:rsid w:val="00C35117"/>
    <w:rsid w:val="00C35287"/>
    <w:rsid w:val="00C3539F"/>
    <w:rsid w:val="00C353E4"/>
    <w:rsid w:val="00C35436"/>
    <w:rsid w:val="00C3552C"/>
    <w:rsid w:val="00C35794"/>
    <w:rsid w:val="00C358CE"/>
    <w:rsid w:val="00C35AB8"/>
    <w:rsid w:val="00C35C98"/>
    <w:rsid w:val="00C35EEE"/>
    <w:rsid w:val="00C35FC8"/>
    <w:rsid w:val="00C3633C"/>
    <w:rsid w:val="00C364DA"/>
    <w:rsid w:val="00C36EE3"/>
    <w:rsid w:val="00C36FF6"/>
    <w:rsid w:val="00C37572"/>
    <w:rsid w:val="00C37591"/>
    <w:rsid w:val="00C376D5"/>
    <w:rsid w:val="00C3779B"/>
    <w:rsid w:val="00C3796C"/>
    <w:rsid w:val="00C379A7"/>
    <w:rsid w:val="00C37A70"/>
    <w:rsid w:val="00C37B08"/>
    <w:rsid w:val="00C40066"/>
    <w:rsid w:val="00C406DF"/>
    <w:rsid w:val="00C408DD"/>
    <w:rsid w:val="00C40952"/>
    <w:rsid w:val="00C40C99"/>
    <w:rsid w:val="00C41E25"/>
    <w:rsid w:val="00C4206F"/>
    <w:rsid w:val="00C420E0"/>
    <w:rsid w:val="00C420FA"/>
    <w:rsid w:val="00C426A6"/>
    <w:rsid w:val="00C4288F"/>
    <w:rsid w:val="00C42A55"/>
    <w:rsid w:val="00C42B3B"/>
    <w:rsid w:val="00C42C61"/>
    <w:rsid w:val="00C42D5B"/>
    <w:rsid w:val="00C4304B"/>
    <w:rsid w:val="00C43904"/>
    <w:rsid w:val="00C43A46"/>
    <w:rsid w:val="00C43BD6"/>
    <w:rsid w:val="00C43C38"/>
    <w:rsid w:val="00C43D50"/>
    <w:rsid w:val="00C43DE0"/>
    <w:rsid w:val="00C43E33"/>
    <w:rsid w:val="00C43E77"/>
    <w:rsid w:val="00C4401A"/>
    <w:rsid w:val="00C440F0"/>
    <w:rsid w:val="00C44393"/>
    <w:rsid w:val="00C444CE"/>
    <w:rsid w:val="00C44552"/>
    <w:rsid w:val="00C44633"/>
    <w:rsid w:val="00C44C1B"/>
    <w:rsid w:val="00C44C70"/>
    <w:rsid w:val="00C44F45"/>
    <w:rsid w:val="00C44F4A"/>
    <w:rsid w:val="00C44F5C"/>
    <w:rsid w:val="00C44FD4"/>
    <w:rsid w:val="00C44FE6"/>
    <w:rsid w:val="00C4526C"/>
    <w:rsid w:val="00C45571"/>
    <w:rsid w:val="00C45854"/>
    <w:rsid w:val="00C45892"/>
    <w:rsid w:val="00C4599D"/>
    <w:rsid w:val="00C45A1B"/>
    <w:rsid w:val="00C45A8F"/>
    <w:rsid w:val="00C45C34"/>
    <w:rsid w:val="00C45F6B"/>
    <w:rsid w:val="00C45FD5"/>
    <w:rsid w:val="00C460D7"/>
    <w:rsid w:val="00C46437"/>
    <w:rsid w:val="00C46573"/>
    <w:rsid w:val="00C4679B"/>
    <w:rsid w:val="00C47135"/>
    <w:rsid w:val="00C473BA"/>
    <w:rsid w:val="00C477C8"/>
    <w:rsid w:val="00C47842"/>
    <w:rsid w:val="00C478AD"/>
    <w:rsid w:val="00C47E1B"/>
    <w:rsid w:val="00C494C2"/>
    <w:rsid w:val="00C50351"/>
    <w:rsid w:val="00C50553"/>
    <w:rsid w:val="00C50575"/>
    <w:rsid w:val="00C50663"/>
    <w:rsid w:val="00C508C5"/>
    <w:rsid w:val="00C50989"/>
    <w:rsid w:val="00C50AFA"/>
    <w:rsid w:val="00C50BC7"/>
    <w:rsid w:val="00C50C8C"/>
    <w:rsid w:val="00C51086"/>
    <w:rsid w:val="00C51255"/>
    <w:rsid w:val="00C51334"/>
    <w:rsid w:val="00C514B1"/>
    <w:rsid w:val="00C5153E"/>
    <w:rsid w:val="00C518BB"/>
    <w:rsid w:val="00C51AF0"/>
    <w:rsid w:val="00C51E7B"/>
    <w:rsid w:val="00C52968"/>
    <w:rsid w:val="00C52C04"/>
    <w:rsid w:val="00C532E6"/>
    <w:rsid w:val="00C5336B"/>
    <w:rsid w:val="00C5386E"/>
    <w:rsid w:val="00C538CA"/>
    <w:rsid w:val="00C53985"/>
    <w:rsid w:val="00C53A72"/>
    <w:rsid w:val="00C53BEA"/>
    <w:rsid w:val="00C53E27"/>
    <w:rsid w:val="00C54511"/>
    <w:rsid w:val="00C5463B"/>
    <w:rsid w:val="00C54A2A"/>
    <w:rsid w:val="00C54A2E"/>
    <w:rsid w:val="00C54C63"/>
    <w:rsid w:val="00C54E4E"/>
    <w:rsid w:val="00C54EE9"/>
    <w:rsid w:val="00C54F23"/>
    <w:rsid w:val="00C54F58"/>
    <w:rsid w:val="00C553DB"/>
    <w:rsid w:val="00C55953"/>
    <w:rsid w:val="00C559D9"/>
    <w:rsid w:val="00C55BA6"/>
    <w:rsid w:val="00C55C2B"/>
    <w:rsid w:val="00C55EBA"/>
    <w:rsid w:val="00C55F05"/>
    <w:rsid w:val="00C56540"/>
    <w:rsid w:val="00C56B37"/>
    <w:rsid w:val="00C57063"/>
    <w:rsid w:val="00C57BDF"/>
    <w:rsid w:val="00C57CE1"/>
    <w:rsid w:val="00C60BF7"/>
    <w:rsid w:val="00C60D38"/>
    <w:rsid w:val="00C614C7"/>
    <w:rsid w:val="00C61590"/>
    <w:rsid w:val="00C615E2"/>
    <w:rsid w:val="00C62092"/>
    <w:rsid w:val="00C62136"/>
    <w:rsid w:val="00C6259D"/>
    <w:rsid w:val="00C62B45"/>
    <w:rsid w:val="00C62CDC"/>
    <w:rsid w:val="00C62D1D"/>
    <w:rsid w:val="00C62F6E"/>
    <w:rsid w:val="00C636AF"/>
    <w:rsid w:val="00C641BF"/>
    <w:rsid w:val="00C64272"/>
    <w:rsid w:val="00C64304"/>
    <w:rsid w:val="00C643E3"/>
    <w:rsid w:val="00C644E1"/>
    <w:rsid w:val="00C64536"/>
    <w:rsid w:val="00C64778"/>
    <w:rsid w:val="00C64D97"/>
    <w:rsid w:val="00C65024"/>
    <w:rsid w:val="00C65488"/>
    <w:rsid w:val="00C654E0"/>
    <w:rsid w:val="00C65C1C"/>
    <w:rsid w:val="00C660E4"/>
    <w:rsid w:val="00C66309"/>
    <w:rsid w:val="00C663AB"/>
    <w:rsid w:val="00C664E0"/>
    <w:rsid w:val="00C669D5"/>
    <w:rsid w:val="00C671C5"/>
    <w:rsid w:val="00C67525"/>
    <w:rsid w:val="00C6786D"/>
    <w:rsid w:val="00C6787A"/>
    <w:rsid w:val="00C679CE"/>
    <w:rsid w:val="00C67A03"/>
    <w:rsid w:val="00C67C14"/>
    <w:rsid w:val="00C67E8A"/>
    <w:rsid w:val="00C67F38"/>
    <w:rsid w:val="00C700F9"/>
    <w:rsid w:val="00C706A0"/>
    <w:rsid w:val="00C706E2"/>
    <w:rsid w:val="00C708DD"/>
    <w:rsid w:val="00C70BBA"/>
    <w:rsid w:val="00C70D83"/>
    <w:rsid w:val="00C70F3D"/>
    <w:rsid w:val="00C70FDE"/>
    <w:rsid w:val="00C70FE2"/>
    <w:rsid w:val="00C7101D"/>
    <w:rsid w:val="00C710C8"/>
    <w:rsid w:val="00C711EA"/>
    <w:rsid w:val="00C717E6"/>
    <w:rsid w:val="00C71E00"/>
    <w:rsid w:val="00C72082"/>
    <w:rsid w:val="00C720D3"/>
    <w:rsid w:val="00C721D4"/>
    <w:rsid w:val="00C72326"/>
    <w:rsid w:val="00C72556"/>
    <w:rsid w:val="00C72C8E"/>
    <w:rsid w:val="00C73046"/>
    <w:rsid w:val="00C7360C"/>
    <w:rsid w:val="00C737C5"/>
    <w:rsid w:val="00C7417F"/>
    <w:rsid w:val="00C748AC"/>
    <w:rsid w:val="00C74BE2"/>
    <w:rsid w:val="00C74E23"/>
    <w:rsid w:val="00C750D0"/>
    <w:rsid w:val="00C75363"/>
    <w:rsid w:val="00C7548B"/>
    <w:rsid w:val="00C754C5"/>
    <w:rsid w:val="00C755BB"/>
    <w:rsid w:val="00C75914"/>
    <w:rsid w:val="00C759EE"/>
    <w:rsid w:val="00C75AA4"/>
    <w:rsid w:val="00C75D8F"/>
    <w:rsid w:val="00C75F8B"/>
    <w:rsid w:val="00C760A0"/>
    <w:rsid w:val="00C76ADC"/>
    <w:rsid w:val="00C76B76"/>
    <w:rsid w:val="00C76CC6"/>
    <w:rsid w:val="00C76E4F"/>
    <w:rsid w:val="00C76ED2"/>
    <w:rsid w:val="00C7736D"/>
    <w:rsid w:val="00C778DC"/>
    <w:rsid w:val="00C8079E"/>
    <w:rsid w:val="00C80D49"/>
    <w:rsid w:val="00C81863"/>
    <w:rsid w:val="00C8191F"/>
    <w:rsid w:val="00C81BD2"/>
    <w:rsid w:val="00C81D9E"/>
    <w:rsid w:val="00C822FD"/>
    <w:rsid w:val="00C827BA"/>
    <w:rsid w:val="00C82ADF"/>
    <w:rsid w:val="00C82AEB"/>
    <w:rsid w:val="00C8303A"/>
    <w:rsid w:val="00C832C3"/>
    <w:rsid w:val="00C8349E"/>
    <w:rsid w:val="00C83EF7"/>
    <w:rsid w:val="00C84912"/>
    <w:rsid w:val="00C84AD2"/>
    <w:rsid w:val="00C84CA0"/>
    <w:rsid w:val="00C85051"/>
    <w:rsid w:val="00C85314"/>
    <w:rsid w:val="00C853CB"/>
    <w:rsid w:val="00C8579B"/>
    <w:rsid w:val="00C858E1"/>
    <w:rsid w:val="00C85B6C"/>
    <w:rsid w:val="00C85C3D"/>
    <w:rsid w:val="00C85ED8"/>
    <w:rsid w:val="00C8697B"/>
    <w:rsid w:val="00C86BBF"/>
    <w:rsid w:val="00C86E9C"/>
    <w:rsid w:val="00C86FB3"/>
    <w:rsid w:val="00C87325"/>
    <w:rsid w:val="00C8740E"/>
    <w:rsid w:val="00C87A5F"/>
    <w:rsid w:val="00C87BAD"/>
    <w:rsid w:val="00C87BF9"/>
    <w:rsid w:val="00C90501"/>
    <w:rsid w:val="00C90674"/>
    <w:rsid w:val="00C90A48"/>
    <w:rsid w:val="00C90BC0"/>
    <w:rsid w:val="00C90FEF"/>
    <w:rsid w:val="00C91108"/>
    <w:rsid w:val="00C9129A"/>
    <w:rsid w:val="00C914CA"/>
    <w:rsid w:val="00C91643"/>
    <w:rsid w:val="00C9179A"/>
    <w:rsid w:val="00C9197D"/>
    <w:rsid w:val="00C91E3B"/>
    <w:rsid w:val="00C92178"/>
    <w:rsid w:val="00C928D8"/>
    <w:rsid w:val="00C929AC"/>
    <w:rsid w:val="00C92C42"/>
    <w:rsid w:val="00C92EA1"/>
    <w:rsid w:val="00C92EB2"/>
    <w:rsid w:val="00C93047"/>
    <w:rsid w:val="00C931F9"/>
    <w:rsid w:val="00C93234"/>
    <w:rsid w:val="00C935BD"/>
    <w:rsid w:val="00C936AD"/>
    <w:rsid w:val="00C93C46"/>
    <w:rsid w:val="00C93C84"/>
    <w:rsid w:val="00C944D2"/>
    <w:rsid w:val="00C94900"/>
    <w:rsid w:val="00C94F86"/>
    <w:rsid w:val="00C950AF"/>
    <w:rsid w:val="00C954A3"/>
    <w:rsid w:val="00C954B8"/>
    <w:rsid w:val="00C95A79"/>
    <w:rsid w:val="00C95ACE"/>
    <w:rsid w:val="00C95B51"/>
    <w:rsid w:val="00C95DD4"/>
    <w:rsid w:val="00C95E4A"/>
    <w:rsid w:val="00C962BF"/>
    <w:rsid w:val="00C963B7"/>
    <w:rsid w:val="00C96907"/>
    <w:rsid w:val="00C96CF9"/>
    <w:rsid w:val="00C96D22"/>
    <w:rsid w:val="00C97134"/>
    <w:rsid w:val="00C972DC"/>
    <w:rsid w:val="00C97EF7"/>
    <w:rsid w:val="00CA044B"/>
    <w:rsid w:val="00CA04AD"/>
    <w:rsid w:val="00CA0B34"/>
    <w:rsid w:val="00CA0C9F"/>
    <w:rsid w:val="00CA1148"/>
    <w:rsid w:val="00CA1AF1"/>
    <w:rsid w:val="00CA1C1E"/>
    <w:rsid w:val="00CA1FF5"/>
    <w:rsid w:val="00CA218B"/>
    <w:rsid w:val="00CA28BB"/>
    <w:rsid w:val="00CA28ED"/>
    <w:rsid w:val="00CA29A5"/>
    <w:rsid w:val="00CA2A23"/>
    <w:rsid w:val="00CA2BD2"/>
    <w:rsid w:val="00CA34F5"/>
    <w:rsid w:val="00CA3D35"/>
    <w:rsid w:val="00CA3DF7"/>
    <w:rsid w:val="00CA3FF1"/>
    <w:rsid w:val="00CA4033"/>
    <w:rsid w:val="00CA41E1"/>
    <w:rsid w:val="00CA46D6"/>
    <w:rsid w:val="00CA47CF"/>
    <w:rsid w:val="00CA4BC0"/>
    <w:rsid w:val="00CA4FD6"/>
    <w:rsid w:val="00CA5245"/>
    <w:rsid w:val="00CA554E"/>
    <w:rsid w:val="00CA5637"/>
    <w:rsid w:val="00CA56C2"/>
    <w:rsid w:val="00CA58B7"/>
    <w:rsid w:val="00CA5B85"/>
    <w:rsid w:val="00CA6050"/>
    <w:rsid w:val="00CA653F"/>
    <w:rsid w:val="00CA66CA"/>
    <w:rsid w:val="00CA66CE"/>
    <w:rsid w:val="00CA6810"/>
    <w:rsid w:val="00CA6887"/>
    <w:rsid w:val="00CA697E"/>
    <w:rsid w:val="00CA69CC"/>
    <w:rsid w:val="00CA6B6D"/>
    <w:rsid w:val="00CA72E8"/>
    <w:rsid w:val="00CA7364"/>
    <w:rsid w:val="00CA7423"/>
    <w:rsid w:val="00CA745A"/>
    <w:rsid w:val="00CA76D6"/>
    <w:rsid w:val="00CA7AC1"/>
    <w:rsid w:val="00CA7B3E"/>
    <w:rsid w:val="00CB0158"/>
    <w:rsid w:val="00CB0193"/>
    <w:rsid w:val="00CB047C"/>
    <w:rsid w:val="00CB0703"/>
    <w:rsid w:val="00CB0C62"/>
    <w:rsid w:val="00CB0D26"/>
    <w:rsid w:val="00CB0E83"/>
    <w:rsid w:val="00CB0F78"/>
    <w:rsid w:val="00CB110E"/>
    <w:rsid w:val="00CB1338"/>
    <w:rsid w:val="00CB15D3"/>
    <w:rsid w:val="00CB1675"/>
    <w:rsid w:val="00CB16D7"/>
    <w:rsid w:val="00CB193D"/>
    <w:rsid w:val="00CB2066"/>
    <w:rsid w:val="00CB21CF"/>
    <w:rsid w:val="00CB227C"/>
    <w:rsid w:val="00CB23AD"/>
    <w:rsid w:val="00CB316C"/>
    <w:rsid w:val="00CB3586"/>
    <w:rsid w:val="00CB3939"/>
    <w:rsid w:val="00CB3BEA"/>
    <w:rsid w:val="00CB3BFC"/>
    <w:rsid w:val="00CB3CDE"/>
    <w:rsid w:val="00CB4137"/>
    <w:rsid w:val="00CB43DA"/>
    <w:rsid w:val="00CB4527"/>
    <w:rsid w:val="00CB4C8E"/>
    <w:rsid w:val="00CB4CAC"/>
    <w:rsid w:val="00CB4F99"/>
    <w:rsid w:val="00CB5773"/>
    <w:rsid w:val="00CB5979"/>
    <w:rsid w:val="00CB5FF7"/>
    <w:rsid w:val="00CB6B1B"/>
    <w:rsid w:val="00CB6C3F"/>
    <w:rsid w:val="00CB7697"/>
    <w:rsid w:val="00CB76ED"/>
    <w:rsid w:val="00CB7890"/>
    <w:rsid w:val="00CB7A4C"/>
    <w:rsid w:val="00CB7EC7"/>
    <w:rsid w:val="00CC0625"/>
    <w:rsid w:val="00CC06E2"/>
    <w:rsid w:val="00CC0814"/>
    <w:rsid w:val="00CC0958"/>
    <w:rsid w:val="00CC096D"/>
    <w:rsid w:val="00CC0C08"/>
    <w:rsid w:val="00CC0D67"/>
    <w:rsid w:val="00CC0E32"/>
    <w:rsid w:val="00CC1075"/>
    <w:rsid w:val="00CC218D"/>
    <w:rsid w:val="00CC28DC"/>
    <w:rsid w:val="00CC29F9"/>
    <w:rsid w:val="00CC2BE7"/>
    <w:rsid w:val="00CC2EC6"/>
    <w:rsid w:val="00CC3145"/>
    <w:rsid w:val="00CC35F1"/>
    <w:rsid w:val="00CC3879"/>
    <w:rsid w:val="00CC4004"/>
    <w:rsid w:val="00CC420C"/>
    <w:rsid w:val="00CC424D"/>
    <w:rsid w:val="00CC4913"/>
    <w:rsid w:val="00CC4A0D"/>
    <w:rsid w:val="00CC4E25"/>
    <w:rsid w:val="00CC559D"/>
    <w:rsid w:val="00CC581A"/>
    <w:rsid w:val="00CC5953"/>
    <w:rsid w:val="00CC5DF6"/>
    <w:rsid w:val="00CC5EBF"/>
    <w:rsid w:val="00CC61D1"/>
    <w:rsid w:val="00CC6288"/>
    <w:rsid w:val="00CC6977"/>
    <w:rsid w:val="00CC6CDB"/>
    <w:rsid w:val="00CC709A"/>
    <w:rsid w:val="00CC7752"/>
    <w:rsid w:val="00CC7915"/>
    <w:rsid w:val="00CC7DA2"/>
    <w:rsid w:val="00CC7F50"/>
    <w:rsid w:val="00CD0073"/>
    <w:rsid w:val="00CD00F1"/>
    <w:rsid w:val="00CD0184"/>
    <w:rsid w:val="00CD0469"/>
    <w:rsid w:val="00CD04D1"/>
    <w:rsid w:val="00CD05F9"/>
    <w:rsid w:val="00CD091C"/>
    <w:rsid w:val="00CD1416"/>
    <w:rsid w:val="00CD1465"/>
    <w:rsid w:val="00CD1689"/>
    <w:rsid w:val="00CD1699"/>
    <w:rsid w:val="00CD1927"/>
    <w:rsid w:val="00CD19B1"/>
    <w:rsid w:val="00CD1A21"/>
    <w:rsid w:val="00CD1AF0"/>
    <w:rsid w:val="00CD1DEE"/>
    <w:rsid w:val="00CD1F23"/>
    <w:rsid w:val="00CD22C8"/>
    <w:rsid w:val="00CD2420"/>
    <w:rsid w:val="00CD25FA"/>
    <w:rsid w:val="00CD2828"/>
    <w:rsid w:val="00CD2DED"/>
    <w:rsid w:val="00CD30E9"/>
    <w:rsid w:val="00CD31CD"/>
    <w:rsid w:val="00CD360D"/>
    <w:rsid w:val="00CD3D0B"/>
    <w:rsid w:val="00CD3D5C"/>
    <w:rsid w:val="00CD3F32"/>
    <w:rsid w:val="00CD42EA"/>
    <w:rsid w:val="00CD44B6"/>
    <w:rsid w:val="00CD47F6"/>
    <w:rsid w:val="00CD499A"/>
    <w:rsid w:val="00CD4AAA"/>
    <w:rsid w:val="00CD4AAD"/>
    <w:rsid w:val="00CD4E61"/>
    <w:rsid w:val="00CD4FFB"/>
    <w:rsid w:val="00CD52BF"/>
    <w:rsid w:val="00CD54D8"/>
    <w:rsid w:val="00CD5916"/>
    <w:rsid w:val="00CD5A69"/>
    <w:rsid w:val="00CD5C0D"/>
    <w:rsid w:val="00CD5C95"/>
    <w:rsid w:val="00CD5ECF"/>
    <w:rsid w:val="00CD63C9"/>
    <w:rsid w:val="00CD6528"/>
    <w:rsid w:val="00CD654B"/>
    <w:rsid w:val="00CD6859"/>
    <w:rsid w:val="00CD68F1"/>
    <w:rsid w:val="00CD6ADA"/>
    <w:rsid w:val="00CD6BD4"/>
    <w:rsid w:val="00CD6DBD"/>
    <w:rsid w:val="00CD7272"/>
    <w:rsid w:val="00CD7309"/>
    <w:rsid w:val="00CD74DF"/>
    <w:rsid w:val="00CD7A69"/>
    <w:rsid w:val="00CE024B"/>
    <w:rsid w:val="00CE0528"/>
    <w:rsid w:val="00CE078F"/>
    <w:rsid w:val="00CE07A1"/>
    <w:rsid w:val="00CE080A"/>
    <w:rsid w:val="00CE08CF"/>
    <w:rsid w:val="00CE0D77"/>
    <w:rsid w:val="00CE0F3F"/>
    <w:rsid w:val="00CE17FC"/>
    <w:rsid w:val="00CE19D9"/>
    <w:rsid w:val="00CE1CDC"/>
    <w:rsid w:val="00CE1D71"/>
    <w:rsid w:val="00CE1DF4"/>
    <w:rsid w:val="00CE1F52"/>
    <w:rsid w:val="00CE214D"/>
    <w:rsid w:val="00CE223E"/>
    <w:rsid w:val="00CE23E6"/>
    <w:rsid w:val="00CE2861"/>
    <w:rsid w:val="00CE2985"/>
    <w:rsid w:val="00CE321A"/>
    <w:rsid w:val="00CE336C"/>
    <w:rsid w:val="00CE34CD"/>
    <w:rsid w:val="00CE3A84"/>
    <w:rsid w:val="00CE4059"/>
    <w:rsid w:val="00CE4494"/>
    <w:rsid w:val="00CE44FF"/>
    <w:rsid w:val="00CE4635"/>
    <w:rsid w:val="00CE490A"/>
    <w:rsid w:val="00CE5135"/>
    <w:rsid w:val="00CE5537"/>
    <w:rsid w:val="00CE57BE"/>
    <w:rsid w:val="00CE5B0C"/>
    <w:rsid w:val="00CE5CFA"/>
    <w:rsid w:val="00CE5E99"/>
    <w:rsid w:val="00CE6672"/>
    <w:rsid w:val="00CE66E3"/>
    <w:rsid w:val="00CE6794"/>
    <w:rsid w:val="00CE67C5"/>
    <w:rsid w:val="00CE6DAC"/>
    <w:rsid w:val="00CE6FBE"/>
    <w:rsid w:val="00CE753D"/>
    <w:rsid w:val="00CE75EC"/>
    <w:rsid w:val="00CE7846"/>
    <w:rsid w:val="00CE7B57"/>
    <w:rsid w:val="00CE7B6D"/>
    <w:rsid w:val="00CE7D60"/>
    <w:rsid w:val="00CE7E19"/>
    <w:rsid w:val="00CE7F3F"/>
    <w:rsid w:val="00CE7FBB"/>
    <w:rsid w:val="00CF003F"/>
    <w:rsid w:val="00CF01DF"/>
    <w:rsid w:val="00CF0B36"/>
    <w:rsid w:val="00CF0B7C"/>
    <w:rsid w:val="00CF0DC0"/>
    <w:rsid w:val="00CF0DD1"/>
    <w:rsid w:val="00CF0E85"/>
    <w:rsid w:val="00CF1249"/>
    <w:rsid w:val="00CF12E4"/>
    <w:rsid w:val="00CF1338"/>
    <w:rsid w:val="00CF17B0"/>
    <w:rsid w:val="00CF188E"/>
    <w:rsid w:val="00CF1C4A"/>
    <w:rsid w:val="00CF2078"/>
    <w:rsid w:val="00CF2079"/>
    <w:rsid w:val="00CF23CA"/>
    <w:rsid w:val="00CF261C"/>
    <w:rsid w:val="00CF2740"/>
    <w:rsid w:val="00CF2C53"/>
    <w:rsid w:val="00CF309D"/>
    <w:rsid w:val="00CF31D4"/>
    <w:rsid w:val="00CF34B7"/>
    <w:rsid w:val="00CF398F"/>
    <w:rsid w:val="00CF4105"/>
    <w:rsid w:val="00CF4220"/>
    <w:rsid w:val="00CF4511"/>
    <w:rsid w:val="00CF4549"/>
    <w:rsid w:val="00CF4711"/>
    <w:rsid w:val="00CF4A7D"/>
    <w:rsid w:val="00CF4C26"/>
    <w:rsid w:val="00CF4D26"/>
    <w:rsid w:val="00CF4DB5"/>
    <w:rsid w:val="00CF4DF9"/>
    <w:rsid w:val="00CF518B"/>
    <w:rsid w:val="00CF52E8"/>
    <w:rsid w:val="00CF54CD"/>
    <w:rsid w:val="00CF5CB0"/>
    <w:rsid w:val="00CF635C"/>
    <w:rsid w:val="00CF6389"/>
    <w:rsid w:val="00CF6448"/>
    <w:rsid w:val="00CF64D5"/>
    <w:rsid w:val="00CF7214"/>
    <w:rsid w:val="00CF7215"/>
    <w:rsid w:val="00CF7288"/>
    <w:rsid w:val="00CF7AA9"/>
    <w:rsid w:val="00CF7EEF"/>
    <w:rsid w:val="00CF7F3C"/>
    <w:rsid w:val="00D00261"/>
    <w:rsid w:val="00D0077B"/>
    <w:rsid w:val="00D00B38"/>
    <w:rsid w:val="00D00DF5"/>
    <w:rsid w:val="00D00FEB"/>
    <w:rsid w:val="00D01442"/>
    <w:rsid w:val="00D0166C"/>
    <w:rsid w:val="00D01797"/>
    <w:rsid w:val="00D01A08"/>
    <w:rsid w:val="00D01D80"/>
    <w:rsid w:val="00D0212C"/>
    <w:rsid w:val="00D022E2"/>
    <w:rsid w:val="00D02914"/>
    <w:rsid w:val="00D029D7"/>
    <w:rsid w:val="00D02D3A"/>
    <w:rsid w:val="00D033ED"/>
    <w:rsid w:val="00D036FC"/>
    <w:rsid w:val="00D03C22"/>
    <w:rsid w:val="00D03C2A"/>
    <w:rsid w:val="00D03DFB"/>
    <w:rsid w:val="00D03F19"/>
    <w:rsid w:val="00D04291"/>
    <w:rsid w:val="00D0450B"/>
    <w:rsid w:val="00D04D31"/>
    <w:rsid w:val="00D04E0B"/>
    <w:rsid w:val="00D05296"/>
    <w:rsid w:val="00D05396"/>
    <w:rsid w:val="00D05538"/>
    <w:rsid w:val="00D055FF"/>
    <w:rsid w:val="00D0590A"/>
    <w:rsid w:val="00D05930"/>
    <w:rsid w:val="00D05B73"/>
    <w:rsid w:val="00D05BE5"/>
    <w:rsid w:val="00D0620F"/>
    <w:rsid w:val="00D0656C"/>
    <w:rsid w:val="00D065DA"/>
    <w:rsid w:val="00D06828"/>
    <w:rsid w:val="00D06C7E"/>
    <w:rsid w:val="00D07332"/>
    <w:rsid w:val="00D07405"/>
    <w:rsid w:val="00D07674"/>
    <w:rsid w:val="00D077F0"/>
    <w:rsid w:val="00D07CC7"/>
    <w:rsid w:val="00D07ED5"/>
    <w:rsid w:val="00D07FC9"/>
    <w:rsid w:val="00D10361"/>
    <w:rsid w:val="00D10533"/>
    <w:rsid w:val="00D105E6"/>
    <w:rsid w:val="00D105FA"/>
    <w:rsid w:val="00D10C48"/>
    <w:rsid w:val="00D10F0E"/>
    <w:rsid w:val="00D11003"/>
    <w:rsid w:val="00D117D5"/>
    <w:rsid w:val="00D117D8"/>
    <w:rsid w:val="00D1192E"/>
    <w:rsid w:val="00D11D97"/>
    <w:rsid w:val="00D12848"/>
    <w:rsid w:val="00D129B2"/>
    <w:rsid w:val="00D12AB7"/>
    <w:rsid w:val="00D130FC"/>
    <w:rsid w:val="00D133EC"/>
    <w:rsid w:val="00D135B7"/>
    <w:rsid w:val="00D13C96"/>
    <w:rsid w:val="00D13DA5"/>
    <w:rsid w:val="00D13ED5"/>
    <w:rsid w:val="00D14039"/>
    <w:rsid w:val="00D1442A"/>
    <w:rsid w:val="00D145F5"/>
    <w:rsid w:val="00D146DC"/>
    <w:rsid w:val="00D147C4"/>
    <w:rsid w:val="00D148E9"/>
    <w:rsid w:val="00D14C1A"/>
    <w:rsid w:val="00D14D8F"/>
    <w:rsid w:val="00D15520"/>
    <w:rsid w:val="00D15622"/>
    <w:rsid w:val="00D158F6"/>
    <w:rsid w:val="00D159E3"/>
    <w:rsid w:val="00D16197"/>
    <w:rsid w:val="00D16342"/>
    <w:rsid w:val="00D16351"/>
    <w:rsid w:val="00D16C27"/>
    <w:rsid w:val="00D1738B"/>
    <w:rsid w:val="00D1747F"/>
    <w:rsid w:val="00D176FD"/>
    <w:rsid w:val="00D17BFD"/>
    <w:rsid w:val="00D17EF7"/>
    <w:rsid w:val="00D17FD1"/>
    <w:rsid w:val="00D2054C"/>
    <w:rsid w:val="00D20DC3"/>
    <w:rsid w:val="00D21516"/>
    <w:rsid w:val="00D21F42"/>
    <w:rsid w:val="00D22052"/>
    <w:rsid w:val="00D22407"/>
    <w:rsid w:val="00D227B7"/>
    <w:rsid w:val="00D228B6"/>
    <w:rsid w:val="00D22962"/>
    <w:rsid w:val="00D229FD"/>
    <w:rsid w:val="00D22F08"/>
    <w:rsid w:val="00D22F5D"/>
    <w:rsid w:val="00D22FF4"/>
    <w:rsid w:val="00D23079"/>
    <w:rsid w:val="00D230B1"/>
    <w:rsid w:val="00D2326D"/>
    <w:rsid w:val="00D23790"/>
    <w:rsid w:val="00D238A3"/>
    <w:rsid w:val="00D239D2"/>
    <w:rsid w:val="00D23BF4"/>
    <w:rsid w:val="00D23ECB"/>
    <w:rsid w:val="00D23EF3"/>
    <w:rsid w:val="00D24AB3"/>
    <w:rsid w:val="00D24FE8"/>
    <w:rsid w:val="00D25290"/>
    <w:rsid w:val="00D25358"/>
    <w:rsid w:val="00D25821"/>
    <w:rsid w:val="00D25899"/>
    <w:rsid w:val="00D25906"/>
    <w:rsid w:val="00D25923"/>
    <w:rsid w:val="00D25DF4"/>
    <w:rsid w:val="00D25EDA"/>
    <w:rsid w:val="00D2608D"/>
    <w:rsid w:val="00D2679D"/>
    <w:rsid w:val="00D26BE7"/>
    <w:rsid w:val="00D26C98"/>
    <w:rsid w:val="00D2745E"/>
    <w:rsid w:val="00D2758B"/>
    <w:rsid w:val="00D279D8"/>
    <w:rsid w:val="00D27D4B"/>
    <w:rsid w:val="00D27F6A"/>
    <w:rsid w:val="00D27FAD"/>
    <w:rsid w:val="00D308C1"/>
    <w:rsid w:val="00D30910"/>
    <w:rsid w:val="00D30AC0"/>
    <w:rsid w:val="00D31749"/>
    <w:rsid w:val="00D31750"/>
    <w:rsid w:val="00D31CA3"/>
    <w:rsid w:val="00D31DBB"/>
    <w:rsid w:val="00D31DF5"/>
    <w:rsid w:val="00D322DA"/>
    <w:rsid w:val="00D324E7"/>
    <w:rsid w:val="00D32678"/>
    <w:rsid w:val="00D32707"/>
    <w:rsid w:val="00D32800"/>
    <w:rsid w:val="00D32861"/>
    <w:rsid w:val="00D3287A"/>
    <w:rsid w:val="00D32B39"/>
    <w:rsid w:val="00D32E2F"/>
    <w:rsid w:val="00D330DE"/>
    <w:rsid w:val="00D33255"/>
    <w:rsid w:val="00D3354E"/>
    <w:rsid w:val="00D33605"/>
    <w:rsid w:val="00D33754"/>
    <w:rsid w:val="00D33AFE"/>
    <w:rsid w:val="00D33DDD"/>
    <w:rsid w:val="00D3473A"/>
    <w:rsid w:val="00D34B06"/>
    <w:rsid w:val="00D35572"/>
    <w:rsid w:val="00D355F0"/>
    <w:rsid w:val="00D35BA6"/>
    <w:rsid w:val="00D361F3"/>
    <w:rsid w:val="00D3643C"/>
    <w:rsid w:val="00D367B2"/>
    <w:rsid w:val="00D36901"/>
    <w:rsid w:val="00D36AC5"/>
    <w:rsid w:val="00D36D51"/>
    <w:rsid w:val="00D36E50"/>
    <w:rsid w:val="00D374CE"/>
    <w:rsid w:val="00D3794C"/>
    <w:rsid w:val="00D37AA1"/>
    <w:rsid w:val="00D405E7"/>
    <w:rsid w:val="00D40844"/>
    <w:rsid w:val="00D408E3"/>
    <w:rsid w:val="00D40BB3"/>
    <w:rsid w:val="00D40C93"/>
    <w:rsid w:val="00D410F2"/>
    <w:rsid w:val="00D41344"/>
    <w:rsid w:val="00D41D95"/>
    <w:rsid w:val="00D41EB8"/>
    <w:rsid w:val="00D41F65"/>
    <w:rsid w:val="00D422C5"/>
    <w:rsid w:val="00D42334"/>
    <w:rsid w:val="00D4276D"/>
    <w:rsid w:val="00D429C6"/>
    <w:rsid w:val="00D42B80"/>
    <w:rsid w:val="00D42CDD"/>
    <w:rsid w:val="00D42FDF"/>
    <w:rsid w:val="00D4332A"/>
    <w:rsid w:val="00D43378"/>
    <w:rsid w:val="00D434D1"/>
    <w:rsid w:val="00D43556"/>
    <w:rsid w:val="00D4386C"/>
    <w:rsid w:val="00D43E4A"/>
    <w:rsid w:val="00D43FED"/>
    <w:rsid w:val="00D4426B"/>
    <w:rsid w:val="00D44348"/>
    <w:rsid w:val="00D444D8"/>
    <w:rsid w:val="00D444E9"/>
    <w:rsid w:val="00D449CD"/>
    <w:rsid w:val="00D44AEF"/>
    <w:rsid w:val="00D44C25"/>
    <w:rsid w:val="00D44C4C"/>
    <w:rsid w:val="00D45401"/>
    <w:rsid w:val="00D45716"/>
    <w:rsid w:val="00D45AF8"/>
    <w:rsid w:val="00D45C9E"/>
    <w:rsid w:val="00D45F52"/>
    <w:rsid w:val="00D461F8"/>
    <w:rsid w:val="00D4620D"/>
    <w:rsid w:val="00D46368"/>
    <w:rsid w:val="00D46451"/>
    <w:rsid w:val="00D4656F"/>
    <w:rsid w:val="00D468C7"/>
    <w:rsid w:val="00D46B93"/>
    <w:rsid w:val="00D46D76"/>
    <w:rsid w:val="00D47240"/>
    <w:rsid w:val="00D473FB"/>
    <w:rsid w:val="00D475A9"/>
    <w:rsid w:val="00D47A9E"/>
    <w:rsid w:val="00D47E83"/>
    <w:rsid w:val="00D5006B"/>
    <w:rsid w:val="00D5023D"/>
    <w:rsid w:val="00D504F1"/>
    <w:rsid w:val="00D508EB"/>
    <w:rsid w:val="00D50A53"/>
    <w:rsid w:val="00D50C8E"/>
    <w:rsid w:val="00D50DA9"/>
    <w:rsid w:val="00D50DEA"/>
    <w:rsid w:val="00D51394"/>
    <w:rsid w:val="00D5141B"/>
    <w:rsid w:val="00D51535"/>
    <w:rsid w:val="00D5181F"/>
    <w:rsid w:val="00D51936"/>
    <w:rsid w:val="00D51C05"/>
    <w:rsid w:val="00D51D65"/>
    <w:rsid w:val="00D523BD"/>
    <w:rsid w:val="00D523C2"/>
    <w:rsid w:val="00D52922"/>
    <w:rsid w:val="00D52B86"/>
    <w:rsid w:val="00D52C37"/>
    <w:rsid w:val="00D52C77"/>
    <w:rsid w:val="00D5306D"/>
    <w:rsid w:val="00D531FE"/>
    <w:rsid w:val="00D53457"/>
    <w:rsid w:val="00D53CB7"/>
    <w:rsid w:val="00D53FAB"/>
    <w:rsid w:val="00D54006"/>
    <w:rsid w:val="00D5419B"/>
    <w:rsid w:val="00D543C1"/>
    <w:rsid w:val="00D543E2"/>
    <w:rsid w:val="00D5462A"/>
    <w:rsid w:val="00D548F2"/>
    <w:rsid w:val="00D5524C"/>
    <w:rsid w:val="00D55266"/>
    <w:rsid w:val="00D555FD"/>
    <w:rsid w:val="00D556E0"/>
    <w:rsid w:val="00D559A4"/>
    <w:rsid w:val="00D55CB2"/>
    <w:rsid w:val="00D55DA1"/>
    <w:rsid w:val="00D55DAC"/>
    <w:rsid w:val="00D55DE1"/>
    <w:rsid w:val="00D561C6"/>
    <w:rsid w:val="00D56292"/>
    <w:rsid w:val="00D562DE"/>
    <w:rsid w:val="00D56306"/>
    <w:rsid w:val="00D56871"/>
    <w:rsid w:val="00D5687B"/>
    <w:rsid w:val="00D56C0B"/>
    <w:rsid w:val="00D56D17"/>
    <w:rsid w:val="00D56F6B"/>
    <w:rsid w:val="00D57A54"/>
    <w:rsid w:val="00D57B9F"/>
    <w:rsid w:val="00D57F6E"/>
    <w:rsid w:val="00D606FE"/>
    <w:rsid w:val="00D60793"/>
    <w:rsid w:val="00D61121"/>
    <w:rsid w:val="00D611BC"/>
    <w:rsid w:val="00D614ED"/>
    <w:rsid w:val="00D61BB4"/>
    <w:rsid w:val="00D61DE8"/>
    <w:rsid w:val="00D61FDE"/>
    <w:rsid w:val="00D623FB"/>
    <w:rsid w:val="00D62592"/>
    <w:rsid w:val="00D62733"/>
    <w:rsid w:val="00D628F0"/>
    <w:rsid w:val="00D62BB8"/>
    <w:rsid w:val="00D62D63"/>
    <w:rsid w:val="00D62E8C"/>
    <w:rsid w:val="00D62F97"/>
    <w:rsid w:val="00D631CE"/>
    <w:rsid w:val="00D633D1"/>
    <w:rsid w:val="00D63527"/>
    <w:rsid w:val="00D635CF"/>
    <w:rsid w:val="00D63860"/>
    <w:rsid w:val="00D63890"/>
    <w:rsid w:val="00D63BA4"/>
    <w:rsid w:val="00D63FF5"/>
    <w:rsid w:val="00D642D1"/>
    <w:rsid w:val="00D645BD"/>
    <w:rsid w:val="00D6479E"/>
    <w:rsid w:val="00D648B9"/>
    <w:rsid w:val="00D64E4B"/>
    <w:rsid w:val="00D64FC0"/>
    <w:rsid w:val="00D658EF"/>
    <w:rsid w:val="00D6593A"/>
    <w:rsid w:val="00D65A45"/>
    <w:rsid w:val="00D65F22"/>
    <w:rsid w:val="00D66593"/>
    <w:rsid w:val="00D665E7"/>
    <w:rsid w:val="00D66793"/>
    <w:rsid w:val="00D66813"/>
    <w:rsid w:val="00D66A5B"/>
    <w:rsid w:val="00D66C31"/>
    <w:rsid w:val="00D66ED4"/>
    <w:rsid w:val="00D67285"/>
    <w:rsid w:val="00D6786B"/>
    <w:rsid w:val="00D678A8"/>
    <w:rsid w:val="00D67981"/>
    <w:rsid w:val="00D67F41"/>
    <w:rsid w:val="00D67FAA"/>
    <w:rsid w:val="00D701D5"/>
    <w:rsid w:val="00D70CFF"/>
    <w:rsid w:val="00D70EFC"/>
    <w:rsid w:val="00D7114C"/>
    <w:rsid w:val="00D7123D"/>
    <w:rsid w:val="00D713E0"/>
    <w:rsid w:val="00D715B0"/>
    <w:rsid w:val="00D71A23"/>
    <w:rsid w:val="00D71ADA"/>
    <w:rsid w:val="00D71F49"/>
    <w:rsid w:val="00D725E9"/>
    <w:rsid w:val="00D72810"/>
    <w:rsid w:val="00D728FE"/>
    <w:rsid w:val="00D72CDB"/>
    <w:rsid w:val="00D72D93"/>
    <w:rsid w:val="00D731B2"/>
    <w:rsid w:val="00D734FC"/>
    <w:rsid w:val="00D7387B"/>
    <w:rsid w:val="00D73BB5"/>
    <w:rsid w:val="00D73CCF"/>
    <w:rsid w:val="00D73FE0"/>
    <w:rsid w:val="00D74009"/>
    <w:rsid w:val="00D741D0"/>
    <w:rsid w:val="00D742A0"/>
    <w:rsid w:val="00D743A6"/>
    <w:rsid w:val="00D74544"/>
    <w:rsid w:val="00D74734"/>
    <w:rsid w:val="00D748F7"/>
    <w:rsid w:val="00D74A31"/>
    <w:rsid w:val="00D74BD6"/>
    <w:rsid w:val="00D74CE6"/>
    <w:rsid w:val="00D7589D"/>
    <w:rsid w:val="00D75C2F"/>
    <w:rsid w:val="00D75C87"/>
    <w:rsid w:val="00D760B1"/>
    <w:rsid w:val="00D765AE"/>
    <w:rsid w:val="00D765C6"/>
    <w:rsid w:val="00D7678D"/>
    <w:rsid w:val="00D76BE0"/>
    <w:rsid w:val="00D77261"/>
    <w:rsid w:val="00D7772D"/>
    <w:rsid w:val="00D77864"/>
    <w:rsid w:val="00D77A5A"/>
    <w:rsid w:val="00D77A9D"/>
    <w:rsid w:val="00D77B5B"/>
    <w:rsid w:val="00D806C1"/>
    <w:rsid w:val="00D807CB"/>
    <w:rsid w:val="00D80930"/>
    <w:rsid w:val="00D80AC6"/>
    <w:rsid w:val="00D80CBC"/>
    <w:rsid w:val="00D811F7"/>
    <w:rsid w:val="00D8198F"/>
    <w:rsid w:val="00D819B4"/>
    <w:rsid w:val="00D81A5B"/>
    <w:rsid w:val="00D81CC4"/>
    <w:rsid w:val="00D81EC6"/>
    <w:rsid w:val="00D81F15"/>
    <w:rsid w:val="00D81F32"/>
    <w:rsid w:val="00D82204"/>
    <w:rsid w:val="00D828EC"/>
    <w:rsid w:val="00D82A27"/>
    <w:rsid w:val="00D82A35"/>
    <w:rsid w:val="00D82AB2"/>
    <w:rsid w:val="00D82BD4"/>
    <w:rsid w:val="00D82C4F"/>
    <w:rsid w:val="00D82CA4"/>
    <w:rsid w:val="00D830A6"/>
    <w:rsid w:val="00D83414"/>
    <w:rsid w:val="00D8358D"/>
    <w:rsid w:val="00D83867"/>
    <w:rsid w:val="00D83BD9"/>
    <w:rsid w:val="00D841A3"/>
    <w:rsid w:val="00D841F4"/>
    <w:rsid w:val="00D842EB"/>
    <w:rsid w:val="00D84732"/>
    <w:rsid w:val="00D84767"/>
    <w:rsid w:val="00D84921"/>
    <w:rsid w:val="00D84A77"/>
    <w:rsid w:val="00D8537C"/>
    <w:rsid w:val="00D85541"/>
    <w:rsid w:val="00D8582D"/>
    <w:rsid w:val="00D858CD"/>
    <w:rsid w:val="00D85914"/>
    <w:rsid w:val="00D85AF4"/>
    <w:rsid w:val="00D85DE0"/>
    <w:rsid w:val="00D85F8A"/>
    <w:rsid w:val="00D85FFF"/>
    <w:rsid w:val="00D86E17"/>
    <w:rsid w:val="00D86EAB"/>
    <w:rsid w:val="00D8752D"/>
    <w:rsid w:val="00D875CA"/>
    <w:rsid w:val="00D8776C"/>
    <w:rsid w:val="00D87B48"/>
    <w:rsid w:val="00D87DF1"/>
    <w:rsid w:val="00D900D7"/>
    <w:rsid w:val="00D900F2"/>
    <w:rsid w:val="00D9019F"/>
    <w:rsid w:val="00D90336"/>
    <w:rsid w:val="00D903FF"/>
    <w:rsid w:val="00D90456"/>
    <w:rsid w:val="00D90635"/>
    <w:rsid w:val="00D9086E"/>
    <w:rsid w:val="00D90B5B"/>
    <w:rsid w:val="00D90E02"/>
    <w:rsid w:val="00D90E34"/>
    <w:rsid w:val="00D90FA9"/>
    <w:rsid w:val="00D91056"/>
    <w:rsid w:val="00D9135F"/>
    <w:rsid w:val="00D91521"/>
    <w:rsid w:val="00D9159B"/>
    <w:rsid w:val="00D9183C"/>
    <w:rsid w:val="00D91942"/>
    <w:rsid w:val="00D91A46"/>
    <w:rsid w:val="00D91A94"/>
    <w:rsid w:val="00D91DA4"/>
    <w:rsid w:val="00D921CC"/>
    <w:rsid w:val="00D9238D"/>
    <w:rsid w:val="00D92726"/>
    <w:rsid w:val="00D92DDA"/>
    <w:rsid w:val="00D92E55"/>
    <w:rsid w:val="00D934B2"/>
    <w:rsid w:val="00D93820"/>
    <w:rsid w:val="00D93A6F"/>
    <w:rsid w:val="00D93C01"/>
    <w:rsid w:val="00D93D5B"/>
    <w:rsid w:val="00D94404"/>
    <w:rsid w:val="00D94A0B"/>
    <w:rsid w:val="00D94A3C"/>
    <w:rsid w:val="00D94C66"/>
    <w:rsid w:val="00D94D5A"/>
    <w:rsid w:val="00D94EB0"/>
    <w:rsid w:val="00D9523E"/>
    <w:rsid w:val="00D9545E"/>
    <w:rsid w:val="00D95569"/>
    <w:rsid w:val="00D956B1"/>
    <w:rsid w:val="00D9594C"/>
    <w:rsid w:val="00D95FB9"/>
    <w:rsid w:val="00D96291"/>
    <w:rsid w:val="00D965C6"/>
    <w:rsid w:val="00D96692"/>
    <w:rsid w:val="00D96826"/>
    <w:rsid w:val="00D968C4"/>
    <w:rsid w:val="00D96931"/>
    <w:rsid w:val="00D96B07"/>
    <w:rsid w:val="00D96C03"/>
    <w:rsid w:val="00D96CA6"/>
    <w:rsid w:val="00D96F8F"/>
    <w:rsid w:val="00D970A4"/>
    <w:rsid w:val="00D97220"/>
    <w:rsid w:val="00D976B3"/>
    <w:rsid w:val="00D976E5"/>
    <w:rsid w:val="00D97709"/>
    <w:rsid w:val="00D97753"/>
    <w:rsid w:val="00D97898"/>
    <w:rsid w:val="00D97E1E"/>
    <w:rsid w:val="00D97ED8"/>
    <w:rsid w:val="00D97EF5"/>
    <w:rsid w:val="00DA02A4"/>
    <w:rsid w:val="00DA0468"/>
    <w:rsid w:val="00DA055B"/>
    <w:rsid w:val="00DA0934"/>
    <w:rsid w:val="00DA096C"/>
    <w:rsid w:val="00DA0974"/>
    <w:rsid w:val="00DA0DC1"/>
    <w:rsid w:val="00DA0F72"/>
    <w:rsid w:val="00DA130F"/>
    <w:rsid w:val="00DA133B"/>
    <w:rsid w:val="00DA15F0"/>
    <w:rsid w:val="00DA1836"/>
    <w:rsid w:val="00DA1A63"/>
    <w:rsid w:val="00DA1A65"/>
    <w:rsid w:val="00DA1E45"/>
    <w:rsid w:val="00DA1F09"/>
    <w:rsid w:val="00DA2011"/>
    <w:rsid w:val="00DA2474"/>
    <w:rsid w:val="00DA2906"/>
    <w:rsid w:val="00DA2A64"/>
    <w:rsid w:val="00DA2BDF"/>
    <w:rsid w:val="00DA2CDD"/>
    <w:rsid w:val="00DA315C"/>
    <w:rsid w:val="00DA32E9"/>
    <w:rsid w:val="00DA3872"/>
    <w:rsid w:val="00DA3B7D"/>
    <w:rsid w:val="00DA3C3C"/>
    <w:rsid w:val="00DA3F98"/>
    <w:rsid w:val="00DA432F"/>
    <w:rsid w:val="00DA4431"/>
    <w:rsid w:val="00DA456A"/>
    <w:rsid w:val="00DA459D"/>
    <w:rsid w:val="00DA479B"/>
    <w:rsid w:val="00DA4F8A"/>
    <w:rsid w:val="00DA57E3"/>
    <w:rsid w:val="00DA58B8"/>
    <w:rsid w:val="00DA593A"/>
    <w:rsid w:val="00DA5991"/>
    <w:rsid w:val="00DA5D75"/>
    <w:rsid w:val="00DA612E"/>
    <w:rsid w:val="00DA6586"/>
    <w:rsid w:val="00DA6660"/>
    <w:rsid w:val="00DA686B"/>
    <w:rsid w:val="00DA6DFC"/>
    <w:rsid w:val="00DA7022"/>
    <w:rsid w:val="00DB0058"/>
    <w:rsid w:val="00DB0AEA"/>
    <w:rsid w:val="00DB0C9C"/>
    <w:rsid w:val="00DB0E86"/>
    <w:rsid w:val="00DB109E"/>
    <w:rsid w:val="00DB123D"/>
    <w:rsid w:val="00DB1759"/>
    <w:rsid w:val="00DB1D5C"/>
    <w:rsid w:val="00DB2080"/>
    <w:rsid w:val="00DB21E9"/>
    <w:rsid w:val="00DB2650"/>
    <w:rsid w:val="00DB2898"/>
    <w:rsid w:val="00DB2A8B"/>
    <w:rsid w:val="00DB2ACE"/>
    <w:rsid w:val="00DB2CA0"/>
    <w:rsid w:val="00DB2CDB"/>
    <w:rsid w:val="00DB30BB"/>
    <w:rsid w:val="00DB34C9"/>
    <w:rsid w:val="00DB379F"/>
    <w:rsid w:val="00DB3D9A"/>
    <w:rsid w:val="00DB3F8B"/>
    <w:rsid w:val="00DB418D"/>
    <w:rsid w:val="00DB4253"/>
    <w:rsid w:val="00DB4489"/>
    <w:rsid w:val="00DB482C"/>
    <w:rsid w:val="00DB4974"/>
    <w:rsid w:val="00DB4A4B"/>
    <w:rsid w:val="00DB4B0C"/>
    <w:rsid w:val="00DB4CE4"/>
    <w:rsid w:val="00DB514D"/>
    <w:rsid w:val="00DB51D7"/>
    <w:rsid w:val="00DB55B3"/>
    <w:rsid w:val="00DB572B"/>
    <w:rsid w:val="00DB57C1"/>
    <w:rsid w:val="00DB6010"/>
    <w:rsid w:val="00DB6166"/>
    <w:rsid w:val="00DB64E4"/>
    <w:rsid w:val="00DB673C"/>
    <w:rsid w:val="00DB6A10"/>
    <w:rsid w:val="00DB6B75"/>
    <w:rsid w:val="00DB6E7E"/>
    <w:rsid w:val="00DB6F45"/>
    <w:rsid w:val="00DB7544"/>
    <w:rsid w:val="00DB777C"/>
    <w:rsid w:val="00DB7F09"/>
    <w:rsid w:val="00DC00E8"/>
    <w:rsid w:val="00DC0545"/>
    <w:rsid w:val="00DC0956"/>
    <w:rsid w:val="00DC1439"/>
    <w:rsid w:val="00DC14B8"/>
    <w:rsid w:val="00DC1618"/>
    <w:rsid w:val="00DC1741"/>
    <w:rsid w:val="00DC1B47"/>
    <w:rsid w:val="00DC1CB5"/>
    <w:rsid w:val="00DC1F9A"/>
    <w:rsid w:val="00DC211F"/>
    <w:rsid w:val="00DC2359"/>
    <w:rsid w:val="00DC2A64"/>
    <w:rsid w:val="00DC2ABB"/>
    <w:rsid w:val="00DC2D7B"/>
    <w:rsid w:val="00DC2FC4"/>
    <w:rsid w:val="00DC3133"/>
    <w:rsid w:val="00DC3501"/>
    <w:rsid w:val="00DC35E2"/>
    <w:rsid w:val="00DC3689"/>
    <w:rsid w:val="00DC3B83"/>
    <w:rsid w:val="00DC3C47"/>
    <w:rsid w:val="00DC3D14"/>
    <w:rsid w:val="00DC4363"/>
    <w:rsid w:val="00DC45C5"/>
    <w:rsid w:val="00DC4A3C"/>
    <w:rsid w:val="00DC54BC"/>
    <w:rsid w:val="00DC5B73"/>
    <w:rsid w:val="00DC5D69"/>
    <w:rsid w:val="00DC6000"/>
    <w:rsid w:val="00DC63B7"/>
    <w:rsid w:val="00DC6878"/>
    <w:rsid w:val="00DC6887"/>
    <w:rsid w:val="00DC6D6E"/>
    <w:rsid w:val="00DC6DF9"/>
    <w:rsid w:val="00DC6E17"/>
    <w:rsid w:val="00DC6EB6"/>
    <w:rsid w:val="00DC758E"/>
    <w:rsid w:val="00DC7A34"/>
    <w:rsid w:val="00DD0395"/>
    <w:rsid w:val="00DD0614"/>
    <w:rsid w:val="00DD06C4"/>
    <w:rsid w:val="00DD0E00"/>
    <w:rsid w:val="00DD110B"/>
    <w:rsid w:val="00DD12EC"/>
    <w:rsid w:val="00DD16F3"/>
    <w:rsid w:val="00DD1751"/>
    <w:rsid w:val="00DD1812"/>
    <w:rsid w:val="00DD184F"/>
    <w:rsid w:val="00DD19C0"/>
    <w:rsid w:val="00DD1A75"/>
    <w:rsid w:val="00DD1C1D"/>
    <w:rsid w:val="00DD2638"/>
    <w:rsid w:val="00DD2AC3"/>
    <w:rsid w:val="00DD2CE3"/>
    <w:rsid w:val="00DD2E27"/>
    <w:rsid w:val="00DD2F87"/>
    <w:rsid w:val="00DD2FA1"/>
    <w:rsid w:val="00DD3143"/>
    <w:rsid w:val="00DD322E"/>
    <w:rsid w:val="00DD3254"/>
    <w:rsid w:val="00DD3306"/>
    <w:rsid w:val="00DD33D7"/>
    <w:rsid w:val="00DD34B4"/>
    <w:rsid w:val="00DD34E4"/>
    <w:rsid w:val="00DD35AB"/>
    <w:rsid w:val="00DD3633"/>
    <w:rsid w:val="00DD36A1"/>
    <w:rsid w:val="00DD3A0F"/>
    <w:rsid w:val="00DD3AF5"/>
    <w:rsid w:val="00DD3E58"/>
    <w:rsid w:val="00DD40CD"/>
    <w:rsid w:val="00DD438A"/>
    <w:rsid w:val="00DD43A2"/>
    <w:rsid w:val="00DD4853"/>
    <w:rsid w:val="00DD49C7"/>
    <w:rsid w:val="00DD4AA3"/>
    <w:rsid w:val="00DD4EE2"/>
    <w:rsid w:val="00DD506F"/>
    <w:rsid w:val="00DD5288"/>
    <w:rsid w:val="00DD52EC"/>
    <w:rsid w:val="00DD541B"/>
    <w:rsid w:val="00DD5E77"/>
    <w:rsid w:val="00DD5F17"/>
    <w:rsid w:val="00DD6174"/>
    <w:rsid w:val="00DD6505"/>
    <w:rsid w:val="00DD6690"/>
    <w:rsid w:val="00DD6759"/>
    <w:rsid w:val="00DD696E"/>
    <w:rsid w:val="00DD6C86"/>
    <w:rsid w:val="00DD724F"/>
    <w:rsid w:val="00DD75D9"/>
    <w:rsid w:val="00DD7682"/>
    <w:rsid w:val="00DD7C01"/>
    <w:rsid w:val="00DE001D"/>
    <w:rsid w:val="00DE01E0"/>
    <w:rsid w:val="00DE02D1"/>
    <w:rsid w:val="00DE04DF"/>
    <w:rsid w:val="00DE0550"/>
    <w:rsid w:val="00DE05A8"/>
    <w:rsid w:val="00DE0799"/>
    <w:rsid w:val="00DE08A0"/>
    <w:rsid w:val="00DE0A58"/>
    <w:rsid w:val="00DE0BDF"/>
    <w:rsid w:val="00DE0DF4"/>
    <w:rsid w:val="00DE113B"/>
    <w:rsid w:val="00DE1276"/>
    <w:rsid w:val="00DE1978"/>
    <w:rsid w:val="00DE1A6D"/>
    <w:rsid w:val="00DE1C36"/>
    <w:rsid w:val="00DE2056"/>
    <w:rsid w:val="00DE2084"/>
    <w:rsid w:val="00DE23AC"/>
    <w:rsid w:val="00DE25E5"/>
    <w:rsid w:val="00DE27A1"/>
    <w:rsid w:val="00DE2DA9"/>
    <w:rsid w:val="00DE3767"/>
    <w:rsid w:val="00DE396D"/>
    <w:rsid w:val="00DE3BD8"/>
    <w:rsid w:val="00DE40FA"/>
    <w:rsid w:val="00DE4286"/>
    <w:rsid w:val="00DE42EA"/>
    <w:rsid w:val="00DE499C"/>
    <w:rsid w:val="00DE4F04"/>
    <w:rsid w:val="00DE4F52"/>
    <w:rsid w:val="00DE5079"/>
    <w:rsid w:val="00DE52E4"/>
    <w:rsid w:val="00DE52F5"/>
    <w:rsid w:val="00DE598F"/>
    <w:rsid w:val="00DE599E"/>
    <w:rsid w:val="00DE5EE2"/>
    <w:rsid w:val="00DE60D0"/>
    <w:rsid w:val="00DE6553"/>
    <w:rsid w:val="00DE66B1"/>
    <w:rsid w:val="00DE742B"/>
    <w:rsid w:val="00DE77C9"/>
    <w:rsid w:val="00DE781F"/>
    <w:rsid w:val="00DE7C27"/>
    <w:rsid w:val="00DE7FE5"/>
    <w:rsid w:val="00DF0721"/>
    <w:rsid w:val="00DF076C"/>
    <w:rsid w:val="00DF0B04"/>
    <w:rsid w:val="00DF15AB"/>
    <w:rsid w:val="00DF17C0"/>
    <w:rsid w:val="00DF205A"/>
    <w:rsid w:val="00DF262D"/>
    <w:rsid w:val="00DF27D1"/>
    <w:rsid w:val="00DF2945"/>
    <w:rsid w:val="00DF2BD2"/>
    <w:rsid w:val="00DF2D6C"/>
    <w:rsid w:val="00DF3226"/>
    <w:rsid w:val="00DF32A0"/>
    <w:rsid w:val="00DF34A0"/>
    <w:rsid w:val="00DF3693"/>
    <w:rsid w:val="00DF3834"/>
    <w:rsid w:val="00DF3B78"/>
    <w:rsid w:val="00DF3CC4"/>
    <w:rsid w:val="00DF42ED"/>
    <w:rsid w:val="00DF445D"/>
    <w:rsid w:val="00DF4685"/>
    <w:rsid w:val="00DF4AA9"/>
    <w:rsid w:val="00DF4D56"/>
    <w:rsid w:val="00DF5060"/>
    <w:rsid w:val="00DF5094"/>
    <w:rsid w:val="00DF52B1"/>
    <w:rsid w:val="00DF54DF"/>
    <w:rsid w:val="00DF57B4"/>
    <w:rsid w:val="00DF5B49"/>
    <w:rsid w:val="00DF5B4C"/>
    <w:rsid w:val="00DF5C99"/>
    <w:rsid w:val="00DF6377"/>
    <w:rsid w:val="00DF6394"/>
    <w:rsid w:val="00DF6BF3"/>
    <w:rsid w:val="00DF6C88"/>
    <w:rsid w:val="00DF6D47"/>
    <w:rsid w:val="00DF72B6"/>
    <w:rsid w:val="00DF74F3"/>
    <w:rsid w:val="00DF7587"/>
    <w:rsid w:val="00DF7690"/>
    <w:rsid w:val="00DF7729"/>
    <w:rsid w:val="00DF7C09"/>
    <w:rsid w:val="00DF7C4F"/>
    <w:rsid w:val="00DF7E5B"/>
    <w:rsid w:val="00E00A87"/>
    <w:rsid w:val="00E00EA5"/>
    <w:rsid w:val="00E010C8"/>
    <w:rsid w:val="00E013D4"/>
    <w:rsid w:val="00E0173A"/>
    <w:rsid w:val="00E01830"/>
    <w:rsid w:val="00E01876"/>
    <w:rsid w:val="00E01BBD"/>
    <w:rsid w:val="00E01F24"/>
    <w:rsid w:val="00E022B4"/>
    <w:rsid w:val="00E024FF"/>
    <w:rsid w:val="00E025CF"/>
    <w:rsid w:val="00E026C5"/>
    <w:rsid w:val="00E02D0C"/>
    <w:rsid w:val="00E02EE5"/>
    <w:rsid w:val="00E035BF"/>
    <w:rsid w:val="00E035D2"/>
    <w:rsid w:val="00E03972"/>
    <w:rsid w:val="00E03C15"/>
    <w:rsid w:val="00E03DE6"/>
    <w:rsid w:val="00E041DC"/>
    <w:rsid w:val="00E045E4"/>
    <w:rsid w:val="00E05054"/>
    <w:rsid w:val="00E0557E"/>
    <w:rsid w:val="00E059D4"/>
    <w:rsid w:val="00E05CDC"/>
    <w:rsid w:val="00E06822"/>
    <w:rsid w:val="00E06953"/>
    <w:rsid w:val="00E06C27"/>
    <w:rsid w:val="00E06FC6"/>
    <w:rsid w:val="00E07058"/>
    <w:rsid w:val="00E07457"/>
    <w:rsid w:val="00E07ED8"/>
    <w:rsid w:val="00E103C6"/>
    <w:rsid w:val="00E105AA"/>
    <w:rsid w:val="00E108C4"/>
    <w:rsid w:val="00E10D39"/>
    <w:rsid w:val="00E10E09"/>
    <w:rsid w:val="00E11017"/>
    <w:rsid w:val="00E11245"/>
    <w:rsid w:val="00E1136B"/>
    <w:rsid w:val="00E113CB"/>
    <w:rsid w:val="00E114D0"/>
    <w:rsid w:val="00E11761"/>
    <w:rsid w:val="00E11827"/>
    <w:rsid w:val="00E118C3"/>
    <w:rsid w:val="00E12401"/>
    <w:rsid w:val="00E12506"/>
    <w:rsid w:val="00E1251A"/>
    <w:rsid w:val="00E12829"/>
    <w:rsid w:val="00E1284F"/>
    <w:rsid w:val="00E129E2"/>
    <w:rsid w:val="00E12AE4"/>
    <w:rsid w:val="00E12D37"/>
    <w:rsid w:val="00E12DE7"/>
    <w:rsid w:val="00E12F90"/>
    <w:rsid w:val="00E12FFE"/>
    <w:rsid w:val="00E130EB"/>
    <w:rsid w:val="00E13215"/>
    <w:rsid w:val="00E13569"/>
    <w:rsid w:val="00E13C2F"/>
    <w:rsid w:val="00E13E90"/>
    <w:rsid w:val="00E14660"/>
    <w:rsid w:val="00E14890"/>
    <w:rsid w:val="00E1503D"/>
    <w:rsid w:val="00E152B0"/>
    <w:rsid w:val="00E15613"/>
    <w:rsid w:val="00E15996"/>
    <w:rsid w:val="00E15A2A"/>
    <w:rsid w:val="00E15D83"/>
    <w:rsid w:val="00E15F9C"/>
    <w:rsid w:val="00E15FA5"/>
    <w:rsid w:val="00E16080"/>
    <w:rsid w:val="00E1618B"/>
    <w:rsid w:val="00E16363"/>
    <w:rsid w:val="00E165CB"/>
    <w:rsid w:val="00E16B83"/>
    <w:rsid w:val="00E16FE8"/>
    <w:rsid w:val="00E1731D"/>
    <w:rsid w:val="00E17441"/>
    <w:rsid w:val="00E1794D"/>
    <w:rsid w:val="00E17C53"/>
    <w:rsid w:val="00E200EE"/>
    <w:rsid w:val="00E201E6"/>
    <w:rsid w:val="00E20CD0"/>
    <w:rsid w:val="00E20EBC"/>
    <w:rsid w:val="00E20F13"/>
    <w:rsid w:val="00E21037"/>
    <w:rsid w:val="00E2134D"/>
    <w:rsid w:val="00E2149E"/>
    <w:rsid w:val="00E216A1"/>
    <w:rsid w:val="00E2180A"/>
    <w:rsid w:val="00E22068"/>
    <w:rsid w:val="00E22303"/>
    <w:rsid w:val="00E22563"/>
    <w:rsid w:val="00E228A4"/>
    <w:rsid w:val="00E22D51"/>
    <w:rsid w:val="00E2303B"/>
    <w:rsid w:val="00E23060"/>
    <w:rsid w:val="00E2308A"/>
    <w:rsid w:val="00E230A1"/>
    <w:rsid w:val="00E232CD"/>
    <w:rsid w:val="00E23346"/>
    <w:rsid w:val="00E23600"/>
    <w:rsid w:val="00E2362E"/>
    <w:rsid w:val="00E23A65"/>
    <w:rsid w:val="00E23B33"/>
    <w:rsid w:val="00E23CBF"/>
    <w:rsid w:val="00E24197"/>
    <w:rsid w:val="00E241B7"/>
    <w:rsid w:val="00E24A88"/>
    <w:rsid w:val="00E24BC5"/>
    <w:rsid w:val="00E24D1D"/>
    <w:rsid w:val="00E25000"/>
    <w:rsid w:val="00E25171"/>
    <w:rsid w:val="00E255BE"/>
    <w:rsid w:val="00E25907"/>
    <w:rsid w:val="00E25AA1"/>
    <w:rsid w:val="00E25D52"/>
    <w:rsid w:val="00E26105"/>
    <w:rsid w:val="00E26262"/>
    <w:rsid w:val="00E2634D"/>
    <w:rsid w:val="00E2638D"/>
    <w:rsid w:val="00E267C3"/>
    <w:rsid w:val="00E26894"/>
    <w:rsid w:val="00E26B50"/>
    <w:rsid w:val="00E26EAC"/>
    <w:rsid w:val="00E27129"/>
    <w:rsid w:val="00E272F3"/>
    <w:rsid w:val="00E27844"/>
    <w:rsid w:val="00E27EFA"/>
    <w:rsid w:val="00E30003"/>
    <w:rsid w:val="00E3000D"/>
    <w:rsid w:val="00E301F8"/>
    <w:rsid w:val="00E30354"/>
    <w:rsid w:val="00E3041A"/>
    <w:rsid w:val="00E30894"/>
    <w:rsid w:val="00E308A5"/>
    <w:rsid w:val="00E30BD6"/>
    <w:rsid w:val="00E30C95"/>
    <w:rsid w:val="00E30CE7"/>
    <w:rsid w:val="00E310CB"/>
    <w:rsid w:val="00E314BE"/>
    <w:rsid w:val="00E317D5"/>
    <w:rsid w:val="00E31923"/>
    <w:rsid w:val="00E31B0B"/>
    <w:rsid w:val="00E320FC"/>
    <w:rsid w:val="00E3249E"/>
    <w:rsid w:val="00E32D45"/>
    <w:rsid w:val="00E32ED6"/>
    <w:rsid w:val="00E332A6"/>
    <w:rsid w:val="00E33505"/>
    <w:rsid w:val="00E335A2"/>
    <w:rsid w:val="00E3360F"/>
    <w:rsid w:val="00E336AF"/>
    <w:rsid w:val="00E337AC"/>
    <w:rsid w:val="00E33943"/>
    <w:rsid w:val="00E33A51"/>
    <w:rsid w:val="00E33B82"/>
    <w:rsid w:val="00E342E0"/>
    <w:rsid w:val="00E34371"/>
    <w:rsid w:val="00E34936"/>
    <w:rsid w:val="00E34FB5"/>
    <w:rsid w:val="00E357DC"/>
    <w:rsid w:val="00E35B92"/>
    <w:rsid w:val="00E35F02"/>
    <w:rsid w:val="00E35FA1"/>
    <w:rsid w:val="00E3613E"/>
    <w:rsid w:val="00E36246"/>
    <w:rsid w:val="00E36271"/>
    <w:rsid w:val="00E366D1"/>
    <w:rsid w:val="00E36D8F"/>
    <w:rsid w:val="00E36E7B"/>
    <w:rsid w:val="00E36EA7"/>
    <w:rsid w:val="00E36F2A"/>
    <w:rsid w:val="00E371B4"/>
    <w:rsid w:val="00E37237"/>
    <w:rsid w:val="00E3733C"/>
    <w:rsid w:val="00E37509"/>
    <w:rsid w:val="00E3759D"/>
    <w:rsid w:val="00E37A08"/>
    <w:rsid w:val="00E37A0A"/>
    <w:rsid w:val="00E37B47"/>
    <w:rsid w:val="00E37CE7"/>
    <w:rsid w:val="00E40403"/>
    <w:rsid w:val="00E40A04"/>
    <w:rsid w:val="00E40A6F"/>
    <w:rsid w:val="00E40AC3"/>
    <w:rsid w:val="00E40AE3"/>
    <w:rsid w:val="00E40D7A"/>
    <w:rsid w:val="00E40FAB"/>
    <w:rsid w:val="00E41200"/>
    <w:rsid w:val="00E41551"/>
    <w:rsid w:val="00E415B7"/>
    <w:rsid w:val="00E416E1"/>
    <w:rsid w:val="00E4194C"/>
    <w:rsid w:val="00E41B20"/>
    <w:rsid w:val="00E41C1C"/>
    <w:rsid w:val="00E41E57"/>
    <w:rsid w:val="00E42394"/>
    <w:rsid w:val="00E42577"/>
    <w:rsid w:val="00E42582"/>
    <w:rsid w:val="00E4266E"/>
    <w:rsid w:val="00E42867"/>
    <w:rsid w:val="00E42A9C"/>
    <w:rsid w:val="00E43790"/>
    <w:rsid w:val="00E439EB"/>
    <w:rsid w:val="00E43AB3"/>
    <w:rsid w:val="00E43E90"/>
    <w:rsid w:val="00E43EEA"/>
    <w:rsid w:val="00E43FF8"/>
    <w:rsid w:val="00E441D4"/>
    <w:rsid w:val="00E44315"/>
    <w:rsid w:val="00E4455E"/>
    <w:rsid w:val="00E446C3"/>
    <w:rsid w:val="00E44A3F"/>
    <w:rsid w:val="00E44BDD"/>
    <w:rsid w:val="00E44CBA"/>
    <w:rsid w:val="00E44E3D"/>
    <w:rsid w:val="00E44F93"/>
    <w:rsid w:val="00E45094"/>
    <w:rsid w:val="00E45A99"/>
    <w:rsid w:val="00E4611B"/>
    <w:rsid w:val="00E462E8"/>
    <w:rsid w:val="00E462FA"/>
    <w:rsid w:val="00E46356"/>
    <w:rsid w:val="00E46418"/>
    <w:rsid w:val="00E469FD"/>
    <w:rsid w:val="00E46C0F"/>
    <w:rsid w:val="00E46FF2"/>
    <w:rsid w:val="00E46FF8"/>
    <w:rsid w:val="00E47500"/>
    <w:rsid w:val="00E4756D"/>
    <w:rsid w:val="00E47D40"/>
    <w:rsid w:val="00E47FA8"/>
    <w:rsid w:val="00E500E0"/>
    <w:rsid w:val="00E505CA"/>
    <w:rsid w:val="00E50627"/>
    <w:rsid w:val="00E50654"/>
    <w:rsid w:val="00E50662"/>
    <w:rsid w:val="00E50772"/>
    <w:rsid w:val="00E50E75"/>
    <w:rsid w:val="00E50E7C"/>
    <w:rsid w:val="00E512FE"/>
    <w:rsid w:val="00E51543"/>
    <w:rsid w:val="00E51545"/>
    <w:rsid w:val="00E51984"/>
    <w:rsid w:val="00E51F4E"/>
    <w:rsid w:val="00E52211"/>
    <w:rsid w:val="00E52463"/>
    <w:rsid w:val="00E525AC"/>
    <w:rsid w:val="00E52C40"/>
    <w:rsid w:val="00E52C79"/>
    <w:rsid w:val="00E52D4F"/>
    <w:rsid w:val="00E52E37"/>
    <w:rsid w:val="00E52EB7"/>
    <w:rsid w:val="00E531F6"/>
    <w:rsid w:val="00E536AA"/>
    <w:rsid w:val="00E53FAC"/>
    <w:rsid w:val="00E54078"/>
    <w:rsid w:val="00E5489A"/>
    <w:rsid w:val="00E54B14"/>
    <w:rsid w:val="00E54C0F"/>
    <w:rsid w:val="00E54C75"/>
    <w:rsid w:val="00E55326"/>
    <w:rsid w:val="00E5538F"/>
    <w:rsid w:val="00E554BB"/>
    <w:rsid w:val="00E554BE"/>
    <w:rsid w:val="00E55A2A"/>
    <w:rsid w:val="00E55A3C"/>
    <w:rsid w:val="00E55AC6"/>
    <w:rsid w:val="00E560E7"/>
    <w:rsid w:val="00E56141"/>
    <w:rsid w:val="00E567F2"/>
    <w:rsid w:val="00E56AF2"/>
    <w:rsid w:val="00E56B64"/>
    <w:rsid w:val="00E56D9F"/>
    <w:rsid w:val="00E5704D"/>
    <w:rsid w:val="00E5736E"/>
    <w:rsid w:val="00E574CF"/>
    <w:rsid w:val="00E57548"/>
    <w:rsid w:val="00E57825"/>
    <w:rsid w:val="00E57996"/>
    <w:rsid w:val="00E579E4"/>
    <w:rsid w:val="00E57F91"/>
    <w:rsid w:val="00E6050F"/>
    <w:rsid w:val="00E6073A"/>
    <w:rsid w:val="00E60A41"/>
    <w:rsid w:val="00E61016"/>
    <w:rsid w:val="00E6130F"/>
    <w:rsid w:val="00E615F9"/>
    <w:rsid w:val="00E61787"/>
    <w:rsid w:val="00E617EC"/>
    <w:rsid w:val="00E61FE9"/>
    <w:rsid w:val="00E62269"/>
    <w:rsid w:val="00E62441"/>
    <w:rsid w:val="00E625D9"/>
    <w:rsid w:val="00E62BFA"/>
    <w:rsid w:val="00E62D3B"/>
    <w:rsid w:val="00E62D52"/>
    <w:rsid w:val="00E62DA6"/>
    <w:rsid w:val="00E62EEF"/>
    <w:rsid w:val="00E63005"/>
    <w:rsid w:val="00E63588"/>
    <w:rsid w:val="00E639E3"/>
    <w:rsid w:val="00E63A6A"/>
    <w:rsid w:val="00E63F51"/>
    <w:rsid w:val="00E6412B"/>
    <w:rsid w:val="00E6437B"/>
    <w:rsid w:val="00E6438C"/>
    <w:rsid w:val="00E6441A"/>
    <w:rsid w:val="00E64687"/>
    <w:rsid w:val="00E646CA"/>
    <w:rsid w:val="00E64700"/>
    <w:rsid w:val="00E649BD"/>
    <w:rsid w:val="00E649CD"/>
    <w:rsid w:val="00E64EE2"/>
    <w:rsid w:val="00E6520F"/>
    <w:rsid w:val="00E654E4"/>
    <w:rsid w:val="00E65597"/>
    <w:rsid w:val="00E65777"/>
    <w:rsid w:val="00E65AE5"/>
    <w:rsid w:val="00E65BED"/>
    <w:rsid w:val="00E65FA5"/>
    <w:rsid w:val="00E6600A"/>
    <w:rsid w:val="00E66245"/>
    <w:rsid w:val="00E66803"/>
    <w:rsid w:val="00E66B04"/>
    <w:rsid w:val="00E66C02"/>
    <w:rsid w:val="00E66ED8"/>
    <w:rsid w:val="00E674A7"/>
    <w:rsid w:val="00E676BA"/>
    <w:rsid w:val="00E67702"/>
    <w:rsid w:val="00E67A09"/>
    <w:rsid w:val="00E67C78"/>
    <w:rsid w:val="00E702BF"/>
    <w:rsid w:val="00E705CF"/>
    <w:rsid w:val="00E70D9B"/>
    <w:rsid w:val="00E70E98"/>
    <w:rsid w:val="00E70F44"/>
    <w:rsid w:val="00E70F4B"/>
    <w:rsid w:val="00E70FD6"/>
    <w:rsid w:val="00E711D7"/>
    <w:rsid w:val="00E71238"/>
    <w:rsid w:val="00E715E2"/>
    <w:rsid w:val="00E71C17"/>
    <w:rsid w:val="00E722DE"/>
    <w:rsid w:val="00E7286B"/>
    <w:rsid w:val="00E7291D"/>
    <w:rsid w:val="00E72D93"/>
    <w:rsid w:val="00E7304E"/>
    <w:rsid w:val="00E733BE"/>
    <w:rsid w:val="00E736F1"/>
    <w:rsid w:val="00E73AB4"/>
    <w:rsid w:val="00E73E68"/>
    <w:rsid w:val="00E74040"/>
    <w:rsid w:val="00E741E5"/>
    <w:rsid w:val="00E742DD"/>
    <w:rsid w:val="00E7440C"/>
    <w:rsid w:val="00E7477F"/>
    <w:rsid w:val="00E74F1D"/>
    <w:rsid w:val="00E75039"/>
    <w:rsid w:val="00E75099"/>
    <w:rsid w:val="00E750E3"/>
    <w:rsid w:val="00E75220"/>
    <w:rsid w:val="00E7545E"/>
    <w:rsid w:val="00E75B0F"/>
    <w:rsid w:val="00E75D06"/>
    <w:rsid w:val="00E76085"/>
    <w:rsid w:val="00E7624E"/>
    <w:rsid w:val="00E767C4"/>
    <w:rsid w:val="00E76B00"/>
    <w:rsid w:val="00E76B11"/>
    <w:rsid w:val="00E76FC1"/>
    <w:rsid w:val="00E77144"/>
    <w:rsid w:val="00E77481"/>
    <w:rsid w:val="00E775F7"/>
    <w:rsid w:val="00E77B42"/>
    <w:rsid w:val="00E77EDC"/>
    <w:rsid w:val="00E77EDD"/>
    <w:rsid w:val="00E77F4A"/>
    <w:rsid w:val="00E77FB5"/>
    <w:rsid w:val="00E80298"/>
    <w:rsid w:val="00E805D1"/>
    <w:rsid w:val="00E807C4"/>
    <w:rsid w:val="00E80A51"/>
    <w:rsid w:val="00E80AE6"/>
    <w:rsid w:val="00E8118D"/>
    <w:rsid w:val="00E8137C"/>
    <w:rsid w:val="00E8160A"/>
    <w:rsid w:val="00E81A40"/>
    <w:rsid w:val="00E81A98"/>
    <w:rsid w:val="00E81DDF"/>
    <w:rsid w:val="00E81E73"/>
    <w:rsid w:val="00E825DC"/>
    <w:rsid w:val="00E82614"/>
    <w:rsid w:val="00E82686"/>
    <w:rsid w:val="00E82B8E"/>
    <w:rsid w:val="00E82C8A"/>
    <w:rsid w:val="00E82CE9"/>
    <w:rsid w:val="00E82DA1"/>
    <w:rsid w:val="00E82E8F"/>
    <w:rsid w:val="00E83855"/>
    <w:rsid w:val="00E83890"/>
    <w:rsid w:val="00E838EB"/>
    <w:rsid w:val="00E8396D"/>
    <w:rsid w:val="00E839BD"/>
    <w:rsid w:val="00E83BC0"/>
    <w:rsid w:val="00E83D55"/>
    <w:rsid w:val="00E83E57"/>
    <w:rsid w:val="00E84289"/>
    <w:rsid w:val="00E84393"/>
    <w:rsid w:val="00E843B1"/>
    <w:rsid w:val="00E85193"/>
    <w:rsid w:val="00E8565D"/>
    <w:rsid w:val="00E85A28"/>
    <w:rsid w:val="00E85FA7"/>
    <w:rsid w:val="00E860AF"/>
    <w:rsid w:val="00E860E9"/>
    <w:rsid w:val="00E8668F"/>
    <w:rsid w:val="00E868D4"/>
    <w:rsid w:val="00E86A62"/>
    <w:rsid w:val="00E87148"/>
    <w:rsid w:val="00E871B0"/>
    <w:rsid w:val="00E87904"/>
    <w:rsid w:val="00E8795F"/>
    <w:rsid w:val="00E87A3F"/>
    <w:rsid w:val="00E90287"/>
    <w:rsid w:val="00E902B0"/>
    <w:rsid w:val="00E902E8"/>
    <w:rsid w:val="00E90367"/>
    <w:rsid w:val="00E906D7"/>
    <w:rsid w:val="00E9099A"/>
    <w:rsid w:val="00E90C45"/>
    <w:rsid w:val="00E90DE4"/>
    <w:rsid w:val="00E90F8D"/>
    <w:rsid w:val="00E9164A"/>
    <w:rsid w:val="00E9177D"/>
    <w:rsid w:val="00E91D69"/>
    <w:rsid w:val="00E91DEE"/>
    <w:rsid w:val="00E91E6D"/>
    <w:rsid w:val="00E91EBA"/>
    <w:rsid w:val="00E92335"/>
    <w:rsid w:val="00E923C5"/>
    <w:rsid w:val="00E927A5"/>
    <w:rsid w:val="00E92B6C"/>
    <w:rsid w:val="00E92CA8"/>
    <w:rsid w:val="00E930A7"/>
    <w:rsid w:val="00E936C6"/>
    <w:rsid w:val="00E937A8"/>
    <w:rsid w:val="00E9391A"/>
    <w:rsid w:val="00E93D67"/>
    <w:rsid w:val="00E93E0D"/>
    <w:rsid w:val="00E93FEC"/>
    <w:rsid w:val="00E940EA"/>
    <w:rsid w:val="00E944D5"/>
    <w:rsid w:val="00E94DC4"/>
    <w:rsid w:val="00E94F21"/>
    <w:rsid w:val="00E95233"/>
    <w:rsid w:val="00E952DA"/>
    <w:rsid w:val="00E95BEF"/>
    <w:rsid w:val="00E96336"/>
    <w:rsid w:val="00E964C4"/>
    <w:rsid w:val="00E96A40"/>
    <w:rsid w:val="00E96BC6"/>
    <w:rsid w:val="00E96BDE"/>
    <w:rsid w:val="00E96CAB"/>
    <w:rsid w:val="00E96F8A"/>
    <w:rsid w:val="00E97112"/>
    <w:rsid w:val="00E974DB"/>
    <w:rsid w:val="00E97515"/>
    <w:rsid w:val="00E9770D"/>
    <w:rsid w:val="00E97819"/>
    <w:rsid w:val="00E97A63"/>
    <w:rsid w:val="00EA002A"/>
    <w:rsid w:val="00EA00C6"/>
    <w:rsid w:val="00EA05B1"/>
    <w:rsid w:val="00EA0789"/>
    <w:rsid w:val="00EA0F6B"/>
    <w:rsid w:val="00EA1096"/>
    <w:rsid w:val="00EA115A"/>
    <w:rsid w:val="00EA120F"/>
    <w:rsid w:val="00EA1385"/>
    <w:rsid w:val="00EA1545"/>
    <w:rsid w:val="00EA1A08"/>
    <w:rsid w:val="00EA1A21"/>
    <w:rsid w:val="00EA1E1E"/>
    <w:rsid w:val="00EA1E6F"/>
    <w:rsid w:val="00EA23C1"/>
    <w:rsid w:val="00EA24F8"/>
    <w:rsid w:val="00EA258E"/>
    <w:rsid w:val="00EA26B0"/>
    <w:rsid w:val="00EA29F0"/>
    <w:rsid w:val="00EA2E6A"/>
    <w:rsid w:val="00EA3049"/>
    <w:rsid w:val="00EA3182"/>
    <w:rsid w:val="00EA3288"/>
    <w:rsid w:val="00EA371D"/>
    <w:rsid w:val="00EA3794"/>
    <w:rsid w:val="00EA37C5"/>
    <w:rsid w:val="00EA3E61"/>
    <w:rsid w:val="00EA3F16"/>
    <w:rsid w:val="00EA40F0"/>
    <w:rsid w:val="00EA447E"/>
    <w:rsid w:val="00EA455E"/>
    <w:rsid w:val="00EA51ED"/>
    <w:rsid w:val="00EA5331"/>
    <w:rsid w:val="00EA53B6"/>
    <w:rsid w:val="00EA5463"/>
    <w:rsid w:val="00EA54C5"/>
    <w:rsid w:val="00EA598B"/>
    <w:rsid w:val="00EA5CB0"/>
    <w:rsid w:val="00EA66E3"/>
    <w:rsid w:val="00EA6FA2"/>
    <w:rsid w:val="00EA779D"/>
    <w:rsid w:val="00EA788B"/>
    <w:rsid w:val="00EB0114"/>
    <w:rsid w:val="00EB030F"/>
    <w:rsid w:val="00EB046C"/>
    <w:rsid w:val="00EB04AC"/>
    <w:rsid w:val="00EB0680"/>
    <w:rsid w:val="00EB0858"/>
    <w:rsid w:val="00EB085C"/>
    <w:rsid w:val="00EB0ADA"/>
    <w:rsid w:val="00EB0E5C"/>
    <w:rsid w:val="00EB0F2A"/>
    <w:rsid w:val="00EB1023"/>
    <w:rsid w:val="00EB1053"/>
    <w:rsid w:val="00EB1498"/>
    <w:rsid w:val="00EB1C55"/>
    <w:rsid w:val="00EB1EC9"/>
    <w:rsid w:val="00EB1FB9"/>
    <w:rsid w:val="00EB22DA"/>
    <w:rsid w:val="00EB25D1"/>
    <w:rsid w:val="00EB27B7"/>
    <w:rsid w:val="00EB3299"/>
    <w:rsid w:val="00EB3357"/>
    <w:rsid w:val="00EB37BB"/>
    <w:rsid w:val="00EB3C2A"/>
    <w:rsid w:val="00EB4101"/>
    <w:rsid w:val="00EB46B7"/>
    <w:rsid w:val="00EB4824"/>
    <w:rsid w:val="00EB48C0"/>
    <w:rsid w:val="00EB4BFC"/>
    <w:rsid w:val="00EB4D4C"/>
    <w:rsid w:val="00EB4E58"/>
    <w:rsid w:val="00EB4F76"/>
    <w:rsid w:val="00EB5214"/>
    <w:rsid w:val="00EB5391"/>
    <w:rsid w:val="00EB558B"/>
    <w:rsid w:val="00EB56CD"/>
    <w:rsid w:val="00EB5922"/>
    <w:rsid w:val="00EB5AA8"/>
    <w:rsid w:val="00EB5FF6"/>
    <w:rsid w:val="00EB6173"/>
    <w:rsid w:val="00EB639B"/>
    <w:rsid w:val="00EB6633"/>
    <w:rsid w:val="00EB672D"/>
    <w:rsid w:val="00EB67CD"/>
    <w:rsid w:val="00EB687D"/>
    <w:rsid w:val="00EB6C09"/>
    <w:rsid w:val="00EB6CB1"/>
    <w:rsid w:val="00EB6D16"/>
    <w:rsid w:val="00EB6D22"/>
    <w:rsid w:val="00EB7117"/>
    <w:rsid w:val="00EB7681"/>
    <w:rsid w:val="00EB77A7"/>
    <w:rsid w:val="00EB7887"/>
    <w:rsid w:val="00EB79A0"/>
    <w:rsid w:val="00EB7AED"/>
    <w:rsid w:val="00EC00DE"/>
    <w:rsid w:val="00EC0313"/>
    <w:rsid w:val="00EC0724"/>
    <w:rsid w:val="00EC09D9"/>
    <w:rsid w:val="00EC0A7C"/>
    <w:rsid w:val="00EC10CD"/>
    <w:rsid w:val="00EC14F6"/>
    <w:rsid w:val="00EC1AC1"/>
    <w:rsid w:val="00EC1C23"/>
    <w:rsid w:val="00EC1C4F"/>
    <w:rsid w:val="00EC220F"/>
    <w:rsid w:val="00EC22E7"/>
    <w:rsid w:val="00EC24B4"/>
    <w:rsid w:val="00EC26B4"/>
    <w:rsid w:val="00EC293E"/>
    <w:rsid w:val="00EC2A8B"/>
    <w:rsid w:val="00EC2F25"/>
    <w:rsid w:val="00EC2F75"/>
    <w:rsid w:val="00EC309A"/>
    <w:rsid w:val="00EC3812"/>
    <w:rsid w:val="00EC3B05"/>
    <w:rsid w:val="00EC3C1E"/>
    <w:rsid w:val="00EC3C89"/>
    <w:rsid w:val="00EC3CBE"/>
    <w:rsid w:val="00EC3DD5"/>
    <w:rsid w:val="00EC414D"/>
    <w:rsid w:val="00EC42F2"/>
    <w:rsid w:val="00EC448D"/>
    <w:rsid w:val="00EC4AA2"/>
    <w:rsid w:val="00EC4DE9"/>
    <w:rsid w:val="00EC5164"/>
    <w:rsid w:val="00EC5530"/>
    <w:rsid w:val="00EC5AE2"/>
    <w:rsid w:val="00EC5B34"/>
    <w:rsid w:val="00EC5E2C"/>
    <w:rsid w:val="00EC6109"/>
    <w:rsid w:val="00EC6182"/>
    <w:rsid w:val="00EC6183"/>
    <w:rsid w:val="00EC63BA"/>
    <w:rsid w:val="00EC6AA1"/>
    <w:rsid w:val="00EC6B16"/>
    <w:rsid w:val="00EC6BBC"/>
    <w:rsid w:val="00EC708B"/>
    <w:rsid w:val="00EC71E0"/>
    <w:rsid w:val="00EC7538"/>
    <w:rsid w:val="00EC76F6"/>
    <w:rsid w:val="00EC78E9"/>
    <w:rsid w:val="00EC7A05"/>
    <w:rsid w:val="00EC7CC3"/>
    <w:rsid w:val="00EC7F27"/>
    <w:rsid w:val="00ED019A"/>
    <w:rsid w:val="00ED03AB"/>
    <w:rsid w:val="00ED0555"/>
    <w:rsid w:val="00ED06DC"/>
    <w:rsid w:val="00ED0BC4"/>
    <w:rsid w:val="00ED0F58"/>
    <w:rsid w:val="00ED12B1"/>
    <w:rsid w:val="00ED13D7"/>
    <w:rsid w:val="00ED13F8"/>
    <w:rsid w:val="00ED14CD"/>
    <w:rsid w:val="00ED14FB"/>
    <w:rsid w:val="00ED1719"/>
    <w:rsid w:val="00ED1838"/>
    <w:rsid w:val="00ED1D0D"/>
    <w:rsid w:val="00ED1DCC"/>
    <w:rsid w:val="00ED1E54"/>
    <w:rsid w:val="00ED21D8"/>
    <w:rsid w:val="00ED2280"/>
    <w:rsid w:val="00ED242A"/>
    <w:rsid w:val="00ED25CB"/>
    <w:rsid w:val="00ED2783"/>
    <w:rsid w:val="00ED2816"/>
    <w:rsid w:val="00ED294B"/>
    <w:rsid w:val="00ED2F15"/>
    <w:rsid w:val="00ED30EE"/>
    <w:rsid w:val="00ED36B0"/>
    <w:rsid w:val="00ED37A9"/>
    <w:rsid w:val="00ED3825"/>
    <w:rsid w:val="00ED3E3E"/>
    <w:rsid w:val="00ED3EC6"/>
    <w:rsid w:val="00ED4131"/>
    <w:rsid w:val="00ED42A6"/>
    <w:rsid w:val="00ED4859"/>
    <w:rsid w:val="00ED4F18"/>
    <w:rsid w:val="00ED4FE4"/>
    <w:rsid w:val="00ED5108"/>
    <w:rsid w:val="00ED5294"/>
    <w:rsid w:val="00ED5390"/>
    <w:rsid w:val="00ED5547"/>
    <w:rsid w:val="00ED56FD"/>
    <w:rsid w:val="00ED5B6E"/>
    <w:rsid w:val="00ED5E82"/>
    <w:rsid w:val="00ED62FD"/>
    <w:rsid w:val="00ED6302"/>
    <w:rsid w:val="00ED68DA"/>
    <w:rsid w:val="00ED69E5"/>
    <w:rsid w:val="00ED6B84"/>
    <w:rsid w:val="00ED6F03"/>
    <w:rsid w:val="00ED71CC"/>
    <w:rsid w:val="00ED72CD"/>
    <w:rsid w:val="00ED7E74"/>
    <w:rsid w:val="00ED7F68"/>
    <w:rsid w:val="00EE0160"/>
    <w:rsid w:val="00EE0344"/>
    <w:rsid w:val="00EE03D0"/>
    <w:rsid w:val="00EE0854"/>
    <w:rsid w:val="00EE08CA"/>
    <w:rsid w:val="00EE0CDF"/>
    <w:rsid w:val="00EE0DBA"/>
    <w:rsid w:val="00EE1050"/>
    <w:rsid w:val="00EE13F3"/>
    <w:rsid w:val="00EE1418"/>
    <w:rsid w:val="00EE1557"/>
    <w:rsid w:val="00EE1A2A"/>
    <w:rsid w:val="00EE1BFE"/>
    <w:rsid w:val="00EE1D2E"/>
    <w:rsid w:val="00EE2119"/>
    <w:rsid w:val="00EE2E8E"/>
    <w:rsid w:val="00EE3135"/>
    <w:rsid w:val="00EE323D"/>
    <w:rsid w:val="00EE33D4"/>
    <w:rsid w:val="00EE366D"/>
    <w:rsid w:val="00EE38C1"/>
    <w:rsid w:val="00EE3B31"/>
    <w:rsid w:val="00EE3CE8"/>
    <w:rsid w:val="00EE3DEB"/>
    <w:rsid w:val="00EE3F4A"/>
    <w:rsid w:val="00EE4D84"/>
    <w:rsid w:val="00EE4EB5"/>
    <w:rsid w:val="00EE4F6B"/>
    <w:rsid w:val="00EE501E"/>
    <w:rsid w:val="00EE5036"/>
    <w:rsid w:val="00EE50B7"/>
    <w:rsid w:val="00EE5261"/>
    <w:rsid w:val="00EE52A4"/>
    <w:rsid w:val="00EE59DF"/>
    <w:rsid w:val="00EE5BA1"/>
    <w:rsid w:val="00EE5E49"/>
    <w:rsid w:val="00EE5F62"/>
    <w:rsid w:val="00EE6050"/>
    <w:rsid w:val="00EE61CB"/>
    <w:rsid w:val="00EE61E8"/>
    <w:rsid w:val="00EE6338"/>
    <w:rsid w:val="00EE64D0"/>
    <w:rsid w:val="00EE677F"/>
    <w:rsid w:val="00EE68DF"/>
    <w:rsid w:val="00EE6E4B"/>
    <w:rsid w:val="00EE71CE"/>
    <w:rsid w:val="00EE7238"/>
    <w:rsid w:val="00EE7291"/>
    <w:rsid w:val="00EE7547"/>
    <w:rsid w:val="00EE7FB8"/>
    <w:rsid w:val="00EF00DC"/>
    <w:rsid w:val="00EF05FF"/>
    <w:rsid w:val="00EF074E"/>
    <w:rsid w:val="00EF0BAE"/>
    <w:rsid w:val="00EF0C58"/>
    <w:rsid w:val="00EF0DCB"/>
    <w:rsid w:val="00EF1096"/>
    <w:rsid w:val="00EF1108"/>
    <w:rsid w:val="00EF1275"/>
    <w:rsid w:val="00EF164B"/>
    <w:rsid w:val="00EF1726"/>
    <w:rsid w:val="00EF1DC4"/>
    <w:rsid w:val="00EF1E85"/>
    <w:rsid w:val="00EF2252"/>
    <w:rsid w:val="00EF2705"/>
    <w:rsid w:val="00EF2897"/>
    <w:rsid w:val="00EF2FAA"/>
    <w:rsid w:val="00EF2FB1"/>
    <w:rsid w:val="00EF2FBF"/>
    <w:rsid w:val="00EF3348"/>
    <w:rsid w:val="00EF3679"/>
    <w:rsid w:val="00EF3751"/>
    <w:rsid w:val="00EF3BA2"/>
    <w:rsid w:val="00EF3C7B"/>
    <w:rsid w:val="00EF3FCE"/>
    <w:rsid w:val="00EF4147"/>
    <w:rsid w:val="00EF4969"/>
    <w:rsid w:val="00EF4AA5"/>
    <w:rsid w:val="00EF4B4A"/>
    <w:rsid w:val="00EF4C4E"/>
    <w:rsid w:val="00EF4CFF"/>
    <w:rsid w:val="00EF4D53"/>
    <w:rsid w:val="00EF5045"/>
    <w:rsid w:val="00EF5195"/>
    <w:rsid w:val="00EF5292"/>
    <w:rsid w:val="00EF553D"/>
    <w:rsid w:val="00EF5FFD"/>
    <w:rsid w:val="00EF6304"/>
    <w:rsid w:val="00EF6C5D"/>
    <w:rsid w:val="00EF6D77"/>
    <w:rsid w:val="00EF6FF7"/>
    <w:rsid w:val="00EF7637"/>
    <w:rsid w:val="00EF7823"/>
    <w:rsid w:val="00EF7AD9"/>
    <w:rsid w:val="00F0003A"/>
    <w:rsid w:val="00F004C0"/>
    <w:rsid w:val="00F0082D"/>
    <w:rsid w:val="00F00A18"/>
    <w:rsid w:val="00F00A9C"/>
    <w:rsid w:val="00F00C92"/>
    <w:rsid w:val="00F00D3E"/>
    <w:rsid w:val="00F00EA3"/>
    <w:rsid w:val="00F016AA"/>
    <w:rsid w:val="00F0195E"/>
    <w:rsid w:val="00F01986"/>
    <w:rsid w:val="00F01A58"/>
    <w:rsid w:val="00F01CE2"/>
    <w:rsid w:val="00F01D90"/>
    <w:rsid w:val="00F01EA1"/>
    <w:rsid w:val="00F01F79"/>
    <w:rsid w:val="00F0201D"/>
    <w:rsid w:val="00F02623"/>
    <w:rsid w:val="00F0267B"/>
    <w:rsid w:val="00F026F7"/>
    <w:rsid w:val="00F027FD"/>
    <w:rsid w:val="00F0288C"/>
    <w:rsid w:val="00F02A1F"/>
    <w:rsid w:val="00F02B72"/>
    <w:rsid w:val="00F02C98"/>
    <w:rsid w:val="00F02E89"/>
    <w:rsid w:val="00F03119"/>
    <w:rsid w:val="00F03568"/>
    <w:rsid w:val="00F038B5"/>
    <w:rsid w:val="00F03C10"/>
    <w:rsid w:val="00F03F37"/>
    <w:rsid w:val="00F04063"/>
    <w:rsid w:val="00F04106"/>
    <w:rsid w:val="00F04354"/>
    <w:rsid w:val="00F043D2"/>
    <w:rsid w:val="00F04652"/>
    <w:rsid w:val="00F04927"/>
    <w:rsid w:val="00F04B7E"/>
    <w:rsid w:val="00F04D3C"/>
    <w:rsid w:val="00F04E4E"/>
    <w:rsid w:val="00F04EE5"/>
    <w:rsid w:val="00F050F6"/>
    <w:rsid w:val="00F05968"/>
    <w:rsid w:val="00F05B4A"/>
    <w:rsid w:val="00F05B8D"/>
    <w:rsid w:val="00F05ED7"/>
    <w:rsid w:val="00F0642B"/>
    <w:rsid w:val="00F064BA"/>
    <w:rsid w:val="00F0676A"/>
    <w:rsid w:val="00F067FD"/>
    <w:rsid w:val="00F06FD1"/>
    <w:rsid w:val="00F072DA"/>
    <w:rsid w:val="00F07421"/>
    <w:rsid w:val="00F0746D"/>
    <w:rsid w:val="00F07493"/>
    <w:rsid w:val="00F078B7"/>
    <w:rsid w:val="00F07C90"/>
    <w:rsid w:val="00F07D42"/>
    <w:rsid w:val="00F10EFF"/>
    <w:rsid w:val="00F11276"/>
    <w:rsid w:val="00F114BF"/>
    <w:rsid w:val="00F1180D"/>
    <w:rsid w:val="00F119B7"/>
    <w:rsid w:val="00F119E7"/>
    <w:rsid w:val="00F11EC6"/>
    <w:rsid w:val="00F11EEE"/>
    <w:rsid w:val="00F1209E"/>
    <w:rsid w:val="00F126E8"/>
    <w:rsid w:val="00F12DBB"/>
    <w:rsid w:val="00F12DE0"/>
    <w:rsid w:val="00F12FF9"/>
    <w:rsid w:val="00F1325E"/>
    <w:rsid w:val="00F13311"/>
    <w:rsid w:val="00F135A6"/>
    <w:rsid w:val="00F13810"/>
    <w:rsid w:val="00F1396E"/>
    <w:rsid w:val="00F13D0F"/>
    <w:rsid w:val="00F14043"/>
    <w:rsid w:val="00F143F4"/>
    <w:rsid w:val="00F14540"/>
    <w:rsid w:val="00F146D9"/>
    <w:rsid w:val="00F14B9F"/>
    <w:rsid w:val="00F14D80"/>
    <w:rsid w:val="00F14EE3"/>
    <w:rsid w:val="00F14F3E"/>
    <w:rsid w:val="00F15145"/>
    <w:rsid w:val="00F1525D"/>
    <w:rsid w:val="00F1540D"/>
    <w:rsid w:val="00F1554A"/>
    <w:rsid w:val="00F15649"/>
    <w:rsid w:val="00F15D01"/>
    <w:rsid w:val="00F1605D"/>
    <w:rsid w:val="00F16508"/>
    <w:rsid w:val="00F16526"/>
    <w:rsid w:val="00F168A3"/>
    <w:rsid w:val="00F168F2"/>
    <w:rsid w:val="00F16A95"/>
    <w:rsid w:val="00F16B30"/>
    <w:rsid w:val="00F16D24"/>
    <w:rsid w:val="00F173EB"/>
    <w:rsid w:val="00F17696"/>
    <w:rsid w:val="00F177C9"/>
    <w:rsid w:val="00F17917"/>
    <w:rsid w:val="00F17B50"/>
    <w:rsid w:val="00F17B74"/>
    <w:rsid w:val="00F20056"/>
    <w:rsid w:val="00F200DB"/>
    <w:rsid w:val="00F203AF"/>
    <w:rsid w:val="00F20469"/>
    <w:rsid w:val="00F2086F"/>
    <w:rsid w:val="00F20926"/>
    <w:rsid w:val="00F20BA1"/>
    <w:rsid w:val="00F20D24"/>
    <w:rsid w:val="00F20DD8"/>
    <w:rsid w:val="00F2136C"/>
    <w:rsid w:val="00F2177D"/>
    <w:rsid w:val="00F21F01"/>
    <w:rsid w:val="00F22480"/>
    <w:rsid w:val="00F22F0C"/>
    <w:rsid w:val="00F230A4"/>
    <w:rsid w:val="00F23688"/>
    <w:rsid w:val="00F236A5"/>
    <w:rsid w:val="00F23A78"/>
    <w:rsid w:val="00F244B1"/>
    <w:rsid w:val="00F24569"/>
    <w:rsid w:val="00F248BD"/>
    <w:rsid w:val="00F248DF"/>
    <w:rsid w:val="00F24A78"/>
    <w:rsid w:val="00F24B37"/>
    <w:rsid w:val="00F24C8B"/>
    <w:rsid w:val="00F24F45"/>
    <w:rsid w:val="00F24F71"/>
    <w:rsid w:val="00F250E9"/>
    <w:rsid w:val="00F2510A"/>
    <w:rsid w:val="00F2526F"/>
    <w:rsid w:val="00F2545D"/>
    <w:rsid w:val="00F254CE"/>
    <w:rsid w:val="00F25C2B"/>
    <w:rsid w:val="00F25E5D"/>
    <w:rsid w:val="00F25F53"/>
    <w:rsid w:val="00F2617B"/>
    <w:rsid w:val="00F261B9"/>
    <w:rsid w:val="00F26645"/>
    <w:rsid w:val="00F268A9"/>
    <w:rsid w:val="00F269E4"/>
    <w:rsid w:val="00F26D9D"/>
    <w:rsid w:val="00F26EF7"/>
    <w:rsid w:val="00F27116"/>
    <w:rsid w:val="00F2725D"/>
    <w:rsid w:val="00F27274"/>
    <w:rsid w:val="00F27AB3"/>
    <w:rsid w:val="00F27B5F"/>
    <w:rsid w:val="00F27F89"/>
    <w:rsid w:val="00F306FD"/>
    <w:rsid w:val="00F30A51"/>
    <w:rsid w:val="00F30B2E"/>
    <w:rsid w:val="00F30CBA"/>
    <w:rsid w:val="00F30CE6"/>
    <w:rsid w:val="00F30D56"/>
    <w:rsid w:val="00F30EC1"/>
    <w:rsid w:val="00F31355"/>
    <w:rsid w:val="00F31AFA"/>
    <w:rsid w:val="00F31BFA"/>
    <w:rsid w:val="00F31C41"/>
    <w:rsid w:val="00F31D10"/>
    <w:rsid w:val="00F31E87"/>
    <w:rsid w:val="00F3221F"/>
    <w:rsid w:val="00F32226"/>
    <w:rsid w:val="00F3265D"/>
    <w:rsid w:val="00F328FF"/>
    <w:rsid w:val="00F32DE4"/>
    <w:rsid w:val="00F32F42"/>
    <w:rsid w:val="00F32FF8"/>
    <w:rsid w:val="00F3312E"/>
    <w:rsid w:val="00F3322F"/>
    <w:rsid w:val="00F33502"/>
    <w:rsid w:val="00F33663"/>
    <w:rsid w:val="00F33ED5"/>
    <w:rsid w:val="00F33F27"/>
    <w:rsid w:val="00F33F86"/>
    <w:rsid w:val="00F34365"/>
    <w:rsid w:val="00F345C7"/>
    <w:rsid w:val="00F347A4"/>
    <w:rsid w:val="00F34A1D"/>
    <w:rsid w:val="00F34D59"/>
    <w:rsid w:val="00F34E11"/>
    <w:rsid w:val="00F35680"/>
    <w:rsid w:val="00F35BA9"/>
    <w:rsid w:val="00F35CCF"/>
    <w:rsid w:val="00F35F30"/>
    <w:rsid w:val="00F36282"/>
    <w:rsid w:val="00F363B9"/>
    <w:rsid w:val="00F36490"/>
    <w:rsid w:val="00F367B9"/>
    <w:rsid w:val="00F37051"/>
    <w:rsid w:val="00F374F3"/>
    <w:rsid w:val="00F37CD8"/>
    <w:rsid w:val="00F37D3D"/>
    <w:rsid w:val="00F40295"/>
    <w:rsid w:val="00F4048B"/>
    <w:rsid w:val="00F40D7F"/>
    <w:rsid w:val="00F415C8"/>
    <w:rsid w:val="00F415E4"/>
    <w:rsid w:val="00F417DA"/>
    <w:rsid w:val="00F418A5"/>
    <w:rsid w:val="00F41A24"/>
    <w:rsid w:val="00F41D05"/>
    <w:rsid w:val="00F420F8"/>
    <w:rsid w:val="00F421D7"/>
    <w:rsid w:val="00F425F6"/>
    <w:rsid w:val="00F42F55"/>
    <w:rsid w:val="00F43193"/>
    <w:rsid w:val="00F4338F"/>
    <w:rsid w:val="00F43B9E"/>
    <w:rsid w:val="00F43D8D"/>
    <w:rsid w:val="00F43EDB"/>
    <w:rsid w:val="00F43FB3"/>
    <w:rsid w:val="00F4445A"/>
    <w:rsid w:val="00F444EC"/>
    <w:rsid w:val="00F447E0"/>
    <w:rsid w:val="00F449A0"/>
    <w:rsid w:val="00F44C57"/>
    <w:rsid w:val="00F45111"/>
    <w:rsid w:val="00F454A5"/>
    <w:rsid w:val="00F45631"/>
    <w:rsid w:val="00F4577C"/>
    <w:rsid w:val="00F4585E"/>
    <w:rsid w:val="00F46223"/>
    <w:rsid w:val="00F4681D"/>
    <w:rsid w:val="00F4682A"/>
    <w:rsid w:val="00F46BB1"/>
    <w:rsid w:val="00F471D8"/>
    <w:rsid w:val="00F47581"/>
    <w:rsid w:val="00F47A59"/>
    <w:rsid w:val="00F47E67"/>
    <w:rsid w:val="00F5022F"/>
    <w:rsid w:val="00F50479"/>
    <w:rsid w:val="00F50681"/>
    <w:rsid w:val="00F50822"/>
    <w:rsid w:val="00F50C47"/>
    <w:rsid w:val="00F50E87"/>
    <w:rsid w:val="00F512EB"/>
    <w:rsid w:val="00F512F6"/>
    <w:rsid w:val="00F513F7"/>
    <w:rsid w:val="00F51752"/>
    <w:rsid w:val="00F51BA6"/>
    <w:rsid w:val="00F51C5B"/>
    <w:rsid w:val="00F51D62"/>
    <w:rsid w:val="00F51D75"/>
    <w:rsid w:val="00F5200D"/>
    <w:rsid w:val="00F5252B"/>
    <w:rsid w:val="00F5262B"/>
    <w:rsid w:val="00F5296D"/>
    <w:rsid w:val="00F52D8D"/>
    <w:rsid w:val="00F530D3"/>
    <w:rsid w:val="00F535CA"/>
    <w:rsid w:val="00F53A22"/>
    <w:rsid w:val="00F53E0F"/>
    <w:rsid w:val="00F53E20"/>
    <w:rsid w:val="00F546A2"/>
    <w:rsid w:val="00F54C14"/>
    <w:rsid w:val="00F54D14"/>
    <w:rsid w:val="00F54EE7"/>
    <w:rsid w:val="00F55211"/>
    <w:rsid w:val="00F55783"/>
    <w:rsid w:val="00F5584E"/>
    <w:rsid w:val="00F55A1C"/>
    <w:rsid w:val="00F56465"/>
    <w:rsid w:val="00F5646C"/>
    <w:rsid w:val="00F564E3"/>
    <w:rsid w:val="00F56547"/>
    <w:rsid w:val="00F567D8"/>
    <w:rsid w:val="00F56B80"/>
    <w:rsid w:val="00F56C3E"/>
    <w:rsid w:val="00F56F6F"/>
    <w:rsid w:val="00F57211"/>
    <w:rsid w:val="00F5723A"/>
    <w:rsid w:val="00F575D3"/>
    <w:rsid w:val="00F57F72"/>
    <w:rsid w:val="00F57F7B"/>
    <w:rsid w:val="00F600C5"/>
    <w:rsid w:val="00F60151"/>
    <w:rsid w:val="00F602BE"/>
    <w:rsid w:val="00F6033B"/>
    <w:rsid w:val="00F60341"/>
    <w:rsid w:val="00F6075E"/>
    <w:rsid w:val="00F607FB"/>
    <w:rsid w:val="00F609AA"/>
    <w:rsid w:val="00F60BC8"/>
    <w:rsid w:val="00F60C58"/>
    <w:rsid w:val="00F60DF7"/>
    <w:rsid w:val="00F6106E"/>
    <w:rsid w:val="00F6110D"/>
    <w:rsid w:val="00F61238"/>
    <w:rsid w:val="00F61393"/>
    <w:rsid w:val="00F616B0"/>
    <w:rsid w:val="00F616C7"/>
    <w:rsid w:val="00F616CD"/>
    <w:rsid w:val="00F61702"/>
    <w:rsid w:val="00F61A81"/>
    <w:rsid w:val="00F61B72"/>
    <w:rsid w:val="00F62120"/>
    <w:rsid w:val="00F6266B"/>
    <w:rsid w:val="00F62A01"/>
    <w:rsid w:val="00F62CDE"/>
    <w:rsid w:val="00F63190"/>
    <w:rsid w:val="00F632B4"/>
    <w:rsid w:val="00F63654"/>
    <w:rsid w:val="00F63739"/>
    <w:rsid w:val="00F637EA"/>
    <w:rsid w:val="00F63AB9"/>
    <w:rsid w:val="00F63F51"/>
    <w:rsid w:val="00F64001"/>
    <w:rsid w:val="00F642A0"/>
    <w:rsid w:val="00F64491"/>
    <w:rsid w:val="00F644E2"/>
    <w:rsid w:val="00F6479C"/>
    <w:rsid w:val="00F647C6"/>
    <w:rsid w:val="00F648E0"/>
    <w:rsid w:val="00F64991"/>
    <w:rsid w:val="00F64AEC"/>
    <w:rsid w:val="00F64B2F"/>
    <w:rsid w:val="00F64EC8"/>
    <w:rsid w:val="00F64ECC"/>
    <w:rsid w:val="00F65481"/>
    <w:rsid w:val="00F655C9"/>
    <w:rsid w:val="00F657A1"/>
    <w:rsid w:val="00F658C4"/>
    <w:rsid w:val="00F65B02"/>
    <w:rsid w:val="00F65F69"/>
    <w:rsid w:val="00F65FF9"/>
    <w:rsid w:val="00F6604F"/>
    <w:rsid w:val="00F6610D"/>
    <w:rsid w:val="00F6615E"/>
    <w:rsid w:val="00F662CE"/>
    <w:rsid w:val="00F664F6"/>
    <w:rsid w:val="00F665F9"/>
    <w:rsid w:val="00F668AE"/>
    <w:rsid w:val="00F668D0"/>
    <w:rsid w:val="00F66B9F"/>
    <w:rsid w:val="00F66F58"/>
    <w:rsid w:val="00F6703F"/>
    <w:rsid w:val="00F6798A"/>
    <w:rsid w:val="00F679E4"/>
    <w:rsid w:val="00F67A66"/>
    <w:rsid w:val="00F7009D"/>
    <w:rsid w:val="00F70375"/>
    <w:rsid w:val="00F70527"/>
    <w:rsid w:val="00F70532"/>
    <w:rsid w:val="00F706C4"/>
    <w:rsid w:val="00F708D3"/>
    <w:rsid w:val="00F709D5"/>
    <w:rsid w:val="00F70B46"/>
    <w:rsid w:val="00F70CC3"/>
    <w:rsid w:val="00F71529"/>
    <w:rsid w:val="00F71939"/>
    <w:rsid w:val="00F7199A"/>
    <w:rsid w:val="00F719C4"/>
    <w:rsid w:val="00F71A0E"/>
    <w:rsid w:val="00F721E1"/>
    <w:rsid w:val="00F723F4"/>
    <w:rsid w:val="00F724BD"/>
    <w:rsid w:val="00F724C2"/>
    <w:rsid w:val="00F730DC"/>
    <w:rsid w:val="00F7310E"/>
    <w:rsid w:val="00F73C0E"/>
    <w:rsid w:val="00F73D0D"/>
    <w:rsid w:val="00F74003"/>
    <w:rsid w:val="00F747C2"/>
    <w:rsid w:val="00F74AF9"/>
    <w:rsid w:val="00F74E42"/>
    <w:rsid w:val="00F74FE5"/>
    <w:rsid w:val="00F75046"/>
    <w:rsid w:val="00F7548F"/>
    <w:rsid w:val="00F75576"/>
    <w:rsid w:val="00F75A3C"/>
    <w:rsid w:val="00F75D59"/>
    <w:rsid w:val="00F767B7"/>
    <w:rsid w:val="00F769F3"/>
    <w:rsid w:val="00F773AF"/>
    <w:rsid w:val="00F77764"/>
    <w:rsid w:val="00F77936"/>
    <w:rsid w:val="00F80767"/>
    <w:rsid w:val="00F809C8"/>
    <w:rsid w:val="00F80A08"/>
    <w:rsid w:val="00F80A74"/>
    <w:rsid w:val="00F80A8A"/>
    <w:rsid w:val="00F80E4D"/>
    <w:rsid w:val="00F81021"/>
    <w:rsid w:val="00F814D1"/>
    <w:rsid w:val="00F81737"/>
    <w:rsid w:val="00F817CD"/>
    <w:rsid w:val="00F817EF"/>
    <w:rsid w:val="00F81A01"/>
    <w:rsid w:val="00F81ADA"/>
    <w:rsid w:val="00F81C07"/>
    <w:rsid w:val="00F81D5E"/>
    <w:rsid w:val="00F81DC0"/>
    <w:rsid w:val="00F81DC5"/>
    <w:rsid w:val="00F81FF9"/>
    <w:rsid w:val="00F8210A"/>
    <w:rsid w:val="00F82A8A"/>
    <w:rsid w:val="00F82B5F"/>
    <w:rsid w:val="00F82C4D"/>
    <w:rsid w:val="00F82CE9"/>
    <w:rsid w:val="00F82E2E"/>
    <w:rsid w:val="00F82FF6"/>
    <w:rsid w:val="00F8330C"/>
    <w:rsid w:val="00F8384F"/>
    <w:rsid w:val="00F83EDF"/>
    <w:rsid w:val="00F846AB"/>
    <w:rsid w:val="00F84997"/>
    <w:rsid w:val="00F84AD1"/>
    <w:rsid w:val="00F84B65"/>
    <w:rsid w:val="00F84CDD"/>
    <w:rsid w:val="00F84CF2"/>
    <w:rsid w:val="00F84EAA"/>
    <w:rsid w:val="00F8506B"/>
    <w:rsid w:val="00F852A4"/>
    <w:rsid w:val="00F856A6"/>
    <w:rsid w:val="00F85AEE"/>
    <w:rsid w:val="00F85CC2"/>
    <w:rsid w:val="00F85E39"/>
    <w:rsid w:val="00F863D0"/>
    <w:rsid w:val="00F86824"/>
    <w:rsid w:val="00F86AB7"/>
    <w:rsid w:val="00F8713F"/>
    <w:rsid w:val="00F8735B"/>
    <w:rsid w:val="00F87809"/>
    <w:rsid w:val="00F87C8D"/>
    <w:rsid w:val="00F87E64"/>
    <w:rsid w:val="00F87FC3"/>
    <w:rsid w:val="00F90133"/>
    <w:rsid w:val="00F903D6"/>
    <w:rsid w:val="00F907ED"/>
    <w:rsid w:val="00F909F2"/>
    <w:rsid w:val="00F90B6A"/>
    <w:rsid w:val="00F90EDF"/>
    <w:rsid w:val="00F9125E"/>
    <w:rsid w:val="00F91503"/>
    <w:rsid w:val="00F919AB"/>
    <w:rsid w:val="00F92013"/>
    <w:rsid w:val="00F92137"/>
    <w:rsid w:val="00F92279"/>
    <w:rsid w:val="00F9244B"/>
    <w:rsid w:val="00F92778"/>
    <w:rsid w:val="00F92A24"/>
    <w:rsid w:val="00F92B8A"/>
    <w:rsid w:val="00F92CD3"/>
    <w:rsid w:val="00F92F18"/>
    <w:rsid w:val="00F9343F"/>
    <w:rsid w:val="00F93784"/>
    <w:rsid w:val="00F9411B"/>
    <w:rsid w:val="00F94176"/>
    <w:rsid w:val="00F94493"/>
    <w:rsid w:val="00F94612"/>
    <w:rsid w:val="00F94D8F"/>
    <w:rsid w:val="00F9514D"/>
    <w:rsid w:val="00F9528D"/>
    <w:rsid w:val="00F954F5"/>
    <w:rsid w:val="00F957EE"/>
    <w:rsid w:val="00F95AF8"/>
    <w:rsid w:val="00F95E64"/>
    <w:rsid w:val="00F96318"/>
    <w:rsid w:val="00F966B7"/>
    <w:rsid w:val="00F96E2D"/>
    <w:rsid w:val="00F96ED2"/>
    <w:rsid w:val="00F96EE2"/>
    <w:rsid w:val="00F96F34"/>
    <w:rsid w:val="00F979D6"/>
    <w:rsid w:val="00F97B49"/>
    <w:rsid w:val="00F97BAD"/>
    <w:rsid w:val="00F97EBA"/>
    <w:rsid w:val="00FA01A8"/>
    <w:rsid w:val="00FA04C9"/>
    <w:rsid w:val="00FA052D"/>
    <w:rsid w:val="00FA0D33"/>
    <w:rsid w:val="00FA1170"/>
    <w:rsid w:val="00FA1189"/>
    <w:rsid w:val="00FA1353"/>
    <w:rsid w:val="00FA1870"/>
    <w:rsid w:val="00FA231B"/>
    <w:rsid w:val="00FA245D"/>
    <w:rsid w:val="00FA251C"/>
    <w:rsid w:val="00FA2594"/>
    <w:rsid w:val="00FA25EE"/>
    <w:rsid w:val="00FA28FF"/>
    <w:rsid w:val="00FA2ABA"/>
    <w:rsid w:val="00FA2CB7"/>
    <w:rsid w:val="00FA2E03"/>
    <w:rsid w:val="00FA2F9D"/>
    <w:rsid w:val="00FA3632"/>
    <w:rsid w:val="00FA3DF6"/>
    <w:rsid w:val="00FA406F"/>
    <w:rsid w:val="00FA4098"/>
    <w:rsid w:val="00FA4351"/>
    <w:rsid w:val="00FA444F"/>
    <w:rsid w:val="00FA457E"/>
    <w:rsid w:val="00FA4705"/>
    <w:rsid w:val="00FA4B1C"/>
    <w:rsid w:val="00FA4DF5"/>
    <w:rsid w:val="00FA4E06"/>
    <w:rsid w:val="00FA53FC"/>
    <w:rsid w:val="00FA56CB"/>
    <w:rsid w:val="00FA5B24"/>
    <w:rsid w:val="00FA5CEB"/>
    <w:rsid w:val="00FA617D"/>
    <w:rsid w:val="00FA64DE"/>
    <w:rsid w:val="00FA676C"/>
    <w:rsid w:val="00FA696E"/>
    <w:rsid w:val="00FA6ABF"/>
    <w:rsid w:val="00FA7079"/>
    <w:rsid w:val="00FA756C"/>
    <w:rsid w:val="00FA7685"/>
    <w:rsid w:val="00FA7AB0"/>
    <w:rsid w:val="00FA7C71"/>
    <w:rsid w:val="00FB052F"/>
    <w:rsid w:val="00FB05BF"/>
    <w:rsid w:val="00FB065F"/>
    <w:rsid w:val="00FB0730"/>
    <w:rsid w:val="00FB0777"/>
    <w:rsid w:val="00FB0AE3"/>
    <w:rsid w:val="00FB1477"/>
    <w:rsid w:val="00FB161A"/>
    <w:rsid w:val="00FB1693"/>
    <w:rsid w:val="00FB1A87"/>
    <w:rsid w:val="00FB1F4F"/>
    <w:rsid w:val="00FB1F60"/>
    <w:rsid w:val="00FB1FB4"/>
    <w:rsid w:val="00FB253C"/>
    <w:rsid w:val="00FB2954"/>
    <w:rsid w:val="00FB297E"/>
    <w:rsid w:val="00FB2A83"/>
    <w:rsid w:val="00FB2B75"/>
    <w:rsid w:val="00FB2DC6"/>
    <w:rsid w:val="00FB2E7A"/>
    <w:rsid w:val="00FB3067"/>
    <w:rsid w:val="00FB30CE"/>
    <w:rsid w:val="00FB34B6"/>
    <w:rsid w:val="00FB34F4"/>
    <w:rsid w:val="00FB3685"/>
    <w:rsid w:val="00FB38D4"/>
    <w:rsid w:val="00FB3A75"/>
    <w:rsid w:val="00FB40EA"/>
    <w:rsid w:val="00FB418B"/>
    <w:rsid w:val="00FB41A2"/>
    <w:rsid w:val="00FB41C6"/>
    <w:rsid w:val="00FB491A"/>
    <w:rsid w:val="00FB4CA1"/>
    <w:rsid w:val="00FB4CF5"/>
    <w:rsid w:val="00FB4E24"/>
    <w:rsid w:val="00FB524B"/>
    <w:rsid w:val="00FB537F"/>
    <w:rsid w:val="00FB567A"/>
    <w:rsid w:val="00FB576B"/>
    <w:rsid w:val="00FB5A82"/>
    <w:rsid w:val="00FB5C22"/>
    <w:rsid w:val="00FB5EE9"/>
    <w:rsid w:val="00FB620A"/>
    <w:rsid w:val="00FB64AA"/>
    <w:rsid w:val="00FB6797"/>
    <w:rsid w:val="00FB685C"/>
    <w:rsid w:val="00FB6872"/>
    <w:rsid w:val="00FB767A"/>
    <w:rsid w:val="00FB78EB"/>
    <w:rsid w:val="00FB7926"/>
    <w:rsid w:val="00FB7A88"/>
    <w:rsid w:val="00FB7E9D"/>
    <w:rsid w:val="00FB7FE6"/>
    <w:rsid w:val="00FC00B0"/>
    <w:rsid w:val="00FC036C"/>
    <w:rsid w:val="00FC070E"/>
    <w:rsid w:val="00FC0879"/>
    <w:rsid w:val="00FC0992"/>
    <w:rsid w:val="00FC0C80"/>
    <w:rsid w:val="00FC0D11"/>
    <w:rsid w:val="00FC11E8"/>
    <w:rsid w:val="00FC17E6"/>
    <w:rsid w:val="00FC186F"/>
    <w:rsid w:val="00FC1991"/>
    <w:rsid w:val="00FC1B79"/>
    <w:rsid w:val="00FC2058"/>
    <w:rsid w:val="00FC2335"/>
    <w:rsid w:val="00FC2385"/>
    <w:rsid w:val="00FC26E5"/>
    <w:rsid w:val="00FC272A"/>
    <w:rsid w:val="00FC2C2C"/>
    <w:rsid w:val="00FC315E"/>
    <w:rsid w:val="00FC3890"/>
    <w:rsid w:val="00FC3B8D"/>
    <w:rsid w:val="00FC3EE6"/>
    <w:rsid w:val="00FC40EF"/>
    <w:rsid w:val="00FC4103"/>
    <w:rsid w:val="00FC42D1"/>
    <w:rsid w:val="00FC453A"/>
    <w:rsid w:val="00FC45D3"/>
    <w:rsid w:val="00FC4600"/>
    <w:rsid w:val="00FC47A6"/>
    <w:rsid w:val="00FC4840"/>
    <w:rsid w:val="00FC484F"/>
    <w:rsid w:val="00FC4CE9"/>
    <w:rsid w:val="00FC4E87"/>
    <w:rsid w:val="00FC5132"/>
    <w:rsid w:val="00FC522B"/>
    <w:rsid w:val="00FC53E5"/>
    <w:rsid w:val="00FC5586"/>
    <w:rsid w:val="00FC582A"/>
    <w:rsid w:val="00FC5C2A"/>
    <w:rsid w:val="00FC5CCF"/>
    <w:rsid w:val="00FC6170"/>
    <w:rsid w:val="00FC63B5"/>
    <w:rsid w:val="00FC6ADA"/>
    <w:rsid w:val="00FC6BA0"/>
    <w:rsid w:val="00FC6DEA"/>
    <w:rsid w:val="00FC6E2B"/>
    <w:rsid w:val="00FC6E5F"/>
    <w:rsid w:val="00FC7391"/>
    <w:rsid w:val="00FC7618"/>
    <w:rsid w:val="00FC7816"/>
    <w:rsid w:val="00FC7BDD"/>
    <w:rsid w:val="00FC7FBB"/>
    <w:rsid w:val="00FD009A"/>
    <w:rsid w:val="00FD0659"/>
    <w:rsid w:val="00FD089B"/>
    <w:rsid w:val="00FD0A65"/>
    <w:rsid w:val="00FD0F2C"/>
    <w:rsid w:val="00FD14DB"/>
    <w:rsid w:val="00FD1916"/>
    <w:rsid w:val="00FD1A15"/>
    <w:rsid w:val="00FD21E2"/>
    <w:rsid w:val="00FD2594"/>
    <w:rsid w:val="00FD2600"/>
    <w:rsid w:val="00FD2714"/>
    <w:rsid w:val="00FD28A0"/>
    <w:rsid w:val="00FD2AE9"/>
    <w:rsid w:val="00FD2DF1"/>
    <w:rsid w:val="00FD3352"/>
    <w:rsid w:val="00FD3835"/>
    <w:rsid w:val="00FD3BC1"/>
    <w:rsid w:val="00FD3C73"/>
    <w:rsid w:val="00FD3DBC"/>
    <w:rsid w:val="00FD3DFE"/>
    <w:rsid w:val="00FD42BC"/>
    <w:rsid w:val="00FD4E0C"/>
    <w:rsid w:val="00FD500A"/>
    <w:rsid w:val="00FD531F"/>
    <w:rsid w:val="00FD5327"/>
    <w:rsid w:val="00FD53A4"/>
    <w:rsid w:val="00FD5477"/>
    <w:rsid w:val="00FD58F6"/>
    <w:rsid w:val="00FD595C"/>
    <w:rsid w:val="00FD5B09"/>
    <w:rsid w:val="00FD5B63"/>
    <w:rsid w:val="00FD5BA0"/>
    <w:rsid w:val="00FD5D83"/>
    <w:rsid w:val="00FD653E"/>
    <w:rsid w:val="00FD6A5E"/>
    <w:rsid w:val="00FD6D8F"/>
    <w:rsid w:val="00FD6FE3"/>
    <w:rsid w:val="00FD7411"/>
    <w:rsid w:val="00FD756A"/>
    <w:rsid w:val="00FD758E"/>
    <w:rsid w:val="00FD7670"/>
    <w:rsid w:val="00FD7903"/>
    <w:rsid w:val="00FD7B14"/>
    <w:rsid w:val="00FD7D0E"/>
    <w:rsid w:val="00FE0039"/>
    <w:rsid w:val="00FE089C"/>
    <w:rsid w:val="00FE0AC2"/>
    <w:rsid w:val="00FE11A4"/>
    <w:rsid w:val="00FE12CC"/>
    <w:rsid w:val="00FE1419"/>
    <w:rsid w:val="00FE1934"/>
    <w:rsid w:val="00FE1C6A"/>
    <w:rsid w:val="00FE2064"/>
    <w:rsid w:val="00FE2161"/>
    <w:rsid w:val="00FE29FA"/>
    <w:rsid w:val="00FE2BDE"/>
    <w:rsid w:val="00FE2C8F"/>
    <w:rsid w:val="00FE3251"/>
    <w:rsid w:val="00FE36FD"/>
    <w:rsid w:val="00FE3865"/>
    <w:rsid w:val="00FE38BE"/>
    <w:rsid w:val="00FE38E1"/>
    <w:rsid w:val="00FE3973"/>
    <w:rsid w:val="00FE39E1"/>
    <w:rsid w:val="00FE3A73"/>
    <w:rsid w:val="00FE3CDF"/>
    <w:rsid w:val="00FE3D6F"/>
    <w:rsid w:val="00FE3FA4"/>
    <w:rsid w:val="00FE408D"/>
    <w:rsid w:val="00FE4183"/>
    <w:rsid w:val="00FE46B8"/>
    <w:rsid w:val="00FE4739"/>
    <w:rsid w:val="00FE4C1A"/>
    <w:rsid w:val="00FE4C77"/>
    <w:rsid w:val="00FE572B"/>
    <w:rsid w:val="00FE578B"/>
    <w:rsid w:val="00FE5C7C"/>
    <w:rsid w:val="00FE5D98"/>
    <w:rsid w:val="00FE5DD6"/>
    <w:rsid w:val="00FE6150"/>
    <w:rsid w:val="00FE6499"/>
    <w:rsid w:val="00FE6599"/>
    <w:rsid w:val="00FE6A53"/>
    <w:rsid w:val="00FE6BA6"/>
    <w:rsid w:val="00FE6EAB"/>
    <w:rsid w:val="00FE6FDE"/>
    <w:rsid w:val="00FE71A7"/>
    <w:rsid w:val="00FE7603"/>
    <w:rsid w:val="00FE7698"/>
    <w:rsid w:val="00FE76CB"/>
    <w:rsid w:val="00FE7721"/>
    <w:rsid w:val="00FE78D3"/>
    <w:rsid w:val="00FE7992"/>
    <w:rsid w:val="00FE79CF"/>
    <w:rsid w:val="00FE7CFF"/>
    <w:rsid w:val="00FE7D89"/>
    <w:rsid w:val="00FE7E15"/>
    <w:rsid w:val="00FF009E"/>
    <w:rsid w:val="00FF044F"/>
    <w:rsid w:val="00FF04B9"/>
    <w:rsid w:val="00FF0893"/>
    <w:rsid w:val="00FF0A17"/>
    <w:rsid w:val="00FF0A76"/>
    <w:rsid w:val="00FF0B6C"/>
    <w:rsid w:val="00FF0E00"/>
    <w:rsid w:val="00FF0FD8"/>
    <w:rsid w:val="00FF1018"/>
    <w:rsid w:val="00FF137C"/>
    <w:rsid w:val="00FF1C56"/>
    <w:rsid w:val="00FF1E70"/>
    <w:rsid w:val="00FF1F42"/>
    <w:rsid w:val="00FF25AD"/>
    <w:rsid w:val="00FF2654"/>
    <w:rsid w:val="00FF26A9"/>
    <w:rsid w:val="00FF2C89"/>
    <w:rsid w:val="00FF2CDF"/>
    <w:rsid w:val="00FF3025"/>
    <w:rsid w:val="00FF341C"/>
    <w:rsid w:val="00FF3849"/>
    <w:rsid w:val="00FF3A0D"/>
    <w:rsid w:val="00FF3A1D"/>
    <w:rsid w:val="00FF3C03"/>
    <w:rsid w:val="00FF438B"/>
    <w:rsid w:val="00FF43C2"/>
    <w:rsid w:val="00FF44BD"/>
    <w:rsid w:val="00FF4633"/>
    <w:rsid w:val="00FF474D"/>
    <w:rsid w:val="00FF4760"/>
    <w:rsid w:val="00FF4B03"/>
    <w:rsid w:val="00FF4F71"/>
    <w:rsid w:val="00FF5235"/>
    <w:rsid w:val="00FF5271"/>
    <w:rsid w:val="00FF54B3"/>
    <w:rsid w:val="00FF55CE"/>
    <w:rsid w:val="00FF56E5"/>
    <w:rsid w:val="00FF579D"/>
    <w:rsid w:val="00FF5939"/>
    <w:rsid w:val="00FF5CD2"/>
    <w:rsid w:val="00FF6572"/>
    <w:rsid w:val="00FF682B"/>
    <w:rsid w:val="00FF7319"/>
    <w:rsid w:val="00FF731C"/>
    <w:rsid w:val="00FF73F4"/>
    <w:rsid w:val="00FF748A"/>
    <w:rsid w:val="00FF74B6"/>
    <w:rsid w:val="00FF761F"/>
    <w:rsid w:val="00FF78C4"/>
    <w:rsid w:val="00FF7B96"/>
    <w:rsid w:val="013131E5"/>
    <w:rsid w:val="019D1F1B"/>
    <w:rsid w:val="01A4E340"/>
    <w:rsid w:val="02C7DCB4"/>
    <w:rsid w:val="02FC3FD5"/>
    <w:rsid w:val="03087A20"/>
    <w:rsid w:val="048AFF65"/>
    <w:rsid w:val="049D557A"/>
    <w:rsid w:val="050A02B0"/>
    <w:rsid w:val="053F79E0"/>
    <w:rsid w:val="054A61DD"/>
    <w:rsid w:val="05967E38"/>
    <w:rsid w:val="06626160"/>
    <w:rsid w:val="0732111A"/>
    <w:rsid w:val="07786992"/>
    <w:rsid w:val="07D30829"/>
    <w:rsid w:val="08424789"/>
    <w:rsid w:val="0863FC7D"/>
    <w:rsid w:val="08E28677"/>
    <w:rsid w:val="08F2D038"/>
    <w:rsid w:val="09A1625C"/>
    <w:rsid w:val="09BC438B"/>
    <w:rsid w:val="0AA563A7"/>
    <w:rsid w:val="0B660463"/>
    <w:rsid w:val="0C4DB2EB"/>
    <w:rsid w:val="0C58FF2F"/>
    <w:rsid w:val="0D3668E1"/>
    <w:rsid w:val="0D7410C0"/>
    <w:rsid w:val="0D8BDA3D"/>
    <w:rsid w:val="0D953CB2"/>
    <w:rsid w:val="0DF2524A"/>
    <w:rsid w:val="0DFABD14"/>
    <w:rsid w:val="0E0CECDF"/>
    <w:rsid w:val="0E4AAA72"/>
    <w:rsid w:val="0E7B4401"/>
    <w:rsid w:val="0E7F223C"/>
    <w:rsid w:val="0EDBC3E5"/>
    <w:rsid w:val="0F1F7E80"/>
    <w:rsid w:val="0F32ED5F"/>
    <w:rsid w:val="0F580007"/>
    <w:rsid w:val="104F9D8A"/>
    <w:rsid w:val="1093F8B3"/>
    <w:rsid w:val="10B297F8"/>
    <w:rsid w:val="1155792D"/>
    <w:rsid w:val="118E2004"/>
    <w:rsid w:val="11CC9AC7"/>
    <w:rsid w:val="11E98818"/>
    <w:rsid w:val="12B0915A"/>
    <w:rsid w:val="12F22B72"/>
    <w:rsid w:val="13064611"/>
    <w:rsid w:val="13A75F0C"/>
    <w:rsid w:val="140261A2"/>
    <w:rsid w:val="144BDFDA"/>
    <w:rsid w:val="14624563"/>
    <w:rsid w:val="166434CE"/>
    <w:rsid w:val="16A51F0E"/>
    <w:rsid w:val="16B92DCA"/>
    <w:rsid w:val="17005007"/>
    <w:rsid w:val="17136C85"/>
    <w:rsid w:val="17BDA933"/>
    <w:rsid w:val="17DE325C"/>
    <w:rsid w:val="17FEF489"/>
    <w:rsid w:val="18260482"/>
    <w:rsid w:val="183448CD"/>
    <w:rsid w:val="194D7F3B"/>
    <w:rsid w:val="1955071F"/>
    <w:rsid w:val="1A11D9FF"/>
    <w:rsid w:val="1A1D494C"/>
    <w:rsid w:val="1A22DC3B"/>
    <w:rsid w:val="1B3F17CD"/>
    <w:rsid w:val="1BAA40D1"/>
    <w:rsid w:val="1C8EAE60"/>
    <w:rsid w:val="1D433356"/>
    <w:rsid w:val="1DC95936"/>
    <w:rsid w:val="1DD21E12"/>
    <w:rsid w:val="1E8A6D66"/>
    <w:rsid w:val="1F4F57A9"/>
    <w:rsid w:val="1F8FB879"/>
    <w:rsid w:val="1FF250BB"/>
    <w:rsid w:val="20DDA4D6"/>
    <w:rsid w:val="20F532E5"/>
    <w:rsid w:val="216AC723"/>
    <w:rsid w:val="223CD3E5"/>
    <w:rsid w:val="226BB8AE"/>
    <w:rsid w:val="233301BC"/>
    <w:rsid w:val="240735C5"/>
    <w:rsid w:val="2416AAC9"/>
    <w:rsid w:val="250C7510"/>
    <w:rsid w:val="25174753"/>
    <w:rsid w:val="25441236"/>
    <w:rsid w:val="260C4C1F"/>
    <w:rsid w:val="270B08DD"/>
    <w:rsid w:val="27121F09"/>
    <w:rsid w:val="27B60055"/>
    <w:rsid w:val="27DEE395"/>
    <w:rsid w:val="2818C763"/>
    <w:rsid w:val="2841ACDD"/>
    <w:rsid w:val="284415D2"/>
    <w:rsid w:val="288C0764"/>
    <w:rsid w:val="28D16DE2"/>
    <w:rsid w:val="297540B5"/>
    <w:rsid w:val="2976646F"/>
    <w:rsid w:val="2AD651B4"/>
    <w:rsid w:val="2BB44179"/>
    <w:rsid w:val="2BBB9D33"/>
    <w:rsid w:val="2BCE62CB"/>
    <w:rsid w:val="2BE851B1"/>
    <w:rsid w:val="2C700ABF"/>
    <w:rsid w:val="2C9A83E7"/>
    <w:rsid w:val="2CB6EC08"/>
    <w:rsid w:val="2D0022B8"/>
    <w:rsid w:val="2D4B1682"/>
    <w:rsid w:val="2DAA1593"/>
    <w:rsid w:val="2E3C2B95"/>
    <w:rsid w:val="2E45EA5F"/>
    <w:rsid w:val="2E4B5C15"/>
    <w:rsid w:val="2E581B20"/>
    <w:rsid w:val="2E8267F3"/>
    <w:rsid w:val="2EB7B63B"/>
    <w:rsid w:val="2F852C02"/>
    <w:rsid w:val="2FB968BB"/>
    <w:rsid w:val="2FBFC5C7"/>
    <w:rsid w:val="31867EB9"/>
    <w:rsid w:val="31F44264"/>
    <w:rsid w:val="321DF696"/>
    <w:rsid w:val="329BDDB2"/>
    <w:rsid w:val="32E5A537"/>
    <w:rsid w:val="339E4AC6"/>
    <w:rsid w:val="3430126B"/>
    <w:rsid w:val="349E8CF5"/>
    <w:rsid w:val="34A8BA61"/>
    <w:rsid w:val="3532C049"/>
    <w:rsid w:val="35975536"/>
    <w:rsid w:val="35D2DEAD"/>
    <w:rsid w:val="365CF888"/>
    <w:rsid w:val="37CDCAE7"/>
    <w:rsid w:val="37EE98DA"/>
    <w:rsid w:val="384E8287"/>
    <w:rsid w:val="38908BCB"/>
    <w:rsid w:val="39460FDB"/>
    <w:rsid w:val="39EB83DF"/>
    <w:rsid w:val="3A562AF2"/>
    <w:rsid w:val="3AF2480D"/>
    <w:rsid w:val="3B0C591E"/>
    <w:rsid w:val="3B403D0D"/>
    <w:rsid w:val="3B41CFE3"/>
    <w:rsid w:val="3BF0D3D6"/>
    <w:rsid w:val="3CAC4EB8"/>
    <w:rsid w:val="3DE16B3C"/>
    <w:rsid w:val="3EE9AAD0"/>
    <w:rsid w:val="3F5790A3"/>
    <w:rsid w:val="401048E0"/>
    <w:rsid w:val="40318266"/>
    <w:rsid w:val="41BA038B"/>
    <w:rsid w:val="41DA46FE"/>
    <w:rsid w:val="41DF0CC4"/>
    <w:rsid w:val="420F5C1C"/>
    <w:rsid w:val="421C4D11"/>
    <w:rsid w:val="432B557A"/>
    <w:rsid w:val="43C229CB"/>
    <w:rsid w:val="43DF44CE"/>
    <w:rsid w:val="44296808"/>
    <w:rsid w:val="44CE17F3"/>
    <w:rsid w:val="45E66A39"/>
    <w:rsid w:val="45EA41A1"/>
    <w:rsid w:val="45EC5F3C"/>
    <w:rsid w:val="4607FC52"/>
    <w:rsid w:val="46F71202"/>
    <w:rsid w:val="4757305A"/>
    <w:rsid w:val="475BE144"/>
    <w:rsid w:val="47CB9601"/>
    <w:rsid w:val="4809F7C7"/>
    <w:rsid w:val="48315DE0"/>
    <w:rsid w:val="49571741"/>
    <w:rsid w:val="4BA3344D"/>
    <w:rsid w:val="4BF292A7"/>
    <w:rsid w:val="4C520BEC"/>
    <w:rsid w:val="4D381442"/>
    <w:rsid w:val="4D78F1AD"/>
    <w:rsid w:val="4DC20287"/>
    <w:rsid w:val="4E4E5F42"/>
    <w:rsid w:val="4E504FB9"/>
    <w:rsid w:val="4F988551"/>
    <w:rsid w:val="5003BFA4"/>
    <w:rsid w:val="500CB996"/>
    <w:rsid w:val="522A7230"/>
    <w:rsid w:val="5249CCD4"/>
    <w:rsid w:val="52596737"/>
    <w:rsid w:val="52F41EEE"/>
    <w:rsid w:val="532194B5"/>
    <w:rsid w:val="53815D3B"/>
    <w:rsid w:val="54A905AD"/>
    <w:rsid w:val="54F90340"/>
    <w:rsid w:val="54FD7AF1"/>
    <w:rsid w:val="554BC8B8"/>
    <w:rsid w:val="55BF6BF4"/>
    <w:rsid w:val="55C8CACF"/>
    <w:rsid w:val="5621FFAC"/>
    <w:rsid w:val="56A9AFAF"/>
    <w:rsid w:val="572F62E2"/>
    <w:rsid w:val="5757F0C1"/>
    <w:rsid w:val="57D0A727"/>
    <w:rsid w:val="58F4878B"/>
    <w:rsid w:val="596E5FE9"/>
    <w:rsid w:val="5A05F17E"/>
    <w:rsid w:val="5A3231E8"/>
    <w:rsid w:val="5A7F7E5B"/>
    <w:rsid w:val="5B40AEE1"/>
    <w:rsid w:val="5B5D0DA6"/>
    <w:rsid w:val="5B71A965"/>
    <w:rsid w:val="5BBC86E8"/>
    <w:rsid w:val="5CB34A40"/>
    <w:rsid w:val="5D1D53D7"/>
    <w:rsid w:val="5D542C59"/>
    <w:rsid w:val="5E2E0C44"/>
    <w:rsid w:val="5E6F7284"/>
    <w:rsid w:val="5E7B928D"/>
    <w:rsid w:val="5F24161E"/>
    <w:rsid w:val="5F627721"/>
    <w:rsid w:val="5F70B03B"/>
    <w:rsid w:val="5F80A833"/>
    <w:rsid w:val="5FAD2E5E"/>
    <w:rsid w:val="5FB0F241"/>
    <w:rsid w:val="60029A65"/>
    <w:rsid w:val="60B4AAAA"/>
    <w:rsid w:val="611820EB"/>
    <w:rsid w:val="615393ED"/>
    <w:rsid w:val="6240DA3A"/>
    <w:rsid w:val="625BBD12"/>
    <w:rsid w:val="631E338F"/>
    <w:rsid w:val="6391E1EA"/>
    <w:rsid w:val="639B6907"/>
    <w:rsid w:val="641F1850"/>
    <w:rsid w:val="644D2F13"/>
    <w:rsid w:val="6476E7A1"/>
    <w:rsid w:val="649F0E92"/>
    <w:rsid w:val="65DFB3FF"/>
    <w:rsid w:val="66A78CC6"/>
    <w:rsid w:val="678CDBA8"/>
    <w:rsid w:val="679506C3"/>
    <w:rsid w:val="6868956C"/>
    <w:rsid w:val="689EAF11"/>
    <w:rsid w:val="68A3F663"/>
    <w:rsid w:val="68BC093F"/>
    <w:rsid w:val="68E0FFF3"/>
    <w:rsid w:val="693CC15F"/>
    <w:rsid w:val="6966CB00"/>
    <w:rsid w:val="69759772"/>
    <w:rsid w:val="69844646"/>
    <w:rsid w:val="69A9CCB8"/>
    <w:rsid w:val="6A43F1E1"/>
    <w:rsid w:val="6A859EE0"/>
    <w:rsid w:val="6B6536D4"/>
    <w:rsid w:val="6B6DAB03"/>
    <w:rsid w:val="6BB42867"/>
    <w:rsid w:val="6BC1C96A"/>
    <w:rsid w:val="6BD808D0"/>
    <w:rsid w:val="6C5BEFDF"/>
    <w:rsid w:val="6C9BD354"/>
    <w:rsid w:val="6D1BDA62"/>
    <w:rsid w:val="6DB0D785"/>
    <w:rsid w:val="6DC6DF3D"/>
    <w:rsid w:val="6DE747AC"/>
    <w:rsid w:val="6E043327"/>
    <w:rsid w:val="6E910FA9"/>
    <w:rsid w:val="6F78DE84"/>
    <w:rsid w:val="70789494"/>
    <w:rsid w:val="70A7BA80"/>
    <w:rsid w:val="70CF2138"/>
    <w:rsid w:val="71122918"/>
    <w:rsid w:val="71306B16"/>
    <w:rsid w:val="72058B55"/>
    <w:rsid w:val="72580F6A"/>
    <w:rsid w:val="72B2589A"/>
    <w:rsid w:val="731FAC35"/>
    <w:rsid w:val="73AEDFA2"/>
    <w:rsid w:val="73EB2F25"/>
    <w:rsid w:val="74648B3F"/>
    <w:rsid w:val="74CBF2D9"/>
    <w:rsid w:val="74F6349A"/>
    <w:rsid w:val="7573CE71"/>
    <w:rsid w:val="75EA9181"/>
    <w:rsid w:val="760B9150"/>
    <w:rsid w:val="7634C986"/>
    <w:rsid w:val="7676FFB7"/>
    <w:rsid w:val="76DA17E4"/>
    <w:rsid w:val="7719EE07"/>
    <w:rsid w:val="77ECE462"/>
    <w:rsid w:val="77FE0DC6"/>
    <w:rsid w:val="7832ED37"/>
    <w:rsid w:val="78443A32"/>
    <w:rsid w:val="78BAF2B8"/>
    <w:rsid w:val="78D776CB"/>
    <w:rsid w:val="78FEBAB7"/>
    <w:rsid w:val="79134C06"/>
    <w:rsid w:val="79E77B0C"/>
    <w:rsid w:val="7A501B62"/>
    <w:rsid w:val="7B4FC83E"/>
    <w:rsid w:val="7B88AD16"/>
    <w:rsid w:val="7B97DC91"/>
    <w:rsid w:val="7B985048"/>
    <w:rsid w:val="7CBA553A"/>
    <w:rsid w:val="7D5AA04B"/>
    <w:rsid w:val="7E36DDD2"/>
    <w:rsid w:val="7ED00F19"/>
    <w:rsid w:val="7F1A7B93"/>
    <w:rsid w:val="7F4226B9"/>
    <w:rsid w:val="7F54A035"/>
    <w:rsid w:val="7F774F69"/>
    <w:rsid w:val="7FB4AE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8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tabs>
        <w:tab w:val="num" w:pos="1134"/>
      </w:tabs>
      <w:spacing w:before="0"/>
      <w:ind w:left="1134" w:hanging="567"/>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numPr>
        <w:ilvl w:val="2"/>
        <w:numId w:val="39"/>
      </w:numPr>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b + line,b1,level 1"/>
    <w:basedOn w:val="Normal"/>
    <w:link w:val="BulletChar"/>
    <w:qFormat/>
    <w:rsid w:val="008043EA"/>
    <w:pPr>
      <w:numPr>
        <w:numId w:val="38"/>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38"/>
      </w:numPr>
      <w:spacing w:before="0"/>
    </w:pPr>
  </w:style>
  <w:style w:type="paragraph" w:customStyle="1" w:styleId="DoubleDot">
    <w:name w:val="Double Dot"/>
    <w:basedOn w:val="Normal"/>
    <w:link w:val="DoubleDotChar"/>
    <w:qFormat/>
    <w:rsid w:val="008043EA"/>
    <w:pPr>
      <w:numPr>
        <w:ilvl w:val="2"/>
        <w:numId w:val="3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qFormat/>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Ref,de nota al pie"/>
    <w:basedOn w:val="DefaultParagraphFont"/>
    <w:uiPriority w:val="99"/>
    <w:qFormat/>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761E3C"/>
    <w:rPr>
      <w:sz w:val="16"/>
      <w:szCs w:val="16"/>
    </w:rPr>
  </w:style>
  <w:style w:type="paragraph" w:styleId="CommentText">
    <w:name w:val="annotation text"/>
    <w:basedOn w:val="Normal"/>
    <w:link w:val="CommentTextChar"/>
    <w:uiPriority w:val="99"/>
    <w:unhideWhenUsed/>
    <w:rsid w:val="00761E3C"/>
    <w:rPr>
      <w:sz w:val="20"/>
    </w:rPr>
  </w:style>
  <w:style w:type="character" w:customStyle="1" w:styleId="CommentTextChar">
    <w:name w:val="Comment Text Char"/>
    <w:basedOn w:val="DefaultParagraphFont"/>
    <w:link w:val="CommentText"/>
    <w:uiPriority w:val="99"/>
    <w:rsid w:val="00761E3C"/>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1E3C"/>
    <w:rPr>
      <w:b/>
      <w:bCs/>
    </w:rPr>
  </w:style>
  <w:style w:type="character" w:customStyle="1" w:styleId="CommentSubjectChar">
    <w:name w:val="Comment Subject Char"/>
    <w:basedOn w:val="CommentTextChar"/>
    <w:link w:val="CommentSubject"/>
    <w:uiPriority w:val="99"/>
    <w:semiHidden/>
    <w:rsid w:val="00761E3C"/>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7A1329"/>
    <w:pPr>
      <w:spacing w:before="0" w:after="160" w:line="252" w:lineRule="auto"/>
      <w:ind w:left="720"/>
      <w:contextualSpacing/>
    </w:pPr>
    <w:rPr>
      <w:rFonts w:ascii="Calibri" w:eastAsiaTheme="minorHAnsi" w:hAnsi="Calibri" w:cs="Calibri"/>
      <w:szCs w:val="22"/>
      <w:lang w:eastAsia="en-US"/>
    </w:rPr>
  </w:style>
  <w:style w:type="character" w:styleId="FollowedHyperlink">
    <w:name w:val="FollowedHyperlink"/>
    <w:basedOn w:val="DefaultParagraphFont"/>
    <w:uiPriority w:val="99"/>
    <w:semiHidden/>
    <w:unhideWhenUsed/>
    <w:rsid w:val="009A7E49"/>
    <w:rPr>
      <w:color w:val="844D9E" w:themeColor="followedHyperlink"/>
      <w:u w:val="single"/>
    </w:rPr>
  </w:style>
  <w:style w:type="table" w:styleId="GridTable5Dark-Accent5">
    <w:name w:val="Grid Table 5 Dark Accent 5"/>
    <w:basedOn w:val="TableNormal"/>
    <w:uiPriority w:val="50"/>
    <w:rsid w:val="00DC14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1Light-Accent1">
    <w:name w:val="Grid Table 1 Light Accent 1"/>
    <w:basedOn w:val="TableNormal"/>
    <w:uiPriority w:val="46"/>
    <w:rsid w:val="0031362C"/>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31362C"/>
    <w:pPr>
      <w:spacing w:after="0" w:line="240" w:lineRule="auto"/>
    </w:pPr>
    <w:tblPr>
      <w:tblStyleRowBandSize w:val="1"/>
      <w:tblStyleColBandSize w:val="1"/>
      <w:tblBorders>
        <w:top w:val="single" w:sz="2" w:space="0" w:color="BCD2F6" w:themeColor="accent5" w:themeTint="99"/>
        <w:bottom w:val="single" w:sz="2" w:space="0" w:color="BCD2F6" w:themeColor="accent5" w:themeTint="99"/>
        <w:insideH w:val="single" w:sz="2" w:space="0" w:color="BCD2F6" w:themeColor="accent5" w:themeTint="99"/>
        <w:insideV w:val="single" w:sz="2" w:space="0" w:color="BCD2F6" w:themeColor="accent5" w:themeTint="99"/>
      </w:tblBorders>
    </w:tblPr>
    <w:tblStylePr w:type="firstRow">
      <w:rPr>
        <w:b/>
        <w:bCs/>
      </w:rPr>
      <w:tblPr/>
      <w:tcPr>
        <w:tcBorders>
          <w:top w:val="nil"/>
          <w:bottom w:val="single" w:sz="12" w:space="0" w:color="BCD2F6" w:themeColor="accent5" w:themeTint="99"/>
          <w:insideH w:val="nil"/>
          <w:insideV w:val="nil"/>
        </w:tcBorders>
        <w:shd w:val="clear" w:color="auto" w:fill="FFFFFF" w:themeFill="background1"/>
      </w:tcPr>
    </w:tblStylePr>
    <w:tblStylePr w:type="lastRow">
      <w:rPr>
        <w:b/>
        <w:bCs/>
      </w:rPr>
      <w:tblPr/>
      <w:tcPr>
        <w:tcBorders>
          <w:top w:val="double" w:sz="2" w:space="0" w:color="BCD2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2-Accent1">
    <w:name w:val="Grid Table 2 Accent 1"/>
    <w:basedOn w:val="TableNormal"/>
    <w:uiPriority w:val="47"/>
    <w:rsid w:val="0031362C"/>
    <w:pPr>
      <w:spacing w:after="0" w:line="240" w:lineRule="auto"/>
    </w:pPr>
    <w:tblPr>
      <w:tblStyleRowBandSize w:val="1"/>
      <w:tblStyleColBandSize w:val="1"/>
      <w:tblBorders>
        <w:top w:val="single" w:sz="2" w:space="0" w:color="6B83A7" w:themeColor="accent1" w:themeTint="99"/>
        <w:bottom w:val="single" w:sz="2" w:space="0" w:color="6B83A7" w:themeColor="accent1" w:themeTint="99"/>
        <w:insideH w:val="single" w:sz="2" w:space="0" w:color="6B83A7" w:themeColor="accent1" w:themeTint="99"/>
        <w:insideV w:val="single" w:sz="2" w:space="0" w:color="6B83A7" w:themeColor="accent1" w:themeTint="99"/>
      </w:tblBorders>
    </w:tblPr>
    <w:tblStylePr w:type="firstRow">
      <w:rPr>
        <w:b/>
        <w:bCs/>
      </w:rPr>
      <w:tblPr/>
      <w:tcPr>
        <w:tcBorders>
          <w:top w:val="nil"/>
          <w:bottom w:val="single" w:sz="12" w:space="0" w:color="6B83A7" w:themeColor="accent1" w:themeTint="99"/>
          <w:insideH w:val="nil"/>
          <w:insideV w:val="nil"/>
        </w:tcBorders>
        <w:shd w:val="clear" w:color="auto" w:fill="FFFFFF" w:themeFill="background1"/>
      </w:tcPr>
    </w:tblStylePr>
    <w:tblStylePr w:type="lastRow">
      <w:rPr>
        <w:b/>
        <w:bCs/>
      </w:rPr>
      <w:tblPr/>
      <w:tcPr>
        <w:tcBorders>
          <w:top w:val="double" w:sz="2" w:space="0" w:color="6B83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paragraph" w:styleId="NormalWeb">
    <w:name w:val="Normal (Web)"/>
    <w:basedOn w:val="Normal"/>
    <w:uiPriority w:val="99"/>
    <w:semiHidden/>
    <w:unhideWhenUsed/>
    <w:rsid w:val="002A43E9"/>
    <w:pPr>
      <w:spacing w:before="100" w:beforeAutospacing="1" w:after="100" w:afterAutospacing="1"/>
    </w:pPr>
    <w:rPr>
      <w:rFonts w:ascii="Times New Roman" w:hAnsi="Times New Roman"/>
      <w:sz w:val="24"/>
      <w:szCs w:val="24"/>
    </w:rPr>
  </w:style>
  <w:style w:type="character" w:customStyle="1" w:styleId="OutlineNumbered1Char">
    <w:name w:val="Outline Numbered 1 Char"/>
    <w:basedOn w:val="BulletChar"/>
    <w:link w:val="OutlineNumbered1"/>
    <w:rsid w:val="00894EEE"/>
    <w:rPr>
      <w:rFonts w:ascii="Calibri Light" w:eastAsia="Times New Roman" w:hAnsi="Calibri Light" w:cs="Times New Roman"/>
      <w:szCs w:val="20"/>
      <w:lang w:eastAsia="en-AU"/>
    </w:rPr>
  </w:style>
  <w:style w:type="table" w:styleId="GridTable5Dark-Accent1">
    <w:name w:val="Grid Table 5 Dark Accent 1"/>
    <w:basedOn w:val="TableNormal"/>
    <w:uiPriority w:val="50"/>
    <w:rsid w:val="00894EEE"/>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A" w:themeFill="accent1"/>
      </w:tcPr>
    </w:tblStylePr>
    <w:tblStylePr w:type="band1Vert">
      <w:tblPr/>
      <w:tcPr>
        <w:shd w:val="clear" w:color="auto" w:fill="9CACC4" w:themeFill="accent1" w:themeFillTint="66"/>
      </w:tcPr>
    </w:tblStylePr>
    <w:tblStylePr w:type="band1Horz">
      <w:tblPr/>
      <w:tcPr>
        <w:shd w:val="clear" w:color="auto" w:fill="9CACC4" w:themeFill="accent1" w:themeFillTint="66"/>
      </w:tcPr>
    </w:tblStylePr>
  </w:style>
  <w:style w:type="table" w:styleId="GridTable1Light">
    <w:name w:val="Grid Table 1 Light"/>
    <w:basedOn w:val="TableNormal"/>
    <w:uiPriority w:val="46"/>
    <w:rsid w:val="003C36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91AC9"/>
    <w:pPr>
      <w:spacing w:after="0" w:line="240" w:lineRule="auto"/>
    </w:pPr>
    <w:rPr>
      <w:rFonts w:ascii="Calibri Light" w:eastAsia="Times New Roman" w:hAnsi="Calibri Light" w:cs="Times New Roman"/>
      <w:szCs w:val="20"/>
      <w:lang w:eastAsia="en-AU"/>
    </w:rPr>
  </w:style>
  <w:style w:type="table" w:styleId="PlainTable1">
    <w:name w:val="Plain Table 1"/>
    <w:basedOn w:val="TableNormal"/>
    <w:uiPriority w:val="41"/>
    <w:rsid w:val="00006C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06C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518C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518C8"/>
  </w:style>
  <w:style w:type="character" w:customStyle="1" w:styleId="eop">
    <w:name w:val="eop"/>
    <w:basedOn w:val="DefaultParagraphFont"/>
    <w:rsid w:val="00A518C8"/>
  </w:style>
  <w:style w:type="paragraph" w:customStyle="1" w:styleId="xmsonormal">
    <w:name w:val="x_msonormal"/>
    <w:basedOn w:val="Normal"/>
    <w:rsid w:val="008D047A"/>
    <w:pPr>
      <w:spacing w:before="0" w:after="0"/>
    </w:pPr>
    <w:rPr>
      <w:rFonts w:ascii="Calibri" w:eastAsiaTheme="minorHAnsi" w:hAnsi="Calibri" w:cs="Calibri"/>
      <w:szCs w:val="22"/>
    </w:rPr>
  </w:style>
  <w:style w:type="character" w:styleId="Emphasis">
    <w:name w:val="Emphasis"/>
    <w:basedOn w:val="DefaultParagraphFont"/>
    <w:uiPriority w:val="20"/>
    <w:qFormat/>
    <w:rsid w:val="008D047A"/>
    <w:rPr>
      <w:i/>
      <w:iCs/>
    </w:rPr>
  </w:style>
  <w:style w:type="character" w:styleId="Mention">
    <w:name w:val="Mention"/>
    <w:basedOn w:val="DefaultParagraphFont"/>
    <w:uiPriority w:val="99"/>
    <w:unhideWhenUsed/>
    <w:rsid w:val="00B977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6756">
      <w:bodyDiv w:val="1"/>
      <w:marLeft w:val="0"/>
      <w:marRight w:val="0"/>
      <w:marTop w:val="0"/>
      <w:marBottom w:val="0"/>
      <w:divBdr>
        <w:top w:val="none" w:sz="0" w:space="0" w:color="auto"/>
        <w:left w:val="none" w:sz="0" w:space="0" w:color="auto"/>
        <w:bottom w:val="none" w:sz="0" w:space="0" w:color="auto"/>
        <w:right w:val="none" w:sz="0" w:space="0" w:color="auto"/>
      </w:divBdr>
    </w:div>
    <w:div w:id="40176853">
      <w:bodyDiv w:val="1"/>
      <w:marLeft w:val="0"/>
      <w:marRight w:val="0"/>
      <w:marTop w:val="0"/>
      <w:marBottom w:val="0"/>
      <w:divBdr>
        <w:top w:val="none" w:sz="0" w:space="0" w:color="auto"/>
        <w:left w:val="none" w:sz="0" w:space="0" w:color="auto"/>
        <w:bottom w:val="none" w:sz="0" w:space="0" w:color="auto"/>
        <w:right w:val="none" w:sz="0" w:space="0" w:color="auto"/>
      </w:divBdr>
    </w:div>
    <w:div w:id="138575349">
      <w:bodyDiv w:val="1"/>
      <w:marLeft w:val="0"/>
      <w:marRight w:val="0"/>
      <w:marTop w:val="0"/>
      <w:marBottom w:val="0"/>
      <w:divBdr>
        <w:top w:val="none" w:sz="0" w:space="0" w:color="auto"/>
        <w:left w:val="none" w:sz="0" w:space="0" w:color="auto"/>
        <w:bottom w:val="none" w:sz="0" w:space="0" w:color="auto"/>
        <w:right w:val="none" w:sz="0" w:space="0" w:color="auto"/>
      </w:divBdr>
    </w:div>
    <w:div w:id="275525311">
      <w:bodyDiv w:val="1"/>
      <w:marLeft w:val="0"/>
      <w:marRight w:val="0"/>
      <w:marTop w:val="0"/>
      <w:marBottom w:val="0"/>
      <w:divBdr>
        <w:top w:val="none" w:sz="0" w:space="0" w:color="auto"/>
        <w:left w:val="none" w:sz="0" w:space="0" w:color="auto"/>
        <w:bottom w:val="none" w:sz="0" w:space="0" w:color="auto"/>
        <w:right w:val="none" w:sz="0" w:space="0" w:color="auto"/>
      </w:divBdr>
    </w:div>
    <w:div w:id="370348548">
      <w:bodyDiv w:val="1"/>
      <w:marLeft w:val="0"/>
      <w:marRight w:val="0"/>
      <w:marTop w:val="0"/>
      <w:marBottom w:val="0"/>
      <w:divBdr>
        <w:top w:val="none" w:sz="0" w:space="0" w:color="auto"/>
        <w:left w:val="none" w:sz="0" w:space="0" w:color="auto"/>
        <w:bottom w:val="none" w:sz="0" w:space="0" w:color="auto"/>
        <w:right w:val="none" w:sz="0" w:space="0" w:color="auto"/>
      </w:divBdr>
    </w:div>
    <w:div w:id="459346665">
      <w:bodyDiv w:val="1"/>
      <w:marLeft w:val="0"/>
      <w:marRight w:val="0"/>
      <w:marTop w:val="0"/>
      <w:marBottom w:val="0"/>
      <w:divBdr>
        <w:top w:val="none" w:sz="0" w:space="0" w:color="auto"/>
        <w:left w:val="none" w:sz="0" w:space="0" w:color="auto"/>
        <w:bottom w:val="none" w:sz="0" w:space="0" w:color="auto"/>
        <w:right w:val="none" w:sz="0" w:space="0" w:color="auto"/>
      </w:divBdr>
    </w:div>
    <w:div w:id="470832846">
      <w:bodyDiv w:val="1"/>
      <w:marLeft w:val="0"/>
      <w:marRight w:val="0"/>
      <w:marTop w:val="0"/>
      <w:marBottom w:val="0"/>
      <w:divBdr>
        <w:top w:val="none" w:sz="0" w:space="0" w:color="auto"/>
        <w:left w:val="none" w:sz="0" w:space="0" w:color="auto"/>
        <w:bottom w:val="none" w:sz="0" w:space="0" w:color="auto"/>
        <w:right w:val="none" w:sz="0" w:space="0" w:color="auto"/>
      </w:divBdr>
    </w:div>
    <w:div w:id="603422149">
      <w:bodyDiv w:val="1"/>
      <w:marLeft w:val="0"/>
      <w:marRight w:val="0"/>
      <w:marTop w:val="0"/>
      <w:marBottom w:val="0"/>
      <w:divBdr>
        <w:top w:val="none" w:sz="0" w:space="0" w:color="auto"/>
        <w:left w:val="none" w:sz="0" w:space="0" w:color="auto"/>
        <w:bottom w:val="none" w:sz="0" w:space="0" w:color="auto"/>
        <w:right w:val="none" w:sz="0" w:space="0" w:color="auto"/>
      </w:divBdr>
    </w:div>
    <w:div w:id="766653498">
      <w:bodyDiv w:val="1"/>
      <w:marLeft w:val="0"/>
      <w:marRight w:val="0"/>
      <w:marTop w:val="0"/>
      <w:marBottom w:val="0"/>
      <w:divBdr>
        <w:top w:val="none" w:sz="0" w:space="0" w:color="auto"/>
        <w:left w:val="none" w:sz="0" w:space="0" w:color="auto"/>
        <w:bottom w:val="none" w:sz="0" w:space="0" w:color="auto"/>
        <w:right w:val="none" w:sz="0" w:space="0" w:color="auto"/>
      </w:divBdr>
    </w:div>
    <w:div w:id="820658975">
      <w:bodyDiv w:val="1"/>
      <w:marLeft w:val="0"/>
      <w:marRight w:val="0"/>
      <w:marTop w:val="0"/>
      <w:marBottom w:val="0"/>
      <w:divBdr>
        <w:top w:val="none" w:sz="0" w:space="0" w:color="auto"/>
        <w:left w:val="none" w:sz="0" w:space="0" w:color="auto"/>
        <w:bottom w:val="none" w:sz="0" w:space="0" w:color="auto"/>
        <w:right w:val="none" w:sz="0" w:space="0" w:color="auto"/>
      </w:divBdr>
      <w:divsChild>
        <w:div w:id="157156497">
          <w:marLeft w:val="0"/>
          <w:marRight w:val="0"/>
          <w:marTop w:val="0"/>
          <w:marBottom w:val="0"/>
          <w:divBdr>
            <w:top w:val="none" w:sz="0" w:space="0" w:color="auto"/>
            <w:left w:val="none" w:sz="0" w:space="0" w:color="auto"/>
            <w:bottom w:val="none" w:sz="0" w:space="0" w:color="auto"/>
            <w:right w:val="none" w:sz="0" w:space="0" w:color="auto"/>
          </w:divBdr>
        </w:div>
        <w:div w:id="1041319788">
          <w:marLeft w:val="0"/>
          <w:marRight w:val="0"/>
          <w:marTop w:val="0"/>
          <w:marBottom w:val="0"/>
          <w:divBdr>
            <w:top w:val="none" w:sz="0" w:space="0" w:color="auto"/>
            <w:left w:val="none" w:sz="0" w:space="0" w:color="auto"/>
            <w:bottom w:val="none" w:sz="0" w:space="0" w:color="auto"/>
            <w:right w:val="none" w:sz="0" w:space="0" w:color="auto"/>
          </w:divBdr>
        </w:div>
      </w:divsChild>
    </w:div>
    <w:div w:id="866329279">
      <w:bodyDiv w:val="1"/>
      <w:marLeft w:val="0"/>
      <w:marRight w:val="0"/>
      <w:marTop w:val="0"/>
      <w:marBottom w:val="0"/>
      <w:divBdr>
        <w:top w:val="none" w:sz="0" w:space="0" w:color="auto"/>
        <w:left w:val="none" w:sz="0" w:space="0" w:color="auto"/>
        <w:bottom w:val="none" w:sz="0" w:space="0" w:color="auto"/>
        <w:right w:val="none" w:sz="0" w:space="0" w:color="auto"/>
      </w:divBdr>
    </w:div>
    <w:div w:id="907810695">
      <w:bodyDiv w:val="1"/>
      <w:marLeft w:val="0"/>
      <w:marRight w:val="0"/>
      <w:marTop w:val="0"/>
      <w:marBottom w:val="0"/>
      <w:divBdr>
        <w:top w:val="none" w:sz="0" w:space="0" w:color="auto"/>
        <w:left w:val="none" w:sz="0" w:space="0" w:color="auto"/>
        <w:bottom w:val="none" w:sz="0" w:space="0" w:color="auto"/>
        <w:right w:val="none" w:sz="0" w:space="0" w:color="auto"/>
      </w:divBdr>
    </w:div>
    <w:div w:id="931429618">
      <w:bodyDiv w:val="1"/>
      <w:marLeft w:val="0"/>
      <w:marRight w:val="0"/>
      <w:marTop w:val="0"/>
      <w:marBottom w:val="0"/>
      <w:divBdr>
        <w:top w:val="none" w:sz="0" w:space="0" w:color="auto"/>
        <w:left w:val="none" w:sz="0" w:space="0" w:color="auto"/>
        <w:bottom w:val="none" w:sz="0" w:space="0" w:color="auto"/>
        <w:right w:val="none" w:sz="0" w:space="0" w:color="auto"/>
      </w:divBdr>
    </w:div>
    <w:div w:id="936981303">
      <w:bodyDiv w:val="1"/>
      <w:marLeft w:val="0"/>
      <w:marRight w:val="0"/>
      <w:marTop w:val="0"/>
      <w:marBottom w:val="0"/>
      <w:divBdr>
        <w:top w:val="none" w:sz="0" w:space="0" w:color="auto"/>
        <w:left w:val="none" w:sz="0" w:space="0" w:color="auto"/>
        <w:bottom w:val="none" w:sz="0" w:space="0" w:color="auto"/>
        <w:right w:val="none" w:sz="0" w:space="0" w:color="auto"/>
      </w:divBdr>
    </w:div>
    <w:div w:id="948315122">
      <w:bodyDiv w:val="1"/>
      <w:marLeft w:val="0"/>
      <w:marRight w:val="0"/>
      <w:marTop w:val="0"/>
      <w:marBottom w:val="0"/>
      <w:divBdr>
        <w:top w:val="none" w:sz="0" w:space="0" w:color="auto"/>
        <w:left w:val="none" w:sz="0" w:space="0" w:color="auto"/>
        <w:bottom w:val="none" w:sz="0" w:space="0" w:color="auto"/>
        <w:right w:val="none" w:sz="0" w:space="0" w:color="auto"/>
      </w:divBdr>
    </w:div>
    <w:div w:id="1066075513">
      <w:bodyDiv w:val="1"/>
      <w:marLeft w:val="0"/>
      <w:marRight w:val="0"/>
      <w:marTop w:val="0"/>
      <w:marBottom w:val="0"/>
      <w:divBdr>
        <w:top w:val="none" w:sz="0" w:space="0" w:color="auto"/>
        <w:left w:val="none" w:sz="0" w:space="0" w:color="auto"/>
        <w:bottom w:val="none" w:sz="0" w:space="0" w:color="auto"/>
        <w:right w:val="none" w:sz="0" w:space="0" w:color="auto"/>
      </w:divBdr>
      <w:divsChild>
        <w:div w:id="155338685">
          <w:marLeft w:val="0"/>
          <w:marRight w:val="0"/>
          <w:marTop w:val="0"/>
          <w:marBottom w:val="0"/>
          <w:divBdr>
            <w:top w:val="none" w:sz="0" w:space="0" w:color="auto"/>
            <w:left w:val="none" w:sz="0" w:space="0" w:color="auto"/>
            <w:bottom w:val="none" w:sz="0" w:space="0" w:color="auto"/>
            <w:right w:val="none" w:sz="0" w:space="0" w:color="auto"/>
          </w:divBdr>
          <w:divsChild>
            <w:div w:id="261300013">
              <w:marLeft w:val="0"/>
              <w:marRight w:val="0"/>
              <w:marTop w:val="0"/>
              <w:marBottom w:val="0"/>
              <w:divBdr>
                <w:top w:val="none" w:sz="0" w:space="0" w:color="auto"/>
                <w:left w:val="none" w:sz="0" w:space="0" w:color="auto"/>
                <w:bottom w:val="none" w:sz="0" w:space="0" w:color="auto"/>
                <w:right w:val="none" w:sz="0" w:space="0" w:color="auto"/>
              </w:divBdr>
            </w:div>
          </w:divsChild>
        </w:div>
        <w:div w:id="198056379">
          <w:marLeft w:val="0"/>
          <w:marRight w:val="0"/>
          <w:marTop w:val="0"/>
          <w:marBottom w:val="0"/>
          <w:divBdr>
            <w:top w:val="none" w:sz="0" w:space="0" w:color="auto"/>
            <w:left w:val="none" w:sz="0" w:space="0" w:color="auto"/>
            <w:bottom w:val="none" w:sz="0" w:space="0" w:color="auto"/>
            <w:right w:val="none" w:sz="0" w:space="0" w:color="auto"/>
          </w:divBdr>
          <w:divsChild>
            <w:div w:id="2028822545">
              <w:marLeft w:val="0"/>
              <w:marRight w:val="0"/>
              <w:marTop w:val="0"/>
              <w:marBottom w:val="0"/>
              <w:divBdr>
                <w:top w:val="none" w:sz="0" w:space="0" w:color="auto"/>
                <w:left w:val="none" w:sz="0" w:space="0" w:color="auto"/>
                <w:bottom w:val="none" w:sz="0" w:space="0" w:color="auto"/>
                <w:right w:val="none" w:sz="0" w:space="0" w:color="auto"/>
              </w:divBdr>
            </w:div>
          </w:divsChild>
        </w:div>
        <w:div w:id="370082351">
          <w:marLeft w:val="0"/>
          <w:marRight w:val="0"/>
          <w:marTop w:val="0"/>
          <w:marBottom w:val="0"/>
          <w:divBdr>
            <w:top w:val="none" w:sz="0" w:space="0" w:color="auto"/>
            <w:left w:val="none" w:sz="0" w:space="0" w:color="auto"/>
            <w:bottom w:val="none" w:sz="0" w:space="0" w:color="auto"/>
            <w:right w:val="none" w:sz="0" w:space="0" w:color="auto"/>
          </w:divBdr>
          <w:divsChild>
            <w:div w:id="1517426830">
              <w:marLeft w:val="0"/>
              <w:marRight w:val="0"/>
              <w:marTop w:val="0"/>
              <w:marBottom w:val="0"/>
              <w:divBdr>
                <w:top w:val="none" w:sz="0" w:space="0" w:color="auto"/>
                <w:left w:val="none" w:sz="0" w:space="0" w:color="auto"/>
                <w:bottom w:val="none" w:sz="0" w:space="0" w:color="auto"/>
                <w:right w:val="none" w:sz="0" w:space="0" w:color="auto"/>
              </w:divBdr>
            </w:div>
          </w:divsChild>
        </w:div>
        <w:div w:id="398407392">
          <w:marLeft w:val="0"/>
          <w:marRight w:val="0"/>
          <w:marTop w:val="0"/>
          <w:marBottom w:val="0"/>
          <w:divBdr>
            <w:top w:val="none" w:sz="0" w:space="0" w:color="auto"/>
            <w:left w:val="none" w:sz="0" w:space="0" w:color="auto"/>
            <w:bottom w:val="none" w:sz="0" w:space="0" w:color="auto"/>
            <w:right w:val="none" w:sz="0" w:space="0" w:color="auto"/>
          </w:divBdr>
          <w:divsChild>
            <w:div w:id="887764346">
              <w:marLeft w:val="0"/>
              <w:marRight w:val="0"/>
              <w:marTop w:val="0"/>
              <w:marBottom w:val="0"/>
              <w:divBdr>
                <w:top w:val="none" w:sz="0" w:space="0" w:color="auto"/>
                <w:left w:val="none" w:sz="0" w:space="0" w:color="auto"/>
                <w:bottom w:val="none" w:sz="0" w:space="0" w:color="auto"/>
                <w:right w:val="none" w:sz="0" w:space="0" w:color="auto"/>
              </w:divBdr>
            </w:div>
          </w:divsChild>
        </w:div>
        <w:div w:id="484055584">
          <w:marLeft w:val="0"/>
          <w:marRight w:val="0"/>
          <w:marTop w:val="0"/>
          <w:marBottom w:val="0"/>
          <w:divBdr>
            <w:top w:val="none" w:sz="0" w:space="0" w:color="auto"/>
            <w:left w:val="none" w:sz="0" w:space="0" w:color="auto"/>
            <w:bottom w:val="none" w:sz="0" w:space="0" w:color="auto"/>
            <w:right w:val="none" w:sz="0" w:space="0" w:color="auto"/>
          </w:divBdr>
          <w:divsChild>
            <w:div w:id="1341355454">
              <w:marLeft w:val="0"/>
              <w:marRight w:val="0"/>
              <w:marTop w:val="0"/>
              <w:marBottom w:val="0"/>
              <w:divBdr>
                <w:top w:val="none" w:sz="0" w:space="0" w:color="auto"/>
                <w:left w:val="none" w:sz="0" w:space="0" w:color="auto"/>
                <w:bottom w:val="none" w:sz="0" w:space="0" w:color="auto"/>
                <w:right w:val="none" w:sz="0" w:space="0" w:color="auto"/>
              </w:divBdr>
            </w:div>
          </w:divsChild>
        </w:div>
        <w:div w:id="512299755">
          <w:marLeft w:val="0"/>
          <w:marRight w:val="0"/>
          <w:marTop w:val="0"/>
          <w:marBottom w:val="0"/>
          <w:divBdr>
            <w:top w:val="none" w:sz="0" w:space="0" w:color="auto"/>
            <w:left w:val="none" w:sz="0" w:space="0" w:color="auto"/>
            <w:bottom w:val="none" w:sz="0" w:space="0" w:color="auto"/>
            <w:right w:val="none" w:sz="0" w:space="0" w:color="auto"/>
          </w:divBdr>
          <w:divsChild>
            <w:div w:id="758408787">
              <w:marLeft w:val="0"/>
              <w:marRight w:val="0"/>
              <w:marTop w:val="0"/>
              <w:marBottom w:val="0"/>
              <w:divBdr>
                <w:top w:val="none" w:sz="0" w:space="0" w:color="auto"/>
                <w:left w:val="none" w:sz="0" w:space="0" w:color="auto"/>
                <w:bottom w:val="none" w:sz="0" w:space="0" w:color="auto"/>
                <w:right w:val="none" w:sz="0" w:space="0" w:color="auto"/>
              </w:divBdr>
            </w:div>
          </w:divsChild>
        </w:div>
        <w:div w:id="692455992">
          <w:marLeft w:val="0"/>
          <w:marRight w:val="0"/>
          <w:marTop w:val="0"/>
          <w:marBottom w:val="0"/>
          <w:divBdr>
            <w:top w:val="none" w:sz="0" w:space="0" w:color="auto"/>
            <w:left w:val="none" w:sz="0" w:space="0" w:color="auto"/>
            <w:bottom w:val="none" w:sz="0" w:space="0" w:color="auto"/>
            <w:right w:val="none" w:sz="0" w:space="0" w:color="auto"/>
          </w:divBdr>
          <w:divsChild>
            <w:div w:id="908811925">
              <w:marLeft w:val="0"/>
              <w:marRight w:val="0"/>
              <w:marTop w:val="0"/>
              <w:marBottom w:val="0"/>
              <w:divBdr>
                <w:top w:val="none" w:sz="0" w:space="0" w:color="auto"/>
                <w:left w:val="none" w:sz="0" w:space="0" w:color="auto"/>
                <w:bottom w:val="none" w:sz="0" w:space="0" w:color="auto"/>
                <w:right w:val="none" w:sz="0" w:space="0" w:color="auto"/>
              </w:divBdr>
            </w:div>
          </w:divsChild>
        </w:div>
        <w:div w:id="739794813">
          <w:marLeft w:val="0"/>
          <w:marRight w:val="0"/>
          <w:marTop w:val="0"/>
          <w:marBottom w:val="0"/>
          <w:divBdr>
            <w:top w:val="none" w:sz="0" w:space="0" w:color="auto"/>
            <w:left w:val="none" w:sz="0" w:space="0" w:color="auto"/>
            <w:bottom w:val="none" w:sz="0" w:space="0" w:color="auto"/>
            <w:right w:val="none" w:sz="0" w:space="0" w:color="auto"/>
          </w:divBdr>
          <w:divsChild>
            <w:div w:id="1964144226">
              <w:marLeft w:val="0"/>
              <w:marRight w:val="0"/>
              <w:marTop w:val="0"/>
              <w:marBottom w:val="0"/>
              <w:divBdr>
                <w:top w:val="none" w:sz="0" w:space="0" w:color="auto"/>
                <w:left w:val="none" w:sz="0" w:space="0" w:color="auto"/>
                <w:bottom w:val="none" w:sz="0" w:space="0" w:color="auto"/>
                <w:right w:val="none" w:sz="0" w:space="0" w:color="auto"/>
              </w:divBdr>
            </w:div>
          </w:divsChild>
        </w:div>
        <w:div w:id="758794292">
          <w:marLeft w:val="0"/>
          <w:marRight w:val="0"/>
          <w:marTop w:val="0"/>
          <w:marBottom w:val="0"/>
          <w:divBdr>
            <w:top w:val="none" w:sz="0" w:space="0" w:color="auto"/>
            <w:left w:val="none" w:sz="0" w:space="0" w:color="auto"/>
            <w:bottom w:val="none" w:sz="0" w:space="0" w:color="auto"/>
            <w:right w:val="none" w:sz="0" w:space="0" w:color="auto"/>
          </w:divBdr>
          <w:divsChild>
            <w:div w:id="433676489">
              <w:marLeft w:val="0"/>
              <w:marRight w:val="0"/>
              <w:marTop w:val="0"/>
              <w:marBottom w:val="0"/>
              <w:divBdr>
                <w:top w:val="none" w:sz="0" w:space="0" w:color="auto"/>
                <w:left w:val="none" w:sz="0" w:space="0" w:color="auto"/>
                <w:bottom w:val="none" w:sz="0" w:space="0" w:color="auto"/>
                <w:right w:val="none" w:sz="0" w:space="0" w:color="auto"/>
              </w:divBdr>
            </w:div>
          </w:divsChild>
        </w:div>
        <w:div w:id="808323714">
          <w:marLeft w:val="0"/>
          <w:marRight w:val="0"/>
          <w:marTop w:val="0"/>
          <w:marBottom w:val="0"/>
          <w:divBdr>
            <w:top w:val="none" w:sz="0" w:space="0" w:color="auto"/>
            <w:left w:val="none" w:sz="0" w:space="0" w:color="auto"/>
            <w:bottom w:val="none" w:sz="0" w:space="0" w:color="auto"/>
            <w:right w:val="none" w:sz="0" w:space="0" w:color="auto"/>
          </w:divBdr>
          <w:divsChild>
            <w:div w:id="917711429">
              <w:marLeft w:val="0"/>
              <w:marRight w:val="0"/>
              <w:marTop w:val="0"/>
              <w:marBottom w:val="0"/>
              <w:divBdr>
                <w:top w:val="none" w:sz="0" w:space="0" w:color="auto"/>
                <w:left w:val="none" w:sz="0" w:space="0" w:color="auto"/>
                <w:bottom w:val="none" w:sz="0" w:space="0" w:color="auto"/>
                <w:right w:val="none" w:sz="0" w:space="0" w:color="auto"/>
              </w:divBdr>
            </w:div>
          </w:divsChild>
        </w:div>
        <w:div w:id="840051717">
          <w:marLeft w:val="0"/>
          <w:marRight w:val="0"/>
          <w:marTop w:val="0"/>
          <w:marBottom w:val="0"/>
          <w:divBdr>
            <w:top w:val="none" w:sz="0" w:space="0" w:color="auto"/>
            <w:left w:val="none" w:sz="0" w:space="0" w:color="auto"/>
            <w:bottom w:val="none" w:sz="0" w:space="0" w:color="auto"/>
            <w:right w:val="none" w:sz="0" w:space="0" w:color="auto"/>
          </w:divBdr>
          <w:divsChild>
            <w:div w:id="1077357889">
              <w:marLeft w:val="0"/>
              <w:marRight w:val="0"/>
              <w:marTop w:val="0"/>
              <w:marBottom w:val="0"/>
              <w:divBdr>
                <w:top w:val="none" w:sz="0" w:space="0" w:color="auto"/>
                <w:left w:val="none" w:sz="0" w:space="0" w:color="auto"/>
                <w:bottom w:val="none" w:sz="0" w:space="0" w:color="auto"/>
                <w:right w:val="none" w:sz="0" w:space="0" w:color="auto"/>
              </w:divBdr>
            </w:div>
          </w:divsChild>
        </w:div>
        <w:div w:id="853497400">
          <w:marLeft w:val="0"/>
          <w:marRight w:val="0"/>
          <w:marTop w:val="0"/>
          <w:marBottom w:val="0"/>
          <w:divBdr>
            <w:top w:val="none" w:sz="0" w:space="0" w:color="auto"/>
            <w:left w:val="none" w:sz="0" w:space="0" w:color="auto"/>
            <w:bottom w:val="none" w:sz="0" w:space="0" w:color="auto"/>
            <w:right w:val="none" w:sz="0" w:space="0" w:color="auto"/>
          </w:divBdr>
          <w:divsChild>
            <w:div w:id="1272668608">
              <w:marLeft w:val="0"/>
              <w:marRight w:val="0"/>
              <w:marTop w:val="0"/>
              <w:marBottom w:val="0"/>
              <w:divBdr>
                <w:top w:val="none" w:sz="0" w:space="0" w:color="auto"/>
                <w:left w:val="none" w:sz="0" w:space="0" w:color="auto"/>
                <w:bottom w:val="none" w:sz="0" w:space="0" w:color="auto"/>
                <w:right w:val="none" w:sz="0" w:space="0" w:color="auto"/>
              </w:divBdr>
            </w:div>
          </w:divsChild>
        </w:div>
        <w:div w:id="1034119387">
          <w:marLeft w:val="0"/>
          <w:marRight w:val="0"/>
          <w:marTop w:val="0"/>
          <w:marBottom w:val="0"/>
          <w:divBdr>
            <w:top w:val="none" w:sz="0" w:space="0" w:color="auto"/>
            <w:left w:val="none" w:sz="0" w:space="0" w:color="auto"/>
            <w:bottom w:val="none" w:sz="0" w:space="0" w:color="auto"/>
            <w:right w:val="none" w:sz="0" w:space="0" w:color="auto"/>
          </w:divBdr>
          <w:divsChild>
            <w:div w:id="1345329469">
              <w:marLeft w:val="0"/>
              <w:marRight w:val="0"/>
              <w:marTop w:val="0"/>
              <w:marBottom w:val="0"/>
              <w:divBdr>
                <w:top w:val="none" w:sz="0" w:space="0" w:color="auto"/>
                <w:left w:val="none" w:sz="0" w:space="0" w:color="auto"/>
                <w:bottom w:val="none" w:sz="0" w:space="0" w:color="auto"/>
                <w:right w:val="none" w:sz="0" w:space="0" w:color="auto"/>
              </w:divBdr>
            </w:div>
          </w:divsChild>
        </w:div>
        <w:div w:id="1081558603">
          <w:marLeft w:val="0"/>
          <w:marRight w:val="0"/>
          <w:marTop w:val="0"/>
          <w:marBottom w:val="0"/>
          <w:divBdr>
            <w:top w:val="none" w:sz="0" w:space="0" w:color="auto"/>
            <w:left w:val="none" w:sz="0" w:space="0" w:color="auto"/>
            <w:bottom w:val="none" w:sz="0" w:space="0" w:color="auto"/>
            <w:right w:val="none" w:sz="0" w:space="0" w:color="auto"/>
          </w:divBdr>
          <w:divsChild>
            <w:div w:id="1810898531">
              <w:marLeft w:val="0"/>
              <w:marRight w:val="0"/>
              <w:marTop w:val="0"/>
              <w:marBottom w:val="0"/>
              <w:divBdr>
                <w:top w:val="none" w:sz="0" w:space="0" w:color="auto"/>
                <w:left w:val="none" w:sz="0" w:space="0" w:color="auto"/>
                <w:bottom w:val="none" w:sz="0" w:space="0" w:color="auto"/>
                <w:right w:val="none" w:sz="0" w:space="0" w:color="auto"/>
              </w:divBdr>
            </w:div>
          </w:divsChild>
        </w:div>
        <w:div w:id="1089349197">
          <w:marLeft w:val="0"/>
          <w:marRight w:val="0"/>
          <w:marTop w:val="0"/>
          <w:marBottom w:val="0"/>
          <w:divBdr>
            <w:top w:val="none" w:sz="0" w:space="0" w:color="auto"/>
            <w:left w:val="none" w:sz="0" w:space="0" w:color="auto"/>
            <w:bottom w:val="none" w:sz="0" w:space="0" w:color="auto"/>
            <w:right w:val="none" w:sz="0" w:space="0" w:color="auto"/>
          </w:divBdr>
          <w:divsChild>
            <w:div w:id="422263907">
              <w:marLeft w:val="0"/>
              <w:marRight w:val="0"/>
              <w:marTop w:val="0"/>
              <w:marBottom w:val="0"/>
              <w:divBdr>
                <w:top w:val="none" w:sz="0" w:space="0" w:color="auto"/>
                <w:left w:val="none" w:sz="0" w:space="0" w:color="auto"/>
                <w:bottom w:val="none" w:sz="0" w:space="0" w:color="auto"/>
                <w:right w:val="none" w:sz="0" w:space="0" w:color="auto"/>
              </w:divBdr>
            </w:div>
          </w:divsChild>
        </w:div>
        <w:div w:id="1095326799">
          <w:marLeft w:val="0"/>
          <w:marRight w:val="0"/>
          <w:marTop w:val="0"/>
          <w:marBottom w:val="0"/>
          <w:divBdr>
            <w:top w:val="none" w:sz="0" w:space="0" w:color="auto"/>
            <w:left w:val="none" w:sz="0" w:space="0" w:color="auto"/>
            <w:bottom w:val="none" w:sz="0" w:space="0" w:color="auto"/>
            <w:right w:val="none" w:sz="0" w:space="0" w:color="auto"/>
          </w:divBdr>
          <w:divsChild>
            <w:div w:id="1960530511">
              <w:marLeft w:val="0"/>
              <w:marRight w:val="0"/>
              <w:marTop w:val="0"/>
              <w:marBottom w:val="0"/>
              <w:divBdr>
                <w:top w:val="none" w:sz="0" w:space="0" w:color="auto"/>
                <w:left w:val="none" w:sz="0" w:space="0" w:color="auto"/>
                <w:bottom w:val="none" w:sz="0" w:space="0" w:color="auto"/>
                <w:right w:val="none" w:sz="0" w:space="0" w:color="auto"/>
              </w:divBdr>
            </w:div>
          </w:divsChild>
        </w:div>
        <w:div w:id="1192769642">
          <w:marLeft w:val="0"/>
          <w:marRight w:val="0"/>
          <w:marTop w:val="0"/>
          <w:marBottom w:val="0"/>
          <w:divBdr>
            <w:top w:val="none" w:sz="0" w:space="0" w:color="auto"/>
            <w:left w:val="none" w:sz="0" w:space="0" w:color="auto"/>
            <w:bottom w:val="none" w:sz="0" w:space="0" w:color="auto"/>
            <w:right w:val="none" w:sz="0" w:space="0" w:color="auto"/>
          </w:divBdr>
          <w:divsChild>
            <w:div w:id="1438407688">
              <w:marLeft w:val="0"/>
              <w:marRight w:val="0"/>
              <w:marTop w:val="0"/>
              <w:marBottom w:val="0"/>
              <w:divBdr>
                <w:top w:val="none" w:sz="0" w:space="0" w:color="auto"/>
                <w:left w:val="none" w:sz="0" w:space="0" w:color="auto"/>
                <w:bottom w:val="none" w:sz="0" w:space="0" w:color="auto"/>
                <w:right w:val="none" w:sz="0" w:space="0" w:color="auto"/>
              </w:divBdr>
            </w:div>
          </w:divsChild>
        </w:div>
        <w:div w:id="1195535972">
          <w:marLeft w:val="0"/>
          <w:marRight w:val="0"/>
          <w:marTop w:val="0"/>
          <w:marBottom w:val="0"/>
          <w:divBdr>
            <w:top w:val="none" w:sz="0" w:space="0" w:color="auto"/>
            <w:left w:val="none" w:sz="0" w:space="0" w:color="auto"/>
            <w:bottom w:val="none" w:sz="0" w:space="0" w:color="auto"/>
            <w:right w:val="none" w:sz="0" w:space="0" w:color="auto"/>
          </w:divBdr>
          <w:divsChild>
            <w:div w:id="1413552535">
              <w:marLeft w:val="0"/>
              <w:marRight w:val="0"/>
              <w:marTop w:val="0"/>
              <w:marBottom w:val="0"/>
              <w:divBdr>
                <w:top w:val="none" w:sz="0" w:space="0" w:color="auto"/>
                <w:left w:val="none" w:sz="0" w:space="0" w:color="auto"/>
                <w:bottom w:val="none" w:sz="0" w:space="0" w:color="auto"/>
                <w:right w:val="none" w:sz="0" w:space="0" w:color="auto"/>
              </w:divBdr>
            </w:div>
          </w:divsChild>
        </w:div>
        <w:div w:id="1338070554">
          <w:marLeft w:val="0"/>
          <w:marRight w:val="0"/>
          <w:marTop w:val="0"/>
          <w:marBottom w:val="0"/>
          <w:divBdr>
            <w:top w:val="none" w:sz="0" w:space="0" w:color="auto"/>
            <w:left w:val="none" w:sz="0" w:space="0" w:color="auto"/>
            <w:bottom w:val="none" w:sz="0" w:space="0" w:color="auto"/>
            <w:right w:val="none" w:sz="0" w:space="0" w:color="auto"/>
          </w:divBdr>
          <w:divsChild>
            <w:div w:id="263265467">
              <w:marLeft w:val="0"/>
              <w:marRight w:val="0"/>
              <w:marTop w:val="0"/>
              <w:marBottom w:val="0"/>
              <w:divBdr>
                <w:top w:val="none" w:sz="0" w:space="0" w:color="auto"/>
                <w:left w:val="none" w:sz="0" w:space="0" w:color="auto"/>
                <w:bottom w:val="none" w:sz="0" w:space="0" w:color="auto"/>
                <w:right w:val="none" w:sz="0" w:space="0" w:color="auto"/>
              </w:divBdr>
            </w:div>
          </w:divsChild>
        </w:div>
        <w:div w:id="1340498673">
          <w:marLeft w:val="0"/>
          <w:marRight w:val="0"/>
          <w:marTop w:val="0"/>
          <w:marBottom w:val="0"/>
          <w:divBdr>
            <w:top w:val="none" w:sz="0" w:space="0" w:color="auto"/>
            <w:left w:val="none" w:sz="0" w:space="0" w:color="auto"/>
            <w:bottom w:val="none" w:sz="0" w:space="0" w:color="auto"/>
            <w:right w:val="none" w:sz="0" w:space="0" w:color="auto"/>
          </w:divBdr>
          <w:divsChild>
            <w:div w:id="1161771805">
              <w:marLeft w:val="0"/>
              <w:marRight w:val="0"/>
              <w:marTop w:val="0"/>
              <w:marBottom w:val="0"/>
              <w:divBdr>
                <w:top w:val="none" w:sz="0" w:space="0" w:color="auto"/>
                <w:left w:val="none" w:sz="0" w:space="0" w:color="auto"/>
                <w:bottom w:val="none" w:sz="0" w:space="0" w:color="auto"/>
                <w:right w:val="none" w:sz="0" w:space="0" w:color="auto"/>
              </w:divBdr>
            </w:div>
          </w:divsChild>
        </w:div>
        <w:div w:id="1357925485">
          <w:marLeft w:val="0"/>
          <w:marRight w:val="0"/>
          <w:marTop w:val="0"/>
          <w:marBottom w:val="0"/>
          <w:divBdr>
            <w:top w:val="none" w:sz="0" w:space="0" w:color="auto"/>
            <w:left w:val="none" w:sz="0" w:space="0" w:color="auto"/>
            <w:bottom w:val="none" w:sz="0" w:space="0" w:color="auto"/>
            <w:right w:val="none" w:sz="0" w:space="0" w:color="auto"/>
          </w:divBdr>
          <w:divsChild>
            <w:div w:id="676618509">
              <w:marLeft w:val="0"/>
              <w:marRight w:val="0"/>
              <w:marTop w:val="0"/>
              <w:marBottom w:val="0"/>
              <w:divBdr>
                <w:top w:val="none" w:sz="0" w:space="0" w:color="auto"/>
                <w:left w:val="none" w:sz="0" w:space="0" w:color="auto"/>
                <w:bottom w:val="none" w:sz="0" w:space="0" w:color="auto"/>
                <w:right w:val="none" w:sz="0" w:space="0" w:color="auto"/>
              </w:divBdr>
            </w:div>
          </w:divsChild>
        </w:div>
        <w:div w:id="1455633301">
          <w:marLeft w:val="0"/>
          <w:marRight w:val="0"/>
          <w:marTop w:val="0"/>
          <w:marBottom w:val="0"/>
          <w:divBdr>
            <w:top w:val="none" w:sz="0" w:space="0" w:color="auto"/>
            <w:left w:val="none" w:sz="0" w:space="0" w:color="auto"/>
            <w:bottom w:val="none" w:sz="0" w:space="0" w:color="auto"/>
            <w:right w:val="none" w:sz="0" w:space="0" w:color="auto"/>
          </w:divBdr>
          <w:divsChild>
            <w:div w:id="1374111925">
              <w:marLeft w:val="0"/>
              <w:marRight w:val="0"/>
              <w:marTop w:val="0"/>
              <w:marBottom w:val="0"/>
              <w:divBdr>
                <w:top w:val="none" w:sz="0" w:space="0" w:color="auto"/>
                <w:left w:val="none" w:sz="0" w:space="0" w:color="auto"/>
                <w:bottom w:val="none" w:sz="0" w:space="0" w:color="auto"/>
                <w:right w:val="none" w:sz="0" w:space="0" w:color="auto"/>
              </w:divBdr>
            </w:div>
          </w:divsChild>
        </w:div>
        <w:div w:id="1490755956">
          <w:marLeft w:val="0"/>
          <w:marRight w:val="0"/>
          <w:marTop w:val="0"/>
          <w:marBottom w:val="0"/>
          <w:divBdr>
            <w:top w:val="none" w:sz="0" w:space="0" w:color="auto"/>
            <w:left w:val="none" w:sz="0" w:space="0" w:color="auto"/>
            <w:bottom w:val="none" w:sz="0" w:space="0" w:color="auto"/>
            <w:right w:val="none" w:sz="0" w:space="0" w:color="auto"/>
          </w:divBdr>
          <w:divsChild>
            <w:div w:id="1518697069">
              <w:marLeft w:val="0"/>
              <w:marRight w:val="0"/>
              <w:marTop w:val="0"/>
              <w:marBottom w:val="0"/>
              <w:divBdr>
                <w:top w:val="none" w:sz="0" w:space="0" w:color="auto"/>
                <w:left w:val="none" w:sz="0" w:space="0" w:color="auto"/>
                <w:bottom w:val="none" w:sz="0" w:space="0" w:color="auto"/>
                <w:right w:val="none" w:sz="0" w:space="0" w:color="auto"/>
              </w:divBdr>
            </w:div>
          </w:divsChild>
        </w:div>
        <w:div w:id="1503350377">
          <w:marLeft w:val="0"/>
          <w:marRight w:val="0"/>
          <w:marTop w:val="0"/>
          <w:marBottom w:val="0"/>
          <w:divBdr>
            <w:top w:val="none" w:sz="0" w:space="0" w:color="auto"/>
            <w:left w:val="none" w:sz="0" w:space="0" w:color="auto"/>
            <w:bottom w:val="none" w:sz="0" w:space="0" w:color="auto"/>
            <w:right w:val="none" w:sz="0" w:space="0" w:color="auto"/>
          </w:divBdr>
          <w:divsChild>
            <w:div w:id="1368217892">
              <w:marLeft w:val="0"/>
              <w:marRight w:val="0"/>
              <w:marTop w:val="0"/>
              <w:marBottom w:val="0"/>
              <w:divBdr>
                <w:top w:val="none" w:sz="0" w:space="0" w:color="auto"/>
                <w:left w:val="none" w:sz="0" w:space="0" w:color="auto"/>
                <w:bottom w:val="none" w:sz="0" w:space="0" w:color="auto"/>
                <w:right w:val="none" w:sz="0" w:space="0" w:color="auto"/>
              </w:divBdr>
            </w:div>
          </w:divsChild>
        </w:div>
        <w:div w:id="1519927169">
          <w:marLeft w:val="0"/>
          <w:marRight w:val="0"/>
          <w:marTop w:val="0"/>
          <w:marBottom w:val="0"/>
          <w:divBdr>
            <w:top w:val="none" w:sz="0" w:space="0" w:color="auto"/>
            <w:left w:val="none" w:sz="0" w:space="0" w:color="auto"/>
            <w:bottom w:val="none" w:sz="0" w:space="0" w:color="auto"/>
            <w:right w:val="none" w:sz="0" w:space="0" w:color="auto"/>
          </w:divBdr>
          <w:divsChild>
            <w:div w:id="557863921">
              <w:marLeft w:val="0"/>
              <w:marRight w:val="0"/>
              <w:marTop w:val="0"/>
              <w:marBottom w:val="0"/>
              <w:divBdr>
                <w:top w:val="none" w:sz="0" w:space="0" w:color="auto"/>
                <w:left w:val="none" w:sz="0" w:space="0" w:color="auto"/>
                <w:bottom w:val="none" w:sz="0" w:space="0" w:color="auto"/>
                <w:right w:val="none" w:sz="0" w:space="0" w:color="auto"/>
              </w:divBdr>
            </w:div>
          </w:divsChild>
        </w:div>
        <w:div w:id="1782990575">
          <w:marLeft w:val="0"/>
          <w:marRight w:val="0"/>
          <w:marTop w:val="0"/>
          <w:marBottom w:val="0"/>
          <w:divBdr>
            <w:top w:val="none" w:sz="0" w:space="0" w:color="auto"/>
            <w:left w:val="none" w:sz="0" w:space="0" w:color="auto"/>
            <w:bottom w:val="none" w:sz="0" w:space="0" w:color="auto"/>
            <w:right w:val="none" w:sz="0" w:space="0" w:color="auto"/>
          </w:divBdr>
          <w:divsChild>
            <w:div w:id="598486188">
              <w:marLeft w:val="0"/>
              <w:marRight w:val="0"/>
              <w:marTop w:val="0"/>
              <w:marBottom w:val="0"/>
              <w:divBdr>
                <w:top w:val="none" w:sz="0" w:space="0" w:color="auto"/>
                <w:left w:val="none" w:sz="0" w:space="0" w:color="auto"/>
                <w:bottom w:val="none" w:sz="0" w:space="0" w:color="auto"/>
                <w:right w:val="none" w:sz="0" w:space="0" w:color="auto"/>
              </w:divBdr>
            </w:div>
          </w:divsChild>
        </w:div>
        <w:div w:id="1792703234">
          <w:marLeft w:val="0"/>
          <w:marRight w:val="0"/>
          <w:marTop w:val="0"/>
          <w:marBottom w:val="0"/>
          <w:divBdr>
            <w:top w:val="none" w:sz="0" w:space="0" w:color="auto"/>
            <w:left w:val="none" w:sz="0" w:space="0" w:color="auto"/>
            <w:bottom w:val="none" w:sz="0" w:space="0" w:color="auto"/>
            <w:right w:val="none" w:sz="0" w:space="0" w:color="auto"/>
          </w:divBdr>
          <w:divsChild>
            <w:div w:id="573013123">
              <w:marLeft w:val="0"/>
              <w:marRight w:val="0"/>
              <w:marTop w:val="0"/>
              <w:marBottom w:val="0"/>
              <w:divBdr>
                <w:top w:val="none" w:sz="0" w:space="0" w:color="auto"/>
                <w:left w:val="none" w:sz="0" w:space="0" w:color="auto"/>
                <w:bottom w:val="none" w:sz="0" w:space="0" w:color="auto"/>
                <w:right w:val="none" w:sz="0" w:space="0" w:color="auto"/>
              </w:divBdr>
            </w:div>
          </w:divsChild>
        </w:div>
        <w:div w:id="1801144696">
          <w:marLeft w:val="0"/>
          <w:marRight w:val="0"/>
          <w:marTop w:val="0"/>
          <w:marBottom w:val="0"/>
          <w:divBdr>
            <w:top w:val="none" w:sz="0" w:space="0" w:color="auto"/>
            <w:left w:val="none" w:sz="0" w:space="0" w:color="auto"/>
            <w:bottom w:val="none" w:sz="0" w:space="0" w:color="auto"/>
            <w:right w:val="none" w:sz="0" w:space="0" w:color="auto"/>
          </w:divBdr>
          <w:divsChild>
            <w:div w:id="1216353791">
              <w:marLeft w:val="0"/>
              <w:marRight w:val="0"/>
              <w:marTop w:val="0"/>
              <w:marBottom w:val="0"/>
              <w:divBdr>
                <w:top w:val="none" w:sz="0" w:space="0" w:color="auto"/>
                <w:left w:val="none" w:sz="0" w:space="0" w:color="auto"/>
                <w:bottom w:val="none" w:sz="0" w:space="0" w:color="auto"/>
                <w:right w:val="none" w:sz="0" w:space="0" w:color="auto"/>
              </w:divBdr>
            </w:div>
          </w:divsChild>
        </w:div>
        <w:div w:id="1969313059">
          <w:marLeft w:val="0"/>
          <w:marRight w:val="0"/>
          <w:marTop w:val="0"/>
          <w:marBottom w:val="0"/>
          <w:divBdr>
            <w:top w:val="none" w:sz="0" w:space="0" w:color="auto"/>
            <w:left w:val="none" w:sz="0" w:space="0" w:color="auto"/>
            <w:bottom w:val="none" w:sz="0" w:space="0" w:color="auto"/>
            <w:right w:val="none" w:sz="0" w:space="0" w:color="auto"/>
          </w:divBdr>
          <w:divsChild>
            <w:div w:id="1857385700">
              <w:marLeft w:val="0"/>
              <w:marRight w:val="0"/>
              <w:marTop w:val="0"/>
              <w:marBottom w:val="0"/>
              <w:divBdr>
                <w:top w:val="none" w:sz="0" w:space="0" w:color="auto"/>
                <w:left w:val="none" w:sz="0" w:space="0" w:color="auto"/>
                <w:bottom w:val="none" w:sz="0" w:space="0" w:color="auto"/>
                <w:right w:val="none" w:sz="0" w:space="0" w:color="auto"/>
              </w:divBdr>
            </w:div>
          </w:divsChild>
        </w:div>
        <w:div w:id="2060550139">
          <w:marLeft w:val="0"/>
          <w:marRight w:val="0"/>
          <w:marTop w:val="0"/>
          <w:marBottom w:val="0"/>
          <w:divBdr>
            <w:top w:val="none" w:sz="0" w:space="0" w:color="auto"/>
            <w:left w:val="none" w:sz="0" w:space="0" w:color="auto"/>
            <w:bottom w:val="none" w:sz="0" w:space="0" w:color="auto"/>
            <w:right w:val="none" w:sz="0" w:space="0" w:color="auto"/>
          </w:divBdr>
          <w:divsChild>
            <w:div w:id="14337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814">
      <w:bodyDiv w:val="1"/>
      <w:marLeft w:val="0"/>
      <w:marRight w:val="0"/>
      <w:marTop w:val="0"/>
      <w:marBottom w:val="0"/>
      <w:divBdr>
        <w:top w:val="none" w:sz="0" w:space="0" w:color="auto"/>
        <w:left w:val="none" w:sz="0" w:space="0" w:color="auto"/>
        <w:bottom w:val="none" w:sz="0" w:space="0" w:color="auto"/>
        <w:right w:val="none" w:sz="0" w:space="0" w:color="auto"/>
      </w:divBdr>
    </w:div>
    <w:div w:id="1495100383">
      <w:bodyDiv w:val="1"/>
      <w:marLeft w:val="0"/>
      <w:marRight w:val="0"/>
      <w:marTop w:val="0"/>
      <w:marBottom w:val="0"/>
      <w:divBdr>
        <w:top w:val="none" w:sz="0" w:space="0" w:color="auto"/>
        <w:left w:val="none" w:sz="0" w:space="0" w:color="auto"/>
        <w:bottom w:val="none" w:sz="0" w:space="0" w:color="auto"/>
        <w:right w:val="none" w:sz="0" w:space="0" w:color="auto"/>
      </w:divBdr>
    </w:div>
    <w:div w:id="1503159055">
      <w:bodyDiv w:val="1"/>
      <w:marLeft w:val="0"/>
      <w:marRight w:val="0"/>
      <w:marTop w:val="0"/>
      <w:marBottom w:val="0"/>
      <w:divBdr>
        <w:top w:val="none" w:sz="0" w:space="0" w:color="auto"/>
        <w:left w:val="none" w:sz="0" w:space="0" w:color="auto"/>
        <w:bottom w:val="none" w:sz="0" w:space="0" w:color="auto"/>
        <w:right w:val="none" w:sz="0" w:space="0" w:color="auto"/>
      </w:divBdr>
    </w:div>
    <w:div w:id="1897085187">
      <w:bodyDiv w:val="1"/>
      <w:marLeft w:val="0"/>
      <w:marRight w:val="0"/>
      <w:marTop w:val="0"/>
      <w:marBottom w:val="0"/>
      <w:divBdr>
        <w:top w:val="none" w:sz="0" w:space="0" w:color="auto"/>
        <w:left w:val="none" w:sz="0" w:space="0" w:color="auto"/>
        <w:bottom w:val="none" w:sz="0" w:space="0" w:color="auto"/>
        <w:right w:val="none" w:sz="0" w:space="0" w:color="auto"/>
      </w:divBdr>
    </w:div>
    <w:div w:id="1900705909">
      <w:bodyDiv w:val="1"/>
      <w:marLeft w:val="0"/>
      <w:marRight w:val="0"/>
      <w:marTop w:val="0"/>
      <w:marBottom w:val="0"/>
      <w:divBdr>
        <w:top w:val="none" w:sz="0" w:space="0" w:color="auto"/>
        <w:left w:val="none" w:sz="0" w:space="0" w:color="auto"/>
        <w:bottom w:val="none" w:sz="0" w:space="0" w:color="auto"/>
        <w:right w:val="none" w:sz="0" w:space="0" w:color="auto"/>
      </w:divBdr>
    </w:div>
    <w:div w:id="1917157181">
      <w:bodyDiv w:val="1"/>
      <w:marLeft w:val="0"/>
      <w:marRight w:val="0"/>
      <w:marTop w:val="0"/>
      <w:marBottom w:val="0"/>
      <w:divBdr>
        <w:top w:val="none" w:sz="0" w:space="0" w:color="auto"/>
        <w:left w:val="none" w:sz="0" w:space="0" w:color="auto"/>
        <w:bottom w:val="none" w:sz="0" w:space="0" w:color="auto"/>
        <w:right w:val="none" w:sz="0" w:space="0" w:color="auto"/>
      </w:divBdr>
    </w:div>
    <w:div w:id="2006743983">
      <w:bodyDiv w:val="1"/>
      <w:marLeft w:val="0"/>
      <w:marRight w:val="0"/>
      <w:marTop w:val="0"/>
      <w:marBottom w:val="0"/>
      <w:divBdr>
        <w:top w:val="none" w:sz="0" w:space="0" w:color="auto"/>
        <w:left w:val="none" w:sz="0" w:space="0" w:color="auto"/>
        <w:bottom w:val="none" w:sz="0" w:space="0" w:color="auto"/>
        <w:right w:val="none" w:sz="0" w:space="0" w:color="auto"/>
      </w:divBdr>
    </w:div>
    <w:div w:id="20202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mbie.govt.nz/business-and-employment/consumer-protection/buy-now-pay-later" TargetMode="External"/><Relationship Id="rId1" Type="http://schemas.openxmlformats.org/officeDocument/2006/relationships/hyperlink" Target="file:///C:\Users\nxq\AppData\Local\Microsoft\Windows\INetCache\Content.Outlook\R3UHKUV3\AFCA%20webpage%20on%20Outcomes%20AFCA%20provides:%20https:\www.afca.org.au\what-to-expect\outcomes-afca-provide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847197347573338E-2"/>
          <c:y val="3.5485379618290694E-2"/>
          <c:w val="0.97430560530485333"/>
          <c:h val="0.57780646271675051"/>
        </c:manualLayout>
      </c:layout>
      <c:barChart>
        <c:barDir val="col"/>
        <c:grouping val="percentStacked"/>
        <c:varyColors val="0"/>
        <c:ser>
          <c:idx val="0"/>
          <c:order val="0"/>
          <c:tx>
            <c:strRef>
              <c:f>Sheet1!$B$1</c:f>
              <c:strCache>
                <c:ptCount val="1"/>
                <c:pt idx="0">
                  <c:v>No stress indicators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Total survey population</c:v>
                </c:pt>
                <c:pt idx="1">
                  <c:v>Credit card</c:v>
                </c:pt>
                <c:pt idx="2">
                  <c:v>Mortgage</c:v>
                </c:pt>
                <c:pt idx="3">
                  <c:v>BNPL</c:v>
                </c:pt>
                <c:pt idx="4">
                  <c:v>Car finance</c:v>
                </c:pt>
                <c:pt idx="5">
                  <c:v>Consumer Lease</c:v>
                </c:pt>
                <c:pt idx="6">
                  <c:v>Loan under $2k</c:v>
                </c:pt>
                <c:pt idx="7">
                  <c:v>Loan of $2-$5k</c:v>
                </c:pt>
                <c:pt idx="8">
                  <c:v>Personal loan ($5k+)</c:v>
                </c:pt>
              </c:strCache>
            </c:strRef>
          </c:cat>
          <c:val>
            <c:numRef>
              <c:f>Sheet1!$B$2:$B$10</c:f>
              <c:numCache>
                <c:formatCode>0%</c:formatCode>
                <c:ptCount val="9"/>
                <c:pt idx="0">
                  <c:v>0.75</c:v>
                </c:pt>
                <c:pt idx="1">
                  <c:v>0.81200000000000006</c:v>
                </c:pt>
                <c:pt idx="2">
                  <c:v>0.73299999999999998</c:v>
                </c:pt>
                <c:pt idx="3">
                  <c:v>0.57699999999999996</c:v>
                </c:pt>
                <c:pt idx="4">
                  <c:v>0.53300000000000003</c:v>
                </c:pt>
                <c:pt idx="5">
                  <c:v>0.371</c:v>
                </c:pt>
                <c:pt idx="6">
                  <c:v>0.36799999999999999</c:v>
                </c:pt>
                <c:pt idx="7">
                  <c:v>0.38300000000000001</c:v>
                </c:pt>
                <c:pt idx="8">
                  <c:v>0.61199999999999999</c:v>
                </c:pt>
              </c:numCache>
            </c:numRef>
          </c:val>
          <c:extLst>
            <c:ext xmlns:c16="http://schemas.microsoft.com/office/drawing/2014/chart" uri="{C3380CC4-5D6E-409C-BE32-E72D297353CC}">
              <c16:uniqueId val="{00000000-83EE-4360-96C3-344F83912D9D}"/>
            </c:ext>
          </c:extLst>
        </c:ser>
        <c:ser>
          <c:idx val="1"/>
          <c:order val="1"/>
          <c:tx>
            <c:strRef>
              <c:f>Sheet1!$C$1</c:f>
              <c:strCache>
                <c:ptCount val="1"/>
                <c:pt idx="0">
                  <c:v>One stress indicator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Total survey population</c:v>
                </c:pt>
                <c:pt idx="1">
                  <c:v>Credit card</c:v>
                </c:pt>
                <c:pt idx="2">
                  <c:v>Mortgage</c:v>
                </c:pt>
                <c:pt idx="3">
                  <c:v>BNPL</c:v>
                </c:pt>
                <c:pt idx="4">
                  <c:v>Car finance</c:v>
                </c:pt>
                <c:pt idx="5">
                  <c:v>Consumer Lease</c:v>
                </c:pt>
                <c:pt idx="6">
                  <c:v>Loan under $2k</c:v>
                </c:pt>
                <c:pt idx="7">
                  <c:v>Loan of $2-$5k</c:v>
                </c:pt>
                <c:pt idx="8">
                  <c:v>Personal loan ($5k+)</c:v>
                </c:pt>
              </c:strCache>
            </c:strRef>
          </c:cat>
          <c:val>
            <c:numRef>
              <c:f>Sheet1!$C$2:$C$10</c:f>
              <c:numCache>
                <c:formatCode>0%</c:formatCode>
                <c:ptCount val="9"/>
                <c:pt idx="0">
                  <c:v>0.14000000000000001</c:v>
                </c:pt>
                <c:pt idx="1">
                  <c:v>0.109</c:v>
                </c:pt>
                <c:pt idx="2">
                  <c:v>0.155</c:v>
                </c:pt>
                <c:pt idx="3">
                  <c:v>0.22700000000000001</c:v>
                </c:pt>
                <c:pt idx="4">
                  <c:v>0.27</c:v>
                </c:pt>
                <c:pt idx="5">
                  <c:v>0.35299999999999998</c:v>
                </c:pt>
                <c:pt idx="6">
                  <c:v>0.28999999999999998</c:v>
                </c:pt>
                <c:pt idx="7">
                  <c:v>0.318</c:v>
                </c:pt>
                <c:pt idx="8">
                  <c:v>0.217</c:v>
                </c:pt>
              </c:numCache>
            </c:numRef>
          </c:val>
          <c:extLst>
            <c:ext xmlns:c16="http://schemas.microsoft.com/office/drawing/2014/chart" uri="{C3380CC4-5D6E-409C-BE32-E72D297353CC}">
              <c16:uniqueId val="{00000001-83EE-4360-96C3-344F83912D9D}"/>
            </c:ext>
          </c:extLst>
        </c:ser>
        <c:ser>
          <c:idx val="2"/>
          <c:order val="2"/>
          <c:tx>
            <c:strRef>
              <c:f>Sheet1!$D$1</c:f>
              <c:strCache>
                <c:ptCount val="1"/>
                <c:pt idx="0">
                  <c:v>2+ stress indicators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Total survey population</c:v>
                </c:pt>
                <c:pt idx="1">
                  <c:v>Credit card</c:v>
                </c:pt>
                <c:pt idx="2">
                  <c:v>Mortgage</c:v>
                </c:pt>
                <c:pt idx="3">
                  <c:v>BNPL</c:v>
                </c:pt>
                <c:pt idx="4">
                  <c:v>Car finance</c:v>
                </c:pt>
                <c:pt idx="5">
                  <c:v>Consumer Lease</c:v>
                </c:pt>
                <c:pt idx="6">
                  <c:v>Loan under $2k</c:v>
                </c:pt>
                <c:pt idx="7">
                  <c:v>Loan of $2-$5k</c:v>
                </c:pt>
                <c:pt idx="8">
                  <c:v>Personal loan ($5k+)</c:v>
                </c:pt>
              </c:strCache>
            </c:strRef>
          </c:cat>
          <c:val>
            <c:numRef>
              <c:f>Sheet1!$D$2:$D$10</c:f>
              <c:numCache>
                <c:formatCode>0%</c:formatCode>
                <c:ptCount val="9"/>
                <c:pt idx="0">
                  <c:v>0.112</c:v>
                </c:pt>
                <c:pt idx="1">
                  <c:v>7.9000000000000001E-2</c:v>
                </c:pt>
                <c:pt idx="2">
                  <c:v>0.112</c:v>
                </c:pt>
                <c:pt idx="3">
                  <c:v>0.19</c:v>
                </c:pt>
                <c:pt idx="4">
                  <c:v>0.19700000000000001</c:v>
                </c:pt>
                <c:pt idx="5">
                  <c:v>0.27600000000000002</c:v>
                </c:pt>
                <c:pt idx="6">
                  <c:v>0.33600000000000002</c:v>
                </c:pt>
                <c:pt idx="7">
                  <c:v>0.29799999999999999</c:v>
                </c:pt>
                <c:pt idx="8">
                  <c:v>0.17100000000000001</c:v>
                </c:pt>
              </c:numCache>
            </c:numRef>
          </c:val>
          <c:extLst>
            <c:ext xmlns:c16="http://schemas.microsoft.com/office/drawing/2014/chart" uri="{C3380CC4-5D6E-409C-BE32-E72D297353CC}">
              <c16:uniqueId val="{00000002-83EE-4360-96C3-344F83912D9D}"/>
            </c:ext>
          </c:extLst>
        </c:ser>
        <c:dLbls>
          <c:showLegendKey val="0"/>
          <c:showVal val="0"/>
          <c:showCatName val="0"/>
          <c:showSerName val="0"/>
          <c:showPercent val="0"/>
          <c:showBubbleSize val="0"/>
        </c:dLbls>
        <c:gapWidth val="100"/>
        <c:overlap val="100"/>
        <c:axId val="642462760"/>
        <c:axId val="642456856"/>
      </c:barChart>
      <c:catAx>
        <c:axId val="6424627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42456856"/>
        <c:crosses val="autoZero"/>
        <c:auto val="1"/>
        <c:lblAlgn val="ctr"/>
        <c:lblOffset val="100"/>
        <c:noMultiLvlLbl val="0"/>
      </c:catAx>
      <c:valAx>
        <c:axId val="642456856"/>
        <c:scaling>
          <c:orientation val="minMax"/>
          <c:max val="1"/>
        </c:scaling>
        <c:delete val="1"/>
        <c:axPos val="l"/>
        <c:numFmt formatCode="0%" sourceLinked="0"/>
        <c:majorTickMark val="out"/>
        <c:minorTickMark val="none"/>
        <c:tickLblPos val="nextTo"/>
        <c:crossAx val="642462760"/>
        <c:crosses val="autoZero"/>
        <c:crossBetween val="between"/>
      </c:valAx>
      <c:spPr>
        <a:noFill/>
        <a:ln>
          <a:noFill/>
        </a:ln>
        <a:effectLst/>
      </c:spPr>
    </c:plotArea>
    <c:legend>
      <c:legendPos val="b"/>
      <c:layout>
        <c:manualLayout>
          <c:xMode val="edge"/>
          <c:yMode val="edge"/>
          <c:x val="4.7795015149015962E-2"/>
          <c:y val="0.95515712175322365"/>
          <c:w val="0.89999997241117247"/>
          <c:h val="4.2733100985327656E-2"/>
        </c:manualLayout>
      </c:layout>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SIC v2">
    <a:dk1>
      <a:srgbClr val="243645"/>
    </a:dk1>
    <a:lt1>
      <a:srgbClr val="FFFFFF"/>
    </a:lt1>
    <a:dk2>
      <a:srgbClr val="243645"/>
    </a:dk2>
    <a:lt2>
      <a:srgbClr val="D0CCBD"/>
    </a:lt2>
    <a:accent1>
      <a:srgbClr val="243645"/>
    </a:accent1>
    <a:accent2>
      <a:srgbClr val="0070CE"/>
    </a:accent2>
    <a:accent3>
      <a:srgbClr val="3AB2E5"/>
    </a:accent3>
    <a:accent4>
      <a:srgbClr val="83DADE"/>
    </a:accent4>
    <a:accent5>
      <a:srgbClr val="CFCCBD"/>
    </a:accent5>
    <a:accent6>
      <a:srgbClr val="1D242B"/>
    </a:accent6>
    <a:hlink>
      <a:srgbClr val="0071CE"/>
    </a:hlink>
    <a:folHlink>
      <a:srgbClr val="0071C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10010</Words>
  <Characters>57062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Regulating Buy Now, Pay Later in Australia - Options paper</vt:lpstr>
    </vt:vector>
  </TitlesOfParts>
  <Company/>
  <LinksUpToDate>false</LinksUpToDate>
  <CharactersWithSpaces>66939</CharactersWithSpaces>
  <SharedDoc>false</SharedDoc>
  <HLinks>
    <vt:vector size="216" baseType="variant">
      <vt:variant>
        <vt:i4>1835069</vt:i4>
      </vt:variant>
      <vt:variant>
        <vt:i4>185</vt:i4>
      </vt:variant>
      <vt:variant>
        <vt:i4>0</vt:i4>
      </vt:variant>
      <vt:variant>
        <vt:i4>5</vt:i4>
      </vt:variant>
      <vt:variant>
        <vt:lpwstr/>
      </vt:variant>
      <vt:variant>
        <vt:lpwstr>_Toc119517485</vt:lpwstr>
      </vt:variant>
      <vt:variant>
        <vt:i4>1835069</vt:i4>
      </vt:variant>
      <vt:variant>
        <vt:i4>179</vt:i4>
      </vt:variant>
      <vt:variant>
        <vt:i4>0</vt:i4>
      </vt:variant>
      <vt:variant>
        <vt:i4>5</vt:i4>
      </vt:variant>
      <vt:variant>
        <vt:lpwstr/>
      </vt:variant>
      <vt:variant>
        <vt:lpwstr>_Toc119517484</vt:lpwstr>
      </vt:variant>
      <vt:variant>
        <vt:i4>1835069</vt:i4>
      </vt:variant>
      <vt:variant>
        <vt:i4>173</vt:i4>
      </vt:variant>
      <vt:variant>
        <vt:i4>0</vt:i4>
      </vt:variant>
      <vt:variant>
        <vt:i4>5</vt:i4>
      </vt:variant>
      <vt:variant>
        <vt:lpwstr/>
      </vt:variant>
      <vt:variant>
        <vt:lpwstr>_Toc119517483</vt:lpwstr>
      </vt:variant>
      <vt:variant>
        <vt:i4>1835069</vt:i4>
      </vt:variant>
      <vt:variant>
        <vt:i4>167</vt:i4>
      </vt:variant>
      <vt:variant>
        <vt:i4>0</vt:i4>
      </vt:variant>
      <vt:variant>
        <vt:i4>5</vt:i4>
      </vt:variant>
      <vt:variant>
        <vt:lpwstr/>
      </vt:variant>
      <vt:variant>
        <vt:lpwstr>_Toc119517482</vt:lpwstr>
      </vt:variant>
      <vt:variant>
        <vt:i4>1835069</vt:i4>
      </vt:variant>
      <vt:variant>
        <vt:i4>161</vt:i4>
      </vt:variant>
      <vt:variant>
        <vt:i4>0</vt:i4>
      </vt:variant>
      <vt:variant>
        <vt:i4>5</vt:i4>
      </vt:variant>
      <vt:variant>
        <vt:lpwstr/>
      </vt:variant>
      <vt:variant>
        <vt:lpwstr>_Toc119517481</vt:lpwstr>
      </vt:variant>
      <vt:variant>
        <vt:i4>1835069</vt:i4>
      </vt:variant>
      <vt:variant>
        <vt:i4>155</vt:i4>
      </vt:variant>
      <vt:variant>
        <vt:i4>0</vt:i4>
      </vt:variant>
      <vt:variant>
        <vt:i4>5</vt:i4>
      </vt:variant>
      <vt:variant>
        <vt:lpwstr/>
      </vt:variant>
      <vt:variant>
        <vt:lpwstr>_Toc119517480</vt:lpwstr>
      </vt:variant>
      <vt:variant>
        <vt:i4>1245245</vt:i4>
      </vt:variant>
      <vt:variant>
        <vt:i4>149</vt:i4>
      </vt:variant>
      <vt:variant>
        <vt:i4>0</vt:i4>
      </vt:variant>
      <vt:variant>
        <vt:i4>5</vt:i4>
      </vt:variant>
      <vt:variant>
        <vt:lpwstr/>
      </vt:variant>
      <vt:variant>
        <vt:lpwstr>_Toc119517479</vt:lpwstr>
      </vt:variant>
      <vt:variant>
        <vt:i4>1245245</vt:i4>
      </vt:variant>
      <vt:variant>
        <vt:i4>143</vt:i4>
      </vt:variant>
      <vt:variant>
        <vt:i4>0</vt:i4>
      </vt:variant>
      <vt:variant>
        <vt:i4>5</vt:i4>
      </vt:variant>
      <vt:variant>
        <vt:lpwstr/>
      </vt:variant>
      <vt:variant>
        <vt:lpwstr>_Toc119517478</vt:lpwstr>
      </vt:variant>
      <vt:variant>
        <vt:i4>1245245</vt:i4>
      </vt:variant>
      <vt:variant>
        <vt:i4>137</vt:i4>
      </vt:variant>
      <vt:variant>
        <vt:i4>0</vt:i4>
      </vt:variant>
      <vt:variant>
        <vt:i4>5</vt:i4>
      </vt:variant>
      <vt:variant>
        <vt:lpwstr/>
      </vt:variant>
      <vt:variant>
        <vt:lpwstr>_Toc119517477</vt:lpwstr>
      </vt:variant>
      <vt:variant>
        <vt:i4>1245245</vt:i4>
      </vt:variant>
      <vt:variant>
        <vt:i4>131</vt:i4>
      </vt:variant>
      <vt:variant>
        <vt:i4>0</vt:i4>
      </vt:variant>
      <vt:variant>
        <vt:i4>5</vt:i4>
      </vt:variant>
      <vt:variant>
        <vt:lpwstr/>
      </vt:variant>
      <vt:variant>
        <vt:lpwstr>_Toc119517476</vt:lpwstr>
      </vt:variant>
      <vt:variant>
        <vt:i4>1245245</vt:i4>
      </vt:variant>
      <vt:variant>
        <vt:i4>125</vt:i4>
      </vt:variant>
      <vt:variant>
        <vt:i4>0</vt:i4>
      </vt:variant>
      <vt:variant>
        <vt:i4>5</vt:i4>
      </vt:variant>
      <vt:variant>
        <vt:lpwstr/>
      </vt:variant>
      <vt:variant>
        <vt:lpwstr>_Toc119517475</vt:lpwstr>
      </vt:variant>
      <vt:variant>
        <vt:i4>1245245</vt:i4>
      </vt:variant>
      <vt:variant>
        <vt:i4>119</vt:i4>
      </vt:variant>
      <vt:variant>
        <vt:i4>0</vt:i4>
      </vt:variant>
      <vt:variant>
        <vt:i4>5</vt:i4>
      </vt:variant>
      <vt:variant>
        <vt:lpwstr/>
      </vt:variant>
      <vt:variant>
        <vt:lpwstr>_Toc119517474</vt:lpwstr>
      </vt:variant>
      <vt:variant>
        <vt:i4>1245245</vt:i4>
      </vt:variant>
      <vt:variant>
        <vt:i4>113</vt:i4>
      </vt:variant>
      <vt:variant>
        <vt:i4>0</vt:i4>
      </vt:variant>
      <vt:variant>
        <vt:i4>5</vt:i4>
      </vt:variant>
      <vt:variant>
        <vt:lpwstr/>
      </vt:variant>
      <vt:variant>
        <vt:lpwstr>_Toc119517473</vt:lpwstr>
      </vt:variant>
      <vt:variant>
        <vt:i4>1245245</vt:i4>
      </vt:variant>
      <vt:variant>
        <vt:i4>107</vt:i4>
      </vt:variant>
      <vt:variant>
        <vt:i4>0</vt:i4>
      </vt:variant>
      <vt:variant>
        <vt:i4>5</vt:i4>
      </vt:variant>
      <vt:variant>
        <vt:lpwstr/>
      </vt:variant>
      <vt:variant>
        <vt:lpwstr>_Toc119517472</vt:lpwstr>
      </vt:variant>
      <vt:variant>
        <vt:i4>1245245</vt:i4>
      </vt:variant>
      <vt:variant>
        <vt:i4>101</vt:i4>
      </vt:variant>
      <vt:variant>
        <vt:i4>0</vt:i4>
      </vt:variant>
      <vt:variant>
        <vt:i4>5</vt:i4>
      </vt:variant>
      <vt:variant>
        <vt:lpwstr/>
      </vt:variant>
      <vt:variant>
        <vt:lpwstr>_Toc119517471</vt:lpwstr>
      </vt:variant>
      <vt:variant>
        <vt:i4>1245245</vt:i4>
      </vt:variant>
      <vt:variant>
        <vt:i4>95</vt:i4>
      </vt:variant>
      <vt:variant>
        <vt:i4>0</vt:i4>
      </vt:variant>
      <vt:variant>
        <vt:i4>5</vt:i4>
      </vt:variant>
      <vt:variant>
        <vt:lpwstr/>
      </vt:variant>
      <vt:variant>
        <vt:lpwstr>_Toc119517470</vt:lpwstr>
      </vt:variant>
      <vt:variant>
        <vt:i4>1179709</vt:i4>
      </vt:variant>
      <vt:variant>
        <vt:i4>89</vt:i4>
      </vt:variant>
      <vt:variant>
        <vt:i4>0</vt:i4>
      </vt:variant>
      <vt:variant>
        <vt:i4>5</vt:i4>
      </vt:variant>
      <vt:variant>
        <vt:lpwstr/>
      </vt:variant>
      <vt:variant>
        <vt:lpwstr>_Toc119517469</vt:lpwstr>
      </vt:variant>
      <vt:variant>
        <vt:i4>1179709</vt:i4>
      </vt:variant>
      <vt:variant>
        <vt:i4>83</vt:i4>
      </vt:variant>
      <vt:variant>
        <vt:i4>0</vt:i4>
      </vt:variant>
      <vt:variant>
        <vt:i4>5</vt:i4>
      </vt:variant>
      <vt:variant>
        <vt:lpwstr/>
      </vt:variant>
      <vt:variant>
        <vt:lpwstr>_Toc119517468</vt:lpwstr>
      </vt:variant>
      <vt:variant>
        <vt:i4>1179709</vt:i4>
      </vt:variant>
      <vt:variant>
        <vt:i4>77</vt:i4>
      </vt:variant>
      <vt:variant>
        <vt:i4>0</vt:i4>
      </vt:variant>
      <vt:variant>
        <vt:i4>5</vt:i4>
      </vt:variant>
      <vt:variant>
        <vt:lpwstr/>
      </vt:variant>
      <vt:variant>
        <vt:lpwstr>_Toc119517467</vt:lpwstr>
      </vt:variant>
      <vt:variant>
        <vt:i4>1179709</vt:i4>
      </vt:variant>
      <vt:variant>
        <vt:i4>71</vt:i4>
      </vt:variant>
      <vt:variant>
        <vt:i4>0</vt:i4>
      </vt:variant>
      <vt:variant>
        <vt:i4>5</vt:i4>
      </vt:variant>
      <vt:variant>
        <vt:lpwstr/>
      </vt:variant>
      <vt:variant>
        <vt:lpwstr>_Toc119517466</vt:lpwstr>
      </vt:variant>
      <vt:variant>
        <vt:i4>1179709</vt:i4>
      </vt:variant>
      <vt:variant>
        <vt:i4>65</vt:i4>
      </vt:variant>
      <vt:variant>
        <vt:i4>0</vt:i4>
      </vt:variant>
      <vt:variant>
        <vt:i4>5</vt:i4>
      </vt:variant>
      <vt:variant>
        <vt:lpwstr/>
      </vt:variant>
      <vt:variant>
        <vt:lpwstr>_Toc119517465</vt:lpwstr>
      </vt:variant>
      <vt:variant>
        <vt:i4>1179709</vt:i4>
      </vt:variant>
      <vt:variant>
        <vt:i4>59</vt:i4>
      </vt:variant>
      <vt:variant>
        <vt:i4>0</vt:i4>
      </vt:variant>
      <vt:variant>
        <vt:i4>5</vt:i4>
      </vt:variant>
      <vt:variant>
        <vt:lpwstr/>
      </vt:variant>
      <vt:variant>
        <vt:lpwstr>_Toc119517464</vt:lpwstr>
      </vt:variant>
      <vt:variant>
        <vt:i4>1179709</vt:i4>
      </vt:variant>
      <vt:variant>
        <vt:i4>53</vt:i4>
      </vt:variant>
      <vt:variant>
        <vt:i4>0</vt:i4>
      </vt:variant>
      <vt:variant>
        <vt:i4>5</vt:i4>
      </vt:variant>
      <vt:variant>
        <vt:lpwstr/>
      </vt:variant>
      <vt:variant>
        <vt:lpwstr>_Toc119517463</vt:lpwstr>
      </vt:variant>
      <vt:variant>
        <vt:i4>1179709</vt:i4>
      </vt:variant>
      <vt:variant>
        <vt:i4>47</vt:i4>
      </vt:variant>
      <vt:variant>
        <vt:i4>0</vt:i4>
      </vt:variant>
      <vt:variant>
        <vt:i4>5</vt:i4>
      </vt:variant>
      <vt:variant>
        <vt:lpwstr/>
      </vt:variant>
      <vt:variant>
        <vt:lpwstr>_Toc119517462</vt:lpwstr>
      </vt:variant>
      <vt:variant>
        <vt:i4>1179709</vt:i4>
      </vt:variant>
      <vt:variant>
        <vt:i4>41</vt:i4>
      </vt:variant>
      <vt:variant>
        <vt:i4>0</vt:i4>
      </vt:variant>
      <vt:variant>
        <vt:i4>5</vt:i4>
      </vt:variant>
      <vt:variant>
        <vt:lpwstr/>
      </vt:variant>
      <vt:variant>
        <vt:lpwstr>_Toc119517461</vt:lpwstr>
      </vt:variant>
      <vt:variant>
        <vt:i4>1179709</vt:i4>
      </vt:variant>
      <vt:variant>
        <vt:i4>35</vt:i4>
      </vt:variant>
      <vt:variant>
        <vt:i4>0</vt:i4>
      </vt:variant>
      <vt:variant>
        <vt:i4>5</vt:i4>
      </vt:variant>
      <vt:variant>
        <vt:lpwstr/>
      </vt:variant>
      <vt:variant>
        <vt:lpwstr>_Toc119517460</vt:lpwstr>
      </vt:variant>
      <vt:variant>
        <vt:i4>1114173</vt:i4>
      </vt:variant>
      <vt:variant>
        <vt:i4>29</vt:i4>
      </vt:variant>
      <vt:variant>
        <vt:i4>0</vt:i4>
      </vt:variant>
      <vt:variant>
        <vt:i4>5</vt:i4>
      </vt:variant>
      <vt:variant>
        <vt:lpwstr/>
      </vt:variant>
      <vt:variant>
        <vt:lpwstr>_Toc119517459</vt:lpwstr>
      </vt:variant>
      <vt:variant>
        <vt:i4>1114173</vt:i4>
      </vt:variant>
      <vt:variant>
        <vt:i4>23</vt:i4>
      </vt:variant>
      <vt:variant>
        <vt:i4>0</vt:i4>
      </vt:variant>
      <vt:variant>
        <vt:i4>5</vt:i4>
      </vt:variant>
      <vt:variant>
        <vt:lpwstr/>
      </vt:variant>
      <vt:variant>
        <vt:lpwstr>_Toc119517458</vt:lpwstr>
      </vt:variant>
      <vt:variant>
        <vt:i4>1114173</vt:i4>
      </vt:variant>
      <vt:variant>
        <vt:i4>17</vt:i4>
      </vt:variant>
      <vt:variant>
        <vt:i4>0</vt:i4>
      </vt:variant>
      <vt:variant>
        <vt:i4>5</vt:i4>
      </vt:variant>
      <vt:variant>
        <vt:lpwstr/>
      </vt:variant>
      <vt:variant>
        <vt:lpwstr>_Toc119517457</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3276918</vt:i4>
      </vt:variant>
      <vt:variant>
        <vt:i4>6</vt:i4>
      </vt:variant>
      <vt:variant>
        <vt:i4>0</vt:i4>
      </vt:variant>
      <vt:variant>
        <vt:i4>5</vt:i4>
      </vt:variant>
      <vt:variant>
        <vt:lpwstr>https://www.mbie.govt.nz/business-and-employment/consumer-protection/buy-now-pay-later</vt:lpwstr>
      </vt:variant>
      <vt:variant>
        <vt:lpwstr/>
      </vt:variant>
      <vt:variant>
        <vt:i4>5046286</vt:i4>
      </vt:variant>
      <vt:variant>
        <vt:i4>0</vt:i4>
      </vt:variant>
      <vt:variant>
        <vt:i4>0</vt:i4>
      </vt:variant>
      <vt:variant>
        <vt:i4>5</vt:i4>
      </vt:variant>
      <vt:variant>
        <vt:lpwstr>AFCA webpage on Outcomes AFCA provides: https://www.afca.org.au/what-to-expect/outcomes-afca-provides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Regulating Buy Now, Pay Later in Australia - Options paper</dc:title>
  <dc:subject/>
  <dc:creator/>
  <cp:keywords/>
  <dc:description/>
  <cp:lastModifiedBy/>
  <cp:revision>1</cp:revision>
  <dcterms:created xsi:type="dcterms:W3CDTF">2022-11-20T22:43:00Z</dcterms:created>
  <dcterms:modified xsi:type="dcterms:W3CDTF">2022-11-21T00:30:00Z</dcterms:modified>
  <cp:category/>
</cp:coreProperties>
</file>