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0B3C" w14:textId="77777777" w:rsidR="00146C76" w:rsidRDefault="00146C76" w:rsidP="00146C76">
      <w:r>
        <w:rPr>
          <w:noProof/>
          <w:lang w:eastAsia="en-AU"/>
        </w:rPr>
        <w:drawing>
          <wp:inline distT="0" distB="0" distL="0" distR="0" wp14:anchorId="5B67E91C" wp14:editId="3C66B7E8">
            <wp:extent cx="4227195" cy="835025"/>
            <wp:effectExtent l="0" t="0" r="1905" b="3175"/>
            <wp:docPr id="1" name="Picture 1"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7195" cy="835025"/>
                    </a:xfrm>
                    <a:prstGeom prst="rect">
                      <a:avLst/>
                    </a:prstGeom>
                    <a:noFill/>
                    <a:ln>
                      <a:noFill/>
                    </a:ln>
                  </pic:spPr>
                </pic:pic>
              </a:graphicData>
            </a:graphic>
          </wp:inline>
        </w:drawing>
      </w:r>
    </w:p>
    <w:p w14:paraId="6E752969" w14:textId="77777777" w:rsidR="003D1813" w:rsidRDefault="003D1813" w:rsidP="003D1813">
      <w:pPr>
        <w:pStyle w:val="Heading1"/>
      </w:pPr>
    </w:p>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BF098F" w:rsidRPr="00C755AD" w14:paraId="422BE6D3" w14:textId="77777777" w:rsidTr="005B7A71">
        <w:tc>
          <w:tcPr>
            <w:tcW w:w="9242" w:type="dxa"/>
          </w:tcPr>
          <w:p w14:paraId="393F083D" w14:textId="77777777" w:rsidR="00BF098F" w:rsidRPr="006C6B94" w:rsidRDefault="00BF098F" w:rsidP="005B7A71">
            <w:pPr>
              <w:pStyle w:val="Title"/>
              <w:rPr>
                <w:bCs/>
              </w:rPr>
            </w:pPr>
            <w:r w:rsidRPr="004064FC">
              <w:rPr>
                <w:bCs/>
              </w:rPr>
              <w:t xml:space="preserve">Banking Designation Instrument – minor and technical amendment </w:t>
            </w:r>
          </w:p>
        </w:tc>
      </w:tr>
      <w:tr w:rsidR="00BF098F" w:rsidRPr="00C755AD" w14:paraId="0A20AFAD" w14:textId="77777777" w:rsidTr="005B7A71">
        <w:tc>
          <w:tcPr>
            <w:tcW w:w="9242" w:type="dxa"/>
          </w:tcPr>
          <w:p w14:paraId="2942FE40" w14:textId="77777777" w:rsidR="00BF098F" w:rsidRPr="00B325AF" w:rsidRDefault="00BF098F" w:rsidP="005B7A71">
            <w:pPr>
              <w:pStyle w:val="Subtitle"/>
            </w:pPr>
            <w:r>
              <w:t>Sectoral assessment report</w:t>
            </w:r>
          </w:p>
        </w:tc>
      </w:tr>
      <w:tr w:rsidR="00BF098F" w:rsidRPr="00C755AD" w14:paraId="4D4CC2FA" w14:textId="77777777" w:rsidTr="005B7A71">
        <w:tc>
          <w:tcPr>
            <w:tcW w:w="9242" w:type="dxa"/>
          </w:tcPr>
          <w:p w14:paraId="23002BD5" w14:textId="77777777" w:rsidR="00BF098F" w:rsidRPr="00D93DA9" w:rsidRDefault="00BF098F" w:rsidP="005B7A71"/>
          <w:p w14:paraId="589E55C1" w14:textId="77777777" w:rsidR="00BF098F" w:rsidRPr="00B325AF" w:rsidRDefault="00BF098F" w:rsidP="005B7A71">
            <w:pPr>
              <w:pStyle w:val="CoverDate"/>
            </w:pPr>
            <w:r>
              <w:t>October 2022</w:t>
            </w:r>
          </w:p>
        </w:tc>
      </w:tr>
    </w:tbl>
    <w:p w14:paraId="0BE0D5DE" w14:textId="5836E2EC" w:rsidR="00BF098F" w:rsidRDefault="00BF098F" w:rsidP="003D1813">
      <w:pPr>
        <w:pStyle w:val="Heading1"/>
      </w:pPr>
    </w:p>
    <w:p w14:paraId="4CAC6C19" w14:textId="0DBBD84C" w:rsidR="00BF098F" w:rsidRDefault="00BF098F" w:rsidP="00BF098F"/>
    <w:p w14:paraId="7A658D95" w14:textId="24F59341" w:rsidR="00BF098F" w:rsidRDefault="00BF098F" w:rsidP="00BF098F"/>
    <w:p w14:paraId="7C1EDD7B" w14:textId="4723B2B7" w:rsidR="00BF098F" w:rsidRDefault="00BF098F" w:rsidP="00BF098F"/>
    <w:p w14:paraId="3F8BFA36" w14:textId="780ABA63" w:rsidR="00BF098F" w:rsidRDefault="00BF098F" w:rsidP="00BF098F"/>
    <w:p w14:paraId="4E9D60D3" w14:textId="0698580C" w:rsidR="00BF098F" w:rsidRDefault="00BF098F" w:rsidP="00BF098F"/>
    <w:p w14:paraId="1D766C39" w14:textId="63229275" w:rsidR="00BF098F" w:rsidRDefault="00BF098F" w:rsidP="00BF098F"/>
    <w:p w14:paraId="12604435" w14:textId="77777777" w:rsidR="00BF098F" w:rsidRPr="00BF098F" w:rsidRDefault="00BF098F" w:rsidP="00BF098F"/>
    <w:p w14:paraId="0751C9D7" w14:textId="77777777" w:rsidR="00BF098F" w:rsidRDefault="00BF098F" w:rsidP="003D1813">
      <w:pPr>
        <w:pStyle w:val="Heading1"/>
      </w:pPr>
    </w:p>
    <w:p w14:paraId="3A4BF453" w14:textId="77777777" w:rsidR="00BF098F" w:rsidRDefault="00BF098F" w:rsidP="003D1813">
      <w:pPr>
        <w:pStyle w:val="Heading1"/>
      </w:pPr>
    </w:p>
    <w:p w14:paraId="153366A9" w14:textId="77777777" w:rsidR="00BF098F" w:rsidRDefault="00BF098F" w:rsidP="003D1813">
      <w:pPr>
        <w:pStyle w:val="Heading1"/>
      </w:pPr>
    </w:p>
    <w:p w14:paraId="50406D06" w14:textId="77777777" w:rsidR="00BF098F" w:rsidRDefault="00BF098F" w:rsidP="003D1813">
      <w:pPr>
        <w:pStyle w:val="Heading1"/>
      </w:pPr>
    </w:p>
    <w:p w14:paraId="636C3A84" w14:textId="77777777" w:rsidR="00BF098F" w:rsidRDefault="00BF098F" w:rsidP="003D1813">
      <w:pPr>
        <w:pStyle w:val="Heading1"/>
      </w:pPr>
    </w:p>
    <w:p w14:paraId="6545E848" w14:textId="3037141F" w:rsidR="002E4ED7" w:rsidRPr="00024421" w:rsidRDefault="003D1813" w:rsidP="00024421">
      <w:pPr>
        <w:rPr>
          <w:rFonts w:eastAsia="Times New Roman"/>
        </w:rPr>
      </w:pPr>
      <w:r>
        <w:lastRenderedPageBreak/>
        <w:t>Prior to the Minister amending a designation instrument (including minor and technical amendments)</w:t>
      </w:r>
      <w:r w:rsidR="00674446">
        <w:t xml:space="preserve"> </w:t>
      </w:r>
      <w:r>
        <w:t>there is the requirement to conduct a sectoral assessment which considers the effect of the proposed change</w:t>
      </w:r>
      <w:r w:rsidR="00765ECE">
        <w:t xml:space="preserve"> </w:t>
      </w:r>
      <w:r>
        <w:t>(</w:t>
      </w:r>
      <w:r>
        <w:rPr>
          <w:rFonts w:eastAsia="Times New Roman"/>
        </w:rPr>
        <w:t>s</w:t>
      </w:r>
      <w:r w:rsidR="009611A0">
        <w:rPr>
          <w:rFonts w:eastAsia="Times New Roman"/>
        </w:rPr>
        <w:t xml:space="preserve">ection </w:t>
      </w:r>
      <w:r>
        <w:rPr>
          <w:rFonts w:eastAsia="Times New Roman"/>
        </w:rPr>
        <w:t xml:space="preserve">56AE of the </w:t>
      </w:r>
      <w:r w:rsidRPr="0037449E">
        <w:rPr>
          <w:rFonts w:eastAsia="Times New Roman"/>
          <w:i/>
          <w:iCs/>
        </w:rPr>
        <w:t>Competition and Consumer Act 2010</w:t>
      </w:r>
      <w:r>
        <w:t>) (the Act)</w:t>
      </w:r>
      <w:r w:rsidR="00024421">
        <w:t>.</w:t>
      </w:r>
      <w:r w:rsidR="00F54F6B">
        <w:t xml:space="preserve"> </w:t>
      </w:r>
    </w:p>
    <w:p w14:paraId="3B14A4F3" w14:textId="77777777" w:rsidR="003D1813" w:rsidRDefault="003D1813" w:rsidP="003D1813">
      <w:pPr>
        <w:pStyle w:val="Heading2"/>
      </w:pPr>
      <w:r>
        <w:t>Summary</w:t>
      </w:r>
    </w:p>
    <w:p w14:paraId="489145FC" w14:textId="553AEE8C" w:rsidR="003D1813" w:rsidRDefault="003D1813" w:rsidP="003D1813">
      <w:pPr>
        <w:rPr>
          <w:rFonts w:eastAsia="Times New Roman"/>
        </w:rPr>
      </w:pPr>
      <w:r>
        <w:rPr>
          <w:rFonts w:eastAsia="Times New Roman"/>
        </w:rPr>
        <w:t xml:space="preserve">The </w:t>
      </w:r>
      <w:r w:rsidRPr="009A530B">
        <w:rPr>
          <w:rFonts w:eastAsia="Times New Roman"/>
          <w:i/>
          <w:iCs/>
        </w:rPr>
        <w:t>Consumer Data Right (Authorised Deposit-Taking Institutions) Designation 2019</w:t>
      </w:r>
      <w:r>
        <w:rPr>
          <w:rFonts w:eastAsia="Times New Roman"/>
        </w:rPr>
        <w:t xml:space="preserve"> (designation instrument) formally designated the banking sector </w:t>
      </w:r>
      <w:r w:rsidR="009611A0">
        <w:rPr>
          <w:rFonts w:eastAsia="Times New Roman"/>
        </w:rPr>
        <w:t>as subject to the</w:t>
      </w:r>
      <w:r>
        <w:rPr>
          <w:rFonts w:eastAsia="Times New Roman"/>
        </w:rPr>
        <w:t xml:space="preserve"> </w:t>
      </w:r>
      <w:r w:rsidR="009611A0">
        <w:rPr>
          <w:rFonts w:eastAsia="Times New Roman"/>
        </w:rPr>
        <w:t>c</w:t>
      </w:r>
      <w:r>
        <w:rPr>
          <w:rFonts w:eastAsia="Times New Roman"/>
        </w:rPr>
        <w:t xml:space="preserve">onsumer </w:t>
      </w:r>
      <w:r w:rsidR="009611A0">
        <w:rPr>
          <w:rFonts w:eastAsia="Times New Roman"/>
        </w:rPr>
        <w:t>d</w:t>
      </w:r>
      <w:r>
        <w:rPr>
          <w:rFonts w:eastAsia="Times New Roman"/>
        </w:rPr>
        <w:t xml:space="preserve">ata </w:t>
      </w:r>
      <w:r w:rsidR="009611A0">
        <w:rPr>
          <w:rFonts w:eastAsia="Times New Roman"/>
        </w:rPr>
        <w:t>r</w:t>
      </w:r>
      <w:r>
        <w:rPr>
          <w:rFonts w:eastAsia="Times New Roman"/>
        </w:rPr>
        <w:t xml:space="preserve">ight (CDR) in September 2019. The designation instrument </w:t>
      </w:r>
      <w:r w:rsidDel="00A17028">
        <w:rPr>
          <w:rFonts w:eastAsia="Times New Roman"/>
        </w:rPr>
        <w:t xml:space="preserve">was </w:t>
      </w:r>
      <w:r>
        <w:rPr>
          <w:rFonts w:eastAsia="Times New Roman"/>
        </w:rPr>
        <w:t>a key component of implementing the 2018 Review into Open Banking in Australia (Open Banking Review)</w:t>
      </w:r>
      <w:r w:rsidR="008A14BB" w:rsidRPr="008A14BB">
        <w:rPr>
          <w:rStyle w:val="FootnoteReference"/>
          <w:rFonts w:eastAsia="Times New Roman"/>
        </w:rPr>
        <w:t xml:space="preserve"> </w:t>
      </w:r>
      <w:r w:rsidR="008A14BB">
        <w:rPr>
          <w:rStyle w:val="FootnoteReference"/>
          <w:rFonts w:eastAsia="Times New Roman"/>
        </w:rPr>
        <w:footnoteReference w:id="2"/>
      </w:r>
      <w:r>
        <w:rPr>
          <w:rFonts w:eastAsia="Times New Roman"/>
        </w:rPr>
        <w:t xml:space="preserve">, which recommended a broad range </w:t>
      </w:r>
      <w:r w:rsidRPr="00DE7D49">
        <w:t>of</w:t>
      </w:r>
      <w:r>
        <w:rPr>
          <w:rFonts w:eastAsia="Times New Roman"/>
        </w:rPr>
        <w:t xml:space="preserve"> lending products provided by banks be in scope for the CDR, including lease products.</w:t>
      </w:r>
    </w:p>
    <w:p w14:paraId="33E1283E" w14:textId="137C5402" w:rsidR="003D1813" w:rsidRPr="003D1813" w:rsidRDefault="003D1813" w:rsidP="003D1813">
      <w:r>
        <w:t xml:space="preserve">The </w:t>
      </w:r>
      <w:r w:rsidRPr="00222D5B">
        <w:rPr>
          <w:i/>
          <w:iCs/>
        </w:rPr>
        <w:t>Competition and Consumer (Consumer Data Right) Rules 2020</w:t>
      </w:r>
      <w:r>
        <w:t xml:space="preserve"> (the Rules) have been drafted on the basis that lease products are </w:t>
      </w:r>
      <w:r w:rsidR="0052039F">
        <w:t>within scope of the designation</w:t>
      </w:r>
      <w:r>
        <w:t xml:space="preserve"> – this is because lease products, including consumer leases and asset finance, fall within the prescribed list of banking products.</w:t>
      </w:r>
      <w:r w:rsidR="009611A0">
        <w:rPr>
          <w:rStyle w:val="FootnoteReference"/>
        </w:rPr>
        <w:footnoteReference w:id="3"/>
      </w:r>
      <w:r>
        <w:t xml:space="preserve"> The sector is currently operating consistent</w:t>
      </w:r>
      <w:r w:rsidR="00232F3A">
        <w:t>ly</w:t>
      </w:r>
      <w:r>
        <w:t xml:space="preserve"> with these obligations. </w:t>
      </w:r>
    </w:p>
    <w:p w14:paraId="0C873A30" w14:textId="0E5643E5" w:rsidR="00FC3BFD" w:rsidRDefault="00AF14B9" w:rsidP="00AF14B9">
      <w:pPr>
        <w:rPr>
          <w:rFonts w:eastAsia="Times New Roman"/>
        </w:rPr>
      </w:pPr>
      <w:r>
        <w:rPr>
          <w:rFonts w:eastAsia="Times New Roman"/>
        </w:rPr>
        <w:t>There is currently uncertainty around whether the definition of ‘product’ in the</w:t>
      </w:r>
      <w:r w:rsidR="00B545C2">
        <w:rPr>
          <w:rFonts w:eastAsia="Times New Roman"/>
        </w:rPr>
        <w:t xml:space="preserve"> </w:t>
      </w:r>
      <w:r>
        <w:rPr>
          <w:rFonts w:eastAsia="Times New Roman"/>
        </w:rPr>
        <w:t>designation instrument covers all lease products.</w:t>
      </w:r>
      <w:r w:rsidR="00E34068">
        <w:rPr>
          <w:rStyle w:val="FootnoteReference"/>
          <w:rFonts w:eastAsia="Times New Roman"/>
        </w:rPr>
        <w:footnoteReference w:id="4"/>
      </w:r>
      <w:r w:rsidDel="00D9203F">
        <w:rPr>
          <w:rFonts w:eastAsia="Times New Roman"/>
        </w:rPr>
        <w:t xml:space="preserve"> </w:t>
      </w:r>
      <w:r w:rsidR="007F4B17">
        <w:rPr>
          <w:rFonts w:eastAsia="Times New Roman"/>
        </w:rPr>
        <w:t>F</w:t>
      </w:r>
      <w:r w:rsidRPr="00BF55CC">
        <w:rPr>
          <w:rFonts w:eastAsia="Times New Roman"/>
        </w:rPr>
        <w:t xml:space="preserve">or the avoidance of doubt, Treasury </w:t>
      </w:r>
      <w:r w:rsidR="00FC3BFD">
        <w:rPr>
          <w:rFonts w:eastAsia="Times New Roman"/>
        </w:rPr>
        <w:t>publicly consulted on a proposal</w:t>
      </w:r>
      <w:r w:rsidRPr="00BF55CC">
        <w:rPr>
          <w:rFonts w:eastAsia="Times New Roman"/>
        </w:rPr>
        <w:t xml:space="preserve"> to amend the</w:t>
      </w:r>
      <w:r>
        <w:rPr>
          <w:rFonts w:eastAsia="Times New Roman"/>
        </w:rPr>
        <w:t xml:space="preserve"> designation instrument</w:t>
      </w:r>
      <w:r w:rsidRPr="00BF55CC">
        <w:rPr>
          <w:rFonts w:eastAsia="Times New Roman"/>
        </w:rPr>
        <w:t xml:space="preserve"> to </w:t>
      </w:r>
      <w:r>
        <w:rPr>
          <w:rFonts w:eastAsia="Times New Roman"/>
        </w:rPr>
        <w:t xml:space="preserve">explicitly capture the full range of lease products offered by banks (irrespective of how these products are structured). </w:t>
      </w:r>
    </w:p>
    <w:p w14:paraId="1E775BBF" w14:textId="3F5C72BE" w:rsidR="00AF5A09" w:rsidRDefault="007D0C12" w:rsidP="00AF14B9">
      <w:pPr>
        <w:rPr>
          <w:rFonts w:eastAsia="Times New Roman"/>
        </w:rPr>
      </w:pPr>
      <w:r>
        <w:rPr>
          <w:rFonts w:eastAsia="Times New Roman"/>
        </w:rPr>
        <w:t>Having regard to submissions received</w:t>
      </w:r>
      <w:r w:rsidR="00677E41">
        <w:rPr>
          <w:rFonts w:eastAsia="Times New Roman"/>
        </w:rPr>
        <w:t xml:space="preserve"> to the designation instrument consultation</w:t>
      </w:r>
      <w:r w:rsidR="00A54D63">
        <w:rPr>
          <w:rFonts w:eastAsia="Times New Roman"/>
        </w:rPr>
        <w:t xml:space="preserve"> and its analysis of the statutory factors as outlined below,</w:t>
      </w:r>
      <w:r>
        <w:rPr>
          <w:rFonts w:eastAsia="Times New Roman"/>
        </w:rPr>
        <w:t xml:space="preserve"> Trea</w:t>
      </w:r>
      <w:r w:rsidR="00A54D63">
        <w:rPr>
          <w:rFonts w:eastAsia="Times New Roman"/>
        </w:rPr>
        <w:t xml:space="preserve">sury recommends </w:t>
      </w:r>
      <w:r w:rsidR="005D4BAF">
        <w:rPr>
          <w:rFonts w:eastAsia="Times New Roman"/>
        </w:rPr>
        <w:t xml:space="preserve">the designation instrument be </w:t>
      </w:r>
      <w:r w:rsidR="00203BD2">
        <w:rPr>
          <w:rFonts w:eastAsia="Times New Roman"/>
        </w:rPr>
        <w:t xml:space="preserve">amended to include the </w:t>
      </w:r>
      <w:r w:rsidR="00111225">
        <w:rPr>
          <w:rFonts w:eastAsia="Times New Roman"/>
        </w:rPr>
        <w:t>proposed</w:t>
      </w:r>
      <w:r w:rsidR="00C74ABF">
        <w:rPr>
          <w:rFonts w:eastAsia="Times New Roman"/>
        </w:rPr>
        <w:t xml:space="preserve"> new</w:t>
      </w:r>
      <w:r w:rsidR="00111225">
        <w:rPr>
          <w:rFonts w:eastAsia="Times New Roman"/>
        </w:rPr>
        <w:t xml:space="preserve"> definition of ‘product’. </w:t>
      </w:r>
      <w:r w:rsidR="00203BD2">
        <w:rPr>
          <w:rFonts w:eastAsia="Times New Roman"/>
        </w:rPr>
        <w:t xml:space="preserve"> </w:t>
      </w:r>
    </w:p>
    <w:p w14:paraId="1994AC55" w14:textId="4AF164DD" w:rsidR="003D1813" w:rsidRPr="003D1813" w:rsidRDefault="003D1813" w:rsidP="003D1813">
      <w:pPr>
        <w:pStyle w:val="Heading2"/>
        <w:rPr>
          <w:rFonts w:eastAsia="Times New Roman"/>
        </w:rPr>
      </w:pPr>
      <w:r w:rsidRPr="00A57E2A">
        <w:rPr>
          <w:rFonts w:eastAsia="Times New Roman"/>
        </w:rPr>
        <w:t xml:space="preserve">Proposed </w:t>
      </w:r>
      <w:r w:rsidR="00AF14B9">
        <w:rPr>
          <w:rFonts w:eastAsia="Times New Roman"/>
        </w:rPr>
        <w:t>new</w:t>
      </w:r>
      <w:r w:rsidRPr="00A57E2A">
        <w:rPr>
          <w:rFonts w:eastAsia="Times New Roman"/>
        </w:rPr>
        <w:t xml:space="preserve"> definition</w:t>
      </w:r>
      <w:r>
        <w:rPr>
          <w:rFonts w:eastAsia="Times New Roman"/>
        </w:rPr>
        <w:t xml:space="preserve"> of ‘product’</w:t>
      </w:r>
    </w:p>
    <w:p w14:paraId="0E114215" w14:textId="77777777" w:rsidR="00F67594" w:rsidRDefault="00AF14B9" w:rsidP="003D1813">
      <w:pPr>
        <w:pStyle w:val="Heading2"/>
        <w:rPr>
          <w:rFonts w:eastAsiaTheme="minorHAnsi" w:cstheme="minorBidi"/>
          <w:bCs w:val="0"/>
          <w:color w:val="auto"/>
          <w:sz w:val="22"/>
          <w:szCs w:val="22"/>
        </w:rPr>
      </w:pPr>
      <w:r w:rsidRPr="00AF14B9">
        <w:rPr>
          <w:rFonts w:eastAsiaTheme="minorHAnsi" w:cstheme="minorBidi"/>
          <w:bCs w:val="0"/>
          <w:color w:val="auto"/>
          <w:sz w:val="22"/>
          <w:szCs w:val="22"/>
        </w:rPr>
        <w:t>Broadly, the existing definition of ‘product’ in the designation instrument captures goods and services that have been supplied in connection with taking money on deposit, making advance</w:t>
      </w:r>
      <w:r w:rsidR="00232F3A">
        <w:rPr>
          <w:rFonts w:eastAsiaTheme="minorHAnsi" w:cstheme="minorBidi"/>
          <w:bCs w:val="0"/>
          <w:color w:val="auto"/>
          <w:sz w:val="22"/>
          <w:szCs w:val="22"/>
        </w:rPr>
        <w:t>s</w:t>
      </w:r>
      <w:r w:rsidRPr="00AF14B9">
        <w:rPr>
          <w:rFonts w:eastAsiaTheme="minorHAnsi" w:cstheme="minorBidi"/>
          <w:bCs w:val="0"/>
          <w:color w:val="auto"/>
          <w:sz w:val="22"/>
          <w:szCs w:val="22"/>
        </w:rPr>
        <w:t xml:space="preserve"> of money</w:t>
      </w:r>
      <w:r w:rsidR="002B05E1">
        <w:rPr>
          <w:rFonts w:eastAsiaTheme="minorHAnsi" w:cstheme="minorBidi"/>
          <w:bCs w:val="0"/>
          <w:color w:val="auto"/>
          <w:sz w:val="22"/>
          <w:szCs w:val="22"/>
        </w:rPr>
        <w:t>,</w:t>
      </w:r>
      <w:r w:rsidRPr="00AF14B9">
        <w:rPr>
          <w:rFonts w:eastAsiaTheme="minorHAnsi" w:cstheme="minorBidi"/>
          <w:bCs w:val="0"/>
          <w:color w:val="auto"/>
          <w:sz w:val="22"/>
          <w:szCs w:val="22"/>
        </w:rPr>
        <w:t xml:space="preserve"> or another financial activity prescribed by regulations for the purposes of the definition of ‘banking business’. The definition also captures a purchased payment facility. Treasury </w:t>
      </w:r>
      <w:r w:rsidR="00A13BCC">
        <w:rPr>
          <w:rFonts w:eastAsiaTheme="minorHAnsi" w:cstheme="minorBidi"/>
          <w:bCs w:val="0"/>
          <w:color w:val="auto"/>
          <w:sz w:val="22"/>
          <w:szCs w:val="22"/>
        </w:rPr>
        <w:t>recommends</w:t>
      </w:r>
      <w:r w:rsidRPr="00AF14B9">
        <w:rPr>
          <w:rFonts w:eastAsiaTheme="minorHAnsi" w:cstheme="minorBidi"/>
          <w:bCs w:val="0"/>
          <w:color w:val="auto"/>
          <w:sz w:val="22"/>
          <w:szCs w:val="22"/>
        </w:rPr>
        <w:t xml:space="preserve"> th</w:t>
      </w:r>
      <w:r w:rsidR="00E53740">
        <w:rPr>
          <w:rFonts w:eastAsiaTheme="minorHAnsi" w:cstheme="minorBidi"/>
          <w:bCs w:val="0"/>
          <w:color w:val="auto"/>
          <w:sz w:val="22"/>
          <w:szCs w:val="22"/>
        </w:rPr>
        <w:t>e</w:t>
      </w:r>
      <w:r w:rsidRPr="00AF14B9">
        <w:rPr>
          <w:rFonts w:eastAsiaTheme="minorHAnsi" w:cstheme="minorBidi"/>
          <w:bCs w:val="0"/>
          <w:color w:val="auto"/>
          <w:sz w:val="22"/>
          <w:szCs w:val="22"/>
        </w:rPr>
        <w:t xml:space="preserve"> definition </w:t>
      </w:r>
      <w:r w:rsidR="00A13BCC">
        <w:rPr>
          <w:rFonts w:eastAsiaTheme="minorHAnsi" w:cstheme="minorBidi"/>
          <w:bCs w:val="0"/>
          <w:color w:val="auto"/>
          <w:sz w:val="22"/>
          <w:szCs w:val="22"/>
        </w:rPr>
        <w:t xml:space="preserve">be amended </w:t>
      </w:r>
      <w:r w:rsidRPr="00AF14B9">
        <w:rPr>
          <w:rFonts w:eastAsiaTheme="minorHAnsi" w:cstheme="minorBidi"/>
          <w:bCs w:val="0"/>
          <w:color w:val="auto"/>
          <w:sz w:val="22"/>
          <w:szCs w:val="22"/>
        </w:rPr>
        <w:t xml:space="preserve">to </w:t>
      </w:r>
      <w:r w:rsidR="00DE78C4">
        <w:rPr>
          <w:rFonts w:eastAsiaTheme="minorHAnsi" w:cstheme="minorBidi"/>
          <w:bCs w:val="0"/>
          <w:color w:val="auto"/>
          <w:sz w:val="22"/>
          <w:szCs w:val="22"/>
        </w:rPr>
        <w:t>capture goods and services that have been supplied in connection with the letting on hire of goods</w:t>
      </w:r>
      <w:r w:rsidR="0035393D">
        <w:rPr>
          <w:rStyle w:val="FootnoteReference"/>
          <w:rFonts w:eastAsiaTheme="minorHAnsi" w:cstheme="minorBidi"/>
          <w:bCs w:val="0"/>
          <w:color w:val="auto"/>
          <w:sz w:val="22"/>
          <w:szCs w:val="22"/>
        </w:rPr>
        <w:footnoteReference w:id="5"/>
      </w:r>
      <w:r w:rsidR="0035393D">
        <w:rPr>
          <w:rFonts w:eastAsiaTheme="minorHAnsi" w:cstheme="minorBidi"/>
          <w:bCs w:val="0"/>
          <w:color w:val="auto"/>
          <w:sz w:val="22"/>
          <w:szCs w:val="22"/>
        </w:rPr>
        <w:t xml:space="preserve"> </w:t>
      </w:r>
      <w:r w:rsidR="00DE78C4">
        <w:rPr>
          <w:rFonts w:eastAsiaTheme="minorHAnsi" w:cstheme="minorBidi"/>
          <w:bCs w:val="0"/>
          <w:color w:val="auto"/>
          <w:sz w:val="22"/>
          <w:szCs w:val="22"/>
        </w:rPr>
        <w:t>(leases</w:t>
      </w:r>
      <w:r w:rsidR="004B05BF">
        <w:rPr>
          <w:rFonts w:eastAsiaTheme="minorHAnsi" w:cstheme="minorBidi"/>
          <w:bCs w:val="0"/>
          <w:color w:val="auto"/>
          <w:sz w:val="22"/>
          <w:szCs w:val="22"/>
        </w:rPr>
        <w:t xml:space="preserve">), </w:t>
      </w:r>
      <w:bookmarkStart w:id="0" w:name="_Hlk109220587"/>
      <w:r w:rsidR="004B05BF">
        <w:rPr>
          <w:rFonts w:eastAsiaTheme="minorHAnsi" w:cstheme="minorBidi"/>
          <w:bCs w:val="0"/>
          <w:color w:val="auto"/>
          <w:sz w:val="22"/>
          <w:szCs w:val="22"/>
        </w:rPr>
        <w:t>including on hire-purchase.</w:t>
      </w:r>
      <w:r w:rsidR="00DE78C4">
        <w:rPr>
          <w:rFonts w:eastAsiaTheme="minorHAnsi" w:cstheme="minorBidi"/>
          <w:bCs w:val="0"/>
          <w:color w:val="auto"/>
          <w:sz w:val="22"/>
          <w:szCs w:val="22"/>
        </w:rPr>
        <w:t xml:space="preserve"> </w:t>
      </w:r>
      <w:bookmarkEnd w:id="0"/>
    </w:p>
    <w:p w14:paraId="46FB418C" w14:textId="5E5F577E" w:rsidR="00AF14B9" w:rsidRDefault="002B05E1" w:rsidP="003D1813">
      <w:pPr>
        <w:pStyle w:val="Heading2"/>
        <w:rPr>
          <w:rFonts w:eastAsiaTheme="minorHAnsi" w:cstheme="minorBidi"/>
          <w:bCs w:val="0"/>
          <w:color w:val="auto"/>
          <w:sz w:val="22"/>
          <w:szCs w:val="22"/>
        </w:rPr>
      </w:pPr>
      <w:r>
        <w:rPr>
          <w:rFonts w:eastAsiaTheme="minorHAnsi" w:cstheme="minorBidi"/>
          <w:bCs w:val="0"/>
          <w:color w:val="auto"/>
          <w:sz w:val="22"/>
          <w:szCs w:val="22"/>
        </w:rPr>
        <w:t xml:space="preserve">This definition is consistent with that recommended for </w:t>
      </w:r>
      <w:r w:rsidR="00AB63AA">
        <w:rPr>
          <w:rFonts w:eastAsiaTheme="minorHAnsi" w:cstheme="minorBidi"/>
          <w:bCs w:val="0"/>
          <w:color w:val="auto"/>
          <w:sz w:val="22"/>
          <w:szCs w:val="22"/>
        </w:rPr>
        <w:t>inclusion in the non-bank lending designation instrument by</w:t>
      </w:r>
      <w:r>
        <w:rPr>
          <w:rFonts w:eastAsiaTheme="minorHAnsi" w:cstheme="minorBidi"/>
          <w:bCs w:val="0"/>
          <w:color w:val="auto"/>
          <w:sz w:val="22"/>
          <w:szCs w:val="22"/>
        </w:rPr>
        <w:t xml:space="preserve"> </w:t>
      </w:r>
      <w:r w:rsidR="00AB63AA">
        <w:rPr>
          <w:rFonts w:eastAsiaTheme="minorHAnsi" w:cstheme="minorBidi"/>
          <w:bCs w:val="0"/>
          <w:color w:val="auto"/>
          <w:sz w:val="22"/>
          <w:szCs w:val="22"/>
        </w:rPr>
        <w:t xml:space="preserve">the </w:t>
      </w:r>
      <w:r>
        <w:rPr>
          <w:rFonts w:eastAsiaTheme="minorHAnsi" w:cstheme="minorBidi"/>
          <w:bCs w:val="0"/>
          <w:color w:val="auto"/>
          <w:sz w:val="22"/>
          <w:szCs w:val="22"/>
        </w:rPr>
        <w:t>Sectoral Assessment Final Report.</w:t>
      </w:r>
      <w:r w:rsidR="00F67594">
        <w:rPr>
          <w:rStyle w:val="FootnoteReference"/>
          <w:rFonts w:eastAsiaTheme="minorHAnsi" w:cstheme="minorBidi"/>
          <w:bCs w:val="0"/>
          <w:color w:val="auto"/>
          <w:sz w:val="22"/>
          <w:szCs w:val="22"/>
        </w:rPr>
        <w:footnoteReference w:id="6"/>
      </w:r>
      <w:r>
        <w:rPr>
          <w:rFonts w:eastAsiaTheme="minorHAnsi" w:cstheme="minorBidi"/>
          <w:bCs w:val="0"/>
          <w:color w:val="auto"/>
          <w:sz w:val="22"/>
          <w:szCs w:val="22"/>
        </w:rPr>
        <w:t xml:space="preserve"> Making this change will ensure there is consistency in definitions between the </w:t>
      </w:r>
      <w:r w:rsidR="00AB63AA">
        <w:rPr>
          <w:rFonts w:eastAsiaTheme="minorHAnsi" w:cstheme="minorBidi"/>
          <w:bCs w:val="0"/>
          <w:color w:val="auto"/>
          <w:sz w:val="22"/>
          <w:szCs w:val="22"/>
        </w:rPr>
        <w:t>banking and non-bank lending sectors</w:t>
      </w:r>
      <w:r>
        <w:rPr>
          <w:rFonts w:eastAsiaTheme="minorHAnsi" w:cstheme="minorBidi"/>
          <w:bCs w:val="0"/>
          <w:color w:val="auto"/>
          <w:sz w:val="22"/>
          <w:szCs w:val="22"/>
        </w:rPr>
        <w:t xml:space="preserve">. This is important given the complementary nature of the datasets across the two sectors and the benefits that will come from </w:t>
      </w:r>
      <w:r w:rsidR="00F67594">
        <w:rPr>
          <w:rFonts w:eastAsiaTheme="minorHAnsi" w:cstheme="minorBidi"/>
          <w:bCs w:val="0"/>
          <w:color w:val="auto"/>
          <w:sz w:val="22"/>
          <w:szCs w:val="22"/>
        </w:rPr>
        <w:t xml:space="preserve">sharing </w:t>
      </w:r>
      <w:r w:rsidR="006F54BA">
        <w:rPr>
          <w:rFonts w:eastAsiaTheme="minorHAnsi" w:cstheme="minorBidi"/>
          <w:bCs w:val="0"/>
          <w:color w:val="auto"/>
          <w:sz w:val="22"/>
          <w:szCs w:val="22"/>
        </w:rPr>
        <w:t>these</w:t>
      </w:r>
      <w:r>
        <w:rPr>
          <w:rFonts w:eastAsiaTheme="minorHAnsi" w:cstheme="minorBidi"/>
          <w:bCs w:val="0"/>
          <w:color w:val="auto"/>
          <w:sz w:val="22"/>
          <w:szCs w:val="22"/>
        </w:rPr>
        <w:t xml:space="preserve"> datasets </w:t>
      </w:r>
      <w:r w:rsidR="006F54BA">
        <w:rPr>
          <w:rFonts w:eastAsiaTheme="minorHAnsi" w:cstheme="minorBidi"/>
          <w:bCs w:val="0"/>
          <w:color w:val="auto"/>
          <w:sz w:val="22"/>
          <w:szCs w:val="22"/>
        </w:rPr>
        <w:t>through the CDR.</w:t>
      </w:r>
    </w:p>
    <w:p w14:paraId="69E1DF01" w14:textId="13525304" w:rsidR="000544DA" w:rsidRDefault="000544DA" w:rsidP="00A158C3">
      <w:pPr>
        <w:pStyle w:val="Heading2"/>
        <w:keepNext/>
        <w:rPr>
          <w:rFonts w:eastAsia="Times New Roman"/>
        </w:rPr>
      </w:pPr>
      <w:r>
        <w:rPr>
          <w:rFonts w:eastAsia="Times New Roman"/>
        </w:rPr>
        <w:lastRenderedPageBreak/>
        <w:t>Consultation</w:t>
      </w:r>
    </w:p>
    <w:p w14:paraId="793CDBA8" w14:textId="6CD6A781" w:rsidR="00C45762" w:rsidRDefault="00C45762" w:rsidP="000544DA">
      <w:r>
        <w:t xml:space="preserve">Consistent with statutory requirements, Treasury undertook a </w:t>
      </w:r>
      <w:r w:rsidR="000A7970">
        <w:t>28-day</w:t>
      </w:r>
      <w:r>
        <w:t xml:space="preserve"> public consultation on the proposed changes, as well as sought views from the Australian Competition and Consumer Commission, the Office of the Information Commissioner and the relevant regulators – the Australian Prudential Regulation Authority and the Australian Securities and Investments Commission.</w:t>
      </w:r>
    </w:p>
    <w:p w14:paraId="3139736C" w14:textId="5C090E7D" w:rsidR="00106CCF" w:rsidRDefault="00A71AE6" w:rsidP="000544DA">
      <w:r>
        <w:t xml:space="preserve">Treasury received </w:t>
      </w:r>
      <w:r w:rsidR="00A07A62">
        <w:t>4</w:t>
      </w:r>
      <w:r>
        <w:t xml:space="preserve"> </w:t>
      </w:r>
      <w:r w:rsidR="00C45762">
        <w:t xml:space="preserve">formal </w:t>
      </w:r>
      <w:r>
        <w:t xml:space="preserve">submissions to the banking designation instrument minor and technical amendment </w:t>
      </w:r>
      <w:r w:rsidR="002051AD">
        <w:t>consultation</w:t>
      </w:r>
      <w:r w:rsidR="00A07A62">
        <w:t>.</w:t>
      </w:r>
      <w:r w:rsidR="00BE24E9">
        <w:t xml:space="preserve"> </w:t>
      </w:r>
    </w:p>
    <w:p w14:paraId="704E8F42" w14:textId="79790C63" w:rsidR="00BE24E9" w:rsidRDefault="00C45762" w:rsidP="000544DA">
      <w:r>
        <w:t>Stakeholders</w:t>
      </w:r>
      <w:r w:rsidR="00F67594">
        <w:t xml:space="preserve"> raised no concerns with the</w:t>
      </w:r>
      <w:r w:rsidR="002051AD">
        <w:t xml:space="preserve"> </w:t>
      </w:r>
      <w:r w:rsidR="00BE24E9">
        <w:t xml:space="preserve">proposed </w:t>
      </w:r>
      <w:r w:rsidR="002051AD">
        <w:t>amendment.</w:t>
      </w:r>
      <w:r w:rsidR="002469E0">
        <w:rPr>
          <w:rStyle w:val="FootnoteReference"/>
        </w:rPr>
        <w:footnoteReference w:id="7"/>
      </w:r>
    </w:p>
    <w:p w14:paraId="0B3B5D6B" w14:textId="0F98898F" w:rsidR="003D1813" w:rsidRPr="007E028C" w:rsidRDefault="003D1813" w:rsidP="00A158C3">
      <w:pPr>
        <w:pStyle w:val="Heading2"/>
        <w:keepNext/>
        <w:rPr>
          <w:rFonts w:eastAsia="Times New Roman"/>
        </w:rPr>
      </w:pPr>
      <w:r w:rsidRPr="007E028C">
        <w:rPr>
          <w:rFonts w:eastAsia="Times New Roman"/>
        </w:rPr>
        <w:t>Assessment of proposed change</w:t>
      </w:r>
    </w:p>
    <w:p w14:paraId="407B1BB8" w14:textId="0A7EB8AD" w:rsidR="003D1813" w:rsidRDefault="003D1813" w:rsidP="003D1813">
      <w:pPr>
        <w:rPr>
          <w:rFonts w:eastAsia="Times New Roman"/>
        </w:rPr>
      </w:pPr>
      <w:r>
        <w:rPr>
          <w:rFonts w:eastAsia="Times New Roman"/>
        </w:rPr>
        <w:t>The</w:t>
      </w:r>
      <w:r w:rsidDel="00A62035">
        <w:rPr>
          <w:rFonts w:eastAsia="Times New Roman"/>
        </w:rPr>
        <w:t xml:space="preserve"> </w:t>
      </w:r>
      <w:r>
        <w:rPr>
          <w:rFonts w:eastAsia="Times New Roman"/>
        </w:rPr>
        <w:t xml:space="preserve">Treasury Secretary must comply with reporting obligations </w:t>
      </w:r>
      <w:r>
        <w:t>(</w:t>
      </w:r>
      <w:r>
        <w:rPr>
          <w:rFonts w:eastAsia="Times New Roman"/>
        </w:rPr>
        <w:t>s</w:t>
      </w:r>
      <w:r w:rsidR="00F41DA0">
        <w:rPr>
          <w:rFonts w:eastAsia="Times New Roman"/>
        </w:rPr>
        <w:t xml:space="preserve">ection </w:t>
      </w:r>
      <w:r>
        <w:rPr>
          <w:rFonts w:eastAsia="Times New Roman"/>
        </w:rPr>
        <w:t>56AE</w:t>
      </w:r>
      <w:r>
        <w:t>),</w:t>
      </w:r>
      <w:r>
        <w:rPr>
          <w:rFonts w:eastAsia="Times New Roman"/>
        </w:rPr>
        <w:t xml:space="preserve"> </w:t>
      </w:r>
      <w:r>
        <w:rPr>
          <w:rFonts w:eastAsia="Times New Roman"/>
          <w:color w:val="242424"/>
          <w:lang w:eastAsia="en-AU"/>
        </w:rPr>
        <w:t>including the need to consult and prepare a report which considers the impact of making a designation instrument by reference to a range of statutory factors.</w:t>
      </w:r>
      <w:r>
        <w:rPr>
          <w:rStyle w:val="FootnoteReference"/>
          <w:rFonts w:eastAsia="Times New Roman"/>
          <w:color w:val="242424"/>
          <w:lang w:eastAsia="en-AU"/>
        </w:rPr>
        <w:footnoteReference w:id="8"/>
      </w:r>
      <w:r>
        <w:rPr>
          <w:rFonts w:eastAsia="Times New Roman"/>
        </w:rPr>
        <w:t xml:space="preserve"> </w:t>
      </w:r>
      <w:r w:rsidR="00C8595F">
        <w:t>This report meets that requirement for the proposed minor and technical amendment to the designation instrument and serves to inform the Minister’s decision on whether to make the proposed amendment.</w:t>
      </w:r>
    </w:p>
    <w:p w14:paraId="670A9791" w14:textId="1AC1335B" w:rsidR="003D1813" w:rsidRDefault="008A14BB" w:rsidP="003D1813">
      <w:r>
        <w:rPr>
          <w:rFonts w:eastAsia="Times New Roman"/>
        </w:rPr>
        <w:t>T</w:t>
      </w:r>
      <w:r w:rsidR="006A7065">
        <w:rPr>
          <w:rFonts w:eastAsia="Times New Roman"/>
        </w:rPr>
        <w:t xml:space="preserve">he implementation of banking in CDR was informed by the Open Banking Review. </w:t>
      </w:r>
      <w:r w:rsidR="003D1813">
        <w:t>The Open Banking Review recommended a regulatory framework under which an open banking regime would operate, having regard to international best practice, competition, fairness, innovation, efficiency, regulatory compliance costs and consumer protection.</w:t>
      </w:r>
      <w:r w:rsidR="003D1813">
        <w:rPr>
          <w:rStyle w:val="FootnoteReference"/>
        </w:rPr>
        <w:footnoteReference w:id="9"/>
      </w:r>
    </w:p>
    <w:p w14:paraId="50403179" w14:textId="77777777" w:rsidR="005A1D2A" w:rsidRDefault="003D1813" w:rsidP="003D1813">
      <w:r>
        <w:rPr>
          <w:rFonts w:eastAsia="Times New Roman"/>
        </w:rPr>
        <w:t>The final report of the Open Banking Review considered the type of banking data that should be in scope for the CDR and recommended that consumer leases and asset finance (including leases) be expressly covered.</w:t>
      </w:r>
      <w:r>
        <w:t xml:space="preserve"> The Review analysed the likely benefits to consumers and the economy of sharing banking information through the CDR and examined the use cases that could be supported by this information. </w:t>
      </w:r>
    </w:p>
    <w:p w14:paraId="7ADB67F7" w14:textId="656404E5" w:rsidR="003D1813" w:rsidRDefault="003D1813" w:rsidP="003D1813">
      <w:r>
        <w:t xml:space="preserve">A </w:t>
      </w:r>
      <w:r w:rsidRPr="00906D08">
        <w:t xml:space="preserve">privacy impact assessment </w:t>
      </w:r>
      <w:r>
        <w:t>was also conducted which examined the impact of Open Banking on the privacy of individuals.</w:t>
      </w:r>
      <w:r w:rsidR="00C51E9A" w:rsidRPr="00906D08">
        <w:rPr>
          <w:rStyle w:val="FootnoteReference"/>
        </w:rPr>
        <w:footnoteReference w:id="10"/>
      </w:r>
      <w:r w:rsidR="00A07A62">
        <w:t xml:space="preserve"> </w:t>
      </w:r>
      <w:r w:rsidR="00A07A62" w:rsidRPr="00F2170B">
        <w:t xml:space="preserve">The </w:t>
      </w:r>
      <w:r w:rsidR="005A1D2A" w:rsidRPr="00F2170B">
        <w:t>Information Commissioner</w:t>
      </w:r>
      <w:r w:rsidR="00A07A62" w:rsidRPr="00F2170B">
        <w:t xml:space="preserve"> </w:t>
      </w:r>
      <w:r w:rsidR="000A7970" w:rsidRPr="00F2170B">
        <w:t>notes</w:t>
      </w:r>
      <w:r w:rsidR="00A07A62" w:rsidRPr="00F2170B">
        <w:t xml:space="preserve"> the</w:t>
      </w:r>
      <w:r w:rsidR="005A1D2A" w:rsidRPr="00F2170B">
        <w:t xml:space="preserve"> proposed amendment seeks to address a minor and technical issue within the banking designation instrument and does not seek to broaden the CDR system beyond what was recommended in the Open Banking Review. </w:t>
      </w:r>
      <w:r w:rsidR="000A7970" w:rsidRPr="00F2170B">
        <w:t>T</w:t>
      </w:r>
      <w:r w:rsidR="005A1D2A" w:rsidRPr="00F2170B">
        <w:t>he Commissioner concluded the</w:t>
      </w:r>
      <w:r w:rsidR="00A07A62" w:rsidRPr="00F2170B">
        <w:t xml:space="preserve"> privacy and confidentiality impacts of the proposed amendment can be appropriately mitigated and managed within the CDR framework</w:t>
      </w:r>
      <w:r w:rsidR="00E77C96" w:rsidRPr="00F2170B">
        <w:t>.</w:t>
      </w:r>
      <w:r w:rsidR="00553371">
        <w:rPr>
          <w:rStyle w:val="FootnoteReference"/>
        </w:rPr>
        <w:footnoteReference w:id="11"/>
      </w:r>
    </w:p>
    <w:p w14:paraId="181ED505" w14:textId="5AB64D78" w:rsidR="000727A7" w:rsidRDefault="000727A7" w:rsidP="003D1813">
      <w:r>
        <w:t>The ACCC notes that</w:t>
      </w:r>
      <w:r w:rsidR="000069A1">
        <w:t>:</w:t>
      </w:r>
    </w:p>
    <w:p w14:paraId="01BDA1AE" w14:textId="78A5F14B" w:rsidR="00611E04" w:rsidRDefault="00D80207" w:rsidP="00D80207">
      <w:pPr>
        <w:ind w:left="340"/>
      </w:pPr>
      <w:r>
        <w:t xml:space="preserve">The proposed minor and technical amendment will not alter the way that the Consumer Data Right has been operating in the banking sector or increase existing obligations on data holders or other CDR participants. The amendment to ensure leases are included in the designation instrument would also conform with the </w:t>
      </w:r>
      <w:r>
        <w:lastRenderedPageBreak/>
        <w:t>recommendations of the Open Banking Review – Final Report for in-scope lending products.</w:t>
      </w:r>
      <w:r w:rsidR="00913A22">
        <w:rPr>
          <w:rStyle w:val="FootnoteReference"/>
        </w:rPr>
        <w:footnoteReference w:id="12"/>
      </w:r>
    </w:p>
    <w:p w14:paraId="3E4A34F7" w14:textId="3E733DA2" w:rsidR="00504477" w:rsidRDefault="00645233" w:rsidP="00722959">
      <w:r>
        <w:t xml:space="preserve">Accordingly, as </w:t>
      </w:r>
      <w:r w:rsidR="00482D05">
        <w:t>the amendment merely formalises the current operation of the CDR Rules for the avoidance of doubt, the ACCC considers</w:t>
      </w:r>
      <w:r w:rsidR="00993960">
        <w:t xml:space="preserve"> </w:t>
      </w:r>
      <w:r w:rsidR="00482D05">
        <w:t>that the proposed minor and technical amendment will have a negli</w:t>
      </w:r>
      <w:r w:rsidR="00B43D3C">
        <w:t>gible</w:t>
      </w:r>
      <w:r w:rsidR="00482D05">
        <w:t xml:space="preserve"> impact </w:t>
      </w:r>
      <w:r w:rsidR="00B43D3C">
        <w:t>on</w:t>
      </w:r>
      <w:r w:rsidR="00482D05">
        <w:t xml:space="preserve"> the statutory </w:t>
      </w:r>
      <w:r w:rsidR="00504477">
        <w:t>factors in 56AD(1)(a) to (e) of the Act</w:t>
      </w:r>
      <w:r w:rsidR="00DA1542">
        <w:t>.</w:t>
      </w:r>
      <w:r w:rsidR="004459D9">
        <w:rPr>
          <w:rStyle w:val="FootnoteReference"/>
        </w:rPr>
        <w:footnoteReference w:id="13"/>
      </w:r>
      <w:r w:rsidR="00504477">
        <w:t xml:space="preserve"> </w:t>
      </w:r>
    </w:p>
    <w:p w14:paraId="360AAE65" w14:textId="497E4ADC" w:rsidR="000069A1" w:rsidRDefault="007C3231" w:rsidP="000069A1">
      <w:r>
        <w:t>Treasury considers t</w:t>
      </w:r>
      <w:r w:rsidR="000069A1">
        <w:t>he change proposed is a minor and technical amendment to ensure that the</w:t>
      </w:r>
      <w:r>
        <w:t xml:space="preserve"> CDR</w:t>
      </w:r>
      <w:r w:rsidR="000069A1">
        <w:t xml:space="preserve"> regime</w:t>
      </w:r>
      <w:r>
        <w:t xml:space="preserve"> in the banking sector</w:t>
      </w:r>
      <w:r w:rsidR="000069A1">
        <w:t xml:space="preserve"> continues to operate as it was envisaged. The proposed change does not seek to broaden the regime beyond what was recommended, or how it is currently operating in practice, and submissions from industry did not raise any concerns with the proposed amendment. Given this,</w:t>
      </w:r>
      <w:r w:rsidR="00857ECD">
        <w:t xml:space="preserve"> Treasury considers the</w:t>
      </w:r>
      <w:r w:rsidR="000069A1">
        <w:t xml:space="preserve"> likely impact of making the proposed technical amendment, assessed by reference to the section 56AD factors, is negligible</w:t>
      </w:r>
      <w:r w:rsidR="00946FC3">
        <w:t xml:space="preserve">, and recommends </w:t>
      </w:r>
      <w:r w:rsidR="002F11CD">
        <w:t xml:space="preserve">the Minister make the proposed amendment to the designation instrument. </w:t>
      </w:r>
    </w:p>
    <w:p w14:paraId="7F03CCFB" w14:textId="40C2296E" w:rsidR="00534539" w:rsidRDefault="00534539" w:rsidP="0065183C">
      <w:pPr>
        <w:pStyle w:val="Bullet"/>
        <w:numPr>
          <w:ilvl w:val="0"/>
          <w:numId w:val="0"/>
        </w:numPr>
        <w:ind w:left="520" w:hanging="520"/>
      </w:pPr>
    </w:p>
    <w:sectPr w:rsidR="00534539" w:rsidSect="00C06739">
      <w:footerReference w:type="default" r:id="rId15"/>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C7AE" w14:textId="77777777" w:rsidR="00F309FD" w:rsidRDefault="00F309FD" w:rsidP="004B4412">
      <w:pPr>
        <w:spacing w:before="0"/>
      </w:pPr>
      <w:r>
        <w:separator/>
      </w:r>
    </w:p>
  </w:endnote>
  <w:endnote w:type="continuationSeparator" w:id="0">
    <w:p w14:paraId="189EBADD" w14:textId="77777777" w:rsidR="00F309FD" w:rsidRDefault="00F309FD" w:rsidP="004B4412">
      <w:pPr>
        <w:spacing w:before="0"/>
      </w:pPr>
      <w:r>
        <w:continuationSeparator/>
      </w:r>
    </w:p>
  </w:endnote>
  <w:endnote w:type="continuationNotice" w:id="1">
    <w:p w14:paraId="110C29EC" w14:textId="77777777" w:rsidR="004A6CC8" w:rsidRDefault="004A6C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9890" w14:textId="713794CF" w:rsidR="000E3A2E" w:rsidRPr="00671AE7" w:rsidRDefault="000E3A2E" w:rsidP="000E3A2E">
    <w:pPr>
      <w:tabs>
        <w:tab w:val="center" w:pos="4513"/>
        <w:tab w:val="right" w:pos="8505"/>
      </w:tabs>
      <w:spacing w:after="120" w:line="276" w:lineRule="auto"/>
      <w:rPr>
        <w:sz w:val="18"/>
      </w:rPr>
    </w:pPr>
    <w:r w:rsidRPr="00671AE7">
      <w:rPr>
        <w:sz w:val="18"/>
      </w:rPr>
      <w:tab/>
    </w:r>
    <w:r w:rsidRPr="00671AE7">
      <w:rPr>
        <w:sz w:val="18"/>
      </w:rPr>
      <w:tab/>
    </w:r>
    <w:r w:rsidRPr="00671AE7">
      <w:rPr>
        <w:sz w:val="18"/>
      </w:rPr>
      <w:fldChar w:fldCharType="begin"/>
    </w:r>
    <w:r w:rsidRPr="00671AE7">
      <w:rPr>
        <w:sz w:val="18"/>
      </w:rPr>
      <w:instrText xml:space="preserve"> PAGE   \* MERGEFORMAT </w:instrText>
    </w:r>
    <w:r w:rsidRPr="00671AE7">
      <w:rPr>
        <w:sz w:val="18"/>
      </w:rPr>
      <w:fldChar w:fldCharType="separate"/>
    </w:r>
    <w:r w:rsidR="00852B63">
      <w:rPr>
        <w:noProof/>
        <w:sz w:val="18"/>
      </w:rPr>
      <w:t>3</w:t>
    </w:r>
    <w:r w:rsidRPr="00671AE7">
      <w:rPr>
        <w:sz w:val="18"/>
      </w:rPr>
      <w:fldChar w:fldCharType="end"/>
    </w:r>
  </w:p>
  <w:p w14:paraId="6234763C" w14:textId="77777777" w:rsidR="000E3A2E" w:rsidRPr="00E370FD" w:rsidRDefault="000E3A2E" w:rsidP="000E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505A" w14:textId="77777777" w:rsidR="00F309FD" w:rsidRDefault="00F309FD" w:rsidP="004B4412">
      <w:pPr>
        <w:spacing w:before="0"/>
      </w:pPr>
      <w:r>
        <w:separator/>
      </w:r>
    </w:p>
  </w:footnote>
  <w:footnote w:type="continuationSeparator" w:id="0">
    <w:p w14:paraId="7FEBC2EA" w14:textId="77777777" w:rsidR="00F309FD" w:rsidRDefault="00F309FD" w:rsidP="004B4412">
      <w:pPr>
        <w:spacing w:before="0"/>
      </w:pPr>
      <w:r>
        <w:continuationSeparator/>
      </w:r>
    </w:p>
  </w:footnote>
  <w:footnote w:type="continuationNotice" w:id="1">
    <w:p w14:paraId="5C2F73E0" w14:textId="77777777" w:rsidR="004A6CC8" w:rsidRDefault="004A6CC8">
      <w:pPr>
        <w:spacing w:before="0"/>
      </w:pPr>
    </w:p>
  </w:footnote>
  <w:footnote w:id="2">
    <w:p w14:paraId="0311ED55" w14:textId="77777777" w:rsidR="008A14BB" w:rsidRPr="007E028C" w:rsidRDefault="008A14BB" w:rsidP="008A14BB">
      <w:pPr>
        <w:pStyle w:val="FootnoteText"/>
        <w:ind w:left="113" w:hanging="113"/>
        <w:rPr>
          <w:szCs w:val="16"/>
        </w:rPr>
      </w:pPr>
      <w:r w:rsidRPr="007E028C">
        <w:rPr>
          <w:rStyle w:val="FootnoteReference"/>
          <w:szCs w:val="16"/>
        </w:rPr>
        <w:footnoteRef/>
      </w:r>
      <w:r w:rsidRPr="007E028C">
        <w:rPr>
          <w:szCs w:val="16"/>
        </w:rPr>
        <w:t xml:space="preserve"> The Open Banking Review was commissioned in 2017 to recommend the best approach to implement Open Banking in Australia.</w:t>
      </w:r>
    </w:p>
  </w:footnote>
  <w:footnote w:id="3">
    <w:p w14:paraId="549FEACD" w14:textId="66F571BA" w:rsidR="009611A0" w:rsidRDefault="009611A0">
      <w:pPr>
        <w:pStyle w:val="FootnoteText"/>
      </w:pPr>
      <w:r>
        <w:rPr>
          <w:rStyle w:val="FootnoteReference"/>
        </w:rPr>
        <w:footnoteRef/>
      </w:r>
      <w:r>
        <w:t xml:space="preserve"> In clause 1.4 of Schedule 3 to the </w:t>
      </w:r>
      <w:r w:rsidRPr="00222D5B">
        <w:rPr>
          <w:i/>
          <w:iCs/>
        </w:rPr>
        <w:t>Competition and Consumer (Consumer Data Right) Rules 2020</w:t>
      </w:r>
      <w:r>
        <w:rPr>
          <w:i/>
          <w:iCs/>
        </w:rPr>
        <w:t>.</w:t>
      </w:r>
    </w:p>
  </w:footnote>
  <w:footnote w:id="4">
    <w:p w14:paraId="0A080D04" w14:textId="77777777" w:rsidR="00E34068" w:rsidRPr="003C720A" w:rsidRDefault="00E34068" w:rsidP="00E34068">
      <w:pPr>
        <w:pStyle w:val="FootnoteText"/>
        <w:rPr>
          <w:szCs w:val="16"/>
        </w:rPr>
      </w:pPr>
      <w:r w:rsidRPr="003C720A">
        <w:rPr>
          <w:rStyle w:val="FootnoteReference"/>
          <w:szCs w:val="16"/>
        </w:rPr>
        <w:footnoteRef/>
      </w:r>
      <w:r w:rsidRPr="003C720A">
        <w:rPr>
          <w:szCs w:val="16"/>
        </w:rPr>
        <w:t xml:space="preserve"> Clause 4 of the </w:t>
      </w:r>
      <w:r w:rsidRPr="003C720A">
        <w:rPr>
          <w:i/>
          <w:iCs/>
          <w:szCs w:val="16"/>
        </w:rPr>
        <w:t>Consumer Data Right (Authorised Deposit-Taking Institutions) Designation 2019</w:t>
      </w:r>
      <w:r w:rsidRPr="003C720A">
        <w:rPr>
          <w:szCs w:val="16"/>
        </w:rPr>
        <w:t>.</w:t>
      </w:r>
    </w:p>
  </w:footnote>
  <w:footnote w:id="5">
    <w:p w14:paraId="4D587DBA" w14:textId="4EC76C5B" w:rsidR="0035393D" w:rsidRDefault="0035393D" w:rsidP="00A941C0">
      <w:pPr>
        <w:pStyle w:val="FootnoteText"/>
        <w:ind w:left="113" w:hanging="113"/>
      </w:pPr>
      <w:r>
        <w:rPr>
          <w:rStyle w:val="FootnoteReference"/>
        </w:rPr>
        <w:footnoteRef/>
      </w:r>
      <w:r>
        <w:t xml:space="preserve"> </w:t>
      </w:r>
      <w:r w:rsidRPr="0035393D">
        <w:t xml:space="preserve">This definition draws on the meaning of 'provision of finance' outlined in section 32 of </w:t>
      </w:r>
      <w:r w:rsidRPr="0035393D">
        <w:rPr>
          <w:i/>
          <w:iCs/>
        </w:rPr>
        <w:t>Financial Sector (Collection of Data) Act 2001</w:t>
      </w:r>
      <w:r w:rsidRPr="0035393D">
        <w:t xml:space="preserve"> which includes "the letting on hire of goods"</w:t>
      </w:r>
      <w:r>
        <w:t>.</w:t>
      </w:r>
    </w:p>
  </w:footnote>
  <w:footnote w:id="6">
    <w:p w14:paraId="1B26C0CF" w14:textId="4CE3791A" w:rsidR="00F67594" w:rsidRDefault="00F67594" w:rsidP="00906D08">
      <w:pPr>
        <w:pStyle w:val="FootnoteText"/>
        <w:ind w:left="113" w:hanging="113"/>
      </w:pPr>
      <w:r>
        <w:rPr>
          <w:rStyle w:val="FootnoteReference"/>
        </w:rPr>
        <w:footnoteRef/>
      </w:r>
      <w:r>
        <w:t xml:space="preserve"> </w:t>
      </w:r>
      <w:r w:rsidR="00906D08">
        <w:t xml:space="preserve">Treasury, August 2022, </w:t>
      </w:r>
      <w:r w:rsidR="00710FC8" w:rsidRPr="00906D08">
        <w:rPr>
          <w:i/>
          <w:iCs/>
        </w:rPr>
        <w:t xml:space="preserve">Non-bank </w:t>
      </w:r>
      <w:r w:rsidR="00906D08" w:rsidRPr="00906D08">
        <w:rPr>
          <w:i/>
          <w:iCs/>
        </w:rPr>
        <w:t>L</w:t>
      </w:r>
      <w:r w:rsidR="00710FC8" w:rsidRPr="00906D08">
        <w:rPr>
          <w:i/>
          <w:iCs/>
        </w:rPr>
        <w:t xml:space="preserve">ending Sectoral </w:t>
      </w:r>
      <w:r w:rsidR="00906D08" w:rsidRPr="00906D08">
        <w:rPr>
          <w:i/>
          <w:iCs/>
        </w:rPr>
        <w:t>A</w:t>
      </w:r>
      <w:r w:rsidR="00710FC8" w:rsidRPr="00906D08">
        <w:rPr>
          <w:i/>
          <w:iCs/>
        </w:rPr>
        <w:t xml:space="preserve">ssessment </w:t>
      </w:r>
      <w:r w:rsidR="00906D08" w:rsidRPr="00906D08">
        <w:rPr>
          <w:i/>
          <w:iCs/>
        </w:rPr>
        <w:t>F</w:t>
      </w:r>
      <w:r w:rsidR="00710FC8" w:rsidRPr="00906D08">
        <w:rPr>
          <w:i/>
          <w:iCs/>
        </w:rPr>
        <w:t xml:space="preserve">inal </w:t>
      </w:r>
      <w:r w:rsidR="00906D08" w:rsidRPr="00906D08">
        <w:rPr>
          <w:i/>
          <w:iCs/>
        </w:rPr>
        <w:t>R</w:t>
      </w:r>
      <w:r w:rsidR="00710FC8" w:rsidRPr="00906D08">
        <w:rPr>
          <w:i/>
          <w:iCs/>
        </w:rPr>
        <w:t>eport</w:t>
      </w:r>
      <w:r w:rsidR="00906D08">
        <w:t xml:space="preserve">. Available: </w:t>
      </w:r>
      <w:hyperlink r:id="rId1" w:history="1">
        <w:r w:rsidR="00906D08" w:rsidRPr="00F17179">
          <w:rPr>
            <w:rStyle w:val="Hyperlink"/>
            <w:sz w:val="16"/>
          </w:rPr>
          <w:t>https://treasury.gov.au/sites/default/files/2022-08/p2022-300402-finalreport.pdf</w:t>
        </w:r>
      </w:hyperlink>
      <w:r w:rsidR="00906D08">
        <w:t xml:space="preserve"> </w:t>
      </w:r>
    </w:p>
  </w:footnote>
  <w:footnote w:id="7">
    <w:p w14:paraId="208BAFCA" w14:textId="5A35A28C" w:rsidR="002469E0" w:rsidRDefault="002469E0" w:rsidP="004459D9">
      <w:pPr>
        <w:pStyle w:val="FootnoteText"/>
        <w:ind w:left="113" w:hanging="113"/>
      </w:pPr>
      <w:r>
        <w:rPr>
          <w:rStyle w:val="FootnoteReference"/>
        </w:rPr>
        <w:footnoteRef/>
      </w:r>
      <w:r>
        <w:t xml:space="preserve"> </w:t>
      </w:r>
      <w:r w:rsidR="00253014">
        <w:t>CBA submission, p.</w:t>
      </w:r>
      <w:r w:rsidR="008E41FB">
        <w:t>3; Australian Banking Association</w:t>
      </w:r>
      <w:r w:rsidR="004459D9">
        <w:t xml:space="preserve"> submission</w:t>
      </w:r>
      <w:r w:rsidR="002B7CC9">
        <w:t xml:space="preserve">, p.2; </w:t>
      </w:r>
      <w:r w:rsidR="003841F1">
        <w:t>Australian Competition and Consumer Commission</w:t>
      </w:r>
      <w:r w:rsidR="004459D9">
        <w:t xml:space="preserve"> submission</w:t>
      </w:r>
      <w:r w:rsidR="003841F1">
        <w:t>, p</w:t>
      </w:r>
      <w:r w:rsidR="0052361D">
        <w:t>.1</w:t>
      </w:r>
      <w:r w:rsidR="00F17AFA">
        <w:t xml:space="preserve">; </w:t>
      </w:r>
      <w:r w:rsidR="00FA1293">
        <w:t>Office of the Information Commissioner submission.</w:t>
      </w:r>
      <w:r w:rsidR="00F17AFA">
        <w:t xml:space="preserve"> </w:t>
      </w:r>
    </w:p>
  </w:footnote>
  <w:footnote w:id="8">
    <w:p w14:paraId="5647DA11" w14:textId="77777777" w:rsidR="003D1813" w:rsidRPr="007E028C" w:rsidRDefault="003D1813" w:rsidP="003D1813">
      <w:pPr>
        <w:pStyle w:val="FootnoteText"/>
        <w:ind w:left="113" w:hanging="113"/>
        <w:rPr>
          <w:szCs w:val="16"/>
        </w:rPr>
      </w:pPr>
      <w:r w:rsidRPr="007E028C">
        <w:rPr>
          <w:rStyle w:val="FootnoteReference"/>
          <w:szCs w:val="16"/>
        </w:rPr>
        <w:footnoteRef/>
      </w:r>
      <w:r w:rsidRPr="007E028C">
        <w:rPr>
          <w:szCs w:val="16"/>
        </w:rPr>
        <w:t xml:space="preserve"> Before making an instrument, section 56AD requires the Minister to consider the likely effect of making the instrument on the interests of consumers, the efficiency of relevant markets, the privacy or confidentiality of consumers’ information, promoting competition, promoting data-driven innovation, intellectual property and the public interest.</w:t>
      </w:r>
    </w:p>
  </w:footnote>
  <w:footnote w:id="9">
    <w:p w14:paraId="1D85A967" w14:textId="48D10072" w:rsidR="003D1813" w:rsidRDefault="003D1813" w:rsidP="003D1813">
      <w:pPr>
        <w:pStyle w:val="FootnoteText"/>
      </w:pPr>
      <w:r w:rsidRPr="007E028C">
        <w:rPr>
          <w:rStyle w:val="FootnoteReference"/>
          <w:szCs w:val="16"/>
        </w:rPr>
        <w:footnoteRef/>
      </w:r>
      <w:r w:rsidRPr="007E028C">
        <w:rPr>
          <w:szCs w:val="16"/>
        </w:rPr>
        <w:t xml:space="preserve"> Treasury, December 2017, </w:t>
      </w:r>
      <w:r w:rsidRPr="007E028C">
        <w:rPr>
          <w:i/>
          <w:iCs/>
          <w:szCs w:val="16"/>
        </w:rPr>
        <w:t>Review into Open Banking</w:t>
      </w:r>
      <w:r w:rsidRPr="007E028C">
        <w:rPr>
          <w:szCs w:val="16"/>
        </w:rPr>
        <w:t>, p.vii.</w:t>
      </w:r>
    </w:p>
  </w:footnote>
  <w:footnote w:id="10">
    <w:p w14:paraId="7BDA4125" w14:textId="77777777" w:rsidR="00C51E9A" w:rsidRDefault="00C51E9A" w:rsidP="00C51E9A">
      <w:pPr>
        <w:pStyle w:val="FootnoteText"/>
        <w:ind w:left="113" w:hanging="113"/>
      </w:pPr>
      <w:r>
        <w:rPr>
          <w:rStyle w:val="FootnoteReference"/>
        </w:rPr>
        <w:footnoteRef/>
      </w:r>
      <w:r>
        <w:t xml:space="preserve"> Treasury, September 2019, Consumer Data Right Regime Privacy Impact Assessment. Available: </w:t>
      </w:r>
      <w:hyperlink r:id="rId2" w:history="1">
        <w:r w:rsidRPr="00F17179">
          <w:rPr>
            <w:rStyle w:val="Hyperlink"/>
            <w:sz w:val="16"/>
          </w:rPr>
          <w:t>https://treasury.gov.au/sites/default/files/2019-12/p2019-41016_PIA_final.pdf</w:t>
        </w:r>
      </w:hyperlink>
      <w:r>
        <w:t xml:space="preserve"> </w:t>
      </w:r>
    </w:p>
  </w:footnote>
  <w:footnote w:id="11">
    <w:p w14:paraId="136A9BF8" w14:textId="164C426F" w:rsidR="00553371" w:rsidRDefault="00553371">
      <w:pPr>
        <w:pStyle w:val="FootnoteText"/>
      </w:pPr>
      <w:r>
        <w:rPr>
          <w:rStyle w:val="FootnoteReference"/>
        </w:rPr>
        <w:footnoteRef/>
      </w:r>
      <w:r>
        <w:t xml:space="preserve"> </w:t>
      </w:r>
      <w:r w:rsidR="00833C67">
        <w:t xml:space="preserve">Office of the Information Commissioner submission. </w:t>
      </w:r>
    </w:p>
  </w:footnote>
  <w:footnote w:id="12">
    <w:p w14:paraId="1126C129" w14:textId="164DC1DF" w:rsidR="00913A22" w:rsidRDefault="00913A22">
      <w:pPr>
        <w:pStyle w:val="FootnoteText"/>
      </w:pPr>
      <w:r>
        <w:rPr>
          <w:rStyle w:val="FootnoteReference"/>
        </w:rPr>
        <w:footnoteRef/>
      </w:r>
      <w:r>
        <w:t xml:space="preserve"> </w:t>
      </w:r>
      <w:r w:rsidR="004459D9">
        <w:t>Australian Competition and Consumer Commission, p.1.</w:t>
      </w:r>
    </w:p>
  </w:footnote>
  <w:footnote w:id="13">
    <w:p w14:paraId="7213D348" w14:textId="77777777" w:rsidR="00AA0292" w:rsidRDefault="004459D9" w:rsidP="00AA0292">
      <w:pPr>
        <w:pStyle w:val="FootnoteText"/>
        <w:ind w:left="113" w:hanging="113"/>
      </w:pPr>
      <w:r>
        <w:rPr>
          <w:rStyle w:val="FootnoteReference"/>
        </w:rPr>
        <w:footnoteRef/>
      </w:r>
      <w:r>
        <w:t xml:space="preserve"> </w:t>
      </w:r>
      <w:r w:rsidR="00AA0292">
        <w:t>Australian Competition and Consumer Commission submission, p.1.</w:t>
      </w:r>
    </w:p>
    <w:p w14:paraId="66105261" w14:textId="7D9D7181" w:rsidR="004459D9" w:rsidRDefault="004459D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15:restartNumberingAfterBreak="0">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6"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941513"/>
    <w:multiLevelType w:val="multilevel"/>
    <w:tmpl w:val="6B481F2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4" w15:restartNumberingAfterBreak="0">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6"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7"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8" w15:restartNumberingAfterBreak="0">
    <w:nsid w:val="77A25CD1"/>
    <w:multiLevelType w:val="multilevel"/>
    <w:tmpl w:val="76228D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475196"/>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3"/>
  </w:num>
  <w:num w:numId="10">
    <w:abstractNumId w:val="16"/>
  </w:num>
  <w:num w:numId="11">
    <w:abstractNumId w:val="9"/>
  </w:num>
  <w:num w:numId="12">
    <w:abstractNumId w:val="12"/>
  </w:num>
  <w:num w:numId="13">
    <w:abstractNumId w:val="15"/>
  </w:num>
  <w:num w:numId="14">
    <w:abstractNumId w:val="2"/>
  </w:num>
  <w:num w:numId="15">
    <w:abstractNumId w:val="25"/>
  </w:num>
  <w:num w:numId="16">
    <w:abstractNumId w:val="30"/>
  </w:num>
  <w:num w:numId="17">
    <w:abstractNumId w:val="27"/>
  </w:num>
  <w:num w:numId="18">
    <w:abstractNumId w:val="20"/>
  </w:num>
  <w:num w:numId="19">
    <w:abstractNumId w:val="13"/>
  </w:num>
  <w:num w:numId="20">
    <w:abstractNumId w:val="18"/>
  </w:num>
  <w:num w:numId="21">
    <w:abstractNumId w:val="26"/>
  </w:num>
  <w:num w:numId="22">
    <w:abstractNumId w:val="21"/>
  </w:num>
  <w:num w:numId="23">
    <w:abstractNumId w:val="8"/>
  </w:num>
  <w:num w:numId="24">
    <w:abstractNumId w:val="3"/>
  </w:num>
  <w:num w:numId="25">
    <w:abstractNumId w:val="19"/>
  </w:num>
  <w:num w:numId="26">
    <w:abstractNumId w:val="11"/>
  </w:num>
  <w:num w:numId="27">
    <w:abstractNumId w:val="22"/>
  </w:num>
  <w:num w:numId="28">
    <w:abstractNumId w:val="21"/>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2"/>
    <w:lvlOverride w:ilvl="0">
      <w:startOverride w:val="1"/>
    </w:lvlOverride>
  </w:num>
  <w:num w:numId="32">
    <w:abstractNumId w:val="24"/>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3">
    <w:abstractNumId w:val="14"/>
  </w:num>
  <w:num w:numId="34">
    <w:abstractNumId w:val="2"/>
    <w:lvlOverride w:ilvl="0">
      <w:startOverride w:val="1"/>
    </w:lvlOverride>
  </w:num>
  <w:num w:numId="35">
    <w:abstractNumId w:val="28"/>
  </w:num>
  <w:num w:numId="36">
    <w:abstractNumId w:val="29"/>
  </w:num>
  <w:num w:numId="37">
    <w:abstractNumId w:val="12"/>
  </w:num>
  <w:num w:numId="3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s>
  <w:rsids>
    <w:rsidRoot w:val="00B9704F"/>
    <w:rsid w:val="000069A1"/>
    <w:rsid w:val="00006DC4"/>
    <w:rsid w:val="00012ECF"/>
    <w:rsid w:val="0002115F"/>
    <w:rsid w:val="00021202"/>
    <w:rsid w:val="000225C4"/>
    <w:rsid w:val="00024421"/>
    <w:rsid w:val="0003578C"/>
    <w:rsid w:val="000544DA"/>
    <w:rsid w:val="00063247"/>
    <w:rsid w:val="00070F9F"/>
    <w:rsid w:val="0007137B"/>
    <w:rsid w:val="000727A7"/>
    <w:rsid w:val="00082A5B"/>
    <w:rsid w:val="00085663"/>
    <w:rsid w:val="00085EBF"/>
    <w:rsid w:val="000A5B96"/>
    <w:rsid w:val="000A7970"/>
    <w:rsid w:val="000B23B0"/>
    <w:rsid w:val="000D122C"/>
    <w:rsid w:val="000E1819"/>
    <w:rsid w:val="000E3A2E"/>
    <w:rsid w:val="000E6C72"/>
    <w:rsid w:val="000F2368"/>
    <w:rsid w:val="00106CCF"/>
    <w:rsid w:val="00111225"/>
    <w:rsid w:val="00111E8F"/>
    <w:rsid w:val="00116EB2"/>
    <w:rsid w:val="001245BC"/>
    <w:rsid w:val="00124609"/>
    <w:rsid w:val="00141F68"/>
    <w:rsid w:val="00146C76"/>
    <w:rsid w:val="001573E4"/>
    <w:rsid w:val="00160756"/>
    <w:rsid w:val="0017232E"/>
    <w:rsid w:val="00174102"/>
    <w:rsid w:val="00180157"/>
    <w:rsid w:val="001801CF"/>
    <w:rsid w:val="00181223"/>
    <w:rsid w:val="001816A7"/>
    <w:rsid w:val="00186F77"/>
    <w:rsid w:val="001926A4"/>
    <w:rsid w:val="001948CA"/>
    <w:rsid w:val="001B45A0"/>
    <w:rsid w:val="001C18EE"/>
    <w:rsid w:val="001D055E"/>
    <w:rsid w:val="001E2349"/>
    <w:rsid w:val="001F492E"/>
    <w:rsid w:val="001F6DA3"/>
    <w:rsid w:val="00203BD2"/>
    <w:rsid w:val="002051AD"/>
    <w:rsid w:val="00212737"/>
    <w:rsid w:val="00215A3E"/>
    <w:rsid w:val="00224DB9"/>
    <w:rsid w:val="00232F3A"/>
    <w:rsid w:val="002469E0"/>
    <w:rsid w:val="00251745"/>
    <w:rsid w:val="00253014"/>
    <w:rsid w:val="00254F61"/>
    <w:rsid w:val="00263AC0"/>
    <w:rsid w:val="0026772D"/>
    <w:rsid w:val="00281C64"/>
    <w:rsid w:val="00286874"/>
    <w:rsid w:val="00296B65"/>
    <w:rsid w:val="002A3FC3"/>
    <w:rsid w:val="002A7DEF"/>
    <w:rsid w:val="002B05E1"/>
    <w:rsid w:val="002B7CC9"/>
    <w:rsid w:val="002E23C4"/>
    <w:rsid w:val="002E4ED7"/>
    <w:rsid w:val="002F11CD"/>
    <w:rsid w:val="002F7986"/>
    <w:rsid w:val="00303C4A"/>
    <w:rsid w:val="003062CC"/>
    <w:rsid w:val="00307F6D"/>
    <w:rsid w:val="003177A2"/>
    <w:rsid w:val="003271B5"/>
    <w:rsid w:val="00331264"/>
    <w:rsid w:val="00333E22"/>
    <w:rsid w:val="00334C8D"/>
    <w:rsid w:val="00340655"/>
    <w:rsid w:val="003459E6"/>
    <w:rsid w:val="00347A1C"/>
    <w:rsid w:val="003518B3"/>
    <w:rsid w:val="0035393D"/>
    <w:rsid w:val="003818CD"/>
    <w:rsid w:val="003841F1"/>
    <w:rsid w:val="003846F1"/>
    <w:rsid w:val="003925DF"/>
    <w:rsid w:val="003975E0"/>
    <w:rsid w:val="003A673F"/>
    <w:rsid w:val="003B5A70"/>
    <w:rsid w:val="003D1813"/>
    <w:rsid w:val="00441CC7"/>
    <w:rsid w:val="004459D9"/>
    <w:rsid w:val="00453290"/>
    <w:rsid w:val="00456C9D"/>
    <w:rsid w:val="00461055"/>
    <w:rsid w:val="00461C58"/>
    <w:rsid w:val="00475DDE"/>
    <w:rsid w:val="00480B4B"/>
    <w:rsid w:val="00482D05"/>
    <w:rsid w:val="00485DC4"/>
    <w:rsid w:val="004A6CC8"/>
    <w:rsid w:val="004B05BF"/>
    <w:rsid w:val="004B3E56"/>
    <w:rsid w:val="004B419B"/>
    <w:rsid w:val="004B4412"/>
    <w:rsid w:val="004C348C"/>
    <w:rsid w:val="004C36CD"/>
    <w:rsid w:val="004D55BA"/>
    <w:rsid w:val="004E13AF"/>
    <w:rsid w:val="004F55FF"/>
    <w:rsid w:val="005038DB"/>
    <w:rsid w:val="00504477"/>
    <w:rsid w:val="005135AB"/>
    <w:rsid w:val="00516B78"/>
    <w:rsid w:val="0052039F"/>
    <w:rsid w:val="0052361D"/>
    <w:rsid w:val="00530128"/>
    <w:rsid w:val="00532467"/>
    <w:rsid w:val="00534539"/>
    <w:rsid w:val="00547CCF"/>
    <w:rsid w:val="00550E33"/>
    <w:rsid w:val="00553371"/>
    <w:rsid w:val="00564A4D"/>
    <w:rsid w:val="00570DF3"/>
    <w:rsid w:val="00571B35"/>
    <w:rsid w:val="00571C9F"/>
    <w:rsid w:val="00574F48"/>
    <w:rsid w:val="00577A09"/>
    <w:rsid w:val="00584D8F"/>
    <w:rsid w:val="00596D42"/>
    <w:rsid w:val="005A1D2A"/>
    <w:rsid w:val="005A404D"/>
    <w:rsid w:val="005B1E3C"/>
    <w:rsid w:val="005C26CC"/>
    <w:rsid w:val="005D4BAF"/>
    <w:rsid w:val="005E5C5B"/>
    <w:rsid w:val="005E6C0E"/>
    <w:rsid w:val="005F65E7"/>
    <w:rsid w:val="00611E04"/>
    <w:rsid w:val="00615AF5"/>
    <w:rsid w:val="00615C6B"/>
    <w:rsid w:val="00632D6D"/>
    <w:rsid w:val="00642C3E"/>
    <w:rsid w:val="00644A08"/>
    <w:rsid w:val="00645233"/>
    <w:rsid w:val="0065183C"/>
    <w:rsid w:val="00663DAD"/>
    <w:rsid w:val="00665CB3"/>
    <w:rsid w:val="00671AE7"/>
    <w:rsid w:val="00674446"/>
    <w:rsid w:val="00675A89"/>
    <w:rsid w:val="00676679"/>
    <w:rsid w:val="00677E41"/>
    <w:rsid w:val="00687F39"/>
    <w:rsid w:val="006A6BE7"/>
    <w:rsid w:val="006A7065"/>
    <w:rsid w:val="006B2DA3"/>
    <w:rsid w:val="006B4CF9"/>
    <w:rsid w:val="006B7AC8"/>
    <w:rsid w:val="006D550F"/>
    <w:rsid w:val="006D77F3"/>
    <w:rsid w:val="006F54BA"/>
    <w:rsid w:val="00701CAB"/>
    <w:rsid w:val="00707563"/>
    <w:rsid w:val="00710FC8"/>
    <w:rsid w:val="00722959"/>
    <w:rsid w:val="0072348C"/>
    <w:rsid w:val="00724A37"/>
    <w:rsid w:val="007303C3"/>
    <w:rsid w:val="00743223"/>
    <w:rsid w:val="00745B91"/>
    <w:rsid w:val="00746E01"/>
    <w:rsid w:val="00763E5D"/>
    <w:rsid w:val="00765ECE"/>
    <w:rsid w:val="00767740"/>
    <w:rsid w:val="00776C7F"/>
    <w:rsid w:val="00777EE6"/>
    <w:rsid w:val="00782EEA"/>
    <w:rsid w:val="007B2C72"/>
    <w:rsid w:val="007C1C53"/>
    <w:rsid w:val="007C1C6B"/>
    <w:rsid w:val="007C3231"/>
    <w:rsid w:val="007D0718"/>
    <w:rsid w:val="007D0C12"/>
    <w:rsid w:val="007E26A9"/>
    <w:rsid w:val="007E4904"/>
    <w:rsid w:val="007E4CB5"/>
    <w:rsid w:val="007F066B"/>
    <w:rsid w:val="007F4B17"/>
    <w:rsid w:val="00802007"/>
    <w:rsid w:val="008033C4"/>
    <w:rsid w:val="00806C88"/>
    <w:rsid w:val="0081034E"/>
    <w:rsid w:val="00833C67"/>
    <w:rsid w:val="008344F6"/>
    <w:rsid w:val="0083510F"/>
    <w:rsid w:val="008454B5"/>
    <w:rsid w:val="00851209"/>
    <w:rsid w:val="00852B63"/>
    <w:rsid w:val="00857ECD"/>
    <w:rsid w:val="0088007E"/>
    <w:rsid w:val="008837AC"/>
    <w:rsid w:val="00885CD0"/>
    <w:rsid w:val="008908F0"/>
    <w:rsid w:val="008945B4"/>
    <w:rsid w:val="008A14BB"/>
    <w:rsid w:val="008A587D"/>
    <w:rsid w:val="008C0130"/>
    <w:rsid w:val="008C5486"/>
    <w:rsid w:val="008E41FB"/>
    <w:rsid w:val="008E7031"/>
    <w:rsid w:val="008F4B4D"/>
    <w:rsid w:val="0090157A"/>
    <w:rsid w:val="00905892"/>
    <w:rsid w:val="00906D08"/>
    <w:rsid w:val="00913A22"/>
    <w:rsid w:val="00922C95"/>
    <w:rsid w:val="009233EE"/>
    <w:rsid w:val="00935115"/>
    <w:rsid w:val="009407C9"/>
    <w:rsid w:val="00946FC3"/>
    <w:rsid w:val="009611A0"/>
    <w:rsid w:val="009661DE"/>
    <w:rsid w:val="009818B6"/>
    <w:rsid w:val="009856B7"/>
    <w:rsid w:val="00985E70"/>
    <w:rsid w:val="0098602B"/>
    <w:rsid w:val="00986892"/>
    <w:rsid w:val="00991B3B"/>
    <w:rsid w:val="00993960"/>
    <w:rsid w:val="009962BA"/>
    <w:rsid w:val="009A4A4D"/>
    <w:rsid w:val="009B5322"/>
    <w:rsid w:val="009B74B0"/>
    <w:rsid w:val="009C48CF"/>
    <w:rsid w:val="009D4414"/>
    <w:rsid w:val="009D6B46"/>
    <w:rsid w:val="009F2BE5"/>
    <w:rsid w:val="009F4940"/>
    <w:rsid w:val="00A07A62"/>
    <w:rsid w:val="00A13BCC"/>
    <w:rsid w:val="00A158C3"/>
    <w:rsid w:val="00A1665B"/>
    <w:rsid w:val="00A32B3F"/>
    <w:rsid w:val="00A4478A"/>
    <w:rsid w:val="00A44852"/>
    <w:rsid w:val="00A54D63"/>
    <w:rsid w:val="00A57D04"/>
    <w:rsid w:val="00A60A26"/>
    <w:rsid w:val="00A61598"/>
    <w:rsid w:val="00A71AE6"/>
    <w:rsid w:val="00A73FCF"/>
    <w:rsid w:val="00A75D2D"/>
    <w:rsid w:val="00A84F46"/>
    <w:rsid w:val="00A871F4"/>
    <w:rsid w:val="00A941C0"/>
    <w:rsid w:val="00AA0292"/>
    <w:rsid w:val="00AB63AA"/>
    <w:rsid w:val="00AC1B2C"/>
    <w:rsid w:val="00AC3264"/>
    <w:rsid w:val="00AC58FA"/>
    <w:rsid w:val="00AC6F01"/>
    <w:rsid w:val="00AE0FE2"/>
    <w:rsid w:val="00AE1BF1"/>
    <w:rsid w:val="00AF0BF1"/>
    <w:rsid w:val="00AF0DD2"/>
    <w:rsid w:val="00AF14B9"/>
    <w:rsid w:val="00AF4F4C"/>
    <w:rsid w:val="00AF5A09"/>
    <w:rsid w:val="00B04347"/>
    <w:rsid w:val="00B10314"/>
    <w:rsid w:val="00B1092F"/>
    <w:rsid w:val="00B13048"/>
    <w:rsid w:val="00B15998"/>
    <w:rsid w:val="00B1716D"/>
    <w:rsid w:val="00B17A1D"/>
    <w:rsid w:val="00B207A0"/>
    <w:rsid w:val="00B325AF"/>
    <w:rsid w:val="00B43D3C"/>
    <w:rsid w:val="00B44AFD"/>
    <w:rsid w:val="00B46FEE"/>
    <w:rsid w:val="00B545C2"/>
    <w:rsid w:val="00B56E03"/>
    <w:rsid w:val="00B60F5D"/>
    <w:rsid w:val="00B65B73"/>
    <w:rsid w:val="00B67E91"/>
    <w:rsid w:val="00B74AF8"/>
    <w:rsid w:val="00B8080B"/>
    <w:rsid w:val="00B87C39"/>
    <w:rsid w:val="00B9441C"/>
    <w:rsid w:val="00B9704F"/>
    <w:rsid w:val="00BA4665"/>
    <w:rsid w:val="00BB2FB2"/>
    <w:rsid w:val="00BB3304"/>
    <w:rsid w:val="00BB43BA"/>
    <w:rsid w:val="00BC04E1"/>
    <w:rsid w:val="00BC4C61"/>
    <w:rsid w:val="00BD3446"/>
    <w:rsid w:val="00BE1F1B"/>
    <w:rsid w:val="00BE24E9"/>
    <w:rsid w:val="00BE47B5"/>
    <w:rsid w:val="00BE4C99"/>
    <w:rsid w:val="00BF098F"/>
    <w:rsid w:val="00BF4DFA"/>
    <w:rsid w:val="00BF5442"/>
    <w:rsid w:val="00BF7263"/>
    <w:rsid w:val="00C017AE"/>
    <w:rsid w:val="00C058AB"/>
    <w:rsid w:val="00C06739"/>
    <w:rsid w:val="00C12D93"/>
    <w:rsid w:val="00C168DF"/>
    <w:rsid w:val="00C3565A"/>
    <w:rsid w:val="00C45762"/>
    <w:rsid w:val="00C51E9A"/>
    <w:rsid w:val="00C538A9"/>
    <w:rsid w:val="00C53B5A"/>
    <w:rsid w:val="00C54F5A"/>
    <w:rsid w:val="00C61431"/>
    <w:rsid w:val="00C61539"/>
    <w:rsid w:val="00C71899"/>
    <w:rsid w:val="00C74ABF"/>
    <w:rsid w:val="00C755AD"/>
    <w:rsid w:val="00C81E29"/>
    <w:rsid w:val="00C8595F"/>
    <w:rsid w:val="00C86679"/>
    <w:rsid w:val="00C908A7"/>
    <w:rsid w:val="00CA09BF"/>
    <w:rsid w:val="00CB666B"/>
    <w:rsid w:val="00CF799E"/>
    <w:rsid w:val="00D01CF0"/>
    <w:rsid w:val="00D0442A"/>
    <w:rsid w:val="00D203E1"/>
    <w:rsid w:val="00D27902"/>
    <w:rsid w:val="00D31E67"/>
    <w:rsid w:val="00D544B8"/>
    <w:rsid w:val="00D55A10"/>
    <w:rsid w:val="00D56EA7"/>
    <w:rsid w:val="00D61388"/>
    <w:rsid w:val="00D61A54"/>
    <w:rsid w:val="00D6271F"/>
    <w:rsid w:val="00D64AF7"/>
    <w:rsid w:val="00D64DEA"/>
    <w:rsid w:val="00D73D5F"/>
    <w:rsid w:val="00D7655A"/>
    <w:rsid w:val="00D80207"/>
    <w:rsid w:val="00D80893"/>
    <w:rsid w:val="00D81C85"/>
    <w:rsid w:val="00D92CF1"/>
    <w:rsid w:val="00D92D38"/>
    <w:rsid w:val="00D93DA9"/>
    <w:rsid w:val="00D950F5"/>
    <w:rsid w:val="00DA1542"/>
    <w:rsid w:val="00DA2E98"/>
    <w:rsid w:val="00DB0F93"/>
    <w:rsid w:val="00DC542F"/>
    <w:rsid w:val="00DC7981"/>
    <w:rsid w:val="00DD7703"/>
    <w:rsid w:val="00DE360E"/>
    <w:rsid w:val="00DE4EFA"/>
    <w:rsid w:val="00DE5520"/>
    <w:rsid w:val="00DE78C4"/>
    <w:rsid w:val="00E04818"/>
    <w:rsid w:val="00E06442"/>
    <w:rsid w:val="00E107F7"/>
    <w:rsid w:val="00E1170F"/>
    <w:rsid w:val="00E23993"/>
    <w:rsid w:val="00E25B8C"/>
    <w:rsid w:val="00E34068"/>
    <w:rsid w:val="00E370FD"/>
    <w:rsid w:val="00E45C33"/>
    <w:rsid w:val="00E4674F"/>
    <w:rsid w:val="00E5148D"/>
    <w:rsid w:val="00E53740"/>
    <w:rsid w:val="00E577A5"/>
    <w:rsid w:val="00E63639"/>
    <w:rsid w:val="00E65C85"/>
    <w:rsid w:val="00E66199"/>
    <w:rsid w:val="00E74DC5"/>
    <w:rsid w:val="00E755EC"/>
    <w:rsid w:val="00E7624D"/>
    <w:rsid w:val="00E77C96"/>
    <w:rsid w:val="00E8442E"/>
    <w:rsid w:val="00E87A15"/>
    <w:rsid w:val="00E968EB"/>
    <w:rsid w:val="00EA3D42"/>
    <w:rsid w:val="00EA67C3"/>
    <w:rsid w:val="00EA6B1B"/>
    <w:rsid w:val="00EB3A1C"/>
    <w:rsid w:val="00ED55CE"/>
    <w:rsid w:val="00EE28F3"/>
    <w:rsid w:val="00EF5110"/>
    <w:rsid w:val="00F1105B"/>
    <w:rsid w:val="00F14CEC"/>
    <w:rsid w:val="00F15882"/>
    <w:rsid w:val="00F16850"/>
    <w:rsid w:val="00F17AFA"/>
    <w:rsid w:val="00F20BD3"/>
    <w:rsid w:val="00F2170B"/>
    <w:rsid w:val="00F2620E"/>
    <w:rsid w:val="00F26279"/>
    <w:rsid w:val="00F309FD"/>
    <w:rsid w:val="00F353FD"/>
    <w:rsid w:val="00F373A5"/>
    <w:rsid w:val="00F41DA0"/>
    <w:rsid w:val="00F46E94"/>
    <w:rsid w:val="00F46FA9"/>
    <w:rsid w:val="00F47559"/>
    <w:rsid w:val="00F54F6B"/>
    <w:rsid w:val="00F553EE"/>
    <w:rsid w:val="00F60BE4"/>
    <w:rsid w:val="00F61B84"/>
    <w:rsid w:val="00F62762"/>
    <w:rsid w:val="00F62DFC"/>
    <w:rsid w:val="00F64C7B"/>
    <w:rsid w:val="00F67594"/>
    <w:rsid w:val="00F676DD"/>
    <w:rsid w:val="00F75A26"/>
    <w:rsid w:val="00F83FAD"/>
    <w:rsid w:val="00F91DC6"/>
    <w:rsid w:val="00F952A0"/>
    <w:rsid w:val="00FA1293"/>
    <w:rsid w:val="00FA2830"/>
    <w:rsid w:val="00FA3C7F"/>
    <w:rsid w:val="00FB1018"/>
    <w:rsid w:val="00FB52D7"/>
    <w:rsid w:val="00FB74E2"/>
    <w:rsid w:val="00FC3BFD"/>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0BB0AD"/>
  <w15:docId w15:val="{92D2F307-B670-4DAD-8C2D-4B2954C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FD"/>
    <w:rPr>
      <w:rFonts w:ascii="Trebuchet MS" w:hAnsi="Trebuchet MS"/>
    </w:rPr>
  </w:style>
  <w:style w:type="paragraph" w:styleId="Heading1">
    <w:name w:val="heading 1"/>
    <w:basedOn w:val="Normal"/>
    <w:next w:val="Normal"/>
    <w:link w:val="Heading1Char"/>
    <w:qFormat/>
    <w:rsid w:val="004F55FF"/>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C61431"/>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5FF"/>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14CEC"/>
    <w:pPr>
      <w:numPr>
        <w:numId w:val="37"/>
      </w:numPr>
      <w:tabs>
        <w:tab w:val="left" w:pos="680"/>
      </w:tabs>
      <w:ind w:left="680" w:hanging="680"/>
    </w:pPr>
  </w:style>
  <w:style w:type="paragraph" w:customStyle="1" w:styleId="Numbered11">
    <w:name w:val="Numbered 1.1"/>
    <w:basedOn w:val="Heading2"/>
    <w:next w:val="Normal"/>
    <w:qFormat/>
    <w:rsid w:val="00DA2E98"/>
    <w:pPr>
      <w:numPr>
        <w:ilvl w:val="1"/>
        <w:numId w:val="37"/>
      </w:numPr>
      <w:ind w:left="1021" w:hanging="1021"/>
    </w:pPr>
  </w:style>
  <w:style w:type="paragraph" w:customStyle="1" w:styleId="Numbered111">
    <w:name w:val="Numbered 1.1.1"/>
    <w:basedOn w:val="Heading3"/>
    <w:next w:val="Normal"/>
    <w:qFormat/>
    <w:rsid w:val="007D0718"/>
    <w:pPr>
      <w:numPr>
        <w:ilvl w:val="2"/>
        <w:numId w:val="37"/>
      </w:numPr>
      <w:tabs>
        <w:tab w:val="left" w:pos="1361"/>
      </w:tabs>
      <w:ind w:left="1021" w:hanging="1021"/>
      <w:contextualSpacing/>
    </w:pPr>
  </w:style>
  <w:style w:type="paragraph" w:customStyle="1" w:styleId="Numbered1111">
    <w:name w:val="Numbered 1.1.1.1"/>
    <w:basedOn w:val="Heading4"/>
    <w:next w:val="Normal"/>
    <w:rsid w:val="00DA2E98"/>
    <w:pPr>
      <w:numPr>
        <w:ilvl w:val="3"/>
        <w:numId w:val="37"/>
      </w:numPr>
      <w:tabs>
        <w:tab w:val="left" w:pos="1361"/>
      </w:tabs>
      <w:ind w:left="1361" w:hanging="1361"/>
    </w:pPr>
  </w:style>
  <w:style w:type="paragraph" w:customStyle="1" w:styleId="Numbered11111">
    <w:name w:val="Numbered 1.1.1.1.1"/>
    <w:basedOn w:val="Heading5"/>
    <w:next w:val="Normal"/>
    <w:uiPriority w:val="2"/>
    <w:rsid w:val="00DA2E98"/>
    <w:pPr>
      <w:numPr>
        <w:ilvl w:val="4"/>
        <w:numId w:val="37"/>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DA2E98"/>
    <w:pPr>
      <w:numPr>
        <w:ilvl w:val="5"/>
        <w:numId w:val="37"/>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DA2E98"/>
    <w:pPr>
      <w:numPr>
        <w:ilvl w:val="6"/>
        <w:numId w:val="37"/>
      </w:numPr>
      <w:tabs>
        <w:tab w:val="left" w:pos="2041"/>
      </w:tabs>
      <w:ind w:left="2041" w:hanging="2041"/>
    </w:pPr>
  </w:style>
  <w:style w:type="paragraph" w:customStyle="1" w:styleId="Numbered11111111">
    <w:name w:val="Numbered 1.1.1.1.1.1.1.1"/>
    <w:basedOn w:val="Heading8"/>
    <w:next w:val="Normal"/>
    <w:uiPriority w:val="2"/>
    <w:rsid w:val="00DA2E98"/>
    <w:pPr>
      <w:numPr>
        <w:ilvl w:val="7"/>
        <w:numId w:val="37"/>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99"/>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99"/>
    <w:rsid w:val="008454B5"/>
    <w:rPr>
      <w:rFonts w:ascii="Trebuchet MS" w:hAnsi="Trebuchet MS"/>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DA2E98"/>
    <w:pPr>
      <w:numPr>
        <w:ilvl w:val="8"/>
        <w:numId w:val="37"/>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ormal"/>
    <w:qFormat/>
    <w:rsid w:val="00C61431"/>
    <w:pPr>
      <w:tabs>
        <w:tab w:val="left" w:pos="1021"/>
      </w:tabs>
      <w:spacing w:line="240" w:lineRule="atLeast"/>
      <w:ind w:left="680" w:hanging="680"/>
    </w:pPr>
    <w:rPr>
      <w:rFonts w:eastAsiaTheme="majorEastAsia" w:cs="Arial"/>
      <w:szCs w:val="26"/>
    </w:rPr>
  </w:style>
  <w:style w:type="character" w:customStyle="1" w:styleId="Numbered1Char">
    <w:name w:val="Numbered 1 Char"/>
    <w:basedOn w:val="Heading1Char"/>
    <w:link w:val="Numbered1"/>
    <w:rsid w:val="00F14CEC"/>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basedOn w:val="Normal"/>
    <w:link w:val="BulletChar"/>
    <w:rsid w:val="00E45C33"/>
    <w:pPr>
      <w:numPr>
        <w:numId w:val="38"/>
      </w:numPr>
    </w:pPr>
    <w:rPr>
      <w:rFonts w:eastAsia="Times New Roman"/>
    </w:rPr>
  </w:style>
  <w:style w:type="character" w:customStyle="1" w:styleId="BulletChar">
    <w:name w:val="Bullet Char"/>
    <w:basedOn w:val="DefaultParagraphFont"/>
    <w:link w:val="Bullet"/>
    <w:rsid w:val="00E45C33"/>
    <w:rPr>
      <w:rFonts w:ascii="Trebuchet MS" w:eastAsia="Times New Roman" w:hAnsi="Trebuchet MS"/>
    </w:rPr>
  </w:style>
  <w:style w:type="paragraph" w:customStyle="1" w:styleId="Dash">
    <w:name w:val="Dash"/>
    <w:basedOn w:val="Normal"/>
    <w:link w:val="DashChar"/>
    <w:rsid w:val="00E45C33"/>
    <w:pPr>
      <w:numPr>
        <w:ilvl w:val="1"/>
        <w:numId w:val="38"/>
      </w:numPr>
    </w:pPr>
    <w:rPr>
      <w:rFonts w:eastAsia="Times New Roman"/>
    </w:rPr>
  </w:style>
  <w:style w:type="character" w:customStyle="1" w:styleId="DashChar">
    <w:name w:val="Dash Char"/>
    <w:basedOn w:val="DefaultParagraphFont"/>
    <w:link w:val="Dash"/>
    <w:rsid w:val="00E45C33"/>
    <w:rPr>
      <w:rFonts w:ascii="Trebuchet MS" w:eastAsia="Times New Roman" w:hAnsi="Trebuchet MS"/>
    </w:rPr>
  </w:style>
  <w:style w:type="paragraph" w:customStyle="1" w:styleId="DoubleDot">
    <w:name w:val="Double Dot"/>
    <w:basedOn w:val="Normal"/>
    <w:link w:val="DoubleDotChar"/>
    <w:rsid w:val="00E45C33"/>
    <w:pPr>
      <w:numPr>
        <w:ilvl w:val="2"/>
        <w:numId w:val="38"/>
      </w:numPr>
    </w:pPr>
    <w:rPr>
      <w:rFonts w:eastAsia="Times New Roman"/>
    </w:rPr>
  </w:style>
  <w:style w:type="character" w:customStyle="1" w:styleId="DoubleDotChar">
    <w:name w:val="Double Dot Char"/>
    <w:basedOn w:val="DefaultParagraphFont"/>
    <w:link w:val="DoubleDot"/>
    <w:rsid w:val="00E45C33"/>
    <w:rPr>
      <w:rFonts w:ascii="Trebuchet MS" w:eastAsia="Times New Roman" w:hAnsi="Trebuchet MS"/>
    </w:rPr>
  </w:style>
  <w:style w:type="paragraph" w:styleId="Revision">
    <w:name w:val="Revision"/>
    <w:hidden/>
    <w:uiPriority w:val="99"/>
    <w:semiHidden/>
    <w:rsid w:val="00E45C33"/>
    <w:pPr>
      <w:spacing w:before="0"/>
    </w:pPr>
    <w:rPr>
      <w:rFonts w:ascii="Trebuchet MS" w:hAnsi="Trebuchet MS"/>
    </w:rPr>
  </w:style>
  <w:style w:type="character" w:styleId="CommentReference">
    <w:name w:val="annotation reference"/>
    <w:basedOn w:val="DefaultParagraphFont"/>
    <w:uiPriority w:val="99"/>
    <w:semiHidden/>
    <w:unhideWhenUsed/>
    <w:rsid w:val="00E45C33"/>
    <w:rPr>
      <w:sz w:val="16"/>
      <w:szCs w:val="16"/>
    </w:rPr>
  </w:style>
  <w:style w:type="paragraph" w:styleId="CommentText">
    <w:name w:val="annotation text"/>
    <w:basedOn w:val="Normal"/>
    <w:link w:val="CommentTextChar"/>
    <w:uiPriority w:val="99"/>
    <w:unhideWhenUsed/>
    <w:rsid w:val="00E45C33"/>
    <w:rPr>
      <w:sz w:val="20"/>
      <w:szCs w:val="20"/>
    </w:rPr>
  </w:style>
  <w:style w:type="character" w:customStyle="1" w:styleId="CommentTextChar">
    <w:name w:val="Comment Text Char"/>
    <w:basedOn w:val="DefaultParagraphFont"/>
    <w:link w:val="CommentText"/>
    <w:uiPriority w:val="99"/>
    <w:rsid w:val="00E45C3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45C33"/>
    <w:rPr>
      <w:b/>
      <w:bCs/>
    </w:rPr>
  </w:style>
  <w:style w:type="character" w:customStyle="1" w:styleId="CommentSubjectChar">
    <w:name w:val="Comment Subject Char"/>
    <w:basedOn w:val="CommentTextChar"/>
    <w:link w:val="CommentSubject"/>
    <w:uiPriority w:val="99"/>
    <w:semiHidden/>
    <w:rsid w:val="00E45C33"/>
    <w:rPr>
      <w:rFonts w:ascii="Trebuchet MS" w:hAnsi="Trebuchet MS"/>
      <w:b/>
      <w:bCs/>
      <w:sz w:val="20"/>
      <w:szCs w:val="20"/>
    </w:rPr>
  </w:style>
  <w:style w:type="character" w:styleId="FollowedHyperlink">
    <w:name w:val="FollowedHyperlink"/>
    <w:basedOn w:val="DefaultParagraphFont"/>
    <w:uiPriority w:val="99"/>
    <w:semiHidden/>
    <w:unhideWhenUsed/>
    <w:rsid w:val="00906D08"/>
    <w:rPr>
      <w:color w:val="800080" w:themeColor="followedHyperlink"/>
      <w:u w:val="single"/>
    </w:rPr>
  </w:style>
  <w:style w:type="character" w:styleId="UnresolvedMention">
    <w:name w:val="Unresolved Mention"/>
    <w:basedOn w:val="DefaultParagraphFont"/>
    <w:uiPriority w:val="99"/>
    <w:semiHidden/>
    <w:unhideWhenUsed/>
    <w:rsid w:val="0090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3939">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treasury.gov.au/sites/default/files/2019-12/p2019-41016_PIA_final.pdf" TargetMode="External"/><Relationship Id="rId1" Type="http://schemas.openxmlformats.org/officeDocument/2006/relationships/hyperlink" Target="https://treasury.gov.au/sites/default/files/2022-08/p2022-300402-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blank.dotm"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50627" ma:contentTypeDescription="" ma:contentTypeScope="" ma:versionID="456ee5d08eb9f898fe96d942f9562f52">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2022MG-133-95610</_dlc_DocId>
    <_dlc_DocIdUrl xmlns="0f563589-9cf9-4143-b1eb-fb0534803d38">
      <Url>http://tweb/sites/mg/sbccpd/_layouts/15/DocIdRedir.aspx?ID=2022MG-133-95610</Url>
      <Description>2022MG-133-95610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BEBF5-5BCE-43F0-BA7D-64B06F5AF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1CD5B-7A5E-4B54-8394-0E7199E06BC7}">
  <ds:schemaRefs>
    <ds:schemaRef ds:uri="d4dd4adf-ddb3-46a3-8d7c-fab3fb2a6bc7"/>
    <ds:schemaRef ds:uri="http://schemas.microsoft.com/office/2006/metadata/properties"/>
    <ds:schemaRef ds:uri="http://www.w3.org/XML/1998/namespace"/>
    <ds:schemaRef ds:uri="http://purl.org/dc/terms/"/>
    <ds:schemaRef ds:uri="http://purl.org/dc/dcmitype/"/>
    <ds:schemaRef ds:uri="http://schemas.microsoft.com/sharepoint/v4"/>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f563589-9cf9-4143-b1eb-fb0534803d38"/>
    <ds:schemaRef ds:uri="http://schemas.microsoft.com/sharepoint/v3"/>
  </ds:schemaRefs>
</ds:datastoreItem>
</file>

<file path=customXml/itemProps4.xml><?xml version="1.0" encoding="utf-8"?>
<ds:datastoreItem xmlns:ds="http://schemas.openxmlformats.org/officeDocument/2006/customXml" ds:itemID="{AB1089E0-00F1-4B29-AC48-CBE1DB4AE96F}">
  <ds:schemaRefs>
    <ds:schemaRef ds:uri="http://schemas.openxmlformats.org/officeDocument/2006/bibliography"/>
  </ds:schemaRefs>
</ds:datastoreItem>
</file>

<file path=customXml/itemProps5.xml><?xml version="1.0" encoding="utf-8"?>
<ds:datastoreItem xmlns:ds="http://schemas.openxmlformats.org/officeDocument/2006/customXml" ds:itemID="{8F1924B0-030A-473A-8EF1-9F2710D9642A}">
  <ds:schemaRefs>
    <ds:schemaRef ds:uri="http://schemas.microsoft.com/sharepoint/events"/>
  </ds:schemaRefs>
</ds:datastoreItem>
</file>

<file path=customXml/itemProps6.xml><?xml version="1.0" encoding="utf-8"?>
<ds:datastoreItem xmlns:ds="http://schemas.openxmlformats.org/officeDocument/2006/customXml" ds:itemID="{CD68455A-7FD2-49BC-A06E-1C6D6A18DCE4}">
  <ds:schemaRefs>
    <ds:schemaRef ds:uri="http://schemas.microsoft.com/sharepoint/v3/contenttype/forms"/>
  </ds:schemaRefs>
</ds:datastoreItem>
</file>

<file path=customXml/itemProps7.xml><?xml version="1.0" encoding="utf-8"?>
<ds:datastoreItem xmlns:ds="http://schemas.openxmlformats.org/officeDocument/2006/customXml" ds:itemID="{E9268F95-FC34-4181-823A-48399D42E4E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CDR blank.dotm</Template>
  <TotalTime>711</TotalTime>
  <Pages>4</Pages>
  <Words>954</Words>
  <Characters>5531</Characters>
  <Application>Microsoft Office Word</Application>
  <DocSecurity>0</DocSecurity>
  <Lines>109</Lines>
  <Paragraphs>25</Paragraphs>
  <ScaleCrop>false</ScaleCrop>
  <HeadingPairs>
    <vt:vector size="2" baseType="variant">
      <vt:variant>
        <vt:lpstr>Title</vt:lpstr>
      </vt:variant>
      <vt:variant>
        <vt:i4>1</vt:i4>
      </vt:variant>
    </vt:vector>
  </HeadingPairs>
  <TitlesOfParts>
    <vt:vector size="1" baseType="lpstr">
      <vt:lpstr>Banking Designation Instrument – minor and technical amendment - Sectoral assessment report</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Designation Instrument – minor and technical amendment - Sectoral assessment report</dc:title>
  <dc:subject/>
  <dc:creator>Australian Government | Consumer Data Right</dc:creator>
  <cp:keywords/>
  <cp:lastModifiedBy>Hill, Christine</cp:lastModifiedBy>
  <cp:revision>85</cp:revision>
  <dcterms:created xsi:type="dcterms:W3CDTF">2022-09-20T01:15:00Z</dcterms:created>
  <dcterms:modified xsi:type="dcterms:W3CDTF">2022-10-27T04:43:00Z</dcterms:modified>
</cp:coreProperties>
</file>