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5"/>
      </w:tblGrid>
      <w:tr w:rsidR="00652150" w14:paraId="269DB874" w14:textId="77777777" w:rsidTr="00652150">
        <w:tc>
          <w:tcPr>
            <w:tcW w:w="5000" w:type="pct"/>
            <w:shd w:val="clear" w:color="auto" w:fill="auto"/>
          </w:tcPr>
          <w:p w14:paraId="0D5949B1" w14:textId="77777777" w:rsidR="00652150" w:rsidRDefault="00652150" w:rsidP="0065215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56CB663" w14:textId="77777777" w:rsidR="00652150" w:rsidRPr="00652150" w:rsidRDefault="00652150" w:rsidP="00652150">
            <w:pPr>
              <w:rPr>
                <w:b/>
                <w:sz w:val="20"/>
              </w:rPr>
            </w:pPr>
          </w:p>
        </w:tc>
      </w:tr>
    </w:tbl>
    <w:p w14:paraId="0BB9EE5F" w14:textId="77777777" w:rsidR="00652150" w:rsidRDefault="00652150" w:rsidP="006E6C80">
      <w:pPr>
        <w:rPr>
          <w:sz w:val="32"/>
          <w:szCs w:val="32"/>
        </w:rPr>
      </w:pPr>
    </w:p>
    <w:p w14:paraId="76FA56C6" w14:textId="77777777" w:rsidR="00664C63" w:rsidRPr="00005E37" w:rsidRDefault="00664C63" w:rsidP="006E6C80">
      <w:pPr>
        <w:rPr>
          <w:sz w:val="32"/>
          <w:szCs w:val="32"/>
        </w:rPr>
      </w:pPr>
      <w:r w:rsidRPr="00005E37">
        <w:rPr>
          <w:sz w:val="32"/>
          <w:szCs w:val="32"/>
        </w:rPr>
        <w:t>Inserts for</w:t>
      </w:r>
    </w:p>
    <w:p w14:paraId="7CDFE6D5" w14:textId="77777777" w:rsidR="00664C63" w:rsidRPr="00005E37" w:rsidRDefault="00BF3E0C" w:rsidP="006E6C80">
      <w:pPr>
        <w:pStyle w:val="ShortT"/>
      </w:pPr>
      <w:r w:rsidRPr="00005E37">
        <w:t>Treasury</w:t>
      </w:r>
      <w:bookmarkStart w:id="0" w:name="BK_S1P1L2C9"/>
      <w:bookmarkEnd w:id="0"/>
      <w:r w:rsidRPr="00005E37">
        <w:t xml:space="preserve"> Laws Amendment (Measures </w:t>
      </w:r>
      <w:r w:rsidR="00C07BF5" w:rsidRPr="00005E37">
        <w:t xml:space="preserve">for </w:t>
      </w:r>
      <w:r w:rsidR="00B107F8" w:rsidRPr="00005E37">
        <w:t>C</w:t>
      </w:r>
      <w:r w:rsidR="009C3E3F" w:rsidRPr="00005E37">
        <w:t>onsultation</w:t>
      </w:r>
      <w:r w:rsidRPr="00005E37">
        <w:t xml:space="preserve">) </w:t>
      </w:r>
      <w:r w:rsidR="00AE59F7" w:rsidRPr="00005E37">
        <w:t>Bill</w:t>
      </w:r>
      <w:bookmarkStart w:id="1" w:name="BK_S1P1L3C23"/>
      <w:bookmarkEnd w:id="1"/>
      <w:r w:rsidR="00AE59F7" w:rsidRPr="00005E37">
        <w:t xml:space="preserve"> 20</w:t>
      </w:r>
      <w:r w:rsidR="00D7186F" w:rsidRPr="00005E37">
        <w:t>2</w:t>
      </w:r>
      <w:r w:rsidR="00AE797C" w:rsidRPr="00005E37">
        <w:t>2</w:t>
      </w:r>
      <w:r w:rsidR="00664C63" w:rsidRPr="00005E37">
        <w:t xml:space="preserve">: </w:t>
      </w:r>
      <w:r w:rsidRPr="00005E37">
        <w:t>Strengthening the ABN system</w:t>
      </w:r>
    </w:p>
    <w:p w14:paraId="34A771CA" w14:textId="77777777" w:rsidR="00664C63" w:rsidRPr="00005E37" w:rsidRDefault="00664C63" w:rsidP="006E6C80">
      <w:pPr>
        <w:jc w:val="center"/>
      </w:pPr>
    </w:p>
    <w:p w14:paraId="16C52854" w14:textId="77777777" w:rsidR="00664C63" w:rsidRPr="00005E37" w:rsidRDefault="00664C63" w:rsidP="006E6C8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005E37" w14:paraId="7D83D84F" w14:textId="77777777" w:rsidTr="003B6A2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4A8DF1B" w14:textId="77777777" w:rsidR="00664C63" w:rsidRPr="00005E37" w:rsidRDefault="00664C63" w:rsidP="006E6C80">
            <w:pPr>
              <w:pStyle w:val="TableHeading"/>
            </w:pPr>
            <w:r w:rsidRPr="00005E37">
              <w:t>Commencement information</w:t>
            </w:r>
          </w:p>
        </w:tc>
      </w:tr>
      <w:tr w:rsidR="00664C63" w:rsidRPr="00005E37" w14:paraId="7E68A1C7" w14:textId="77777777" w:rsidTr="003B6A2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E562B" w14:textId="77777777" w:rsidR="00664C63" w:rsidRPr="00005E37" w:rsidRDefault="00664C63" w:rsidP="006E6C80">
            <w:pPr>
              <w:pStyle w:val="TableHeading"/>
            </w:pPr>
            <w:r w:rsidRPr="00005E3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C990C" w14:textId="77777777" w:rsidR="00664C63" w:rsidRPr="00005E37" w:rsidRDefault="00664C63" w:rsidP="006E6C80">
            <w:pPr>
              <w:pStyle w:val="TableHeading"/>
            </w:pPr>
            <w:r w:rsidRPr="00005E3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82AA4" w14:textId="77777777" w:rsidR="00664C63" w:rsidRPr="00005E37" w:rsidRDefault="00664C63" w:rsidP="006E6C80">
            <w:pPr>
              <w:pStyle w:val="TableHeading"/>
            </w:pPr>
            <w:r w:rsidRPr="00005E37">
              <w:t>Column 3</w:t>
            </w:r>
          </w:p>
        </w:tc>
      </w:tr>
      <w:tr w:rsidR="00664C63" w:rsidRPr="00005E37" w14:paraId="66E6750B" w14:textId="77777777" w:rsidTr="003B6A2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134515" w14:textId="77777777" w:rsidR="00664C63" w:rsidRPr="00005E37" w:rsidRDefault="00664C63" w:rsidP="006E6C80">
            <w:pPr>
              <w:pStyle w:val="TableHeading"/>
            </w:pPr>
            <w:r w:rsidRPr="00005E3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14DFEC8" w14:textId="77777777" w:rsidR="00664C63" w:rsidRPr="00005E37" w:rsidRDefault="00664C63" w:rsidP="006E6C80">
            <w:pPr>
              <w:pStyle w:val="TableHeading"/>
            </w:pPr>
            <w:r w:rsidRPr="00005E3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343BC9" w14:textId="77777777" w:rsidR="00664C63" w:rsidRPr="00005E37" w:rsidRDefault="00664C63" w:rsidP="006E6C80">
            <w:pPr>
              <w:pStyle w:val="TableHeading"/>
            </w:pPr>
            <w:r w:rsidRPr="00005E37">
              <w:t>Date/Details</w:t>
            </w:r>
          </w:p>
        </w:tc>
      </w:tr>
      <w:tr w:rsidR="003B6A22" w:rsidRPr="00005E37" w14:paraId="6E4CAE3F" w14:textId="77777777" w:rsidTr="003B6A22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2251DD5" w14:textId="77777777" w:rsidR="003B6A22" w:rsidRPr="00005E37" w:rsidRDefault="003B6A22" w:rsidP="006E6C80">
            <w:pPr>
              <w:pStyle w:val="Tabletext"/>
            </w:pPr>
            <w:r w:rsidRPr="00005E37">
              <w:t xml:space="preserve">1.  </w:t>
            </w:r>
            <w:r w:rsidR="00B21621" w:rsidRPr="00005E37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4F6515D" w14:textId="77777777" w:rsidR="003B6A22" w:rsidRPr="00005E37" w:rsidRDefault="003B6A22" w:rsidP="006E6C80">
            <w:pPr>
              <w:pStyle w:val="Tabletext"/>
            </w:pPr>
            <w:r w:rsidRPr="00005E37">
              <w:t xml:space="preserve">The first </w:t>
            </w:r>
            <w:r w:rsidR="00B21621" w:rsidRPr="00005E37">
              <w:t>1 January</w:t>
            </w:r>
            <w:r w:rsidRPr="00005E37">
              <w:t xml:space="preserve">, </w:t>
            </w:r>
            <w:r w:rsidR="00B21621" w:rsidRPr="00005E37">
              <w:t>1 April</w:t>
            </w:r>
            <w:r w:rsidRPr="00005E37">
              <w:t xml:space="preserve">, </w:t>
            </w:r>
            <w:r w:rsidR="00B21621" w:rsidRPr="00005E37">
              <w:t>1 July</w:t>
            </w:r>
            <w:r w:rsidRPr="00005E37">
              <w:t xml:space="preserve"> or </w:t>
            </w:r>
            <w:r w:rsidR="00B21621" w:rsidRPr="00005E37">
              <w:t>1 October</w:t>
            </w:r>
            <w:r w:rsidRPr="00005E37">
              <w:t xml:space="preserve"> to occur after the day this Act receives the Royal Assent</w:t>
            </w:r>
            <w:bookmarkStart w:id="2" w:name="BK_S1P1L25C26"/>
            <w:bookmarkEnd w:id="2"/>
            <w:r w:rsidRPr="00005E37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89C4696" w14:textId="77777777" w:rsidR="003B6A22" w:rsidRPr="00005E37" w:rsidRDefault="003B6A22" w:rsidP="006E6C80">
            <w:pPr>
              <w:pStyle w:val="Tabletext"/>
            </w:pPr>
          </w:p>
        </w:tc>
      </w:tr>
      <w:tr w:rsidR="00703CD3" w:rsidRPr="00005E37" w14:paraId="687A85FB" w14:textId="77777777" w:rsidTr="003B6A22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C5AB37" w14:textId="77777777" w:rsidR="00703CD3" w:rsidRPr="00005E37" w:rsidRDefault="00703CD3" w:rsidP="006E6C80">
            <w:pPr>
              <w:pStyle w:val="Tabletext"/>
            </w:pP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460810" w14:textId="77777777" w:rsidR="00B21621" w:rsidRPr="00005E37" w:rsidRDefault="00B21621" w:rsidP="006E6C80">
            <w:pPr>
              <w:pStyle w:val="Tablea"/>
            </w:pP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9B038A9" w14:textId="77777777" w:rsidR="00703CD3" w:rsidRPr="00005E37" w:rsidRDefault="00703CD3" w:rsidP="006E6C80">
            <w:pPr>
              <w:pStyle w:val="Tabletext"/>
            </w:pPr>
          </w:p>
        </w:tc>
      </w:tr>
    </w:tbl>
    <w:p w14:paraId="3F72DF2D" w14:textId="77777777" w:rsidR="0033411C" w:rsidRPr="00005E37" w:rsidRDefault="00B21621" w:rsidP="006E6C80">
      <w:pPr>
        <w:pStyle w:val="ActHead6"/>
        <w:pageBreakBefore/>
      </w:pPr>
      <w:bookmarkStart w:id="3" w:name="_Toc116308213"/>
      <w:bookmarkStart w:id="4" w:name="opcAmSched"/>
      <w:bookmarkStart w:id="5" w:name="opcCurrentFind"/>
      <w:r w:rsidRPr="00652150">
        <w:rPr>
          <w:rStyle w:val="CharAmSchNo"/>
        </w:rPr>
        <w:lastRenderedPageBreak/>
        <w:t>Schedule 1</w:t>
      </w:r>
      <w:r w:rsidR="00337CE9" w:rsidRPr="00005E37">
        <w:t>—</w:t>
      </w:r>
      <w:r w:rsidR="00F83E54" w:rsidRPr="00652150">
        <w:rPr>
          <w:rStyle w:val="CharAmSchText"/>
        </w:rPr>
        <w:t>Strengthening the ABN system</w:t>
      </w:r>
      <w:bookmarkEnd w:id="3"/>
    </w:p>
    <w:bookmarkEnd w:id="4"/>
    <w:bookmarkEnd w:id="5"/>
    <w:p w14:paraId="34E897E4" w14:textId="77777777" w:rsidR="00794E57" w:rsidRPr="00652150" w:rsidRDefault="00794E57" w:rsidP="006E6C80">
      <w:pPr>
        <w:pStyle w:val="Header"/>
      </w:pPr>
      <w:r w:rsidRPr="00652150">
        <w:rPr>
          <w:rStyle w:val="CharAmPartNo"/>
        </w:rPr>
        <w:t xml:space="preserve"> </w:t>
      </w:r>
      <w:r w:rsidRPr="00652150">
        <w:rPr>
          <w:rStyle w:val="CharAmPartText"/>
        </w:rPr>
        <w:t xml:space="preserve"> </w:t>
      </w:r>
    </w:p>
    <w:p w14:paraId="5A17D7CC" w14:textId="77777777" w:rsidR="00337CE9" w:rsidRPr="009758A3" w:rsidRDefault="00337CE9" w:rsidP="006E6C80">
      <w:pPr>
        <w:pStyle w:val="ActHead9"/>
        <w:rPr>
          <w:i w:val="0"/>
        </w:rPr>
      </w:pPr>
      <w:bookmarkStart w:id="6" w:name="_Toc116308214"/>
      <w:r w:rsidRPr="00005E37">
        <w:t>A New Tax System (Australian Business Number) Act 1999</w:t>
      </w:r>
      <w:bookmarkStart w:id="7" w:name="BK_S1P2L3C55"/>
      <w:bookmarkEnd w:id="6"/>
      <w:bookmarkEnd w:id="7"/>
    </w:p>
    <w:p w14:paraId="5FBEA25F" w14:textId="77777777" w:rsidR="00337CE9" w:rsidRPr="00005E37" w:rsidRDefault="00B33030" w:rsidP="006E6C80">
      <w:pPr>
        <w:pStyle w:val="ItemHead"/>
      </w:pPr>
      <w:r w:rsidRPr="00005E37">
        <w:t>1</w:t>
      </w:r>
      <w:r w:rsidR="00337CE9" w:rsidRPr="00005E37">
        <w:t xml:space="preserve">  </w:t>
      </w:r>
      <w:r w:rsidR="00085D41" w:rsidRPr="00005E37">
        <w:t>At the end of section</w:t>
      </w:r>
      <w:r w:rsidR="003865D7" w:rsidRPr="00005E37">
        <w:t> </w:t>
      </w:r>
      <w:r w:rsidR="00085D41" w:rsidRPr="00005E37">
        <w:t>10</w:t>
      </w:r>
    </w:p>
    <w:p w14:paraId="2F67FA9E" w14:textId="77777777" w:rsidR="00085D41" w:rsidRPr="00005E37" w:rsidRDefault="00085D41" w:rsidP="006E6C80">
      <w:pPr>
        <w:pStyle w:val="Item"/>
      </w:pPr>
      <w:r w:rsidRPr="00005E37">
        <w:t>Add:</w:t>
      </w:r>
    </w:p>
    <w:p w14:paraId="43064CA6" w14:textId="77777777" w:rsidR="00085D41" w:rsidRPr="00005E37" w:rsidRDefault="00085D41" w:rsidP="006E6C80">
      <w:pPr>
        <w:pStyle w:val="subsection"/>
      </w:pPr>
      <w:r w:rsidRPr="00005E37">
        <w:tab/>
        <w:t>(3)</w:t>
      </w:r>
      <w:r w:rsidRPr="00005E37">
        <w:tab/>
        <w:t xml:space="preserve">Despite </w:t>
      </w:r>
      <w:r w:rsidR="003865D7" w:rsidRPr="00005E37">
        <w:t>subsection (</w:t>
      </w:r>
      <w:r w:rsidRPr="00005E37">
        <w:t xml:space="preserve">1), the </w:t>
      </w:r>
      <w:r w:rsidR="006E6C80" w:rsidRPr="006E6C80">
        <w:rPr>
          <w:position w:val="6"/>
          <w:sz w:val="16"/>
        </w:rPr>
        <w:t>*</w:t>
      </w:r>
      <w:r w:rsidRPr="00005E37">
        <w:t>Registrar</w:t>
      </w:r>
      <w:bookmarkStart w:id="8" w:name="BK_S1P2L6C44"/>
      <w:bookmarkEnd w:id="8"/>
      <w:r w:rsidRPr="00005E37">
        <w:t xml:space="preserve"> must not register </w:t>
      </w:r>
      <w:r w:rsidR="006E6C80" w:rsidRPr="006E6C80">
        <w:rPr>
          <w:position w:val="6"/>
          <w:sz w:val="16"/>
        </w:rPr>
        <w:t>*</w:t>
      </w:r>
      <w:r w:rsidRPr="00005E37">
        <w:t>you if:</w:t>
      </w:r>
    </w:p>
    <w:p w14:paraId="63B7608F" w14:textId="77777777" w:rsidR="00085D41" w:rsidRPr="00005E37" w:rsidRDefault="00085D41" w:rsidP="006E6C80">
      <w:pPr>
        <w:pStyle w:val="paragraph"/>
      </w:pPr>
      <w:r w:rsidRPr="00005E37">
        <w:tab/>
        <w:t>(a)</w:t>
      </w:r>
      <w:r w:rsidRPr="00005E37">
        <w:tab/>
        <w:t>you were previously registered under this section; and</w:t>
      </w:r>
    </w:p>
    <w:p w14:paraId="0D002924" w14:textId="77777777" w:rsidR="001B0020" w:rsidRPr="00005E37" w:rsidRDefault="00085D41" w:rsidP="006E6C80">
      <w:pPr>
        <w:pStyle w:val="paragraph"/>
      </w:pPr>
      <w:r w:rsidRPr="00005E37">
        <w:tab/>
        <w:t>(b)</w:t>
      </w:r>
      <w:r w:rsidRPr="00005E37">
        <w:tab/>
        <w:t xml:space="preserve">your registration was cancelled under </w:t>
      </w:r>
      <w:r w:rsidR="00B33030" w:rsidRPr="00005E37">
        <w:t>paragraph 1</w:t>
      </w:r>
      <w:r w:rsidRPr="00005E37">
        <w:t>8(1)(</w:t>
      </w:r>
      <w:r w:rsidR="006B1F41" w:rsidRPr="00005E37">
        <w:t>d</w:t>
      </w:r>
      <w:r w:rsidRPr="00005E37">
        <w:t xml:space="preserve">) for failing to lodge </w:t>
      </w:r>
      <w:r w:rsidR="006E6C80" w:rsidRPr="006E6C80">
        <w:rPr>
          <w:position w:val="6"/>
          <w:sz w:val="16"/>
        </w:rPr>
        <w:t>*</w:t>
      </w:r>
      <w:r w:rsidRPr="00005E37">
        <w:t xml:space="preserve">income tax returns for 2 or more </w:t>
      </w:r>
      <w:r w:rsidR="006E6C80" w:rsidRPr="006E6C80">
        <w:rPr>
          <w:position w:val="6"/>
          <w:sz w:val="16"/>
        </w:rPr>
        <w:t>*</w:t>
      </w:r>
      <w:r w:rsidRPr="00005E37">
        <w:t>income years</w:t>
      </w:r>
      <w:r w:rsidR="00EC3728" w:rsidRPr="00005E37">
        <w:t xml:space="preserve"> within the period specified by the Commissioner </w:t>
      </w:r>
      <w:r w:rsidR="00767181" w:rsidRPr="00005E37">
        <w:t xml:space="preserve">of </w:t>
      </w:r>
      <w:r w:rsidR="00EC3728" w:rsidRPr="00005E37">
        <w:t>Taxation for lodgement of the returns</w:t>
      </w:r>
      <w:r w:rsidR="001B0020" w:rsidRPr="00005E37">
        <w:t>; and</w:t>
      </w:r>
    </w:p>
    <w:p w14:paraId="5A36FFBA" w14:textId="77777777" w:rsidR="00910319" w:rsidRPr="00005E37" w:rsidRDefault="00910319" w:rsidP="006E6C80">
      <w:pPr>
        <w:pStyle w:val="paragraph"/>
      </w:pPr>
      <w:r w:rsidRPr="00005E37">
        <w:tab/>
        <w:t>(c)</w:t>
      </w:r>
      <w:r w:rsidRPr="00005E37">
        <w:tab/>
        <w:t xml:space="preserve">the Registrar is not satisfied that you have </w:t>
      </w:r>
      <w:r w:rsidR="00B978A7" w:rsidRPr="00005E37">
        <w:t xml:space="preserve">lodged, or have made arrangements with the Commissioner of Taxation to lodge, </w:t>
      </w:r>
      <w:r w:rsidRPr="00005E37">
        <w:t>income tax returns for the relevant income years.</w:t>
      </w:r>
    </w:p>
    <w:p w14:paraId="0AFD5E83" w14:textId="77777777" w:rsidR="00646D86" w:rsidRPr="00005E37" w:rsidRDefault="00B33030" w:rsidP="006E6C80">
      <w:pPr>
        <w:pStyle w:val="ItemHead"/>
      </w:pPr>
      <w:r w:rsidRPr="00005E37">
        <w:t>2</w:t>
      </w:r>
      <w:r w:rsidR="00646D86" w:rsidRPr="00005E37">
        <w:t xml:space="preserve">  After section</w:t>
      </w:r>
      <w:r w:rsidR="003865D7" w:rsidRPr="00005E37">
        <w:t> </w:t>
      </w:r>
      <w:r w:rsidR="00646D86" w:rsidRPr="00005E37">
        <w:t>14</w:t>
      </w:r>
    </w:p>
    <w:p w14:paraId="351F7632" w14:textId="77777777" w:rsidR="00646D86" w:rsidRPr="00005E37" w:rsidRDefault="00646D86" w:rsidP="006E6C80">
      <w:pPr>
        <w:pStyle w:val="Item"/>
      </w:pPr>
      <w:r w:rsidRPr="00005E37">
        <w:t>Insert:</w:t>
      </w:r>
    </w:p>
    <w:p w14:paraId="13063542" w14:textId="77777777" w:rsidR="00646D86" w:rsidRPr="00005E37" w:rsidRDefault="00646D86" w:rsidP="006E6C80">
      <w:pPr>
        <w:pStyle w:val="ActHead5"/>
      </w:pPr>
      <w:bookmarkStart w:id="9" w:name="_Toc116308215"/>
      <w:r w:rsidRPr="00652150">
        <w:rPr>
          <w:rStyle w:val="CharSectno"/>
        </w:rPr>
        <w:t>14A</w:t>
      </w:r>
      <w:r w:rsidRPr="00005E37">
        <w:t xml:space="preserve">  </w:t>
      </w:r>
      <w:r w:rsidR="00AC4B03" w:rsidRPr="00005E37">
        <w:t xml:space="preserve">You may notify Registrar of ongoing requirement for ABN and </w:t>
      </w:r>
      <w:r w:rsidRPr="00005E37">
        <w:t xml:space="preserve">confirm </w:t>
      </w:r>
      <w:r w:rsidR="00AC4B03" w:rsidRPr="00005E37">
        <w:t xml:space="preserve">currency of </w:t>
      </w:r>
      <w:r w:rsidRPr="00005E37">
        <w:t>information</w:t>
      </w:r>
      <w:bookmarkEnd w:id="9"/>
    </w:p>
    <w:p w14:paraId="7035D753" w14:textId="77777777" w:rsidR="00624B55" w:rsidRPr="00005E37" w:rsidRDefault="00A7360E" w:rsidP="006E6C80">
      <w:pPr>
        <w:pStyle w:val="subsection"/>
      </w:pPr>
      <w:r w:rsidRPr="00005E37">
        <w:tab/>
        <w:t>(1)</w:t>
      </w:r>
      <w:r w:rsidRPr="00005E37">
        <w:tab/>
      </w:r>
      <w:r w:rsidR="00646D86" w:rsidRPr="00005E37">
        <w:t xml:space="preserve">If </w:t>
      </w:r>
      <w:r w:rsidR="006E6C80" w:rsidRPr="006E6C80">
        <w:rPr>
          <w:position w:val="6"/>
          <w:sz w:val="16"/>
        </w:rPr>
        <w:t>*</w:t>
      </w:r>
      <w:r w:rsidR="00646D86" w:rsidRPr="00005E37">
        <w:t xml:space="preserve">you are </w:t>
      </w:r>
      <w:r w:rsidR="00987556" w:rsidRPr="00005E37">
        <w:t>registered under section</w:t>
      </w:r>
      <w:r w:rsidR="003865D7" w:rsidRPr="00005E37">
        <w:t> </w:t>
      </w:r>
      <w:r w:rsidR="00987556" w:rsidRPr="00005E37">
        <w:t xml:space="preserve">10, you </w:t>
      </w:r>
      <w:r w:rsidR="00AC4B03" w:rsidRPr="00005E37">
        <w:t xml:space="preserve">may </w:t>
      </w:r>
      <w:r w:rsidRPr="00005E37">
        <w:t xml:space="preserve">notify the </w:t>
      </w:r>
      <w:r w:rsidR="006E6C80" w:rsidRPr="006E6C80">
        <w:rPr>
          <w:position w:val="6"/>
          <w:sz w:val="16"/>
        </w:rPr>
        <w:t>*</w:t>
      </w:r>
      <w:r w:rsidRPr="00005E37">
        <w:t xml:space="preserve">Registrar </w:t>
      </w:r>
      <w:r w:rsidR="00AC4B03" w:rsidRPr="00005E37">
        <w:t xml:space="preserve">from time to time </w:t>
      </w:r>
      <w:r w:rsidR="00987556" w:rsidRPr="00005E37">
        <w:t>that</w:t>
      </w:r>
      <w:r w:rsidR="00624B55" w:rsidRPr="00005E37">
        <w:t>:</w:t>
      </w:r>
    </w:p>
    <w:p w14:paraId="5C928DC0" w14:textId="77777777" w:rsidR="00624B55" w:rsidRPr="00005E37" w:rsidRDefault="00624B55" w:rsidP="006E6C80">
      <w:pPr>
        <w:pStyle w:val="paragraph"/>
      </w:pPr>
      <w:r w:rsidRPr="00005E37">
        <w:tab/>
        <w:t>(a)</w:t>
      </w:r>
      <w:r w:rsidRPr="00005E37">
        <w:tab/>
        <w:t xml:space="preserve">you still require your </w:t>
      </w:r>
      <w:r w:rsidR="006E6C80" w:rsidRPr="006E6C80">
        <w:rPr>
          <w:position w:val="6"/>
          <w:sz w:val="16"/>
        </w:rPr>
        <w:t>*</w:t>
      </w:r>
      <w:r w:rsidRPr="00005E37">
        <w:t>ABN; and</w:t>
      </w:r>
    </w:p>
    <w:p w14:paraId="7D54EFAA" w14:textId="77777777" w:rsidR="00646D86" w:rsidRPr="00005E37" w:rsidRDefault="00624B55" w:rsidP="006E6C80">
      <w:pPr>
        <w:pStyle w:val="paragraph"/>
      </w:pPr>
      <w:r w:rsidRPr="00005E37">
        <w:tab/>
        <w:t>(b)</w:t>
      </w:r>
      <w:r w:rsidRPr="00005E37">
        <w:tab/>
      </w:r>
      <w:r w:rsidR="00987556" w:rsidRPr="00005E37">
        <w:t xml:space="preserve">all information you have </w:t>
      </w:r>
      <w:r w:rsidR="00A7360E" w:rsidRPr="00005E37">
        <w:t>given to the Registrar remains accurate and complete.</w:t>
      </w:r>
    </w:p>
    <w:p w14:paraId="3E7B42B2" w14:textId="77777777" w:rsidR="0098167B" w:rsidRPr="00005E37" w:rsidRDefault="0098167B" w:rsidP="006E6C80">
      <w:pPr>
        <w:pStyle w:val="notetext"/>
      </w:pPr>
      <w:r w:rsidRPr="00005E37">
        <w:t>Note:</w:t>
      </w:r>
      <w:r w:rsidRPr="00005E37">
        <w:tab/>
      </w:r>
      <w:r w:rsidR="002C067A" w:rsidRPr="00005E37">
        <w:t xml:space="preserve">The Registrar may cancel your registration if you have not notified the Registrar under this </w:t>
      </w:r>
      <w:r w:rsidR="00F73E68" w:rsidRPr="00005E37">
        <w:t>sub</w:t>
      </w:r>
      <w:r w:rsidR="002C067A" w:rsidRPr="00005E37">
        <w:t xml:space="preserve">section within the last 12 months (see </w:t>
      </w:r>
      <w:r w:rsidR="00B33030" w:rsidRPr="00005E37">
        <w:t>paragraph 1</w:t>
      </w:r>
      <w:r w:rsidR="002C067A" w:rsidRPr="00005E37">
        <w:t>8(1)(e)).</w:t>
      </w:r>
    </w:p>
    <w:p w14:paraId="19BA7CE9" w14:textId="77777777" w:rsidR="00A131E0" w:rsidRPr="00005E37" w:rsidRDefault="00A131E0" w:rsidP="006E6C80">
      <w:pPr>
        <w:pStyle w:val="subsection"/>
      </w:pPr>
      <w:bookmarkStart w:id="10" w:name="_Hlk66205138"/>
      <w:r w:rsidRPr="00005E37">
        <w:tab/>
        <w:t>(2)</w:t>
      </w:r>
      <w:r w:rsidRPr="00005E37">
        <w:tab/>
      </w:r>
      <w:r w:rsidR="00D97454" w:rsidRPr="00005E37">
        <w:t xml:space="preserve">A </w:t>
      </w:r>
      <w:r w:rsidR="00703CD3" w:rsidRPr="00005E37">
        <w:t xml:space="preserve">notification must be in the </w:t>
      </w:r>
      <w:r w:rsidR="006E6C80" w:rsidRPr="006E6C80">
        <w:rPr>
          <w:position w:val="6"/>
          <w:sz w:val="16"/>
        </w:rPr>
        <w:t>*</w:t>
      </w:r>
      <w:r w:rsidR="00703CD3" w:rsidRPr="00005E37">
        <w:t>approved form</w:t>
      </w:r>
      <w:bookmarkStart w:id="11" w:name="BK_S1P2L27C50"/>
      <w:bookmarkEnd w:id="11"/>
      <w:r w:rsidR="00703CD3" w:rsidRPr="00005E37">
        <w:t>.</w:t>
      </w:r>
    </w:p>
    <w:bookmarkEnd w:id="10"/>
    <w:p w14:paraId="2256ACBF" w14:textId="77777777" w:rsidR="00A131E0" w:rsidRPr="00005E37" w:rsidRDefault="00A131E0" w:rsidP="006E6C80">
      <w:pPr>
        <w:pStyle w:val="subsection"/>
      </w:pPr>
      <w:r w:rsidRPr="00005E37">
        <w:tab/>
        <w:t>(3)</w:t>
      </w:r>
      <w:r w:rsidRPr="00005E37">
        <w:tab/>
        <w:t xml:space="preserve">A notification under </w:t>
      </w:r>
      <w:r w:rsidR="003865D7" w:rsidRPr="00005E37">
        <w:t>subsection (</w:t>
      </w:r>
      <w:r w:rsidRPr="00005E37">
        <w:t xml:space="preserve">1) may be given at the same time as notification of a change in circumstances given under </w:t>
      </w:r>
      <w:r w:rsidR="00CC7B1D" w:rsidRPr="00005E37">
        <w:t>subsection 1</w:t>
      </w:r>
      <w:r w:rsidRPr="00005E37">
        <w:t>4(1).</w:t>
      </w:r>
    </w:p>
    <w:p w14:paraId="722DD468" w14:textId="77777777" w:rsidR="00762B9D" w:rsidRPr="00005E37" w:rsidRDefault="00B33030" w:rsidP="006E6C80">
      <w:pPr>
        <w:pStyle w:val="ItemHead"/>
      </w:pPr>
      <w:r w:rsidRPr="00005E37">
        <w:t>3</w:t>
      </w:r>
      <w:r w:rsidR="00762B9D" w:rsidRPr="00005E37">
        <w:t xml:space="preserve">  </w:t>
      </w:r>
      <w:r w:rsidR="00326663" w:rsidRPr="00005E37">
        <w:t xml:space="preserve">After </w:t>
      </w:r>
      <w:r w:rsidRPr="00005E37">
        <w:t>paragraph 1</w:t>
      </w:r>
      <w:r w:rsidR="00326663" w:rsidRPr="00005E37">
        <w:t>8(1)(c) (before the note</w:t>
      </w:r>
      <w:r w:rsidR="006B179C" w:rsidRPr="00005E37">
        <w:t>s</w:t>
      </w:r>
      <w:r w:rsidR="00326663" w:rsidRPr="00005E37">
        <w:t>)</w:t>
      </w:r>
    </w:p>
    <w:p w14:paraId="633A7C63" w14:textId="77777777" w:rsidR="00052EC0" w:rsidRPr="00005E37" w:rsidRDefault="00326663" w:rsidP="006E6C80">
      <w:pPr>
        <w:pStyle w:val="Item"/>
      </w:pPr>
      <w:r w:rsidRPr="00005E37">
        <w:t>Insert</w:t>
      </w:r>
      <w:r w:rsidR="00052EC0" w:rsidRPr="00005E37">
        <w:t>:</w:t>
      </w:r>
    </w:p>
    <w:p w14:paraId="55C2BD4D" w14:textId="77777777" w:rsidR="002D32EF" w:rsidRPr="00005E37" w:rsidRDefault="00762B9D" w:rsidP="006E6C80">
      <w:pPr>
        <w:pStyle w:val="paragraph"/>
      </w:pPr>
      <w:r w:rsidRPr="00005E37">
        <w:lastRenderedPageBreak/>
        <w:tab/>
      </w:r>
      <w:r w:rsidR="00052EC0" w:rsidRPr="00005E37">
        <w:t xml:space="preserve">; </w:t>
      </w:r>
      <w:r w:rsidR="005866DE" w:rsidRPr="00005E37">
        <w:t xml:space="preserve">or </w:t>
      </w:r>
      <w:r w:rsidRPr="00005E37">
        <w:t>(</w:t>
      </w:r>
      <w:r w:rsidR="005866DE" w:rsidRPr="00005E37">
        <w:t>d</w:t>
      </w:r>
      <w:r w:rsidRPr="00005E37">
        <w:t>)</w:t>
      </w:r>
      <w:r w:rsidRPr="00005E37">
        <w:tab/>
      </w:r>
      <w:r w:rsidR="002D32EF" w:rsidRPr="00005E37">
        <w:t xml:space="preserve">in relation to 2 or more </w:t>
      </w:r>
      <w:r w:rsidR="006E6C80" w:rsidRPr="006E6C80">
        <w:rPr>
          <w:position w:val="6"/>
          <w:sz w:val="16"/>
        </w:rPr>
        <w:t>*</w:t>
      </w:r>
      <w:r w:rsidR="002D32EF" w:rsidRPr="00005E37">
        <w:t>income years (whether or not they are consecutive income years):</w:t>
      </w:r>
    </w:p>
    <w:p w14:paraId="2AE51CEC" w14:textId="77777777" w:rsidR="00253595" w:rsidRPr="00005E37" w:rsidRDefault="005E30F3" w:rsidP="006E6C80">
      <w:pPr>
        <w:pStyle w:val="paragraphsub"/>
      </w:pPr>
      <w:r w:rsidRPr="00005E37">
        <w:tab/>
        <w:t>(i)</w:t>
      </w:r>
      <w:r w:rsidRPr="00005E37">
        <w:tab/>
      </w:r>
      <w:r w:rsidR="00E26D36" w:rsidRPr="00005E37">
        <w:t>you are required to lodge a</w:t>
      </w:r>
      <w:r w:rsidR="00A6405A" w:rsidRPr="00005E37">
        <w:t xml:space="preserve">n </w:t>
      </w:r>
      <w:r w:rsidR="006E6C80" w:rsidRPr="006E6C80">
        <w:rPr>
          <w:position w:val="6"/>
          <w:sz w:val="16"/>
        </w:rPr>
        <w:t>*</w:t>
      </w:r>
      <w:r w:rsidR="00A6405A" w:rsidRPr="00005E37">
        <w:t>income tax</w:t>
      </w:r>
      <w:r w:rsidR="00E26D36" w:rsidRPr="00005E37">
        <w:t xml:space="preserve"> return </w:t>
      </w:r>
      <w:r w:rsidR="00EC3728" w:rsidRPr="00005E37">
        <w:t xml:space="preserve">for </w:t>
      </w:r>
      <w:r w:rsidR="00767181" w:rsidRPr="00005E37">
        <w:t xml:space="preserve">the </w:t>
      </w:r>
      <w:r w:rsidR="00E26D36" w:rsidRPr="00005E37">
        <w:t xml:space="preserve">income </w:t>
      </w:r>
      <w:r w:rsidR="00A6405A" w:rsidRPr="00005E37">
        <w:t>year</w:t>
      </w:r>
      <w:r w:rsidR="00253595" w:rsidRPr="00005E37">
        <w:t>;</w:t>
      </w:r>
      <w:r w:rsidR="00A6405A" w:rsidRPr="00005E37">
        <w:t xml:space="preserve"> </w:t>
      </w:r>
      <w:r w:rsidR="00E26D36" w:rsidRPr="00005E37">
        <w:t>and</w:t>
      </w:r>
    </w:p>
    <w:p w14:paraId="32935D6E" w14:textId="77777777" w:rsidR="00F64E97" w:rsidRPr="00005E37" w:rsidRDefault="00253595" w:rsidP="006E6C80">
      <w:pPr>
        <w:pStyle w:val="paragraphsub"/>
      </w:pPr>
      <w:r w:rsidRPr="00005E37">
        <w:tab/>
        <w:t>(ii)</w:t>
      </w:r>
      <w:r w:rsidRPr="00005E37">
        <w:tab/>
      </w:r>
      <w:r w:rsidR="008F0217" w:rsidRPr="00005E37">
        <w:t xml:space="preserve">you have not lodged </w:t>
      </w:r>
      <w:r w:rsidR="00F64E97" w:rsidRPr="00005E37">
        <w:t xml:space="preserve">a </w:t>
      </w:r>
      <w:r w:rsidR="00E26D36" w:rsidRPr="00005E37">
        <w:t xml:space="preserve">return </w:t>
      </w:r>
      <w:r w:rsidR="00F64E97" w:rsidRPr="00005E37">
        <w:t xml:space="preserve">for </w:t>
      </w:r>
      <w:r w:rsidR="00767181" w:rsidRPr="00005E37">
        <w:t xml:space="preserve">the </w:t>
      </w:r>
      <w:r w:rsidR="00F64E97" w:rsidRPr="00005E37">
        <w:t>income year; and</w:t>
      </w:r>
    </w:p>
    <w:p w14:paraId="5A741AAD" w14:textId="77777777" w:rsidR="00E26D36" w:rsidRPr="00005E37" w:rsidRDefault="00F64E97" w:rsidP="006E6C80">
      <w:pPr>
        <w:pStyle w:val="paragraphsub"/>
      </w:pPr>
      <w:r w:rsidRPr="00005E37">
        <w:tab/>
        <w:t>(iii)</w:t>
      </w:r>
      <w:r w:rsidRPr="00005E37">
        <w:tab/>
        <w:t xml:space="preserve">the period specified </w:t>
      </w:r>
      <w:r w:rsidR="00253595" w:rsidRPr="00005E37">
        <w:t xml:space="preserve">by the Commissioner </w:t>
      </w:r>
      <w:r w:rsidR="00767181" w:rsidRPr="00005E37">
        <w:t xml:space="preserve">of </w:t>
      </w:r>
      <w:r w:rsidR="00253595" w:rsidRPr="00005E37">
        <w:t>Taxation for lodg</w:t>
      </w:r>
      <w:r w:rsidR="008A6620" w:rsidRPr="00005E37">
        <w:t>e</w:t>
      </w:r>
      <w:r w:rsidR="00253595" w:rsidRPr="00005E37">
        <w:t>ment of the return</w:t>
      </w:r>
      <w:r w:rsidRPr="00005E37">
        <w:t xml:space="preserve"> has ended</w:t>
      </w:r>
      <w:r w:rsidR="00E26D36" w:rsidRPr="00005E37">
        <w:t xml:space="preserve">; </w:t>
      </w:r>
      <w:r w:rsidR="00624B55" w:rsidRPr="00005E37">
        <w:t>or</w:t>
      </w:r>
    </w:p>
    <w:p w14:paraId="33305742" w14:textId="77777777" w:rsidR="00624B55" w:rsidRPr="00005E37" w:rsidRDefault="00624B55" w:rsidP="006E6C80">
      <w:pPr>
        <w:pStyle w:val="paragraph"/>
      </w:pPr>
      <w:r w:rsidRPr="00005E37">
        <w:tab/>
        <w:t>(</w:t>
      </w:r>
      <w:r w:rsidR="005866DE" w:rsidRPr="00005E37">
        <w:t>e</w:t>
      </w:r>
      <w:r w:rsidRPr="00005E37">
        <w:t>)</w:t>
      </w:r>
      <w:r w:rsidRPr="00005E37">
        <w:tab/>
        <w:t xml:space="preserve">you have </w:t>
      </w:r>
      <w:r w:rsidR="002D770C" w:rsidRPr="00005E37">
        <w:t xml:space="preserve">not, within the 12 months immediately </w:t>
      </w:r>
      <w:r w:rsidR="0046793C" w:rsidRPr="00005E37">
        <w:t xml:space="preserve">before </w:t>
      </w:r>
      <w:r w:rsidR="002D770C" w:rsidRPr="00005E37">
        <w:t>the Registrar’s decision</w:t>
      </w:r>
      <w:r w:rsidR="000014DD" w:rsidRPr="00005E37">
        <w:t xml:space="preserve"> to cancel your registration</w:t>
      </w:r>
      <w:r w:rsidR="002D770C" w:rsidRPr="00005E37">
        <w:t xml:space="preserve">, notified the Registrar under </w:t>
      </w:r>
      <w:r w:rsidR="00CC7B1D" w:rsidRPr="00005E37">
        <w:t>subsection 1</w:t>
      </w:r>
      <w:r w:rsidR="002D770C" w:rsidRPr="00005E37">
        <w:t xml:space="preserve">4A(1) </w:t>
      </w:r>
      <w:r w:rsidR="0046793C" w:rsidRPr="00005E37">
        <w:t xml:space="preserve">(about </w:t>
      </w:r>
      <w:r w:rsidR="002D770C" w:rsidRPr="00005E37">
        <w:t xml:space="preserve">still </w:t>
      </w:r>
      <w:r w:rsidR="0046793C" w:rsidRPr="00005E37">
        <w:t xml:space="preserve">requiring </w:t>
      </w:r>
      <w:r w:rsidR="002D770C" w:rsidRPr="00005E37">
        <w:t xml:space="preserve">your ABN and </w:t>
      </w:r>
      <w:r w:rsidR="0046793C" w:rsidRPr="00005E37">
        <w:t xml:space="preserve">the currency of </w:t>
      </w:r>
      <w:r w:rsidR="002D770C" w:rsidRPr="00005E37">
        <w:t>information given to the Registrar</w:t>
      </w:r>
      <w:r w:rsidR="0046793C" w:rsidRPr="00005E37">
        <w:t>).</w:t>
      </w:r>
    </w:p>
    <w:p w14:paraId="609054D8" w14:textId="77777777" w:rsidR="00297B00" w:rsidRPr="00005E37" w:rsidRDefault="00B33030" w:rsidP="006E6C80">
      <w:pPr>
        <w:pStyle w:val="ItemHead"/>
      </w:pPr>
      <w:r w:rsidRPr="00005E37">
        <w:t>4</w:t>
      </w:r>
      <w:r w:rsidR="00297B00" w:rsidRPr="00005E37">
        <w:t xml:space="preserve">  At the end of </w:t>
      </w:r>
      <w:r w:rsidR="00CC7B1D" w:rsidRPr="00005E37">
        <w:t>subsection 1</w:t>
      </w:r>
      <w:r w:rsidR="00297B00" w:rsidRPr="00005E37">
        <w:t>8(1)</w:t>
      </w:r>
    </w:p>
    <w:p w14:paraId="1C13C274" w14:textId="77777777" w:rsidR="00297B00" w:rsidRPr="00005E37" w:rsidRDefault="00297B00" w:rsidP="006E6C80">
      <w:pPr>
        <w:pStyle w:val="Item"/>
      </w:pPr>
      <w:r w:rsidRPr="00005E37">
        <w:t>Add:</w:t>
      </w:r>
    </w:p>
    <w:p w14:paraId="3D17A9C4" w14:textId="77777777" w:rsidR="00B33030" w:rsidRPr="00005E37" w:rsidRDefault="00B33030" w:rsidP="006E6C80">
      <w:pPr>
        <w:pStyle w:val="notetext"/>
      </w:pPr>
      <w:r w:rsidRPr="00005E37">
        <w:t>Note 3:</w:t>
      </w:r>
      <w:r w:rsidRPr="00005E37">
        <w:tab/>
        <w:t>If your registration is cancelled under paragraph (1)(d) for failing to lodge income tax returns, the Registrar must, in certain circumstances, reinstate your registration (see paragraph 19(1)(b)).</w:t>
      </w:r>
    </w:p>
    <w:p w14:paraId="4FD8A4EF" w14:textId="77777777" w:rsidR="00297B00" w:rsidRPr="00005E37" w:rsidRDefault="00297B00" w:rsidP="006E6C80">
      <w:pPr>
        <w:pStyle w:val="notetext"/>
      </w:pPr>
      <w:r w:rsidRPr="00005E37">
        <w:t xml:space="preserve">Note </w:t>
      </w:r>
      <w:r w:rsidR="00B33030" w:rsidRPr="00005E37">
        <w:t>4</w:t>
      </w:r>
      <w:r w:rsidRPr="00005E37">
        <w:t>:</w:t>
      </w:r>
      <w:r w:rsidRPr="00005E37">
        <w:tab/>
        <w:t xml:space="preserve">Your registration may be cancelled under </w:t>
      </w:r>
      <w:r w:rsidR="00CC7B1D" w:rsidRPr="00005E37">
        <w:t>paragraph </w:t>
      </w:r>
      <w:r w:rsidR="001C60D5" w:rsidRPr="00005E37">
        <w:t>(1)</w:t>
      </w:r>
      <w:r w:rsidR="00CC7B1D" w:rsidRPr="00005E37">
        <w:t>(</w:t>
      </w:r>
      <w:r w:rsidRPr="00005E37">
        <w:t>d) even if you</w:t>
      </w:r>
      <w:r w:rsidR="00043ED3" w:rsidRPr="00005E37">
        <w:t>r</w:t>
      </w:r>
      <w:r w:rsidRPr="00005E37">
        <w:t xml:space="preserve"> registration </w:t>
      </w:r>
      <w:r w:rsidR="00043ED3" w:rsidRPr="00005E37">
        <w:t xml:space="preserve">has been </w:t>
      </w:r>
      <w:r w:rsidRPr="00005E37">
        <w:t xml:space="preserve">reinstated under </w:t>
      </w:r>
      <w:r w:rsidR="00B33030" w:rsidRPr="00005E37">
        <w:t>paragraph 1</w:t>
      </w:r>
      <w:r w:rsidRPr="00005E37">
        <w:t xml:space="preserve">9(1)(b)—for example, </w:t>
      </w:r>
      <w:r w:rsidR="00043ED3" w:rsidRPr="00005E37">
        <w:t xml:space="preserve">because you do not lodge </w:t>
      </w:r>
      <w:r w:rsidRPr="00005E37">
        <w:t xml:space="preserve">the income tax returns in accordance with </w:t>
      </w:r>
      <w:r w:rsidR="00852C34" w:rsidRPr="00005E37">
        <w:t xml:space="preserve">an </w:t>
      </w:r>
      <w:r w:rsidRPr="00005E37">
        <w:t xml:space="preserve">arrangement made with the </w:t>
      </w:r>
      <w:r w:rsidR="00852C34" w:rsidRPr="00005E37">
        <w:t xml:space="preserve">Commissioner </w:t>
      </w:r>
      <w:r w:rsidR="00767181" w:rsidRPr="00005E37">
        <w:t xml:space="preserve">of </w:t>
      </w:r>
      <w:r w:rsidR="00852C34" w:rsidRPr="00005E37">
        <w:t>Taxation</w:t>
      </w:r>
      <w:r w:rsidRPr="00005E37">
        <w:t>.</w:t>
      </w:r>
    </w:p>
    <w:p w14:paraId="453C51C5" w14:textId="77777777" w:rsidR="001F1FC7" w:rsidRPr="00005E37" w:rsidRDefault="00B33030" w:rsidP="006E6C80">
      <w:pPr>
        <w:pStyle w:val="ItemHead"/>
      </w:pPr>
      <w:r w:rsidRPr="00005E37">
        <w:t>5</w:t>
      </w:r>
      <w:r w:rsidR="00417150" w:rsidRPr="00005E37">
        <w:t xml:space="preserve">  </w:t>
      </w:r>
      <w:r w:rsidR="00B21621" w:rsidRPr="00005E37">
        <w:t>Subsection 1</w:t>
      </w:r>
      <w:r w:rsidR="00417150" w:rsidRPr="00005E37">
        <w:t>9(1)</w:t>
      </w:r>
    </w:p>
    <w:p w14:paraId="3619D074" w14:textId="77777777" w:rsidR="00417150" w:rsidRPr="00005E37" w:rsidRDefault="00417150" w:rsidP="006E6C80">
      <w:pPr>
        <w:pStyle w:val="Item"/>
      </w:pPr>
      <w:r w:rsidRPr="00005E37">
        <w:t>Repeal the subsection, substitute:</w:t>
      </w:r>
    </w:p>
    <w:p w14:paraId="175EBC79" w14:textId="77777777" w:rsidR="00417150" w:rsidRPr="00005E37" w:rsidRDefault="00417150" w:rsidP="006E6C80">
      <w:pPr>
        <w:pStyle w:val="subsection"/>
      </w:pPr>
      <w:r w:rsidRPr="00005E37">
        <w:tab/>
        <w:t>(1)</w:t>
      </w:r>
      <w:r w:rsidRPr="00005E37">
        <w:tab/>
        <w:t xml:space="preserve">The </w:t>
      </w:r>
      <w:r w:rsidR="006E6C80" w:rsidRPr="006E6C80">
        <w:rPr>
          <w:position w:val="6"/>
          <w:sz w:val="16"/>
        </w:rPr>
        <w:t>*</w:t>
      </w:r>
      <w:r w:rsidRPr="00005E37">
        <w:t xml:space="preserve">Registrar must reinstate </w:t>
      </w:r>
      <w:r w:rsidR="006E6C80" w:rsidRPr="006E6C80">
        <w:rPr>
          <w:position w:val="6"/>
          <w:sz w:val="16"/>
        </w:rPr>
        <w:t>*</w:t>
      </w:r>
      <w:r w:rsidRPr="00005E37">
        <w:t>your registration</w:t>
      </w:r>
      <w:r w:rsidR="009E5556" w:rsidRPr="00005E37">
        <w:t>, or the registration of your representative</w:t>
      </w:r>
      <w:r w:rsidR="0098167B" w:rsidRPr="00005E37">
        <w:t xml:space="preserve"> if</w:t>
      </w:r>
      <w:r w:rsidR="009E5556" w:rsidRPr="00005E37">
        <w:t>:</w:t>
      </w:r>
    </w:p>
    <w:p w14:paraId="287128A1" w14:textId="77777777" w:rsidR="008C31FB" w:rsidRPr="00005E37" w:rsidRDefault="008C31FB" w:rsidP="006E6C80">
      <w:pPr>
        <w:pStyle w:val="paragraph"/>
      </w:pPr>
      <w:r w:rsidRPr="00005E37">
        <w:tab/>
        <w:t>(a)</w:t>
      </w:r>
      <w:r w:rsidRPr="00005E37">
        <w:tab/>
        <w:t>the Registrar is satisfied that the registration should not have been cancelled; or</w:t>
      </w:r>
    </w:p>
    <w:p w14:paraId="18306495" w14:textId="77777777" w:rsidR="00043ED3" w:rsidRPr="00005E37" w:rsidRDefault="009E5556" w:rsidP="006E6C80">
      <w:pPr>
        <w:pStyle w:val="paragraph"/>
      </w:pPr>
      <w:r w:rsidRPr="00005E37">
        <w:tab/>
        <w:t>(</w:t>
      </w:r>
      <w:r w:rsidR="008C31FB" w:rsidRPr="00005E37">
        <w:t>b</w:t>
      </w:r>
      <w:r w:rsidRPr="00005E37">
        <w:t>)</w:t>
      </w:r>
      <w:r w:rsidRPr="00005E37">
        <w:tab/>
      </w:r>
      <w:r w:rsidR="008A6620" w:rsidRPr="00005E37">
        <w:t xml:space="preserve">in a case </w:t>
      </w:r>
      <w:r w:rsidRPr="00005E37">
        <w:t xml:space="preserve">where your registration </w:t>
      </w:r>
      <w:r w:rsidR="001502CC" w:rsidRPr="00005E37">
        <w:t xml:space="preserve">is cancelled under </w:t>
      </w:r>
      <w:r w:rsidR="00B33030" w:rsidRPr="00005E37">
        <w:t>paragraph 1</w:t>
      </w:r>
      <w:r w:rsidR="001502CC" w:rsidRPr="00005E37">
        <w:t>8(1)(</w:t>
      </w:r>
      <w:r w:rsidR="008C31FB" w:rsidRPr="00005E37">
        <w:t>d</w:t>
      </w:r>
      <w:r w:rsidR="001502CC" w:rsidRPr="00005E37">
        <w:t xml:space="preserve">)—the Registrar is satisfied that you have lodged, or </w:t>
      </w:r>
      <w:r w:rsidR="00E334E8" w:rsidRPr="00005E37">
        <w:t xml:space="preserve">have </w:t>
      </w:r>
      <w:r w:rsidR="001502CC" w:rsidRPr="00005E37">
        <w:t xml:space="preserve">made arrangements </w:t>
      </w:r>
      <w:r w:rsidR="008A6620" w:rsidRPr="00005E37">
        <w:t xml:space="preserve">with the Commissioner </w:t>
      </w:r>
      <w:r w:rsidR="00767181" w:rsidRPr="00005E37">
        <w:t xml:space="preserve">of </w:t>
      </w:r>
      <w:r w:rsidR="008A6620" w:rsidRPr="00005E37">
        <w:t xml:space="preserve">Taxation </w:t>
      </w:r>
      <w:r w:rsidR="00E334E8" w:rsidRPr="00005E37">
        <w:t>to lodge</w:t>
      </w:r>
      <w:r w:rsidR="006B179C" w:rsidRPr="00005E37">
        <w:t>,</w:t>
      </w:r>
      <w:r w:rsidR="001502CC" w:rsidRPr="00005E37">
        <w:t xml:space="preserve"> the </w:t>
      </w:r>
      <w:r w:rsidR="00795158" w:rsidRPr="00005E37">
        <w:t xml:space="preserve">relevant </w:t>
      </w:r>
      <w:r w:rsidR="006E6C80" w:rsidRPr="006E6C80">
        <w:rPr>
          <w:position w:val="6"/>
          <w:sz w:val="16"/>
        </w:rPr>
        <w:t>*</w:t>
      </w:r>
      <w:r w:rsidR="00A6405A" w:rsidRPr="00005E37">
        <w:t xml:space="preserve">income tax </w:t>
      </w:r>
      <w:r w:rsidR="001502CC" w:rsidRPr="00005E37">
        <w:t>returns</w:t>
      </w:r>
      <w:r w:rsidR="00043ED3" w:rsidRPr="00005E37">
        <w:t>; or</w:t>
      </w:r>
    </w:p>
    <w:p w14:paraId="138F7588" w14:textId="77777777" w:rsidR="009E5556" w:rsidRPr="00005E37" w:rsidRDefault="00043ED3" w:rsidP="006E6C80">
      <w:pPr>
        <w:pStyle w:val="paragraph"/>
      </w:pPr>
      <w:r w:rsidRPr="00005E37">
        <w:tab/>
        <w:t>(c)</w:t>
      </w:r>
      <w:r w:rsidRPr="00005E37">
        <w:tab/>
      </w:r>
      <w:r w:rsidR="008A6620" w:rsidRPr="00005E37">
        <w:t xml:space="preserve">in a case </w:t>
      </w:r>
      <w:r w:rsidRPr="00005E37">
        <w:t xml:space="preserve">where your registration is cancelled under </w:t>
      </w:r>
      <w:r w:rsidR="00B33030" w:rsidRPr="00005E37">
        <w:t>paragraph 1</w:t>
      </w:r>
      <w:r w:rsidRPr="00005E37">
        <w:t xml:space="preserve">8(1)(e)—you notify the Registrar under </w:t>
      </w:r>
      <w:r w:rsidR="00CC7B1D" w:rsidRPr="00005E37">
        <w:t>subsection 1</w:t>
      </w:r>
      <w:r w:rsidRPr="00005E37">
        <w:t xml:space="preserve">4A(1) that you still require your </w:t>
      </w:r>
      <w:r w:rsidR="006E6C80" w:rsidRPr="006E6C80">
        <w:rPr>
          <w:position w:val="6"/>
          <w:sz w:val="16"/>
        </w:rPr>
        <w:t>*</w:t>
      </w:r>
      <w:r w:rsidRPr="00005E37">
        <w:t>ABN and confirm the currency of the information you have given to the Registrar</w:t>
      </w:r>
      <w:r w:rsidR="008C31FB" w:rsidRPr="00005E37">
        <w:t>.</w:t>
      </w:r>
    </w:p>
    <w:p w14:paraId="019CAE3D" w14:textId="77777777" w:rsidR="001F1FC7" w:rsidRPr="00005E37" w:rsidRDefault="00B33030" w:rsidP="006E6C80">
      <w:pPr>
        <w:pStyle w:val="ItemHead"/>
      </w:pPr>
      <w:r w:rsidRPr="00005E37">
        <w:lastRenderedPageBreak/>
        <w:t>6</w:t>
      </w:r>
      <w:r w:rsidR="00A6405A" w:rsidRPr="00005E37">
        <w:t xml:space="preserve">  Section</w:t>
      </w:r>
      <w:r w:rsidR="003865D7" w:rsidRPr="00005E37">
        <w:t> </w:t>
      </w:r>
      <w:r w:rsidR="00A6405A" w:rsidRPr="00005E37">
        <w:t>41</w:t>
      </w:r>
    </w:p>
    <w:p w14:paraId="72D506BD" w14:textId="77777777" w:rsidR="00A6405A" w:rsidRPr="00005E37" w:rsidRDefault="00A6405A" w:rsidP="006E6C80">
      <w:pPr>
        <w:pStyle w:val="Item"/>
      </w:pPr>
      <w:r w:rsidRPr="00005E37">
        <w:t>Insert:</w:t>
      </w:r>
    </w:p>
    <w:p w14:paraId="717083C8" w14:textId="77777777" w:rsidR="00A6405A" w:rsidRPr="00005E37" w:rsidRDefault="00A6405A" w:rsidP="006E6C80">
      <w:pPr>
        <w:pStyle w:val="Definition"/>
      </w:pPr>
      <w:r w:rsidRPr="00005E37">
        <w:rPr>
          <w:b/>
          <w:i/>
        </w:rPr>
        <w:t>income tax return</w:t>
      </w:r>
      <w:r w:rsidRPr="00005E37">
        <w:t xml:space="preserve"> has the meaning given by subsection</w:t>
      </w:r>
      <w:r w:rsidR="003865D7" w:rsidRPr="00005E37">
        <w:t> </w:t>
      </w:r>
      <w:r w:rsidRPr="00005E37">
        <w:t>995</w:t>
      </w:r>
      <w:r w:rsidR="006E6C80">
        <w:noBreakHyphen/>
      </w:r>
      <w:r w:rsidRPr="00005E37">
        <w:t xml:space="preserve">1(1) of the </w:t>
      </w:r>
      <w:r w:rsidR="006E6C80" w:rsidRPr="006E6C80">
        <w:rPr>
          <w:position w:val="6"/>
          <w:sz w:val="16"/>
        </w:rPr>
        <w:t>*</w:t>
      </w:r>
      <w:r w:rsidRPr="00005E37">
        <w:t>ITAA 1997.</w:t>
      </w:r>
    </w:p>
    <w:p w14:paraId="047C9675" w14:textId="77777777" w:rsidR="00A6405A" w:rsidRPr="00005E37" w:rsidRDefault="00A6405A" w:rsidP="006E6C80">
      <w:pPr>
        <w:pStyle w:val="Definition"/>
      </w:pPr>
      <w:r w:rsidRPr="00005E37">
        <w:rPr>
          <w:b/>
          <w:i/>
        </w:rPr>
        <w:t>income year</w:t>
      </w:r>
      <w:r w:rsidRPr="00005E37">
        <w:t xml:space="preserve"> has the meaning given by subsection</w:t>
      </w:r>
      <w:r w:rsidR="003865D7" w:rsidRPr="00005E37">
        <w:t> </w:t>
      </w:r>
      <w:r w:rsidRPr="00005E37">
        <w:t>995</w:t>
      </w:r>
      <w:r w:rsidR="006E6C80">
        <w:noBreakHyphen/>
      </w:r>
      <w:r w:rsidRPr="00005E37">
        <w:t xml:space="preserve">1(1) of the </w:t>
      </w:r>
      <w:r w:rsidR="006E6C80" w:rsidRPr="006E6C80">
        <w:rPr>
          <w:position w:val="6"/>
          <w:sz w:val="16"/>
        </w:rPr>
        <w:t>*</w:t>
      </w:r>
      <w:r w:rsidRPr="00005E37">
        <w:t>ITAA 1997.</w:t>
      </w:r>
    </w:p>
    <w:p w14:paraId="3AA4B14A" w14:textId="77777777" w:rsidR="00F83E54" w:rsidRPr="00005E37" w:rsidRDefault="00B33030" w:rsidP="006E6C80">
      <w:pPr>
        <w:pStyle w:val="Transitional"/>
      </w:pPr>
      <w:r w:rsidRPr="00005E37">
        <w:t>7</w:t>
      </w:r>
      <w:r w:rsidR="00F83E54" w:rsidRPr="00005E37">
        <w:t xml:space="preserve">  Application of amendments</w:t>
      </w:r>
    </w:p>
    <w:p w14:paraId="5B3232DB" w14:textId="77777777" w:rsidR="00F83E54" w:rsidRPr="00005E37" w:rsidRDefault="00F83E54" w:rsidP="006E6C80">
      <w:pPr>
        <w:pStyle w:val="Subitem"/>
      </w:pPr>
      <w:r w:rsidRPr="00005E37">
        <w:t>(</w:t>
      </w:r>
      <w:r w:rsidR="000014DD" w:rsidRPr="00005E37">
        <w:t>1</w:t>
      </w:r>
      <w:r w:rsidRPr="00005E37">
        <w:t>)</w:t>
      </w:r>
      <w:r w:rsidR="000C6944" w:rsidRPr="00005E37">
        <w:tab/>
      </w:r>
      <w:r w:rsidR="00CC7B1D" w:rsidRPr="00005E37">
        <w:t>Paragraph 1</w:t>
      </w:r>
      <w:r w:rsidRPr="00005E37">
        <w:t>8(1)</w:t>
      </w:r>
      <w:r w:rsidR="00F00B12" w:rsidRPr="00005E37">
        <w:t>(</w:t>
      </w:r>
      <w:r w:rsidR="000014DD" w:rsidRPr="00005E37">
        <w:t>d</w:t>
      </w:r>
      <w:r w:rsidR="00F00B12" w:rsidRPr="00005E37">
        <w:t>)</w:t>
      </w:r>
      <w:r w:rsidRPr="00005E37">
        <w:t xml:space="preserve"> of the </w:t>
      </w:r>
      <w:r w:rsidRPr="00005E37">
        <w:rPr>
          <w:i/>
        </w:rPr>
        <w:t>A New Tax System (Australian Business Number) Act 1999</w:t>
      </w:r>
      <w:r w:rsidR="00F00B12" w:rsidRPr="00005E37">
        <w:t xml:space="preserve">, as inserted by </w:t>
      </w:r>
      <w:r w:rsidRPr="00005E37">
        <w:t>this Schedule</w:t>
      </w:r>
      <w:r w:rsidR="00F00B12" w:rsidRPr="00005E37">
        <w:t>,</w:t>
      </w:r>
      <w:r w:rsidRPr="00005E37">
        <w:t xml:space="preserve"> </w:t>
      </w:r>
      <w:r w:rsidR="00F00B12" w:rsidRPr="00005E37">
        <w:t xml:space="preserve">applies </w:t>
      </w:r>
      <w:r w:rsidRPr="00005E37">
        <w:t xml:space="preserve">in relation to income years commencing on or after </w:t>
      </w:r>
      <w:r w:rsidR="00B21621" w:rsidRPr="00005E37">
        <w:t>1 July</w:t>
      </w:r>
      <w:r w:rsidRPr="00005E37">
        <w:t xml:space="preserve"> 202</w:t>
      </w:r>
      <w:r w:rsidR="00794E57" w:rsidRPr="00005E37">
        <w:t>2</w:t>
      </w:r>
      <w:r w:rsidRPr="00005E37">
        <w:t>.</w:t>
      </w:r>
    </w:p>
    <w:p w14:paraId="2FD5E6A2" w14:textId="77777777" w:rsidR="000014DD" w:rsidRPr="00005E37" w:rsidRDefault="000014DD" w:rsidP="006E6C80">
      <w:pPr>
        <w:pStyle w:val="Subitem"/>
      </w:pPr>
      <w:r w:rsidRPr="00005E37">
        <w:t>(2)</w:t>
      </w:r>
      <w:r w:rsidRPr="00005E37">
        <w:tab/>
      </w:r>
      <w:r w:rsidR="00CC7B1D" w:rsidRPr="00005E37">
        <w:t>Paragraph 1</w:t>
      </w:r>
      <w:r w:rsidRPr="00005E37">
        <w:t xml:space="preserve">8(1)(e) of the </w:t>
      </w:r>
      <w:r w:rsidRPr="00005E37">
        <w:rPr>
          <w:i/>
        </w:rPr>
        <w:t>A New Tax System (Australian Business Number) Act 1999</w:t>
      </w:r>
      <w:r w:rsidRPr="00005E37">
        <w:t xml:space="preserve">, as inserted by this Schedule, applies in relation to </w:t>
      </w:r>
      <w:r w:rsidR="0091143D" w:rsidRPr="00005E37">
        <w:t xml:space="preserve">a decision made by the Registrar on or after </w:t>
      </w:r>
      <w:r w:rsidR="00B21621" w:rsidRPr="00005E37">
        <w:t>1 July</w:t>
      </w:r>
      <w:r w:rsidR="0091143D" w:rsidRPr="00005E37">
        <w:t xml:space="preserve"> 202</w:t>
      </w:r>
      <w:r w:rsidR="00FF3D5A">
        <w:t>4</w:t>
      </w:r>
      <w:r w:rsidR="0091143D" w:rsidRPr="00005E37">
        <w:t xml:space="preserve"> to cancel </w:t>
      </w:r>
      <w:r w:rsidR="00BB59BE" w:rsidRPr="00005E37">
        <w:t xml:space="preserve">an entity’s </w:t>
      </w:r>
      <w:r w:rsidR="0091143D" w:rsidRPr="00005E37">
        <w:t>registration for an ABN</w:t>
      </w:r>
      <w:r w:rsidR="00794E57" w:rsidRPr="00005E37">
        <w:t xml:space="preserve"> (whether the registration took effect before, on or after that day)</w:t>
      </w:r>
      <w:r w:rsidR="0091143D" w:rsidRPr="00005E37">
        <w:t>.</w:t>
      </w:r>
    </w:p>
    <w:sectPr w:rsidR="000014DD" w:rsidRPr="00005E37" w:rsidSect="006E6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88FE" w14:textId="77777777" w:rsidR="00BF3E0C" w:rsidRDefault="00BF3E0C" w:rsidP="00664C63">
      <w:pPr>
        <w:spacing w:line="240" w:lineRule="auto"/>
      </w:pPr>
      <w:r>
        <w:separator/>
      </w:r>
    </w:p>
  </w:endnote>
  <w:endnote w:type="continuationSeparator" w:id="0">
    <w:p w14:paraId="2AB0EEFB" w14:textId="77777777" w:rsidR="00BF3E0C" w:rsidRDefault="00BF3E0C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4E6E" w14:textId="77777777" w:rsidR="00664C63" w:rsidRPr="00BB4623" w:rsidRDefault="00664C63" w:rsidP="006E6C80">
    <w:pPr>
      <w:pBdr>
        <w:top w:val="single" w:sz="6" w:space="1" w:color="auto"/>
      </w:pBdr>
      <w:spacing w:before="120"/>
      <w:jc w:val="right"/>
      <w:rPr>
        <w:sz w:val="18"/>
      </w:rPr>
    </w:pPr>
  </w:p>
  <w:p w14:paraId="0FEE8777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3865D7">
      <w:rPr>
        <w:i/>
        <w:noProof/>
        <w:sz w:val="18"/>
      </w:rPr>
      <w:t>6</w:t>
    </w:r>
    <w:r w:rsidRPr="00BB4623">
      <w:rPr>
        <w:i/>
        <w:sz w:val="18"/>
      </w:rPr>
      <w:fldChar w:fldCharType="end"/>
    </w:r>
  </w:p>
  <w:p w14:paraId="4CCF87DE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CC44" w14:textId="77777777" w:rsidR="0095602D" w:rsidRDefault="00B33030" w:rsidP="006E6C80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C57501" wp14:editId="16267C7C">
              <wp:simplePos x="0" y="0"/>
              <wp:positionH relativeFrom="page">
                <wp:align>center</wp:align>
              </wp:positionH>
              <wp:positionV relativeFrom="paragraph">
                <wp:posOffset>2310130</wp:posOffset>
              </wp:positionV>
              <wp:extent cx="5760720" cy="396240"/>
              <wp:effectExtent l="0" t="0" r="0" b="3810"/>
              <wp:wrapNone/>
              <wp:docPr id="2" name="Text Box 2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07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2A4D7" w14:textId="77777777" w:rsidR="009C3E3F" w:rsidRPr="009C3E3F" w:rsidRDefault="009C3E3F" w:rsidP="009C3E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C8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C8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32AAB5FB" w14:textId="77777777" w:rsidR="00B33030" w:rsidRPr="009C3E3F" w:rsidRDefault="00B33030" w:rsidP="009C3E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575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Sec-primary" style="position:absolute;margin-left:0;margin-top:181.9pt;width:453.6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ZriQIAAIYFAAAOAAAAZHJzL2Uyb0RvYy54bWysVN9P2zAQfp+0/8Hy+0hboIyIFHWgTpMq&#10;QCsTz65jtxGOz7OvTbq/fmcnbYHthWl9cO3cd7+/u6vrtjZsq3yowBZ8eDLgTFkJZWVXBf/xOPv0&#10;mbOAwpbCgFUF36nArycfP1w1LlcjWIMplWdkxIa8cQVfI7o8y4Jcq1qEE3DKklCDrwXS06+y0ouG&#10;rNcmGw0G46wBXzoPUoVAX287IZ8k+1orifdaB4XMFJxiw3T6dC7jmU2uRL7ywq0r2Ych/iGKWlSW&#10;nB5M3QoUbOOrP0zVlfQQQOOJhDoDrSupUg6UzXDwJpvFWjiVcqHiBHcoU/h/ZuXdduEePMP2C7TU&#10;wJREcHOQz4FqkzUu5D0m1jTkgdAx0Vb7Ov5TCowUqba7Qz1Vi0zSx/OL8eBiRCJJstPL8egsFTw7&#10;ajsf8KuCmsVLwT31K0UgtvOA0b/I95DoLICpylllTHr41fLGeLYV1NtZ+sV2ksormLGsKfj49HyQ&#10;LFuI+h3O2GhHJZr0/o4pphvujIoYY78rzaoyZZqcR4Kqg3shpbI47P0ndERpcvUexR5/jOo9yl0e&#10;pJE8g8WDcl1Z8F1nX4ddPu9D1h2+73jo8o4lwHbZUuKRGlS0+GUJ5Y4Y46EbpuDkrKLuzUXAB+Fp&#10;eqjhtBHwng5tgIoP/Y2zNfhff/se8URqknLW0DQWPPzcCK84M98s0f1yeEbcYZgeZ+eJVP6lZPlS&#10;Yjf1DRAphrR7nExXUvZo9lftoX6ixTGNXkkkrCTfBcf99Qa7HUGLR6rpNIFoYJ3AuV04uR+UyM3H&#10;9kl41xMYifp3sJ9bkb/hcYeN/bEw3SDoKpH8WNW+/jTsicj9Yorb5OU7oY7rc/IbAAD//wMAUEsD&#10;BBQABgAIAAAAIQAiWP3B3QAAAAgBAAAPAAAAZHJzL2Rvd25yZXYueG1sTI9BS8NAEIXvgv9hGcGb&#10;3ZhKamImRQoiCD0Y9b7NTpNgdjZkN2367x1Pehze8N73ldvFDepEU+g9I9yvElDEjbc9twifHy93&#10;j6BCNGzN4JkQLhRgW11flaaw/szvdKpjq6SEQ2EQuhjHQuvQdORMWPmRWLKjn5yJck6ttpM5S7kb&#10;dJokmXamZ1nozEi7jprvenYIb3W2o7Ac91+bvHnVyZzX7WWPeHuzPD+BirTEv2f4xRd0qITp4Ge2&#10;QQ0IIhIR1tlaBCTOk00K6oDwkGYp6KrU/wWqHwAAAP//AwBQSwECLQAUAAYACAAAACEAtoM4kv4A&#10;AADhAQAAEwAAAAAAAAAAAAAAAAAAAAAAW0NvbnRlbnRfVHlwZXNdLnhtbFBLAQItABQABgAIAAAA&#10;IQA4/SH/1gAAAJQBAAALAAAAAAAAAAAAAAAAAC8BAABfcmVscy8ucmVsc1BLAQItABQABgAIAAAA&#10;IQDfLTZriQIAAIYFAAAOAAAAAAAAAAAAAAAAAC4CAABkcnMvZTJvRG9jLnhtbFBLAQItABQABgAI&#10;AAAAIQAiWP3B3QAAAAgBAAAPAAAAAAAAAAAAAAAAAOMEAABkcnMvZG93bnJldi54bWxQSwUGAAAA&#10;AAQABADzAAAA7QUAAAAA&#10;" stroked="f" strokeweight=".5pt">
              <v:path arrowok="t"/>
              <v:textbox>
                <w:txbxContent>
                  <w:p w14:paraId="77F2A4D7" w14:textId="77777777" w:rsidR="009C3E3F" w:rsidRPr="009C3E3F" w:rsidRDefault="009C3E3F" w:rsidP="009C3E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C8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C8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32AAB5FB" w14:textId="77777777" w:rsidR="00B33030" w:rsidRPr="009C3E3F" w:rsidRDefault="00B33030" w:rsidP="009C3E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0C14CC2B" w14:textId="77777777" w:rsidTr="00A91C76">
      <w:trPr>
        <w:trHeight w:val="280"/>
      </w:trPr>
      <w:tc>
        <w:tcPr>
          <w:tcW w:w="7087" w:type="dxa"/>
        </w:tcPr>
        <w:p w14:paraId="32B60619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512FE6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5655EC84" w14:textId="77777777" w:rsidTr="00A91C76">
      <w:tc>
        <w:tcPr>
          <w:tcW w:w="7087" w:type="dxa"/>
        </w:tcPr>
        <w:p w14:paraId="14E9545B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95F6C67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9B63" w14:textId="77777777" w:rsidR="00664C63" w:rsidRPr="00BB4623" w:rsidRDefault="00664C63" w:rsidP="006E6C8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9DFB" w14:textId="77777777" w:rsidR="00BF3E0C" w:rsidRDefault="00BF3E0C" w:rsidP="00664C63">
      <w:pPr>
        <w:spacing w:line="240" w:lineRule="auto"/>
      </w:pPr>
      <w:r>
        <w:separator/>
      </w:r>
    </w:p>
  </w:footnote>
  <w:footnote w:type="continuationSeparator" w:id="0">
    <w:p w14:paraId="75B4253A" w14:textId="77777777" w:rsidR="00BF3E0C" w:rsidRDefault="00BF3E0C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A432" w14:textId="77777777" w:rsidR="00664C63" w:rsidRPr="00BB4623" w:rsidRDefault="00664C63" w:rsidP="00664C63">
    <w:pPr>
      <w:rPr>
        <w:sz w:val="24"/>
      </w:rPr>
    </w:pPr>
  </w:p>
  <w:p w14:paraId="13FFDDFF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3D1C" w14:textId="77777777" w:rsidR="00664C63" w:rsidRPr="00BB4623" w:rsidRDefault="00B33030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253C11" wp14:editId="397E13A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0720" cy="396240"/>
              <wp:effectExtent l="0" t="0" r="0" b="3810"/>
              <wp:wrapNone/>
              <wp:docPr id="1" name="Text Box 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072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261B5" w14:textId="49F0385F" w:rsidR="00B33030" w:rsidRPr="009C3E3F" w:rsidRDefault="009C3E3F" w:rsidP="009C3E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C8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C8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1D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C62A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53C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Sec-primary" style="position:absolute;left:0;text-align:left;margin-left:0;margin-top:-25pt;width:453.6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bLhwIAAH8FAAAOAAAAZHJzL2Uyb0RvYy54bWysVMFu2zAMvQ/YPwi6r07SNl2NOkXWIsOA&#10;oC2WDj0rspQYlUVNYmJnXz9KdpK226XDclAo85EUyUdeXbe1YVvlQwW24MOTAWfKSigruyr4j8fZ&#10;p8+cBRS2FAasKvhOBX49+fjhqnG5GsEaTKk8Iyc25I0r+BrR5VkW5FrVIpyAU5aUGnwtkK5+lZVe&#10;NOS9NtloMBhnDfjSeZAqBPp62yn5JPnXWkm81zooZKbg9DZMp0/nMp7Z5ErkKy/cupL9M8Q/vKIW&#10;laWgB1e3AgXb+OoPV3UlPQTQeCKhzkDrSqqUA2UzHLzJZrEWTqVcqDjBHcoU/p9bebdduAfPsP0C&#10;LTUwJRHcHORzoNpkjQt5j4k1DXkgdEy01b6O/5QCI0Oq7e5QT9Uik/Tx/GI8uBiRSpLu9HI8OksF&#10;z47Wzgf8qqBmUSi4p36lF4jtPGCML/I9JAYLYKpyVhmTLn61vDGebQX1dpZ+sZ1k8gpmLGsKPj49&#10;HyTPFqJ9hzM2+lGJJn28Y4pJwp1REWPsd6VZVaZMU/BIUHUIL6RUFod9/ISOKE2h3mPY44+veo9x&#10;lwdZpMhg8WBcVxZ819nXzy6f90/WHb7veOjyjiXAdtlStaK4hHJHVPHQTVFwclZR2+Yi4IPwNDbU&#10;aVoFeE+HNkBVh17ibA3+19++RzyxmbScNTSGBQ8/N8Irzsw3Szy/HJ4RaRimy9l5YpN/qVm+1NhN&#10;fQPEhiEtHSeTSMYezV7UHuon2hjTGJVUwkqKXXDcizfYLQfaOFJNpwlEk+oEzu3Cyf2ERFI+tk/C&#10;u565SJy/g/3AivwNgTtsbIyF6QZBV4ndx6r2hacpTwzuN1JcIy/vCXXcm5PfAAAA//8DAFBLAwQU&#10;AAYACAAAACEAvd+wudwAAAAHAQAADwAAAGRycy9kb3ducmV2LnhtbEyPwWrDMBBE74X8g9hAb4kU&#10;0ya1YzmEQCkUcqjb3hVrY5tYK2PJifP33Z7a2ywzzLzNd5PrxBWH0HrSsFoqEEiVty3VGr4+Xxcv&#10;IEI0ZE3nCTXcMcCumD3kJrP+Rh94LWMtuIRCZjQ0MfaZlKFq0Jmw9D0Se2c/OBP5HGppB3PjctfJ&#10;RKm1dKYlXmhMj4cGq0s5Og3v5fqAYTofvzdp9SbVmJb1/aj143zab0FEnOJfGH7xGR0KZjr5kWwQ&#10;nQZ+JGpYPCsWbKdqk4A4cS55Alnk8j9/8QMAAP//AwBQSwECLQAUAAYACAAAACEAtoM4kv4AAADh&#10;AQAAEwAAAAAAAAAAAAAAAAAAAAAAW0NvbnRlbnRfVHlwZXNdLnhtbFBLAQItABQABgAIAAAAIQA4&#10;/SH/1gAAAJQBAAALAAAAAAAAAAAAAAAAAC8BAABfcmVscy8ucmVsc1BLAQItABQABgAIAAAAIQCd&#10;aGbLhwIAAH8FAAAOAAAAAAAAAAAAAAAAAC4CAABkcnMvZTJvRG9jLnhtbFBLAQItABQABgAIAAAA&#10;IQC937C53AAAAAcBAAAPAAAAAAAAAAAAAAAAAOEEAABkcnMvZG93bnJldi54bWxQSwUGAAAAAAQA&#10;BADzAAAA6gUAAAAA&#10;" stroked="f" strokeweight=".5pt">
              <v:path arrowok="t"/>
              <v:textbox>
                <w:txbxContent>
                  <w:p w14:paraId="5D8261B5" w14:textId="49F0385F" w:rsidR="00B33030" w:rsidRPr="009C3E3F" w:rsidRDefault="009C3E3F" w:rsidP="009C3E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C8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C8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1D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C62A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2A209B4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B8F1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0C"/>
    <w:rsid w:val="000014DD"/>
    <w:rsid w:val="00005E37"/>
    <w:rsid w:val="000136AF"/>
    <w:rsid w:val="00014B9A"/>
    <w:rsid w:val="000261EA"/>
    <w:rsid w:val="00037A5C"/>
    <w:rsid w:val="00043DA1"/>
    <w:rsid w:val="00043ED3"/>
    <w:rsid w:val="00052EC0"/>
    <w:rsid w:val="00055D20"/>
    <w:rsid w:val="000614BF"/>
    <w:rsid w:val="00073C5A"/>
    <w:rsid w:val="00085D41"/>
    <w:rsid w:val="00087033"/>
    <w:rsid w:val="00090C49"/>
    <w:rsid w:val="000A041F"/>
    <w:rsid w:val="000A4C9E"/>
    <w:rsid w:val="000A64F7"/>
    <w:rsid w:val="000C6944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273D3"/>
    <w:rsid w:val="0014056A"/>
    <w:rsid w:val="001502CC"/>
    <w:rsid w:val="00166C2F"/>
    <w:rsid w:val="00182C9A"/>
    <w:rsid w:val="0018435F"/>
    <w:rsid w:val="001939E1"/>
    <w:rsid w:val="00195382"/>
    <w:rsid w:val="001B0020"/>
    <w:rsid w:val="001B0323"/>
    <w:rsid w:val="001B0F61"/>
    <w:rsid w:val="001B17BD"/>
    <w:rsid w:val="001C1AAD"/>
    <w:rsid w:val="001C2160"/>
    <w:rsid w:val="001C60D5"/>
    <w:rsid w:val="001C69C4"/>
    <w:rsid w:val="001D07A0"/>
    <w:rsid w:val="001E3590"/>
    <w:rsid w:val="001E523D"/>
    <w:rsid w:val="001E7407"/>
    <w:rsid w:val="001F1FC7"/>
    <w:rsid w:val="00200C6D"/>
    <w:rsid w:val="002122AD"/>
    <w:rsid w:val="0021250A"/>
    <w:rsid w:val="002277A0"/>
    <w:rsid w:val="00240749"/>
    <w:rsid w:val="00253595"/>
    <w:rsid w:val="00257C18"/>
    <w:rsid w:val="002740F7"/>
    <w:rsid w:val="00296415"/>
    <w:rsid w:val="00297B00"/>
    <w:rsid w:val="00297ECB"/>
    <w:rsid w:val="002B4BCE"/>
    <w:rsid w:val="002B7A99"/>
    <w:rsid w:val="002C067A"/>
    <w:rsid w:val="002C085A"/>
    <w:rsid w:val="002D043A"/>
    <w:rsid w:val="002D32EF"/>
    <w:rsid w:val="002D770C"/>
    <w:rsid w:val="002E77E6"/>
    <w:rsid w:val="002F08B3"/>
    <w:rsid w:val="00301CA7"/>
    <w:rsid w:val="00311C50"/>
    <w:rsid w:val="00312A8E"/>
    <w:rsid w:val="00313C6F"/>
    <w:rsid w:val="00326663"/>
    <w:rsid w:val="003335E7"/>
    <w:rsid w:val="0033411C"/>
    <w:rsid w:val="00334771"/>
    <w:rsid w:val="00337CE9"/>
    <w:rsid w:val="003415D3"/>
    <w:rsid w:val="003441CC"/>
    <w:rsid w:val="003460A1"/>
    <w:rsid w:val="00352B0F"/>
    <w:rsid w:val="003865D7"/>
    <w:rsid w:val="003B0F1E"/>
    <w:rsid w:val="003B6A22"/>
    <w:rsid w:val="003B71C6"/>
    <w:rsid w:val="003D0317"/>
    <w:rsid w:val="003D0BFE"/>
    <w:rsid w:val="003D5700"/>
    <w:rsid w:val="003F60D2"/>
    <w:rsid w:val="00402376"/>
    <w:rsid w:val="004043EE"/>
    <w:rsid w:val="0040616D"/>
    <w:rsid w:val="004116CD"/>
    <w:rsid w:val="004121AA"/>
    <w:rsid w:val="004168B4"/>
    <w:rsid w:val="00417150"/>
    <w:rsid w:val="00424CA9"/>
    <w:rsid w:val="00427D10"/>
    <w:rsid w:val="00436D4C"/>
    <w:rsid w:val="0044291A"/>
    <w:rsid w:val="0046793C"/>
    <w:rsid w:val="004719BA"/>
    <w:rsid w:val="004854B2"/>
    <w:rsid w:val="00493BC9"/>
    <w:rsid w:val="00496F97"/>
    <w:rsid w:val="00497077"/>
    <w:rsid w:val="004B6C8F"/>
    <w:rsid w:val="004D1809"/>
    <w:rsid w:val="004E0810"/>
    <w:rsid w:val="004E34DC"/>
    <w:rsid w:val="004E3680"/>
    <w:rsid w:val="004F2730"/>
    <w:rsid w:val="004F3432"/>
    <w:rsid w:val="005104CE"/>
    <w:rsid w:val="00512FE6"/>
    <w:rsid w:val="00516B8D"/>
    <w:rsid w:val="00537FBC"/>
    <w:rsid w:val="00541D36"/>
    <w:rsid w:val="00543850"/>
    <w:rsid w:val="00543B43"/>
    <w:rsid w:val="0058372D"/>
    <w:rsid w:val="00584052"/>
    <w:rsid w:val="00584811"/>
    <w:rsid w:val="005866DE"/>
    <w:rsid w:val="00593AA6"/>
    <w:rsid w:val="00594161"/>
    <w:rsid w:val="00594749"/>
    <w:rsid w:val="005A25DA"/>
    <w:rsid w:val="005A6F34"/>
    <w:rsid w:val="005B4067"/>
    <w:rsid w:val="005C3F41"/>
    <w:rsid w:val="005C5800"/>
    <w:rsid w:val="005C69DE"/>
    <w:rsid w:val="005D4DEA"/>
    <w:rsid w:val="005E30F3"/>
    <w:rsid w:val="005F698B"/>
    <w:rsid w:val="005F7F67"/>
    <w:rsid w:val="00600219"/>
    <w:rsid w:val="00611C2E"/>
    <w:rsid w:val="00624B55"/>
    <w:rsid w:val="006444FB"/>
    <w:rsid w:val="00645490"/>
    <w:rsid w:val="00646D86"/>
    <w:rsid w:val="0065106B"/>
    <w:rsid w:val="00652150"/>
    <w:rsid w:val="006527A6"/>
    <w:rsid w:val="00664C63"/>
    <w:rsid w:val="00677CC2"/>
    <w:rsid w:val="00681A4A"/>
    <w:rsid w:val="006851A3"/>
    <w:rsid w:val="00686C65"/>
    <w:rsid w:val="0069207B"/>
    <w:rsid w:val="00696831"/>
    <w:rsid w:val="006B179C"/>
    <w:rsid w:val="006B1F41"/>
    <w:rsid w:val="006B3B85"/>
    <w:rsid w:val="006B51F1"/>
    <w:rsid w:val="006C7F8C"/>
    <w:rsid w:val="006D3764"/>
    <w:rsid w:val="006E022E"/>
    <w:rsid w:val="006E65A2"/>
    <w:rsid w:val="006E6C80"/>
    <w:rsid w:val="006F6813"/>
    <w:rsid w:val="00700B2C"/>
    <w:rsid w:val="00703CD3"/>
    <w:rsid w:val="0070484F"/>
    <w:rsid w:val="00713084"/>
    <w:rsid w:val="007173B8"/>
    <w:rsid w:val="00731E00"/>
    <w:rsid w:val="00732A85"/>
    <w:rsid w:val="007440B7"/>
    <w:rsid w:val="007520FC"/>
    <w:rsid w:val="0075226A"/>
    <w:rsid w:val="007627F4"/>
    <w:rsid w:val="00762B9D"/>
    <w:rsid w:val="00767181"/>
    <w:rsid w:val="007715C9"/>
    <w:rsid w:val="00774EDD"/>
    <w:rsid w:val="007757EC"/>
    <w:rsid w:val="007845BF"/>
    <w:rsid w:val="007864E0"/>
    <w:rsid w:val="007875C4"/>
    <w:rsid w:val="00794E57"/>
    <w:rsid w:val="00795158"/>
    <w:rsid w:val="00795FCE"/>
    <w:rsid w:val="007A44C7"/>
    <w:rsid w:val="007A659A"/>
    <w:rsid w:val="007B081F"/>
    <w:rsid w:val="007D7E16"/>
    <w:rsid w:val="007E2390"/>
    <w:rsid w:val="007E4CC8"/>
    <w:rsid w:val="0081796A"/>
    <w:rsid w:val="00830815"/>
    <w:rsid w:val="00840F98"/>
    <w:rsid w:val="00852C34"/>
    <w:rsid w:val="00856A31"/>
    <w:rsid w:val="00865889"/>
    <w:rsid w:val="008664D8"/>
    <w:rsid w:val="00872A20"/>
    <w:rsid w:val="0087433E"/>
    <w:rsid w:val="008754D0"/>
    <w:rsid w:val="008837FA"/>
    <w:rsid w:val="00883892"/>
    <w:rsid w:val="008A6470"/>
    <w:rsid w:val="008A6620"/>
    <w:rsid w:val="008C31FB"/>
    <w:rsid w:val="008D0EE0"/>
    <w:rsid w:val="008E05CA"/>
    <w:rsid w:val="008F0217"/>
    <w:rsid w:val="00907376"/>
    <w:rsid w:val="00910319"/>
    <w:rsid w:val="0091143D"/>
    <w:rsid w:val="00932377"/>
    <w:rsid w:val="00932FA3"/>
    <w:rsid w:val="0095602D"/>
    <w:rsid w:val="009620C2"/>
    <w:rsid w:val="009758A3"/>
    <w:rsid w:val="0098167B"/>
    <w:rsid w:val="00987556"/>
    <w:rsid w:val="009910D8"/>
    <w:rsid w:val="009C3E3F"/>
    <w:rsid w:val="009D7BA9"/>
    <w:rsid w:val="009E2DD4"/>
    <w:rsid w:val="009E5556"/>
    <w:rsid w:val="00A120DD"/>
    <w:rsid w:val="00A131E0"/>
    <w:rsid w:val="00A231E2"/>
    <w:rsid w:val="00A25627"/>
    <w:rsid w:val="00A336B0"/>
    <w:rsid w:val="00A415B9"/>
    <w:rsid w:val="00A6405A"/>
    <w:rsid w:val="00A64912"/>
    <w:rsid w:val="00A70A74"/>
    <w:rsid w:val="00A7360E"/>
    <w:rsid w:val="00A87794"/>
    <w:rsid w:val="00A968E7"/>
    <w:rsid w:val="00AA5445"/>
    <w:rsid w:val="00AB596A"/>
    <w:rsid w:val="00AB5A90"/>
    <w:rsid w:val="00AC4B03"/>
    <w:rsid w:val="00AC64D3"/>
    <w:rsid w:val="00AD27B3"/>
    <w:rsid w:val="00AD5641"/>
    <w:rsid w:val="00AE59F7"/>
    <w:rsid w:val="00AE797C"/>
    <w:rsid w:val="00AE7BD7"/>
    <w:rsid w:val="00B05DED"/>
    <w:rsid w:val="00B107F8"/>
    <w:rsid w:val="00B11E8C"/>
    <w:rsid w:val="00B15EFA"/>
    <w:rsid w:val="00B21621"/>
    <w:rsid w:val="00B26413"/>
    <w:rsid w:val="00B30BBF"/>
    <w:rsid w:val="00B33030"/>
    <w:rsid w:val="00B33B3C"/>
    <w:rsid w:val="00B340B6"/>
    <w:rsid w:val="00B3608C"/>
    <w:rsid w:val="00B372A6"/>
    <w:rsid w:val="00B429C2"/>
    <w:rsid w:val="00B61C25"/>
    <w:rsid w:val="00B70E56"/>
    <w:rsid w:val="00B93351"/>
    <w:rsid w:val="00B978A7"/>
    <w:rsid w:val="00BA41D5"/>
    <w:rsid w:val="00BB59BE"/>
    <w:rsid w:val="00BC1DDC"/>
    <w:rsid w:val="00BC30F2"/>
    <w:rsid w:val="00BC62A5"/>
    <w:rsid w:val="00BD1655"/>
    <w:rsid w:val="00BE322F"/>
    <w:rsid w:val="00BE719A"/>
    <w:rsid w:val="00BE720A"/>
    <w:rsid w:val="00BF3E0C"/>
    <w:rsid w:val="00C07BF5"/>
    <w:rsid w:val="00C42BF8"/>
    <w:rsid w:val="00C50043"/>
    <w:rsid w:val="00C53114"/>
    <w:rsid w:val="00C723B9"/>
    <w:rsid w:val="00C7573B"/>
    <w:rsid w:val="00C77D10"/>
    <w:rsid w:val="00CB0EA8"/>
    <w:rsid w:val="00CB3709"/>
    <w:rsid w:val="00CC7A09"/>
    <w:rsid w:val="00CC7B1D"/>
    <w:rsid w:val="00CD44E9"/>
    <w:rsid w:val="00CE7779"/>
    <w:rsid w:val="00CF0BB2"/>
    <w:rsid w:val="00CF4975"/>
    <w:rsid w:val="00D13441"/>
    <w:rsid w:val="00D3213F"/>
    <w:rsid w:val="00D374CE"/>
    <w:rsid w:val="00D40252"/>
    <w:rsid w:val="00D44D6E"/>
    <w:rsid w:val="00D70DFB"/>
    <w:rsid w:val="00D7186F"/>
    <w:rsid w:val="00D766DF"/>
    <w:rsid w:val="00D9284D"/>
    <w:rsid w:val="00D97454"/>
    <w:rsid w:val="00DD314D"/>
    <w:rsid w:val="00E05704"/>
    <w:rsid w:val="00E1363F"/>
    <w:rsid w:val="00E14342"/>
    <w:rsid w:val="00E248FE"/>
    <w:rsid w:val="00E26D36"/>
    <w:rsid w:val="00E334E8"/>
    <w:rsid w:val="00E54CAB"/>
    <w:rsid w:val="00E73220"/>
    <w:rsid w:val="00E74DC7"/>
    <w:rsid w:val="00E809A1"/>
    <w:rsid w:val="00E85CB9"/>
    <w:rsid w:val="00E94998"/>
    <w:rsid w:val="00EA38B0"/>
    <w:rsid w:val="00EC3728"/>
    <w:rsid w:val="00ED1A6C"/>
    <w:rsid w:val="00EE6DCC"/>
    <w:rsid w:val="00EF2E3A"/>
    <w:rsid w:val="00EF69C4"/>
    <w:rsid w:val="00F00B12"/>
    <w:rsid w:val="00F0132A"/>
    <w:rsid w:val="00F024A8"/>
    <w:rsid w:val="00F078DC"/>
    <w:rsid w:val="00F5076A"/>
    <w:rsid w:val="00F54058"/>
    <w:rsid w:val="00F64E97"/>
    <w:rsid w:val="00F71234"/>
    <w:rsid w:val="00F73E68"/>
    <w:rsid w:val="00F80047"/>
    <w:rsid w:val="00F8103A"/>
    <w:rsid w:val="00F83029"/>
    <w:rsid w:val="00F83E54"/>
    <w:rsid w:val="00FA3991"/>
    <w:rsid w:val="00FB609C"/>
    <w:rsid w:val="00FB6BAB"/>
    <w:rsid w:val="00FD63D7"/>
    <w:rsid w:val="00FF0CED"/>
    <w:rsid w:val="00FF3D5A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B6A8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58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0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0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0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0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0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0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0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758A3"/>
  </w:style>
  <w:style w:type="paragraph" w:customStyle="1" w:styleId="OPCParaBase">
    <w:name w:val="OPCParaBase"/>
    <w:qFormat/>
    <w:rsid w:val="009758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758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758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758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758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758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758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758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758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758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758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758A3"/>
  </w:style>
  <w:style w:type="paragraph" w:customStyle="1" w:styleId="Blocks">
    <w:name w:val="Blocks"/>
    <w:aliases w:val="bb"/>
    <w:basedOn w:val="OPCParaBase"/>
    <w:qFormat/>
    <w:rsid w:val="009758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758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758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758A3"/>
    <w:rPr>
      <w:i/>
    </w:rPr>
  </w:style>
  <w:style w:type="paragraph" w:customStyle="1" w:styleId="BoxList">
    <w:name w:val="BoxList"/>
    <w:aliases w:val="bl"/>
    <w:basedOn w:val="BoxText"/>
    <w:qFormat/>
    <w:rsid w:val="009758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758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758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758A3"/>
    <w:pPr>
      <w:ind w:left="1985" w:hanging="851"/>
    </w:pPr>
  </w:style>
  <w:style w:type="character" w:customStyle="1" w:styleId="CharAmPartNo">
    <w:name w:val="CharAmPartNo"/>
    <w:basedOn w:val="OPCCharBase"/>
    <w:qFormat/>
    <w:rsid w:val="009758A3"/>
  </w:style>
  <w:style w:type="character" w:customStyle="1" w:styleId="CharAmPartText">
    <w:name w:val="CharAmPartText"/>
    <w:basedOn w:val="OPCCharBase"/>
    <w:qFormat/>
    <w:rsid w:val="009758A3"/>
  </w:style>
  <w:style w:type="character" w:customStyle="1" w:styleId="CharAmSchNo">
    <w:name w:val="CharAmSchNo"/>
    <w:basedOn w:val="OPCCharBase"/>
    <w:qFormat/>
    <w:rsid w:val="009758A3"/>
  </w:style>
  <w:style w:type="character" w:customStyle="1" w:styleId="CharAmSchText">
    <w:name w:val="CharAmSchText"/>
    <w:basedOn w:val="OPCCharBase"/>
    <w:qFormat/>
    <w:rsid w:val="009758A3"/>
  </w:style>
  <w:style w:type="character" w:customStyle="1" w:styleId="CharBoldItalic">
    <w:name w:val="CharBoldItalic"/>
    <w:basedOn w:val="OPCCharBase"/>
    <w:uiPriority w:val="1"/>
    <w:qFormat/>
    <w:rsid w:val="009758A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758A3"/>
  </w:style>
  <w:style w:type="character" w:customStyle="1" w:styleId="CharChapText">
    <w:name w:val="CharChapText"/>
    <w:basedOn w:val="OPCCharBase"/>
    <w:uiPriority w:val="1"/>
    <w:qFormat/>
    <w:rsid w:val="009758A3"/>
  </w:style>
  <w:style w:type="character" w:customStyle="1" w:styleId="CharDivNo">
    <w:name w:val="CharDivNo"/>
    <w:basedOn w:val="OPCCharBase"/>
    <w:uiPriority w:val="1"/>
    <w:qFormat/>
    <w:rsid w:val="009758A3"/>
  </w:style>
  <w:style w:type="character" w:customStyle="1" w:styleId="CharDivText">
    <w:name w:val="CharDivText"/>
    <w:basedOn w:val="OPCCharBase"/>
    <w:uiPriority w:val="1"/>
    <w:qFormat/>
    <w:rsid w:val="009758A3"/>
  </w:style>
  <w:style w:type="character" w:customStyle="1" w:styleId="CharItalic">
    <w:name w:val="CharItalic"/>
    <w:basedOn w:val="OPCCharBase"/>
    <w:uiPriority w:val="1"/>
    <w:qFormat/>
    <w:rsid w:val="009758A3"/>
    <w:rPr>
      <w:i/>
    </w:rPr>
  </w:style>
  <w:style w:type="character" w:customStyle="1" w:styleId="CharPartNo">
    <w:name w:val="CharPartNo"/>
    <w:basedOn w:val="OPCCharBase"/>
    <w:uiPriority w:val="1"/>
    <w:qFormat/>
    <w:rsid w:val="009758A3"/>
  </w:style>
  <w:style w:type="character" w:customStyle="1" w:styleId="CharPartText">
    <w:name w:val="CharPartText"/>
    <w:basedOn w:val="OPCCharBase"/>
    <w:uiPriority w:val="1"/>
    <w:qFormat/>
    <w:rsid w:val="009758A3"/>
  </w:style>
  <w:style w:type="character" w:customStyle="1" w:styleId="CharSectno">
    <w:name w:val="CharSectno"/>
    <w:basedOn w:val="OPCCharBase"/>
    <w:qFormat/>
    <w:rsid w:val="009758A3"/>
  </w:style>
  <w:style w:type="character" w:customStyle="1" w:styleId="CharSubdNo">
    <w:name w:val="CharSubdNo"/>
    <w:basedOn w:val="OPCCharBase"/>
    <w:uiPriority w:val="1"/>
    <w:qFormat/>
    <w:rsid w:val="009758A3"/>
  </w:style>
  <w:style w:type="character" w:customStyle="1" w:styleId="CharSubdText">
    <w:name w:val="CharSubdText"/>
    <w:basedOn w:val="OPCCharBase"/>
    <w:uiPriority w:val="1"/>
    <w:qFormat/>
    <w:rsid w:val="009758A3"/>
  </w:style>
  <w:style w:type="paragraph" w:customStyle="1" w:styleId="CTA--">
    <w:name w:val="CTA --"/>
    <w:basedOn w:val="OPCParaBase"/>
    <w:next w:val="Normal"/>
    <w:rsid w:val="009758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758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758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758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758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758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758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758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758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758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758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758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758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758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758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758A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758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758A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758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758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758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758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758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758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758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758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758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758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758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758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758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758A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758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758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758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758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758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758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758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758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758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758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758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758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758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758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758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758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758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758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758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758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758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758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758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758A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758A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758A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758A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758A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758A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758A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758A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758A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758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758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758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758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758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758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758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758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758A3"/>
    <w:rPr>
      <w:sz w:val="16"/>
    </w:rPr>
  </w:style>
  <w:style w:type="table" w:customStyle="1" w:styleId="CFlag">
    <w:name w:val="CFlag"/>
    <w:basedOn w:val="TableNormal"/>
    <w:uiPriority w:val="99"/>
    <w:rsid w:val="009758A3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9758A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758A3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758A3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9758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758A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758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758A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758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58A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758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758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758A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758A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758A3"/>
  </w:style>
  <w:style w:type="character" w:customStyle="1" w:styleId="CharSubPartNoCASA">
    <w:name w:val="CharSubPartNo(CASA)"/>
    <w:basedOn w:val="OPCCharBase"/>
    <w:uiPriority w:val="1"/>
    <w:rsid w:val="009758A3"/>
  </w:style>
  <w:style w:type="paragraph" w:customStyle="1" w:styleId="ENoteTTIndentHeadingSub">
    <w:name w:val="ENoteTTIndentHeadingSub"/>
    <w:aliases w:val="enTTHis"/>
    <w:basedOn w:val="OPCParaBase"/>
    <w:rsid w:val="009758A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758A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758A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758A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758A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E6C8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758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758A3"/>
    <w:rPr>
      <w:sz w:val="22"/>
    </w:rPr>
  </w:style>
  <w:style w:type="paragraph" w:customStyle="1" w:styleId="SOTextNote">
    <w:name w:val="SO TextNote"/>
    <w:aliases w:val="sont"/>
    <w:basedOn w:val="SOText"/>
    <w:qFormat/>
    <w:rsid w:val="009758A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758A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758A3"/>
    <w:rPr>
      <w:sz w:val="22"/>
    </w:rPr>
  </w:style>
  <w:style w:type="paragraph" w:customStyle="1" w:styleId="FileName">
    <w:name w:val="FileName"/>
    <w:basedOn w:val="Normal"/>
    <w:rsid w:val="009758A3"/>
  </w:style>
  <w:style w:type="paragraph" w:customStyle="1" w:styleId="TableHeading">
    <w:name w:val="TableHeading"/>
    <w:aliases w:val="th"/>
    <w:basedOn w:val="OPCParaBase"/>
    <w:next w:val="Tabletext"/>
    <w:rsid w:val="009758A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758A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758A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758A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758A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758A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758A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758A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758A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758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758A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758A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9758A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758A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758A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758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9758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758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758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758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758A3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97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9758A3"/>
  </w:style>
  <w:style w:type="character" w:customStyle="1" w:styleId="Heading1Char">
    <w:name w:val="Heading 1 Char"/>
    <w:basedOn w:val="DefaultParagraphFont"/>
    <w:link w:val="Heading1"/>
    <w:uiPriority w:val="9"/>
    <w:rsid w:val="00F80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0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0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0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0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0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0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04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885C-FAE9-4D86-9742-7C7C1FC8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700</Words>
  <Characters>3602</Characters>
  <Application>Microsoft Office Word</Application>
  <DocSecurity>2</DocSecurity>
  <PresentationFormat/>
  <Lines>109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2022: Strengthening the ABN system</vt:lpstr>
    </vt:vector>
  </TitlesOfParts>
  <Manager/>
  <Company/>
  <LinksUpToDate>false</LinksUpToDate>
  <CharactersWithSpaces>4239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2022: Strengthening the ABN system</dc:title>
  <dc:subject/>
  <dc:creator/>
  <cp:keywords/>
  <dc:description/>
  <cp:lastModifiedBy/>
  <cp:revision>1</cp:revision>
  <cp:lastPrinted>2021-03-02T00:34:00Z</cp:lastPrinted>
  <dcterms:created xsi:type="dcterms:W3CDTF">2022-10-12T00:35:00Z</dcterms:created>
  <dcterms:modified xsi:type="dcterms:W3CDTF">2022-10-31T05:25:00Z</dcterms:modified>
  <cp:category/>
  <cp:contentStatus/>
  <dc:language/>
  <cp:version/>
</cp:coreProperties>
</file>